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AC074">
      <w:pPr>
        <w:pStyle w:val="4"/>
        <w:rPr>
          <w:rFonts w:ascii="Times New Roman" w:hAnsi="Times New Roman" w:cs="Times New Roman"/>
          <w:color w:val="000000" w:themeColor="text1"/>
        </w:rPr>
      </w:pPr>
    </w:p>
    <w:p w14:paraId="76F0E793">
      <w:pPr>
        <w:rPr>
          <w:rFonts w:ascii="Times New Roman" w:hAnsi="Times New Roman" w:cs="Times New Roman"/>
          <w:color w:val="000000" w:themeColor="text1"/>
        </w:rPr>
      </w:pPr>
    </w:p>
    <w:p w14:paraId="59E7A4D2">
      <w:pPr>
        <w:pStyle w:val="2"/>
        <w:rPr>
          <w:rFonts w:ascii="Times New Roman" w:hAnsi="Times New Roman" w:cs="Times New Roman"/>
          <w:color w:val="000000" w:themeColor="text1"/>
        </w:rPr>
      </w:pPr>
    </w:p>
    <w:p w14:paraId="7DC4C3F0">
      <w:pPr>
        <w:spacing w:beforeLines="50" w:line="240" w:lineRule="auto"/>
        <w:jc w:val="center"/>
        <w:rPr>
          <w:rFonts w:hint="default" w:ascii="Times New Roman" w:hAnsi="Times New Roman" w:cs="Times New Roman"/>
          <w:b/>
          <w:bCs/>
          <w:color w:val="000000" w:themeColor="text1"/>
          <w:sz w:val="48"/>
          <w:szCs w:val="48"/>
          <w:lang w:eastAsia="zh-CN"/>
        </w:rPr>
      </w:pPr>
      <w:r>
        <w:rPr>
          <w:rFonts w:hint="default" w:ascii="Times New Roman" w:hAnsi="Times New Roman" w:cs="Times New Roman"/>
          <w:b/>
          <w:bCs/>
          <w:color w:val="000000" w:themeColor="text1"/>
          <w:sz w:val="48"/>
          <w:szCs w:val="48"/>
          <w:lang w:eastAsia="zh-CN"/>
        </w:rPr>
        <w:t>2025年度舟山生态大楼颗粒物组分站运维</w:t>
      </w:r>
    </w:p>
    <w:p w14:paraId="55870361">
      <w:pPr>
        <w:spacing w:beforeLines="50" w:line="240" w:lineRule="auto"/>
        <w:jc w:val="center"/>
        <w:rPr>
          <w:rFonts w:hint="default" w:ascii="Times New Roman" w:hAnsi="Times New Roman" w:eastAsia="宋体" w:cs="Times New Roman"/>
          <w:b/>
          <w:bCs/>
          <w:color w:val="000000" w:themeColor="text1"/>
          <w:sz w:val="48"/>
          <w:szCs w:val="48"/>
          <w:lang w:eastAsia="zh-CN"/>
        </w:rPr>
      </w:pPr>
      <w:r>
        <w:rPr>
          <w:rFonts w:hint="default" w:ascii="Times New Roman" w:hAnsi="Times New Roman" w:cs="Times New Roman"/>
          <w:b/>
          <w:bCs/>
          <w:color w:val="000000" w:themeColor="text1"/>
          <w:sz w:val="48"/>
          <w:szCs w:val="48"/>
          <w:lang w:eastAsia="zh-CN"/>
        </w:rPr>
        <w:t>及颗粒物组分站、光化学站质控巡检项目</w:t>
      </w:r>
    </w:p>
    <w:p w14:paraId="77FD8AAC">
      <w:pPr>
        <w:pStyle w:val="2"/>
        <w:rPr>
          <w:rFonts w:ascii="Times New Roman" w:hAnsi="Times New Roman" w:cs="Times New Roman"/>
          <w:b/>
          <w:bCs/>
          <w:color w:val="000000" w:themeColor="text1"/>
          <w:spacing w:val="12"/>
          <w:sz w:val="44"/>
          <w:szCs w:val="44"/>
        </w:rPr>
      </w:pPr>
    </w:p>
    <w:p w14:paraId="761C8B87">
      <w:pPr>
        <w:pStyle w:val="2"/>
        <w:rPr>
          <w:rFonts w:ascii="Times New Roman" w:hAnsi="Times New Roman" w:cs="Times New Roman"/>
          <w:b/>
          <w:bCs/>
          <w:color w:val="000000" w:themeColor="text1"/>
          <w:spacing w:val="12"/>
          <w:sz w:val="44"/>
          <w:szCs w:val="44"/>
        </w:rPr>
      </w:pPr>
    </w:p>
    <w:p w14:paraId="04F48B39">
      <w:pPr>
        <w:spacing w:after="156"/>
        <w:outlineLvl w:val="0"/>
        <w:rPr>
          <w:rFonts w:ascii="Times New Roman" w:hAnsi="Times New Roman" w:cs="Times New Roman"/>
          <w:b/>
          <w:bCs/>
          <w:color w:val="000000" w:themeColor="text1"/>
          <w:spacing w:val="12"/>
          <w:sz w:val="44"/>
          <w:szCs w:val="44"/>
        </w:rPr>
      </w:pPr>
    </w:p>
    <w:p w14:paraId="4024A305">
      <w:pPr>
        <w:spacing w:beforeLines="50"/>
        <w:jc w:val="center"/>
        <w:rPr>
          <w:rFonts w:ascii="Times New Roman" w:hAnsi="Times New Roman" w:cs="Times New Roman"/>
          <w:b/>
          <w:bCs/>
          <w:color w:val="000000" w:themeColor="text1"/>
          <w:sz w:val="52"/>
          <w:szCs w:val="52"/>
        </w:rPr>
      </w:pPr>
      <w:r>
        <w:rPr>
          <w:rFonts w:ascii="Times New Roman" w:hAnsi="Times New Roman" w:cs="Times New Roman"/>
          <w:b/>
          <w:bCs/>
          <w:color w:val="000000" w:themeColor="text1"/>
          <w:sz w:val="52"/>
          <w:szCs w:val="52"/>
        </w:rPr>
        <w:t>公开招标采购文件</w:t>
      </w:r>
    </w:p>
    <w:p w14:paraId="7C0E7E14">
      <w:pPr>
        <w:jc w:val="center"/>
        <w:outlineLvl w:val="0"/>
        <w:rPr>
          <w:rFonts w:ascii="Times New Roman" w:hAnsi="Times New Roman" w:cs="Times New Roman"/>
          <w:b/>
          <w:bCs/>
          <w:color w:val="000000" w:themeColor="text1"/>
        </w:rPr>
      </w:pPr>
    </w:p>
    <w:p w14:paraId="35E7EBC5">
      <w:pPr>
        <w:jc w:val="center"/>
        <w:outlineLvl w:val="0"/>
        <w:rPr>
          <w:rFonts w:ascii="Times New Roman" w:hAnsi="Times New Roman" w:cs="Times New Roman"/>
          <w:b/>
          <w:bCs/>
          <w:color w:val="000000" w:themeColor="text1"/>
        </w:rPr>
      </w:pPr>
    </w:p>
    <w:p w14:paraId="0509B3FC">
      <w:pPr>
        <w:jc w:val="center"/>
        <w:outlineLvl w:val="0"/>
        <w:rPr>
          <w:rFonts w:ascii="Times New Roman" w:hAnsi="Times New Roman" w:cs="Times New Roman"/>
          <w:b/>
          <w:bCs/>
          <w:color w:val="000000" w:themeColor="text1"/>
        </w:rPr>
      </w:pPr>
    </w:p>
    <w:p w14:paraId="435922A6">
      <w:pPr>
        <w:outlineLvl w:val="0"/>
        <w:rPr>
          <w:rFonts w:ascii="Times New Roman" w:hAnsi="Times New Roman" w:cs="Times New Roman"/>
          <w:b/>
          <w:bCs/>
          <w:color w:val="000000" w:themeColor="text1"/>
        </w:rPr>
      </w:pPr>
    </w:p>
    <w:p w14:paraId="512A444D">
      <w:pPr>
        <w:pStyle w:val="2"/>
        <w:rPr>
          <w:rFonts w:ascii="Times New Roman" w:hAnsi="Times New Roman" w:cs="Times New Roman"/>
          <w:color w:val="000000" w:themeColor="text1"/>
        </w:rPr>
      </w:pPr>
    </w:p>
    <w:p w14:paraId="68387F4E">
      <w:pPr>
        <w:pStyle w:val="25"/>
        <w:ind w:firstLine="210"/>
        <w:rPr>
          <w:color w:val="000000" w:themeColor="text1"/>
        </w:rPr>
      </w:pPr>
    </w:p>
    <w:p w14:paraId="65AE986C">
      <w:pPr>
        <w:snapToGrid w:val="0"/>
        <w:spacing w:beforeLines="50" w:line="360" w:lineRule="auto"/>
        <w:rPr>
          <w:rFonts w:ascii="Times New Roman" w:hAnsi="Times New Roman" w:cs="Times New Roman"/>
          <w:b/>
          <w:bCs/>
          <w:color w:val="000000" w:themeColor="text1"/>
          <w:sz w:val="30"/>
          <w:szCs w:val="30"/>
        </w:rPr>
      </w:pPr>
    </w:p>
    <w:p w14:paraId="13DF2788">
      <w:pPr>
        <w:spacing w:beforeLines="50" w:line="360" w:lineRule="auto"/>
        <w:rPr>
          <w:rFonts w:ascii="Times New Roman" w:hAnsi="Times New Roman" w:cs="Times New Roman"/>
          <w:b/>
          <w:bCs/>
          <w:color w:val="000000" w:themeColor="text1"/>
          <w:sz w:val="30"/>
          <w:szCs w:val="30"/>
        </w:rPr>
      </w:pPr>
    </w:p>
    <w:p w14:paraId="168529A2">
      <w:pPr>
        <w:pStyle w:val="2"/>
        <w:rPr>
          <w:rFonts w:ascii="Times New Roman" w:hAnsi="Times New Roman" w:cs="Times New Roman"/>
          <w:color w:val="000000" w:themeColor="text1"/>
        </w:rPr>
      </w:pPr>
    </w:p>
    <w:p w14:paraId="5C0ECB9F">
      <w:pPr>
        <w:spacing w:beforeLines="50" w:line="360" w:lineRule="auto"/>
        <w:rPr>
          <w:rFonts w:hint="eastAsia" w:ascii="Times New Roman" w:hAnsi="Times New Roman" w:eastAsia="宋体" w:cs="Times New Roman"/>
          <w:b/>
          <w:bCs/>
          <w:color w:val="000000" w:themeColor="text1"/>
          <w:sz w:val="30"/>
          <w:szCs w:val="30"/>
          <w:lang w:eastAsia="zh-CN"/>
        </w:rPr>
      </w:pPr>
      <w:r>
        <w:rPr>
          <w:rFonts w:ascii="Times New Roman" w:hAnsi="Times New Roman" w:cs="Times New Roman"/>
          <w:b/>
          <w:bCs/>
          <w:color w:val="000000" w:themeColor="text1"/>
          <w:sz w:val="30"/>
          <w:szCs w:val="30"/>
        </w:rPr>
        <w:t>项目编号：</w:t>
      </w:r>
      <w:r>
        <w:rPr>
          <w:rFonts w:hint="eastAsia" w:ascii="Times New Roman" w:hAnsi="Times New Roman" w:cs="Times New Roman"/>
          <w:b/>
          <w:bCs/>
          <w:color w:val="000000" w:themeColor="text1"/>
          <w:spacing w:val="-11"/>
          <w:sz w:val="30"/>
          <w:szCs w:val="30"/>
          <w:lang w:eastAsia="zh-CN"/>
        </w:rPr>
        <w:t>ZHCG2025-16</w:t>
      </w:r>
    </w:p>
    <w:p w14:paraId="75A0B00E">
      <w:pPr>
        <w:spacing w:beforeLines="50" w:line="360" w:lineRule="auto"/>
        <w:rPr>
          <w:rFonts w:hint="eastAsia" w:ascii="Times New Roman" w:hAnsi="Times New Roman" w:eastAsia="宋体" w:cs="Times New Roman"/>
          <w:b/>
          <w:bCs/>
          <w:color w:val="000000" w:themeColor="text1"/>
          <w:sz w:val="30"/>
          <w:szCs w:val="30"/>
          <w:lang w:eastAsia="zh-CN"/>
        </w:rPr>
      </w:pPr>
      <w:r>
        <w:rPr>
          <w:rFonts w:ascii="Times New Roman" w:hAnsi="Times New Roman" w:cs="Times New Roman"/>
          <w:b/>
          <w:bCs/>
          <w:color w:val="000000" w:themeColor="text1"/>
          <w:sz w:val="30"/>
          <w:szCs w:val="30"/>
        </w:rPr>
        <w:t>项目名称：</w:t>
      </w:r>
      <w:r>
        <w:rPr>
          <w:rFonts w:hint="eastAsia" w:ascii="Times New Roman" w:hAnsi="Times New Roman" w:cs="Times New Roman"/>
          <w:b/>
          <w:bCs/>
          <w:color w:val="000000" w:themeColor="text1"/>
          <w:sz w:val="30"/>
          <w:szCs w:val="30"/>
          <w:lang w:eastAsia="zh-CN"/>
        </w:rPr>
        <w:t>2025年度舟山生态大楼颗粒物组分站运维及颗粒物组分站、光化学站质控巡检项目</w:t>
      </w:r>
    </w:p>
    <w:p w14:paraId="0FD69636">
      <w:pPr>
        <w:snapToGrid w:val="0"/>
        <w:spacing w:beforeLines="50"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采购人：浙江省海洋生态环境监测中心</w:t>
      </w:r>
    </w:p>
    <w:p w14:paraId="6D905C7A">
      <w:pPr>
        <w:snapToGrid w:val="0"/>
        <w:spacing w:beforeLines="50" w:line="360" w:lineRule="auto"/>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采购代理机构：浙江自贸区中昊工程管理有限公司</w:t>
      </w:r>
    </w:p>
    <w:p w14:paraId="24EE097A">
      <w:pPr>
        <w:pStyle w:val="2"/>
        <w:spacing w:line="360" w:lineRule="auto"/>
        <w:rPr>
          <w:rFonts w:ascii="Times New Roman" w:hAnsi="Times New Roman" w:cs="Times New Roman"/>
          <w:color w:val="000000" w:themeColor="text1"/>
          <w:sz w:val="32"/>
          <w:szCs w:val="32"/>
          <w:highlight w:val="yellow"/>
        </w:rPr>
      </w:pPr>
      <w:r>
        <w:rPr>
          <w:rFonts w:ascii="Times New Roman" w:hAnsi="Times New Roman" w:cs="Times New Roman"/>
          <w:b/>
          <w:bCs/>
          <w:color w:val="000000" w:themeColor="text1"/>
          <w:sz w:val="30"/>
          <w:szCs w:val="30"/>
        </w:rPr>
        <w:t>时间：</w:t>
      </w:r>
      <w:r>
        <w:rPr>
          <w:rFonts w:ascii="Times New Roman" w:hAnsi="Times New Roman" w:cs="Times New Roman"/>
          <w:b/>
          <w:bCs/>
          <w:color w:val="000000" w:themeColor="text1"/>
          <w:sz w:val="30"/>
          <w:szCs w:val="30"/>
          <w:highlight w:val="yellow"/>
        </w:rPr>
        <w:t>二〇二</w:t>
      </w:r>
      <w:r>
        <w:rPr>
          <w:rFonts w:hint="eastAsia" w:ascii="Times New Roman" w:hAnsi="Times New Roman" w:cs="Times New Roman"/>
          <w:b/>
          <w:bCs/>
          <w:color w:val="000000" w:themeColor="text1"/>
          <w:sz w:val="30"/>
          <w:szCs w:val="30"/>
          <w:highlight w:val="yellow"/>
          <w:lang w:val="en-US" w:eastAsia="zh-CN"/>
        </w:rPr>
        <w:t>五</w:t>
      </w:r>
      <w:r>
        <w:rPr>
          <w:rFonts w:ascii="Times New Roman" w:hAnsi="Times New Roman" w:cs="Times New Roman"/>
          <w:b/>
          <w:bCs/>
          <w:color w:val="000000" w:themeColor="text1"/>
          <w:sz w:val="30"/>
          <w:szCs w:val="30"/>
          <w:highlight w:val="yellow"/>
        </w:rPr>
        <w:t>年</w:t>
      </w:r>
      <w:r>
        <w:rPr>
          <w:rFonts w:hint="eastAsia" w:ascii="Times New Roman" w:hAnsi="Times New Roman" w:cs="Times New Roman"/>
          <w:b/>
          <w:bCs/>
          <w:color w:val="000000" w:themeColor="text1"/>
          <w:sz w:val="30"/>
          <w:szCs w:val="30"/>
          <w:highlight w:val="yellow"/>
        </w:rPr>
        <w:t>六</w:t>
      </w:r>
      <w:r>
        <w:rPr>
          <w:rFonts w:ascii="Times New Roman" w:hAnsi="Times New Roman" w:cs="Times New Roman"/>
          <w:b/>
          <w:bCs/>
          <w:color w:val="000000" w:themeColor="text1"/>
          <w:sz w:val="30"/>
          <w:szCs w:val="30"/>
          <w:highlight w:val="yellow"/>
        </w:rPr>
        <w:t>月</w:t>
      </w:r>
    </w:p>
    <w:p w14:paraId="1A555334">
      <w:pPr>
        <w:pStyle w:val="59"/>
        <w:spacing w:before="120" w:after="120" w:line="360" w:lineRule="auto"/>
        <w:jc w:val="center"/>
        <w:rPr>
          <w:rFonts w:ascii="Times New Roman" w:hAnsi="Times New Roman" w:cs="Times New Roman"/>
          <w:color w:val="000000" w:themeColor="text1"/>
        </w:rPr>
        <w:sectPr>
          <w:pgSz w:w="11906" w:h="16838"/>
          <w:pgMar w:top="1304" w:right="1106" w:bottom="1304" w:left="1531" w:header="1304" w:footer="1304" w:gutter="0"/>
          <w:pgNumType w:start="1"/>
          <w:cols w:space="720" w:num="1"/>
        </w:sectPr>
      </w:pPr>
    </w:p>
    <w:p w14:paraId="0FFB7965">
      <w:pPr>
        <w:pStyle w:val="59"/>
        <w:spacing w:before="120" w:after="120" w:line="360" w:lineRule="auto"/>
        <w:jc w:val="center"/>
        <w:rPr>
          <w:rFonts w:ascii="Times New Roman" w:hAnsi="Times New Roman" w:eastAsia="宋体" w:cs="Times New Roman"/>
          <w:color w:val="000000" w:themeColor="text1"/>
          <w:sz w:val="32"/>
          <w:szCs w:val="32"/>
        </w:rPr>
      </w:pPr>
      <w:r>
        <w:rPr>
          <w:rFonts w:ascii="Times New Roman" w:hAnsi="Times New Roman" w:eastAsia="宋体" w:cs="Times New Roman"/>
          <w:color w:val="000000" w:themeColor="text1"/>
          <w:sz w:val="32"/>
          <w:szCs w:val="32"/>
        </w:rPr>
        <w:t>目录</w:t>
      </w:r>
    </w:p>
    <w:p w14:paraId="5FE15BB3">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第一章采购公告</w:t>
      </w:r>
    </w:p>
    <w:p w14:paraId="3183FB39">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第二章采购需求</w:t>
      </w:r>
    </w:p>
    <w:p w14:paraId="3B5D11AE">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第三章投标人须知</w:t>
      </w:r>
    </w:p>
    <w:p w14:paraId="1C5CD519">
      <w:pPr>
        <w:spacing w:before="120" w:line="360" w:lineRule="auto"/>
        <w:ind w:firstLine="1120" w:firstLineChars="4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前附表</w:t>
      </w:r>
    </w:p>
    <w:p w14:paraId="1CA8BE1F">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一、总则</w:t>
      </w:r>
    </w:p>
    <w:p w14:paraId="099BAE91">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二、采购文件</w:t>
      </w:r>
    </w:p>
    <w:p w14:paraId="7CC7B285">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三、投标文件的编制</w:t>
      </w:r>
    </w:p>
    <w:p w14:paraId="62D841F6">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四、开标</w:t>
      </w:r>
    </w:p>
    <w:p w14:paraId="4D79E4E5">
      <w:pPr>
        <w:spacing w:before="120" w:line="360" w:lineRule="auto"/>
        <w:ind w:firstLine="560" w:firstLineChars="200"/>
        <w:rPr>
          <w:rFonts w:ascii="Times New Roman" w:hAnsi="Times New Roman" w:cs="Times New Roman"/>
          <w:color w:val="000000" w:themeColor="text1"/>
        </w:rPr>
      </w:pPr>
      <w:r>
        <w:rPr>
          <w:rFonts w:ascii="Times New Roman" w:hAnsi="Times New Roman" w:cs="Times New Roman"/>
          <w:color w:val="000000" w:themeColor="text1"/>
          <w:sz w:val="28"/>
          <w:szCs w:val="28"/>
        </w:rPr>
        <w:t>五、评标</w:t>
      </w:r>
    </w:p>
    <w:p w14:paraId="0EAAF945">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六、定标</w:t>
      </w:r>
    </w:p>
    <w:p w14:paraId="44386124">
      <w:pPr>
        <w:tabs>
          <w:tab w:val="left" w:pos="6112"/>
        </w:tabs>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七、合同授予</w:t>
      </w:r>
      <w:r>
        <w:rPr>
          <w:rFonts w:hint="eastAsia" w:ascii="Times New Roman" w:hAnsi="Times New Roman" w:cs="Times New Roman"/>
          <w:color w:val="000000" w:themeColor="text1"/>
          <w:sz w:val="28"/>
          <w:szCs w:val="28"/>
        </w:rPr>
        <w:tab/>
      </w:r>
    </w:p>
    <w:p w14:paraId="7D7F42EF">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八、招标代理费</w:t>
      </w:r>
    </w:p>
    <w:p w14:paraId="2DDAE6B7">
      <w:pPr>
        <w:spacing w:before="120" w:line="360" w:lineRule="auto"/>
        <w:ind w:firstLine="560" w:firstLineChars="20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九、政府采购政策</w:t>
      </w:r>
    </w:p>
    <w:p w14:paraId="6BECF3FF">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第四章评分办法及评分标准</w:t>
      </w:r>
    </w:p>
    <w:p w14:paraId="651264BE">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第五章合同主要条款</w:t>
      </w:r>
    </w:p>
    <w:p w14:paraId="4B50E00D">
      <w:pPr>
        <w:spacing w:line="360" w:lineRule="auto"/>
        <w:rPr>
          <w:rFonts w:ascii="Times New Roman" w:hAnsi="Times New Roman" w:cs="Times New Roman"/>
          <w:color w:val="000000" w:themeColor="text1"/>
        </w:rPr>
      </w:pPr>
      <w:r>
        <w:rPr>
          <w:rFonts w:ascii="Times New Roman" w:hAnsi="Times New Roman" w:cs="Times New Roman"/>
          <w:color w:val="000000" w:themeColor="text1"/>
          <w:sz w:val="28"/>
          <w:szCs w:val="28"/>
        </w:rPr>
        <w:t>第六章投标文件相关格式</w:t>
      </w:r>
    </w:p>
    <w:p w14:paraId="7BE80F90">
      <w:pPr>
        <w:spacing w:line="360" w:lineRule="auto"/>
        <w:jc w:val="center"/>
        <w:rPr>
          <w:rFonts w:ascii="Times New Roman" w:hAnsi="Times New Roman" w:cs="Times New Roman"/>
          <w:b/>
          <w:bCs/>
          <w:color w:val="000000" w:themeColor="text1"/>
          <w:sz w:val="30"/>
          <w:szCs w:val="30"/>
        </w:rPr>
      </w:pPr>
      <w:bookmarkStart w:id="0" w:name="OLE_LINK1"/>
    </w:p>
    <w:p w14:paraId="4E70CE41">
      <w:pPr>
        <w:pStyle w:val="25"/>
        <w:ind w:firstLine="301"/>
        <w:rPr>
          <w:b/>
          <w:bCs/>
          <w:color w:val="000000" w:themeColor="text1"/>
          <w:sz w:val="30"/>
          <w:szCs w:val="30"/>
        </w:rPr>
      </w:pPr>
    </w:p>
    <w:p w14:paraId="69207B4B">
      <w:pPr>
        <w:rPr>
          <w:color w:val="000000" w:themeColor="text1"/>
        </w:rPr>
      </w:pPr>
    </w:p>
    <w:p w14:paraId="6DACB045">
      <w:pPr>
        <w:spacing w:line="360" w:lineRule="auto"/>
        <w:jc w:val="center"/>
        <w:rPr>
          <w:rFonts w:ascii="Times New Roman" w:hAnsi="Times New Roman" w:eastAsia="仿宋" w:cs="Times New Roman"/>
          <w:color w:val="000000" w:themeColor="text1"/>
          <w:sz w:val="27"/>
          <w:szCs w:val="27"/>
        </w:rPr>
      </w:pPr>
      <w:r>
        <w:rPr>
          <w:rFonts w:ascii="Times New Roman" w:hAnsi="Times New Roman" w:cs="Times New Roman"/>
          <w:b/>
          <w:bCs/>
          <w:color w:val="000000" w:themeColor="text1"/>
          <w:sz w:val="30"/>
          <w:szCs w:val="30"/>
        </w:rPr>
        <w:t>第一章采购公告</w:t>
      </w:r>
      <w:bookmarkEnd w:id="0"/>
    </w:p>
    <w:tbl>
      <w:tblPr>
        <w:tblStyle w:val="27"/>
        <w:tblW w:w="852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77F8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20" w:type="dxa"/>
          </w:tcPr>
          <w:p w14:paraId="63094292">
            <w:pPr>
              <w:pStyle w:val="22"/>
              <w:widowControl/>
              <w:spacing w:before="0" w:beforeAutospacing="0" w:after="0" w:afterAutospacing="0" w:line="360" w:lineRule="auto"/>
              <w:ind w:firstLine="420" w:firstLineChars="200"/>
              <w:jc w:val="center"/>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项目概况</w:t>
            </w:r>
          </w:p>
          <w:p w14:paraId="6DBB3C1A">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 </w:t>
            </w:r>
            <w:r>
              <w:rPr>
                <w:rFonts w:hint="eastAsia" w:ascii="Times New Roman" w:hAnsi="Times New Roman" w:cs="Times New Roman"/>
                <w:color w:val="000000" w:themeColor="text1"/>
                <w:sz w:val="21"/>
                <w:szCs w:val="21"/>
                <w:highlight w:val="none"/>
                <w:lang w:eastAsia="zh-CN"/>
              </w:rPr>
              <w:t>2025年度舟山生态大楼颗粒物组分站运维及颗粒物组分站、光化学站质控巡检项目</w:t>
            </w:r>
            <w:r>
              <w:rPr>
                <w:rFonts w:hint="eastAsia" w:ascii="Times New Roman" w:hAnsi="Times New Roman" w:cs="Times New Roman"/>
                <w:color w:val="000000" w:themeColor="text1"/>
                <w:sz w:val="21"/>
                <w:szCs w:val="21"/>
                <w:highlight w:val="none"/>
              </w:rPr>
              <w:t>招标项目的潜在投标人应在浙江政府采购网http://zfcg.czt.zj.gov.cn/（用“政采云”注册账号、密码登录系统后获取招标文件）  获取（下载）招标文件，并于</w:t>
            </w:r>
            <w:r>
              <w:rPr>
                <w:rFonts w:hint="eastAsia" w:ascii="Times New Roman" w:hAnsi="Times New Roman" w:cs="Times New Roman"/>
                <w:color w:val="000000" w:themeColor="text1"/>
                <w:sz w:val="21"/>
                <w:szCs w:val="21"/>
                <w:highlight w:val="yellow"/>
                <w:lang w:eastAsia="zh-CN"/>
              </w:rPr>
              <w:t> 202</w:t>
            </w:r>
            <w:r>
              <w:rPr>
                <w:rFonts w:hint="eastAsia" w:ascii="Times New Roman" w:hAnsi="Times New Roman" w:cs="Times New Roman"/>
                <w:color w:val="000000" w:themeColor="text1"/>
                <w:sz w:val="21"/>
                <w:szCs w:val="21"/>
                <w:highlight w:val="yellow"/>
                <w:lang w:val="en-US" w:eastAsia="zh-CN"/>
              </w:rPr>
              <w:t>5</w:t>
            </w:r>
            <w:r>
              <w:rPr>
                <w:rFonts w:hint="eastAsia" w:ascii="Times New Roman" w:hAnsi="Times New Roman" w:cs="Times New Roman"/>
                <w:color w:val="000000" w:themeColor="text1"/>
                <w:sz w:val="21"/>
                <w:szCs w:val="21"/>
                <w:highlight w:val="yellow"/>
                <w:lang w:eastAsia="zh-CN"/>
              </w:rPr>
              <w:t>年</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lang w:eastAsia="zh-CN"/>
              </w:rPr>
              <w:t>月</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lang w:eastAsia="zh-CN"/>
              </w:rPr>
              <w:t>日 14:30</w:t>
            </w:r>
            <w:r>
              <w:rPr>
                <w:rFonts w:hint="eastAsia" w:ascii="Times New Roman" w:hAnsi="Times New Roman" w:cs="Times New Roman"/>
                <w:color w:val="000000" w:themeColor="text1"/>
                <w:sz w:val="21"/>
                <w:szCs w:val="21"/>
                <w:highlight w:val="none"/>
              </w:rPr>
              <w:t>（北京时间）前递交（上传）投标文件。</w:t>
            </w:r>
          </w:p>
        </w:tc>
      </w:tr>
    </w:tbl>
    <w:p w14:paraId="03C9E765">
      <w:pPr>
        <w:pStyle w:val="22"/>
        <w:widowControl/>
        <w:spacing w:before="0" w:beforeAutospacing="0" w:after="0" w:afterAutospacing="0" w:line="360" w:lineRule="auto"/>
        <w:jc w:val="both"/>
        <w:rPr>
          <w:rFonts w:ascii="Times New Roman" w:hAnsi="Times New Roman" w:cs="Times New Roman"/>
          <w:color w:val="000000" w:themeColor="text1"/>
          <w:sz w:val="21"/>
          <w:szCs w:val="21"/>
          <w:highlight w:val="none"/>
        </w:rPr>
      </w:pPr>
      <w:r>
        <w:rPr>
          <w:rStyle w:val="30"/>
          <w:rFonts w:ascii="Times New Roman" w:hAnsi="Times New Roman" w:cs="Times New Roman"/>
          <w:color w:val="000000" w:themeColor="text1"/>
          <w:sz w:val="21"/>
          <w:szCs w:val="21"/>
          <w:highlight w:val="none"/>
        </w:rPr>
        <w:t>一、项目基本情况</w:t>
      </w:r>
    </w:p>
    <w:p w14:paraId="71408106">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rPr>
        <w:t>项目编号：</w:t>
      </w:r>
      <w:r>
        <w:rPr>
          <w:rFonts w:hint="eastAsia" w:ascii="Times New Roman" w:hAnsi="Times New Roman" w:cs="Times New Roman"/>
          <w:color w:val="000000" w:themeColor="text1"/>
          <w:sz w:val="21"/>
          <w:szCs w:val="21"/>
          <w:highlight w:val="none"/>
          <w:lang w:eastAsia="zh-CN"/>
        </w:rPr>
        <w:t>ZHCG2025-16</w:t>
      </w:r>
    </w:p>
    <w:p w14:paraId="02004209">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rPr>
        <w:t>项目名称：</w:t>
      </w:r>
      <w:r>
        <w:rPr>
          <w:rFonts w:hint="eastAsia" w:ascii="Times New Roman" w:hAnsi="Times New Roman" w:cs="Times New Roman"/>
          <w:color w:val="000000" w:themeColor="text1"/>
          <w:sz w:val="21"/>
          <w:szCs w:val="21"/>
          <w:highlight w:val="none"/>
          <w:lang w:eastAsia="zh-CN"/>
        </w:rPr>
        <w:t>2025年度舟山生态大楼颗粒物组分站运维及颗粒物组分站、光化学站质控巡检项目</w:t>
      </w:r>
    </w:p>
    <w:p w14:paraId="36668173">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预算金额（元）：标项1：</w:t>
      </w:r>
      <w:r>
        <w:rPr>
          <w:rFonts w:hint="eastAsia" w:ascii="Times New Roman" w:hAnsi="Times New Roman" w:cs="Times New Roman"/>
          <w:color w:val="000000" w:themeColor="text1"/>
          <w:sz w:val="21"/>
          <w:szCs w:val="21"/>
          <w:lang w:val="en-US" w:eastAsia="zh-CN"/>
        </w:rPr>
        <w:t>680000</w:t>
      </w:r>
      <w:r>
        <w:rPr>
          <w:rFonts w:hint="eastAsia" w:ascii="Times New Roman" w:hAnsi="Times New Roman" w:cs="Times New Roman"/>
          <w:color w:val="000000" w:themeColor="text1"/>
          <w:sz w:val="21"/>
          <w:szCs w:val="21"/>
        </w:rPr>
        <w:t>，标项2：</w:t>
      </w:r>
      <w:r>
        <w:rPr>
          <w:rFonts w:hint="eastAsia" w:ascii="Times New Roman" w:hAnsi="Times New Roman" w:cs="Times New Roman"/>
          <w:color w:val="000000" w:themeColor="text1"/>
          <w:sz w:val="21"/>
          <w:szCs w:val="21"/>
          <w:lang w:val="en-US" w:eastAsia="zh-CN"/>
        </w:rPr>
        <w:t>100000</w:t>
      </w:r>
      <w:r>
        <w:rPr>
          <w:rFonts w:hint="eastAsia" w:ascii="Times New Roman" w:hAnsi="Times New Roman" w:cs="Times New Roman"/>
          <w:color w:val="000000" w:themeColor="text1"/>
          <w:sz w:val="21"/>
          <w:szCs w:val="21"/>
        </w:rPr>
        <w:t> 。</w:t>
      </w:r>
    </w:p>
    <w:p w14:paraId="61C34E36">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最高限价（元）：标项1：</w:t>
      </w:r>
      <w:r>
        <w:rPr>
          <w:rFonts w:hint="eastAsia" w:ascii="Times New Roman" w:hAnsi="Times New Roman" w:cs="Times New Roman"/>
          <w:color w:val="000000" w:themeColor="text1"/>
          <w:sz w:val="21"/>
          <w:szCs w:val="21"/>
          <w:lang w:val="en-US" w:eastAsia="zh-CN"/>
        </w:rPr>
        <w:t>680000</w:t>
      </w:r>
      <w:r>
        <w:rPr>
          <w:rFonts w:hint="eastAsia" w:ascii="Times New Roman" w:hAnsi="Times New Roman" w:cs="Times New Roman"/>
          <w:color w:val="000000" w:themeColor="text1"/>
          <w:sz w:val="21"/>
          <w:szCs w:val="21"/>
        </w:rPr>
        <w:t>，标项2：</w:t>
      </w:r>
      <w:r>
        <w:rPr>
          <w:rFonts w:hint="eastAsia" w:ascii="Times New Roman" w:hAnsi="Times New Roman" w:cs="Times New Roman"/>
          <w:color w:val="000000" w:themeColor="text1"/>
          <w:sz w:val="21"/>
          <w:szCs w:val="21"/>
          <w:lang w:val="en-US" w:eastAsia="zh-CN"/>
        </w:rPr>
        <w:t>100000</w:t>
      </w:r>
      <w:r>
        <w:rPr>
          <w:rFonts w:hint="eastAsia" w:ascii="Times New Roman" w:hAnsi="Times New Roman" w:cs="Times New Roman"/>
          <w:color w:val="000000" w:themeColor="text1"/>
          <w:sz w:val="21"/>
          <w:szCs w:val="21"/>
        </w:rPr>
        <w:t>。</w:t>
      </w:r>
    </w:p>
    <w:p w14:paraId="630BF353">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采购需求：</w:t>
      </w:r>
    </w:p>
    <w:tbl>
      <w:tblPr>
        <w:tblStyle w:val="27"/>
        <w:tblW w:w="88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2688"/>
        <w:gridCol w:w="1050"/>
        <w:gridCol w:w="1281"/>
        <w:gridCol w:w="3025"/>
      </w:tblGrid>
      <w:tr w14:paraId="5B352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4" w:type="dxa"/>
            <w:vAlign w:val="center"/>
          </w:tcPr>
          <w:p w14:paraId="385B5137">
            <w:pPr>
              <w:snapToGrid w:val="0"/>
              <w:jc w:val="center"/>
              <w:rPr>
                <w:rFonts w:ascii="宋体" w:hAnsi="宋体"/>
                <w:b/>
                <w:color w:val="000000" w:themeColor="text1"/>
              </w:rPr>
            </w:pPr>
            <w:r>
              <w:rPr>
                <w:rFonts w:hint="eastAsia" w:ascii="宋体" w:hAnsi="宋体"/>
                <w:b/>
                <w:color w:val="000000" w:themeColor="text1"/>
              </w:rPr>
              <w:t>标项</w:t>
            </w:r>
          </w:p>
        </w:tc>
        <w:tc>
          <w:tcPr>
            <w:tcW w:w="2688" w:type="dxa"/>
            <w:vAlign w:val="center"/>
          </w:tcPr>
          <w:p w14:paraId="2D60874C">
            <w:pPr>
              <w:snapToGrid w:val="0"/>
              <w:jc w:val="center"/>
              <w:rPr>
                <w:rFonts w:ascii="宋体" w:hAnsi="宋体"/>
                <w:b/>
                <w:color w:val="000000" w:themeColor="text1"/>
              </w:rPr>
            </w:pPr>
            <w:r>
              <w:rPr>
                <w:rFonts w:hint="eastAsia" w:ascii="宋体" w:hAnsi="宋体"/>
                <w:b/>
                <w:color w:val="000000" w:themeColor="text1"/>
              </w:rPr>
              <w:t>标的名称</w:t>
            </w:r>
          </w:p>
        </w:tc>
        <w:tc>
          <w:tcPr>
            <w:tcW w:w="1050" w:type="dxa"/>
            <w:vAlign w:val="center"/>
          </w:tcPr>
          <w:p w14:paraId="0CAE4245">
            <w:pPr>
              <w:snapToGrid w:val="0"/>
              <w:jc w:val="center"/>
              <w:rPr>
                <w:rFonts w:ascii="宋体" w:hAnsi="宋体"/>
                <w:b/>
                <w:color w:val="000000" w:themeColor="text1"/>
              </w:rPr>
            </w:pPr>
            <w:r>
              <w:rPr>
                <w:rFonts w:hint="eastAsia" w:ascii="宋体" w:hAnsi="宋体"/>
                <w:b/>
                <w:color w:val="000000" w:themeColor="text1"/>
              </w:rPr>
              <w:t>数量</w:t>
            </w:r>
          </w:p>
        </w:tc>
        <w:tc>
          <w:tcPr>
            <w:tcW w:w="1281" w:type="dxa"/>
            <w:vAlign w:val="center"/>
          </w:tcPr>
          <w:p w14:paraId="3B3E770F">
            <w:pPr>
              <w:snapToGrid w:val="0"/>
              <w:jc w:val="center"/>
              <w:rPr>
                <w:rFonts w:ascii="宋体" w:hAnsi="宋体"/>
                <w:b/>
                <w:color w:val="000000" w:themeColor="text1"/>
              </w:rPr>
            </w:pPr>
            <w:r>
              <w:rPr>
                <w:rFonts w:hint="eastAsia" w:ascii="宋体" w:hAnsi="宋体"/>
                <w:b/>
                <w:color w:val="000000" w:themeColor="text1"/>
              </w:rPr>
              <w:t>最高限价</w:t>
            </w:r>
          </w:p>
        </w:tc>
        <w:tc>
          <w:tcPr>
            <w:tcW w:w="3025" w:type="dxa"/>
            <w:vAlign w:val="center"/>
          </w:tcPr>
          <w:p w14:paraId="29B2826A">
            <w:pPr>
              <w:snapToGrid w:val="0"/>
              <w:jc w:val="center"/>
              <w:rPr>
                <w:rFonts w:ascii="宋体" w:hAnsi="宋体"/>
                <w:b/>
                <w:color w:val="000000" w:themeColor="text1"/>
              </w:rPr>
            </w:pPr>
            <w:r>
              <w:rPr>
                <w:rFonts w:hint="eastAsia" w:ascii="宋体" w:hAnsi="宋体"/>
                <w:b/>
                <w:color w:val="000000" w:themeColor="text1"/>
              </w:rPr>
              <w:t>简要技术需求或服务要求</w:t>
            </w:r>
          </w:p>
        </w:tc>
      </w:tr>
      <w:tr w14:paraId="2CD03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4" w:type="dxa"/>
            <w:vAlign w:val="center"/>
          </w:tcPr>
          <w:p w14:paraId="09397E5C">
            <w:pPr>
              <w:snapToGrid w:val="0"/>
              <w:jc w:val="center"/>
              <w:rPr>
                <w:rFonts w:ascii="宋体" w:hAnsi="宋体"/>
                <w:color w:val="000000" w:themeColor="text1"/>
              </w:rPr>
            </w:pPr>
            <w:r>
              <w:rPr>
                <w:rFonts w:hint="eastAsia" w:ascii="宋体" w:hAnsi="宋体"/>
                <w:color w:val="000000" w:themeColor="text1"/>
              </w:rPr>
              <w:t>一</w:t>
            </w:r>
          </w:p>
        </w:tc>
        <w:tc>
          <w:tcPr>
            <w:tcW w:w="2688" w:type="dxa"/>
            <w:vAlign w:val="center"/>
          </w:tcPr>
          <w:p w14:paraId="0BBB12EB">
            <w:pPr>
              <w:snapToGrid w:val="0"/>
              <w:jc w:val="center"/>
              <w:rPr>
                <w:rFonts w:hint="eastAsia" w:ascii="宋体" w:hAnsi="宋体" w:eastAsia="宋体" w:cs="Calibri"/>
                <w:color w:val="000000" w:themeColor="text1"/>
                <w:lang w:eastAsia="zh-CN"/>
              </w:rPr>
            </w:pPr>
            <w:r>
              <w:rPr>
                <w:rFonts w:hint="eastAsia" w:ascii="宋体" w:hAnsi="宋体" w:cs="宋体"/>
                <w:b/>
                <w:bCs/>
                <w:color w:val="000000" w:themeColor="text1"/>
                <w:szCs w:val="21"/>
                <w:lang w:eastAsia="zh-CN"/>
              </w:rPr>
              <w:t>舟山生态大楼颗粒物组分站2025年度运维服务项目</w:t>
            </w:r>
          </w:p>
        </w:tc>
        <w:tc>
          <w:tcPr>
            <w:tcW w:w="1050" w:type="dxa"/>
            <w:vAlign w:val="center"/>
          </w:tcPr>
          <w:p w14:paraId="085A66A8">
            <w:pPr>
              <w:snapToGrid w:val="0"/>
              <w:jc w:val="center"/>
              <w:rPr>
                <w:rFonts w:ascii="宋体" w:hAnsi="宋体"/>
                <w:color w:val="000000" w:themeColor="text1"/>
              </w:rPr>
            </w:pPr>
            <w:r>
              <w:rPr>
                <w:rFonts w:hint="default" w:ascii="宋体" w:hAnsi="宋体"/>
                <w:color w:val="000000" w:themeColor="text1"/>
              </w:rPr>
              <w:t>1项</w:t>
            </w:r>
          </w:p>
        </w:tc>
        <w:tc>
          <w:tcPr>
            <w:tcW w:w="1281" w:type="dxa"/>
            <w:vAlign w:val="center"/>
          </w:tcPr>
          <w:p w14:paraId="1F264A67">
            <w:pPr>
              <w:snapToGrid w:val="0"/>
              <w:jc w:val="center"/>
              <w:rPr>
                <w:rFonts w:ascii="宋体" w:hAnsi="宋体"/>
                <w:color w:val="000000" w:themeColor="text1"/>
              </w:rPr>
            </w:pPr>
            <w:r>
              <w:rPr>
                <w:rFonts w:hint="eastAsia" w:ascii="宋体" w:hAnsi="宋体"/>
                <w:color w:val="000000" w:themeColor="text1"/>
                <w:lang w:val="en-US" w:eastAsia="zh-CN"/>
              </w:rPr>
              <w:t>68万元</w:t>
            </w:r>
          </w:p>
        </w:tc>
        <w:tc>
          <w:tcPr>
            <w:tcW w:w="3025" w:type="dxa"/>
            <w:vAlign w:val="center"/>
          </w:tcPr>
          <w:p w14:paraId="58839C9B">
            <w:pPr>
              <w:snapToGrid w:val="0"/>
              <w:jc w:val="center"/>
              <w:rPr>
                <w:rFonts w:ascii="宋体" w:hAnsi="宋体"/>
                <w:color w:val="000000" w:themeColor="text1"/>
              </w:rPr>
            </w:pPr>
            <w:r>
              <w:rPr>
                <w:rFonts w:hint="eastAsia" w:ascii="宋体" w:hAnsi="宋体"/>
                <w:color w:val="000000" w:themeColor="text1"/>
              </w:rPr>
              <w:t>详见采购需求</w:t>
            </w:r>
          </w:p>
        </w:tc>
      </w:tr>
      <w:tr w14:paraId="68EAD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64" w:type="dxa"/>
            <w:vAlign w:val="center"/>
          </w:tcPr>
          <w:p w14:paraId="3A13D4B3">
            <w:pPr>
              <w:snapToGrid w:val="0"/>
              <w:jc w:val="center"/>
              <w:rPr>
                <w:rFonts w:ascii="宋体" w:hAnsi="宋体"/>
                <w:color w:val="000000" w:themeColor="text1"/>
              </w:rPr>
            </w:pPr>
            <w:r>
              <w:rPr>
                <w:rFonts w:hint="eastAsia" w:ascii="宋体" w:hAnsi="宋体"/>
                <w:color w:val="000000" w:themeColor="text1"/>
              </w:rPr>
              <w:t>二</w:t>
            </w:r>
          </w:p>
        </w:tc>
        <w:tc>
          <w:tcPr>
            <w:tcW w:w="2688" w:type="dxa"/>
            <w:vAlign w:val="center"/>
          </w:tcPr>
          <w:p w14:paraId="1C728CDA">
            <w:pPr>
              <w:snapToGrid w:val="0"/>
              <w:jc w:val="center"/>
              <w:rPr>
                <w:rFonts w:hint="eastAsia" w:ascii="宋体" w:hAnsi="宋体" w:eastAsia="宋体" w:cs="Calibri"/>
                <w:color w:val="000000" w:themeColor="text1"/>
                <w:lang w:eastAsia="zh-CN"/>
              </w:rPr>
            </w:pPr>
            <w:r>
              <w:rPr>
                <w:rFonts w:hint="eastAsia" w:ascii="宋体" w:hAnsi="宋体" w:cs="宋体"/>
                <w:b/>
                <w:bCs/>
                <w:color w:val="000000" w:themeColor="text1"/>
                <w:lang w:eastAsia="zh-CN"/>
              </w:rPr>
              <w:t>舟山生态大楼颗粒物组分站、光化学站2025年度质控巡检项目</w:t>
            </w:r>
          </w:p>
        </w:tc>
        <w:tc>
          <w:tcPr>
            <w:tcW w:w="1050" w:type="dxa"/>
            <w:vAlign w:val="center"/>
          </w:tcPr>
          <w:p w14:paraId="2D6D478A">
            <w:pPr>
              <w:snapToGrid w:val="0"/>
              <w:jc w:val="center"/>
              <w:rPr>
                <w:rFonts w:ascii="宋体" w:hAnsi="宋体"/>
                <w:color w:val="000000" w:themeColor="text1"/>
              </w:rPr>
            </w:pPr>
            <w:r>
              <w:rPr>
                <w:rFonts w:hint="eastAsia" w:ascii="宋体" w:hAnsi="宋体"/>
                <w:color w:val="000000" w:themeColor="text1"/>
              </w:rPr>
              <w:t>1项</w:t>
            </w:r>
          </w:p>
        </w:tc>
        <w:tc>
          <w:tcPr>
            <w:tcW w:w="1281" w:type="dxa"/>
            <w:vAlign w:val="center"/>
          </w:tcPr>
          <w:p w14:paraId="24CA2510">
            <w:pPr>
              <w:snapToGrid w:val="0"/>
              <w:jc w:val="center"/>
              <w:rPr>
                <w:rFonts w:ascii="宋体" w:hAnsi="宋体"/>
                <w:color w:val="000000" w:themeColor="text1"/>
              </w:rPr>
            </w:pPr>
            <w:r>
              <w:rPr>
                <w:rFonts w:hint="eastAsia" w:ascii="宋体" w:hAnsi="宋体"/>
                <w:color w:val="000000" w:themeColor="text1"/>
                <w:lang w:val="en-US" w:eastAsia="zh-CN"/>
              </w:rPr>
              <w:t>10</w:t>
            </w:r>
            <w:r>
              <w:rPr>
                <w:rFonts w:hint="eastAsia" w:ascii="宋体" w:hAnsi="宋体"/>
                <w:color w:val="000000" w:themeColor="text1"/>
              </w:rPr>
              <w:t>万元</w:t>
            </w:r>
          </w:p>
        </w:tc>
        <w:tc>
          <w:tcPr>
            <w:tcW w:w="3025" w:type="dxa"/>
            <w:vAlign w:val="center"/>
          </w:tcPr>
          <w:p w14:paraId="467577FB">
            <w:pPr>
              <w:snapToGrid w:val="0"/>
              <w:jc w:val="center"/>
              <w:rPr>
                <w:rFonts w:ascii="宋体" w:hAnsi="宋体" w:cs="宋体"/>
                <w:color w:val="000000" w:themeColor="text1"/>
              </w:rPr>
            </w:pPr>
            <w:r>
              <w:rPr>
                <w:rFonts w:hint="eastAsia" w:ascii="宋体" w:hAnsi="宋体"/>
                <w:color w:val="000000" w:themeColor="text1"/>
              </w:rPr>
              <w:t>详见采购需求</w:t>
            </w:r>
          </w:p>
        </w:tc>
      </w:tr>
    </w:tbl>
    <w:p w14:paraId="1214205B">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p>
    <w:p w14:paraId="5BC2F7E0">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ascii="Times New Roman" w:hAnsi="Times New Roman" w:cs="Times New Roman"/>
          <w:color w:val="000000" w:themeColor="text1"/>
          <w:sz w:val="21"/>
          <w:szCs w:val="21"/>
          <w:highlight w:val="none"/>
        </w:rPr>
        <w:t>标项</w:t>
      </w:r>
      <w:r>
        <w:rPr>
          <w:rFonts w:hint="eastAsia" w:ascii="Times New Roman" w:hAnsi="Times New Roman" w:cs="Times New Roman"/>
          <w:color w:val="000000" w:themeColor="text1"/>
          <w:sz w:val="21"/>
          <w:szCs w:val="21"/>
          <w:highlight w:val="none"/>
        </w:rPr>
        <w:t>1</w:t>
      </w:r>
      <w:r>
        <w:rPr>
          <w:rFonts w:ascii="Times New Roman" w:hAnsi="Times New Roman" w:cs="Times New Roman"/>
          <w:color w:val="000000" w:themeColor="text1"/>
          <w:sz w:val="21"/>
          <w:szCs w:val="21"/>
          <w:highlight w:val="none"/>
        </w:rPr>
        <w:t>名称：</w:t>
      </w:r>
      <w:r>
        <w:rPr>
          <w:rFonts w:hint="eastAsia" w:ascii="Times New Roman" w:hAnsi="Times New Roman" w:cs="Times New Roman"/>
          <w:b w:val="0"/>
          <w:bCs w:val="0"/>
          <w:color w:val="000000" w:themeColor="text1"/>
          <w:sz w:val="21"/>
          <w:szCs w:val="21"/>
          <w:highlight w:val="none"/>
          <w:lang w:eastAsia="zh-CN"/>
        </w:rPr>
        <w:t>舟山生态大楼颗粒物组分站2025年度运维服务项目</w:t>
      </w:r>
    </w:p>
    <w:p w14:paraId="6FEA5E45">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highlight w:val="none"/>
          <w:lang w:eastAsia="zh-CN"/>
        </w:rPr>
      </w:pPr>
      <w:r>
        <w:rPr>
          <w:rFonts w:ascii="Times New Roman" w:hAnsi="Times New Roman" w:cs="Times New Roman"/>
          <w:color w:val="000000" w:themeColor="text1"/>
          <w:sz w:val="21"/>
          <w:szCs w:val="21"/>
          <w:highlight w:val="none"/>
        </w:rPr>
        <w:t>标项</w:t>
      </w:r>
      <w:r>
        <w:rPr>
          <w:rFonts w:hint="eastAsia" w:ascii="Times New Roman" w:hAnsi="Times New Roman" w:cs="Times New Roman"/>
          <w:color w:val="000000" w:themeColor="text1"/>
          <w:sz w:val="21"/>
          <w:szCs w:val="21"/>
          <w:highlight w:val="none"/>
        </w:rPr>
        <w:t>2</w:t>
      </w:r>
      <w:r>
        <w:rPr>
          <w:rFonts w:ascii="Times New Roman" w:hAnsi="Times New Roman" w:cs="Times New Roman"/>
          <w:color w:val="000000" w:themeColor="text1"/>
          <w:sz w:val="21"/>
          <w:szCs w:val="21"/>
          <w:highlight w:val="none"/>
        </w:rPr>
        <w:t>名称：</w:t>
      </w:r>
      <w:r>
        <w:rPr>
          <w:rFonts w:hint="eastAsia" w:ascii="Times New Roman" w:hAnsi="Times New Roman" w:cs="Times New Roman"/>
          <w:b w:val="0"/>
          <w:bCs w:val="0"/>
          <w:color w:val="000000" w:themeColor="text1"/>
          <w:sz w:val="21"/>
          <w:szCs w:val="21"/>
          <w:highlight w:val="none"/>
          <w:lang w:eastAsia="zh-CN"/>
        </w:rPr>
        <w:t>舟山生态大楼颗粒物组分站、光化学站2025年度质控巡检项目</w:t>
      </w:r>
    </w:p>
    <w:p w14:paraId="68C6646E">
      <w:pPr>
        <w:pStyle w:val="22"/>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lang w:eastAsia="zh-CN"/>
        </w:rPr>
      </w:pPr>
      <w:r>
        <w:rPr>
          <w:rFonts w:ascii="Times New Roman" w:hAnsi="Times New Roman" w:cs="Times New Roman"/>
          <w:color w:val="000000" w:themeColor="text1"/>
          <w:sz w:val="21"/>
          <w:szCs w:val="21"/>
        </w:rPr>
        <w:t>     数量: 1  </w:t>
      </w:r>
    </w:p>
    <w:p w14:paraId="1087985B">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Pr>
          <w:rFonts w:hint="eastAsia"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简要规格描述或项目基本概况介绍、用途：</w:t>
      </w:r>
      <w:r>
        <w:rPr>
          <w:rFonts w:hint="eastAsia" w:ascii="Times New Roman" w:hAnsi="Times New Roman" w:cs="Times New Roman"/>
          <w:color w:val="000000" w:themeColor="text1"/>
          <w:sz w:val="21"/>
          <w:szCs w:val="21"/>
          <w:lang w:val="en-US" w:eastAsia="zh-CN"/>
        </w:rPr>
        <w:t>详见采购需求</w:t>
      </w:r>
      <w:r>
        <w:rPr>
          <w:rFonts w:ascii="Times New Roman" w:hAnsi="Times New Roman" w:cs="Times New Roman"/>
          <w:color w:val="000000" w:themeColor="text1"/>
          <w:sz w:val="21"/>
          <w:szCs w:val="21"/>
        </w:rPr>
        <w:t>备注： </w:t>
      </w:r>
    </w:p>
    <w:p w14:paraId="664A7E1C">
      <w:pPr>
        <w:widowControl/>
        <w:spacing w:before="0" w:beforeAutospacing="0" w:after="0" w:afterAutospacing="0"/>
        <w:ind w:firstLine="420" w:firstLineChars="200"/>
        <w:jc w:val="both"/>
        <w:rPr>
          <w:rFonts w:hint="eastAsia" w:ascii="宋体" w:hAnsi="宋体" w:eastAsia="宋体" w:cs="宋体"/>
          <w:color w:val="000000" w:themeColor="text1"/>
          <w:szCs w:val="21"/>
        </w:rPr>
      </w:pPr>
      <w:r>
        <w:rPr>
          <w:rFonts w:ascii="Times New Roman" w:hAnsi="Times New Roman" w:cs="Times New Roman"/>
          <w:color w:val="000000" w:themeColor="text1"/>
          <w:sz w:val="21"/>
          <w:szCs w:val="21"/>
          <w:highlight w:val="none"/>
        </w:rPr>
        <w:t>合同履约期限：</w:t>
      </w:r>
      <w:r>
        <w:rPr>
          <w:rFonts w:hint="eastAsia" w:ascii="宋体" w:hAnsi="宋体" w:cs="宋体"/>
          <w:b/>
          <w:color w:val="000000" w:themeColor="text1"/>
          <w:sz w:val="21"/>
          <w:szCs w:val="24"/>
          <w:highlight w:val="none"/>
        </w:rPr>
        <w:t>标项 1</w:t>
      </w:r>
      <w:r>
        <w:rPr>
          <w:rFonts w:hint="eastAsia" w:ascii="宋体" w:hAnsi="宋体" w:cs="宋体"/>
          <w:b/>
          <w:color w:val="000000" w:themeColor="text1"/>
          <w:sz w:val="21"/>
          <w:szCs w:val="24"/>
          <w:highlight w:val="none"/>
          <w:lang w:eastAsia="zh-CN"/>
        </w:rPr>
        <w:t>、</w:t>
      </w:r>
      <w:r>
        <w:rPr>
          <w:rFonts w:hint="eastAsia" w:ascii="宋体" w:hAnsi="宋体" w:cs="宋体"/>
          <w:b/>
          <w:color w:val="000000" w:themeColor="text1"/>
          <w:sz w:val="21"/>
          <w:szCs w:val="24"/>
          <w:highlight w:val="none"/>
        </w:rPr>
        <w:t xml:space="preserve">标项 </w:t>
      </w:r>
      <w:r>
        <w:rPr>
          <w:rFonts w:hint="eastAsia" w:ascii="宋体" w:hAnsi="宋体" w:cs="宋体"/>
          <w:b/>
          <w:color w:val="000000" w:themeColor="text1"/>
          <w:sz w:val="21"/>
          <w:szCs w:val="24"/>
          <w:highlight w:val="none"/>
          <w:lang w:val="en-US" w:eastAsia="zh-CN"/>
        </w:rPr>
        <w:t>2</w:t>
      </w:r>
      <w:r>
        <w:rPr>
          <w:rFonts w:hint="eastAsia" w:ascii="宋体" w:hAnsi="宋体" w:cs="宋体"/>
          <w:b/>
          <w:color w:val="000000" w:themeColor="text1"/>
          <w:sz w:val="21"/>
          <w:szCs w:val="24"/>
          <w:highlight w:val="none"/>
          <w:lang w:eastAsia="zh-CN"/>
        </w:rPr>
        <w:t>：</w:t>
      </w:r>
      <w:r>
        <w:rPr>
          <w:rFonts w:ascii="Times New Roman" w:hAnsi="Times New Roman" w:eastAsia="宋体" w:cs="Times New Roman"/>
          <w:b/>
          <w:color w:val="000000" w:themeColor="text1"/>
          <w:szCs w:val="21"/>
        </w:rPr>
        <w:t>202</w:t>
      </w:r>
      <w:r>
        <w:rPr>
          <w:rFonts w:hint="eastAsia" w:ascii="Times New Roman" w:hAnsi="Times New Roman" w:eastAsia="宋体" w:cs="Times New Roman"/>
          <w:b/>
          <w:color w:val="000000" w:themeColor="text1"/>
          <w:szCs w:val="21"/>
        </w:rPr>
        <w:t>5</w:t>
      </w:r>
      <w:r>
        <w:rPr>
          <w:rFonts w:ascii="Times New Roman" w:hAnsi="宋体" w:eastAsia="宋体" w:cs="Times New Roman"/>
          <w:b/>
          <w:color w:val="000000" w:themeColor="text1"/>
          <w:szCs w:val="21"/>
        </w:rPr>
        <w:t>年</w:t>
      </w:r>
      <w:r>
        <w:rPr>
          <w:rFonts w:ascii="Times New Roman" w:hAnsi="Times New Roman" w:eastAsia="宋体" w:cs="Times New Roman"/>
          <w:b/>
          <w:color w:val="000000" w:themeColor="text1"/>
          <w:szCs w:val="21"/>
        </w:rPr>
        <w:t>8</w:t>
      </w:r>
      <w:r>
        <w:rPr>
          <w:rFonts w:ascii="Times New Roman" w:hAnsi="宋体" w:eastAsia="宋体" w:cs="Times New Roman"/>
          <w:b/>
          <w:color w:val="000000" w:themeColor="text1"/>
          <w:szCs w:val="21"/>
        </w:rPr>
        <w:t>月</w:t>
      </w:r>
      <w:r>
        <w:rPr>
          <w:rFonts w:ascii="Times New Roman" w:hAnsi="Times New Roman" w:eastAsia="宋体" w:cs="Times New Roman"/>
          <w:b/>
          <w:color w:val="000000" w:themeColor="text1"/>
          <w:szCs w:val="21"/>
        </w:rPr>
        <w:t>1</w:t>
      </w:r>
      <w:r>
        <w:rPr>
          <w:rFonts w:ascii="Times New Roman" w:hAnsi="宋体" w:eastAsia="宋体" w:cs="Times New Roman"/>
          <w:b/>
          <w:color w:val="000000" w:themeColor="text1"/>
          <w:szCs w:val="21"/>
        </w:rPr>
        <w:t>日至</w:t>
      </w:r>
      <w:r>
        <w:rPr>
          <w:rFonts w:ascii="Times New Roman" w:hAnsi="Times New Roman" w:eastAsia="宋体" w:cs="Times New Roman"/>
          <w:b/>
          <w:color w:val="000000" w:themeColor="text1"/>
          <w:szCs w:val="21"/>
        </w:rPr>
        <w:t>202</w:t>
      </w:r>
      <w:r>
        <w:rPr>
          <w:rFonts w:hint="eastAsia" w:ascii="Times New Roman" w:hAnsi="Times New Roman" w:eastAsia="宋体" w:cs="Times New Roman"/>
          <w:b/>
          <w:color w:val="000000" w:themeColor="text1"/>
          <w:szCs w:val="21"/>
        </w:rPr>
        <w:t>6</w:t>
      </w:r>
      <w:r>
        <w:rPr>
          <w:rFonts w:ascii="Times New Roman" w:hAnsi="宋体" w:eastAsia="宋体" w:cs="Times New Roman"/>
          <w:b/>
          <w:color w:val="000000" w:themeColor="text1"/>
          <w:szCs w:val="21"/>
        </w:rPr>
        <w:t>年</w:t>
      </w:r>
      <w:r>
        <w:rPr>
          <w:rFonts w:ascii="Times New Roman" w:hAnsi="Times New Roman" w:eastAsia="宋体" w:cs="Times New Roman"/>
          <w:b/>
          <w:color w:val="000000" w:themeColor="text1"/>
          <w:szCs w:val="21"/>
        </w:rPr>
        <w:t>7</w:t>
      </w:r>
      <w:r>
        <w:rPr>
          <w:rFonts w:ascii="Times New Roman" w:hAnsi="宋体" w:eastAsia="宋体" w:cs="Times New Roman"/>
          <w:b/>
          <w:color w:val="000000" w:themeColor="text1"/>
          <w:szCs w:val="21"/>
        </w:rPr>
        <w:t>月</w:t>
      </w:r>
      <w:r>
        <w:rPr>
          <w:rFonts w:ascii="Times New Roman" w:hAnsi="Times New Roman" w:eastAsia="宋体" w:cs="Times New Roman"/>
          <w:b/>
          <w:color w:val="000000" w:themeColor="text1"/>
          <w:szCs w:val="21"/>
        </w:rPr>
        <w:t>31</w:t>
      </w:r>
      <w:r>
        <w:rPr>
          <w:rFonts w:ascii="Times New Roman" w:hAnsi="宋体" w:eastAsia="宋体" w:cs="Times New Roman"/>
          <w:b/>
          <w:color w:val="000000" w:themeColor="text1"/>
          <w:szCs w:val="21"/>
        </w:rPr>
        <w:t>日，为期</w:t>
      </w:r>
      <w:r>
        <w:rPr>
          <w:rFonts w:ascii="Times New Roman" w:hAnsi="Times New Roman" w:eastAsia="宋体" w:cs="Times New Roman"/>
          <w:b/>
          <w:color w:val="000000" w:themeColor="text1"/>
          <w:szCs w:val="21"/>
        </w:rPr>
        <w:t>12</w:t>
      </w:r>
      <w:r>
        <w:rPr>
          <w:rFonts w:ascii="Times New Roman" w:hAnsi="宋体" w:eastAsia="宋体" w:cs="Times New Roman"/>
          <w:b/>
          <w:color w:val="000000" w:themeColor="text1"/>
          <w:szCs w:val="21"/>
        </w:rPr>
        <w:t>个月。</w:t>
      </w:r>
    </w:p>
    <w:p w14:paraId="22824058">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本项目（否）接受联合体投标。</w:t>
      </w:r>
    </w:p>
    <w:p w14:paraId="793D096B">
      <w:pPr>
        <w:pStyle w:val="22"/>
        <w:widowControl/>
        <w:spacing w:before="0" w:beforeAutospacing="0" w:after="0" w:afterAutospacing="0" w:line="360" w:lineRule="auto"/>
        <w:jc w:val="both"/>
        <w:rPr>
          <w:rStyle w:val="30"/>
          <w:rFonts w:ascii="Times New Roman" w:hAnsi="Times New Roman"/>
          <w:color w:val="000000" w:themeColor="text1"/>
          <w:sz w:val="21"/>
          <w:szCs w:val="21"/>
        </w:rPr>
      </w:pPr>
      <w:r>
        <w:rPr>
          <w:rStyle w:val="30"/>
          <w:rFonts w:ascii="Times New Roman" w:hAnsi="Times New Roman"/>
          <w:color w:val="000000" w:themeColor="text1"/>
          <w:sz w:val="21"/>
          <w:szCs w:val="21"/>
        </w:rPr>
        <w:t>二、申请人的资格要求：</w:t>
      </w:r>
    </w:p>
    <w:p w14:paraId="7DCE9B6A">
      <w:pPr>
        <w:pStyle w:val="22"/>
        <w:widowControl/>
        <w:spacing w:before="0" w:beforeAutospacing="0" w:after="0" w:afterAutospacing="0" w:line="288" w:lineRule="auto"/>
        <w:ind w:firstLine="315"/>
        <w:rPr>
          <w:rFonts w:ascii="Times New Roman" w:hAnsi="Times New Roman"/>
          <w:color w:val="000000" w:themeColor="text1"/>
          <w:sz w:val="21"/>
          <w:szCs w:val="21"/>
        </w:rPr>
      </w:pPr>
      <w:r>
        <w:rPr>
          <w:rFonts w:ascii="Times New Roman" w:hAnsi="Times New Roman"/>
          <w:color w:val="000000" w:themeColor="text1"/>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0217B8D1">
      <w:pPr>
        <w:pStyle w:val="22"/>
        <w:widowControl/>
        <w:spacing w:before="0" w:beforeAutospacing="0" w:after="0" w:afterAutospacing="0" w:line="288" w:lineRule="auto"/>
        <w:ind w:firstLine="210" w:firstLineChars="100"/>
        <w:rPr>
          <w:rFonts w:ascii="Times New Roman" w:hAnsi="Times New Roman"/>
          <w:color w:val="000000" w:themeColor="text1"/>
          <w:sz w:val="21"/>
          <w:szCs w:val="21"/>
        </w:rPr>
      </w:pPr>
      <w:r>
        <w:rPr>
          <w:rFonts w:ascii="Times New Roman" w:hAnsi="Times New Roman"/>
          <w:color w:val="000000" w:themeColor="text1"/>
          <w:sz w:val="21"/>
          <w:szCs w:val="21"/>
        </w:rPr>
        <w:t>2.落实政府采购政策需满足的资格要求：标项1</w:t>
      </w:r>
      <w:r>
        <w:rPr>
          <w:rFonts w:hint="eastAsia" w:ascii="Times New Roman" w:hAnsi="Times New Roman"/>
          <w:color w:val="000000" w:themeColor="text1"/>
          <w:sz w:val="21"/>
          <w:szCs w:val="21"/>
          <w:lang w:val="en-US" w:eastAsia="zh-CN"/>
        </w:rPr>
        <w:t>.2</w:t>
      </w:r>
      <w:r>
        <w:rPr>
          <w:rFonts w:ascii="Times New Roman" w:hAnsi="Times New Roman"/>
          <w:color w:val="000000" w:themeColor="text1"/>
          <w:sz w:val="21"/>
          <w:szCs w:val="21"/>
        </w:rPr>
        <w:t>：</w:t>
      </w:r>
      <w:r>
        <w:rPr>
          <w:rFonts w:hint="eastAsia" w:ascii="Times New Roman" w:hAnsi="Times New Roman"/>
          <w:color w:val="000000" w:themeColor="text1"/>
          <w:sz w:val="21"/>
          <w:szCs w:val="21"/>
        </w:rPr>
        <w:t>本项目为专门面向中小企业采购的项目，供应商应为中小微企业（监狱企业及残疾人福利性单位视同小型、微型企业）。 </w:t>
      </w:r>
      <w:r>
        <w:rPr>
          <w:rFonts w:ascii="Times New Roman" w:hAnsi="Times New Roman"/>
          <w:color w:val="000000" w:themeColor="text1"/>
          <w:sz w:val="21"/>
          <w:szCs w:val="21"/>
        </w:rPr>
        <w:t>  </w:t>
      </w:r>
    </w:p>
    <w:p w14:paraId="64FC7C13">
      <w:pPr>
        <w:pStyle w:val="22"/>
        <w:widowControl/>
        <w:spacing w:before="0" w:beforeAutospacing="0" w:after="0" w:afterAutospacing="0" w:line="360" w:lineRule="auto"/>
        <w:ind w:firstLine="210" w:firstLineChars="100"/>
        <w:jc w:val="left"/>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3.本项目的特定资格要求：无 </w:t>
      </w:r>
    </w:p>
    <w:p w14:paraId="4BE4CD74">
      <w:pPr>
        <w:pStyle w:val="22"/>
        <w:widowControl/>
        <w:spacing w:before="0" w:beforeAutospacing="0" w:after="0" w:afterAutospacing="0" w:line="360" w:lineRule="auto"/>
        <w:jc w:val="both"/>
        <w:rPr>
          <w:rStyle w:val="30"/>
          <w:rFonts w:ascii="Times New Roman" w:hAnsi="Times New Roman" w:cs="Times New Roman"/>
          <w:color w:val="000000" w:themeColor="text1"/>
          <w:sz w:val="21"/>
          <w:szCs w:val="21"/>
        </w:rPr>
      </w:pPr>
      <w:r>
        <w:rPr>
          <w:rStyle w:val="30"/>
          <w:rFonts w:ascii="Times New Roman" w:hAnsi="Times New Roman" w:cs="Times New Roman"/>
          <w:color w:val="000000" w:themeColor="text1"/>
          <w:sz w:val="21"/>
          <w:szCs w:val="21"/>
        </w:rPr>
        <w:t>三、获取招标文件 </w:t>
      </w:r>
    </w:p>
    <w:p w14:paraId="04E88F50">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时间：/至</w:t>
      </w:r>
      <w:r>
        <w:rPr>
          <w:rFonts w:hint="eastAsia" w:ascii="Times New Roman" w:hAnsi="Times New Roman" w:cs="Times New Roman"/>
          <w:color w:val="000000" w:themeColor="text1"/>
          <w:sz w:val="21"/>
          <w:szCs w:val="21"/>
          <w:highlight w:val="yellow"/>
          <w:lang w:eastAsia="zh-CN"/>
        </w:rPr>
        <w:t> 202</w:t>
      </w:r>
      <w:r>
        <w:rPr>
          <w:rFonts w:hint="eastAsia" w:ascii="Times New Roman" w:hAnsi="Times New Roman" w:cs="Times New Roman"/>
          <w:color w:val="000000" w:themeColor="text1"/>
          <w:sz w:val="21"/>
          <w:szCs w:val="21"/>
          <w:highlight w:val="yellow"/>
          <w:lang w:val="en-US" w:eastAsia="zh-CN"/>
        </w:rPr>
        <w:t>5</w:t>
      </w:r>
      <w:r>
        <w:rPr>
          <w:rFonts w:hint="eastAsia" w:ascii="Times New Roman" w:hAnsi="Times New Roman" w:cs="Times New Roman"/>
          <w:color w:val="000000" w:themeColor="text1"/>
          <w:sz w:val="21"/>
          <w:szCs w:val="21"/>
          <w:highlight w:val="yellow"/>
          <w:lang w:eastAsia="zh-CN"/>
        </w:rPr>
        <w:t>年</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lang w:eastAsia="zh-CN"/>
        </w:rPr>
        <w:t>月</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lang w:eastAsia="zh-CN"/>
        </w:rPr>
        <w:t>日 14:30</w:t>
      </w:r>
      <w:r>
        <w:rPr>
          <w:rFonts w:hint="eastAsia" w:ascii="Times New Roman" w:hAnsi="Times New Roman" w:cs="Times New Roman"/>
          <w:color w:val="000000" w:themeColor="text1"/>
          <w:sz w:val="21"/>
          <w:szCs w:val="21"/>
          <w:highlight w:val="none"/>
        </w:rPr>
        <w:t>，</w:t>
      </w:r>
      <w:r>
        <w:rPr>
          <w:rFonts w:hint="eastAsia" w:ascii="Times New Roman" w:hAnsi="Times New Roman" w:cs="Times New Roman"/>
          <w:color w:val="000000" w:themeColor="text1"/>
          <w:sz w:val="21"/>
          <w:szCs w:val="21"/>
        </w:rPr>
        <w:t>每天上午00:00至12:00 ，下午12:00至23:59（北京时间，线上获取法定节假日均可，线下获取文件法定节假日除外）</w:t>
      </w:r>
    </w:p>
    <w:p w14:paraId="27AD8213">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地点（网址）：浙江政府采购网http://zfcg.czt.zj.gov.cn/（用“政采云”注册账号、密码登录系统后获取招标文件）   </w:t>
      </w:r>
    </w:p>
    <w:p w14:paraId="61A112C3">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方式：网上获取。免费注册网址：浙江政府采购网（供应商注册页面）：https://middle.zcygov.cn/settle-front/#/registry“政采云”，已经注册成功的供应商无需重复注册，本项目实行电子投标。投标人在使用系统进行投标的过程中涉及平台使用的任何问题可致电政采云平台技术支持热线：95763。    </w:t>
      </w:r>
    </w:p>
    <w:p w14:paraId="4AA0A144">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售价（元）：0 </w:t>
      </w:r>
    </w:p>
    <w:p w14:paraId="62C8FB3B">
      <w:pPr>
        <w:pStyle w:val="22"/>
        <w:widowControl/>
        <w:spacing w:before="0" w:beforeAutospacing="0" w:after="0" w:afterAutospacing="0" w:line="360" w:lineRule="auto"/>
        <w:jc w:val="both"/>
        <w:rPr>
          <w:rStyle w:val="30"/>
          <w:rFonts w:ascii="Times New Roman" w:hAnsi="Times New Roman" w:cs="Times New Roman"/>
          <w:color w:val="000000" w:themeColor="text1"/>
          <w:sz w:val="21"/>
          <w:szCs w:val="21"/>
        </w:rPr>
      </w:pPr>
      <w:r>
        <w:rPr>
          <w:rStyle w:val="30"/>
          <w:rFonts w:ascii="Times New Roman" w:hAnsi="Times New Roman" w:cs="Times New Roman"/>
          <w:color w:val="000000" w:themeColor="text1"/>
          <w:sz w:val="21"/>
          <w:szCs w:val="21"/>
        </w:rPr>
        <w:t>四、提交投标文件截止时间、开标时间和地点</w:t>
      </w:r>
    </w:p>
    <w:p w14:paraId="2D22523D">
      <w:pPr>
        <w:pStyle w:val="22"/>
        <w:widowControl/>
        <w:spacing w:before="75" w:beforeAutospacing="0" w:after="75" w:afterAutospacing="0" w:line="360" w:lineRule="auto"/>
        <w:ind w:firstLine="420"/>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rPr>
        <w:t>提交投标文件截止时间</w:t>
      </w:r>
      <w:r>
        <w:rPr>
          <w:rFonts w:hint="eastAsia" w:ascii="Times New Roman" w:hAnsi="Times New Roman" w:cs="Times New Roman"/>
          <w:color w:val="000000" w:themeColor="text1"/>
          <w:sz w:val="21"/>
          <w:szCs w:val="21"/>
          <w:highlight w:val="none"/>
        </w:rPr>
        <w:t>：</w:t>
      </w:r>
      <w:r>
        <w:rPr>
          <w:rFonts w:hint="eastAsia" w:ascii="Times New Roman" w:hAnsi="Times New Roman" w:cs="Times New Roman"/>
          <w:color w:val="000000" w:themeColor="text1"/>
          <w:sz w:val="21"/>
          <w:szCs w:val="21"/>
          <w:highlight w:val="yellow"/>
          <w:lang w:eastAsia="zh-CN"/>
        </w:rPr>
        <w:t> 202</w:t>
      </w:r>
      <w:r>
        <w:rPr>
          <w:rFonts w:hint="eastAsia" w:ascii="Times New Roman" w:hAnsi="Times New Roman" w:cs="Times New Roman"/>
          <w:color w:val="000000" w:themeColor="text1"/>
          <w:sz w:val="21"/>
          <w:szCs w:val="21"/>
          <w:highlight w:val="yellow"/>
          <w:lang w:val="en-US" w:eastAsia="zh-CN"/>
        </w:rPr>
        <w:t>5</w:t>
      </w:r>
      <w:r>
        <w:rPr>
          <w:rFonts w:hint="eastAsia" w:ascii="Times New Roman" w:hAnsi="Times New Roman" w:cs="Times New Roman"/>
          <w:color w:val="000000" w:themeColor="text1"/>
          <w:sz w:val="21"/>
          <w:szCs w:val="21"/>
          <w:highlight w:val="yellow"/>
          <w:lang w:eastAsia="zh-CN"/>
        </w:rPr>
        <w:t>年</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lang w:eastAsia="zh-CN"/>
        </w:rPr>
        <w:t>月</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lang w:eastAsia="zh-CN"/>
        </w:rPr>
        <w:t>日 14:30</w:t>
      </w:r>
      <w:r>
        <w:rPr>
          <w:rFonts w:hint="eastAsia" w:ascii="Times New Roman" w:hAnsi="Times New Roman" w:cs="Times New Roman"/>
          <w:color w:val="000000" w:themeColor="text1"/>
          <w:sz w:val="21"/>
          <w:szCs w:val="21"/>
          <w:highlight w:val="none"/>
        </w:rPr>
        <w:t>（北京时间）</w:t>
      </w:r>
    </w:p>
    <w:p w14:paraId="12798E5B">
      <w:pPr>
        <w:pStyle w:val="22"/>
        <w:widowControl/>
        <w:spacing w:before="75" w:beforeAutospacing="0" w:after="75" w:afterAutospacing="0" w:line="360" w:lineRule="auto"/>
        <w:ind w:firstLine="420" w:firstLineChars="200"/>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投标地点（网址）：政采云平台（https://www.zcygov.cn/） </w:t>
      </w:r>
    </w:p>
    <w:p w14:paraId="68D06C7F">
      <w:pPr>
        <w:pStyle w:val="22"/>
        <w:widowControl/>
        <w:spacing w:before="75" w:beforeAutospacing="0" w:after="75" w:afterAutospacing="0" w:line="360" w:lineRule="auto"/>
        <w:ind w:firstLine="420"/>
        <w:rPr>
          <w:rFonts w:hint="eastAsia" w:ascii="Times New Roman" w:hAnsi="Times New Roman" w:eastAsia="宋体" w:cs="Times New Roman"/>
          <w:color w:val="000000" w:themeColor="text1"/>
          <w:sz w:val="21"/>
          <w:szCs w:val="21"/>
          <w:highlight w:val="none"/>
          <w:lang w:eastAsia="zh-CN"/>
        </w:rPr>
      </w:pPr>
      <w:r>
        <w:rPr>
          <w:rFonts w:hint="eastAsia" w:ascii="Times New Roman" w:hAnsi="Times New Roman" w:cs="Times New Roman"/>
          <w:color w:val="000000" w:themeColor="text1"/>
          <w:sz w:val="21"/>
          <w:szCs w:val="21"/>
          <w:highlight w:val="none"/>
        </w:rPr>
        <w:t>开标时间：</w:t>
      </w:r>
      <w:r>
        <w:rPr>
          <w:rFonts w:hint="eastAsia" w:ascii="Times New Roman" w:hAnsi="Times New Roman" w:cs="Times New Roman"/>
          <w:color w:val="000000" w:themeColor="text1"/>
          <w:sz w:val="21"/>
          <w:szCs w:val="21"/>
          <w:highlight w:val="yellow"/>
          <w:lang w:eastAsia="zh-CN"/>
        </w:rPr>
        <w:t>202</w:t>
      </w:r>
      <w:r>
        <w:rPr>
          <w:rFonts w:hint="eastAsia" w:ascii="Times New Roman" w:hAnsi="Times New Roman" w:cs="Times New Roman"/>
          <w:color w:val="000000" w:themeColor="text1"/>
          <w:sz w:val="21"/>
          <w:szCs w:val="21"/>
          <w:highlight w:val="yellow"/>
          <w:lang w:val="en-US" w:eastAsia="zh-CN"/>
        </w:rPr>
        <w:t>5</w:t>
      </w:r>
      <w:r>
        <w:rPr>
          <w:rFonts w:hint="eastAsia" w:ascii="Times New Roman" w:hAnsi="Times New Roman" w:cs="Times New Roman"/>
          <w:color w:val="000000" w:themeColor="text1"/>
          <w:sz w:val="21"/>
          <w:szCs w:val="21"/>
          <w:highlight w:val="yellow"/>
          <w:lang w:eastAsia="zh-CN"/>
        </w:rPr>
        <w:t>年</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lang w:eastAsia="zh-CN"/>
        </w:rPr>
        <w:t>月</w:t>
      </w:r>
      <w:r>
        <w:rPr>
          <w:rFonts w:hint="eastAsia" w:ascii="Times New Roman" w:hAnsi="Times New Roman" w:cs="Times New Roman"/>
          <w:color w:val="000000" w:themeColor="text1"/>
          <w:sz w:val="21"/>
          <w:szCs w:val="21"/>
          <w:highlight w:val="yellow"/>
          <w:lang w:val="en-US" w:eastAsia="zh-CN"/>
        </w:rPr>
        <w:t xml:space="preserve">  </w:t>
      </w:r>
      <w:r>
        <w:rPr>
          <w:rFonts w:hint="eastAsia" w:ascii="Times New Roman" w:hAnsi="Times New Roman" w:cs="Times New Roman"/>
          <w:color w:val="000000" w:themeColor="text1"/>
          <w:sz w:val="21"/>
          <w:szCs w:val="21"/>
          <w:highlight w:val="yellow"/>
          <w:lang w:eastAsia="zh-CN"/>
        </w:rPr>
        <w:t>日 14:30</w:t>
      </w:r>
    </w:p>
    <w:p w14:paraId="64F9C8C3">
      <w:pPr>
        <w:pStyle w:val="22"/>
        <w:widowControl/>
        <w:spacing w:before="75" w:beforeAutospacing="0" w:after="75" w:afterAutospacing="0" w:line="360" w:lineRule="auto"/>
        <w:ind w:firstLine="420" w:firstLineChars="200"/>
        <w:rPr>
          <w:rFonts w:ascii="Times New Roman" w:hAnsi="Times New Roman"/>
          <w:color w:val="000000" w:themeColor="text1"/>
          <w:sz w:val="21"/>
          <w:szCs w:val="21"/>
        </w:rPr>
      </w:pPr>
      <w:r>
        <w:rPr>
          <w:rFonts w:hint="eastAsia" w:ascii="Times New Roman" w:hAnsi="Times New Roman" w:cs="Times New Roman"/>
          <w:color w:val="000000" w:themeColor="text1"/>
          <w:sz w:val="21"/>
          <w:szCs w:val="21"/>
        </w:rPr>
        <w:t>开标地点（网址）：政采云平台（https://www.zcygov.cn/）</w:t>
      </w:r>
    </w:p>
    <w:p w14:paraId="34DC5D49">
      <w:pPr>
        <w:numPr>
          <w:ilvl w:val="0"/>
          <w:numId w:val="4"/>
        </w:numPr>
        <w:rPr>
          <w:rStyle w:val="30"/>
          <w:rFonts w:ascii="Times New Roman" w:hAnsi="Times New Roman"/>
          <w:color w:val="000000" w:themeColor="text1"/>
          <w:kern w:val="0"/>
        </w:rPr>
      </w:pPr>
      <w:r>
        <w:rPr>
          <w:rStyle w:val="30"/>
          <w:rFonts w:hint="eastAsia" w:ascii="Times New Roman" w:hAnsi="Times New Roman"/>
          <w:color w:val="000000" w:themeColor="text1"/>
          <w:kern w:val="0"/>
        </w:rPr>
        <w:t>采购意向公开链接</w:t>
      </w:r>
    </w:p>
    <w:p w14:paraId="60D3DCFC">
      <w:pPr>
        <w:pStyle w:val="22"/>
        <w:widowControl/>
        <w:spacing w:before="0" w:beforeAutospacing="0" w:after="0" w:afterAutospacing="0" w:line="360" w:lineRule="auto"/>
        <w:jc w:val="both"/>
        <w:rPr>
          <w:rFonts w:ascii="微软雅黑" w:hAnsi="微软雅黑" w:eastAsia="微软雅黑" w:cs="微软雅黑"/>
          <w:i w:val="0"/>
          <w:iCs w:val="0"/>
          <w:caps w:val="0"/>
          <w:color w:val="000000" w:themeColor="text1"/>
          <w:spacing w:val="0"/>
          <w:sz w:val="21"/>
          <w:szCs w:val="21"/>
          <w:shd w:val="clear" w:fill="F5FAFF"/>
        </w:rPr>
      </w:pPr>
      <w:r>
        <w:rPr>
          <w:rFonts w:hint="eastAsia" w:ascii="微软雅黑" w:hAnsi="微软雅黑" w:eastAsia="微软雅黑" w:cs="微软雅黑"/>
          <w:i w:val="0"/>
          <w:iCs w:val="0"/>
          <w:caps w:val="0"/>
          <w:color w:val="000000" w:themeColor="text1"/>
          <w:spacing w:val="0"/>
          <w:sz w:val="21"/>
          <w:szCs w:val="21"/>
          <w:shd w:val="clear" w:fill="F5FAFF"/>
        </w:rPr>
        <w:t>https://zfcg.czt.zj.gov.cn/site/detail?categoryCode=ZcyAnnouncement&amp;parentId=600007&amp;articleId=sISfYOyW2/59/856zEz1rw==</w:t>
      </w:r>
    </w:p>
    <w:p w14:paraId="4E6791CD">
      <w:pPr>
        <w:pStyle w:val="22"/>
        <w:widowControl/>
        <w:spacing w:before="0" w:beforeAutospacing="0" w:after="0" w:afterAutospacing="0" w:line="360" w:lineRule="auto"/>
        <w:jc w:val="both"/>
        <w:rPr>
          <w:rStyle w:val="30"/>
          <w:rFonts w:ascii="Times New Roman" w:hAnsi="Times New Roman" w:cs="Times New Roman"/>
          <w:color w:val="000000" w:themeColor="text1"/>
          <w:sz w:val="21"/>
          <w:szCs w:val="21"/>
        </w:rPr>
      </w:pPr>
      <w:r>
        <w:rPr>
          <w:rStyle w:val="30"/>
          <w:rFonts w:hint="eastAsia" w:ascii="Times New Roman" w:hAnsi="Times New Roman"/>
          <w:color w:val="000000" w:themeColor="text1"/>
          <w:sz w:val="21"/>
          <w:szCs w:val="21"/>
        </w:rPr>
        <w:t>六、</w:t>
      </w:r>
      <w:r>
        <w:rPr>
          <w:rStyle w:val="30"/>
          <w:rFonts w:ascii="Times New Roman" w:hAnsi="Times New Roman"/>
          <w:color w:val="000000" w:themeColor="text1"/>
          <w:sz w:val="21"/>
          <w:szCs w:val="21"/>
        </w:rPr>
        <w:t>公告期限 </w:t>
      </w:r>
    </w:p>
    <w:p w14:paraId="77AAFA8C">
      <w:pPr>
        <w:pStyle w:val="22"/>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自本公告发布之日起5个工作日。</w:t>
      </w:r>
    </w:p>
    <w:p w14:paraId="2AA710F5">
      <w:pPr>
        <w:pStyle w:val="22"/>
        <w:widowControl/>
        <w:spacing w:before="0" w:beforeAutospacing="0" w:after="0" w:afterAutospacing="0" w:line="360" w:lineRule="auto"/>
        <w:jc w:val="both"/>
        <w:rPr>
          <w:rStyle w:val="30"/>
          <w:rFonts w:ascii="Times New Roman" w:hAnsi="Times New Roman" w:cs="Times New Roman"/>
          <w:color w:val="000000" w:themeColor="text1"/>
          <w:sz w:val="21"/>
          <w:szCs w:val="21"/>
        </w:rPr>
      </w:pPr>
      <w:r>
        <w:rPr>
          <w:rStyle w:val="30"/>
          <w:rFonts w:hint="eastAsia" w:ascii="Times New Roman" w:hAnsi="Times New Roman" w:cs="Times New Roman"/>
          <w:color w:val="000000" w:themeColor="text1"/>
          <w:sz w:val="21"/>
          <w:szCs w:val="21"/>
        </w:rPr>
        <w:t>七</w:t>
      </w:r>
      <w:r>
        <w:rPr>
          <w:rStyle w:val="30"/>
          <w:rFonts w:ascii="Times New Roman" w:hAnsi="Times New Roman" w:cs="Times New Roman"/>
          <w:color w:val="000000" w:themeColor="text1"/>
          <w:sz w:val="21"/>
          <w:szCs w:val="21"/>
        </w:rPr>
        <w:t>、其他补充事宜</w:t>
      </w:r>
    </w:p>
    <w:p w14:paraId="22A78619">
      <w:pPr>
        <w:pStyle w:val="22"/>
        <w:widowControl/>
        <w:adjustRightInd w:val="0"/>
        <w:snapToGrid w:val="0"/>
        <w:spacing w:before="0" w:beforeAutospacing="0" w:after="0" w:afterAutospacing="0" w:line="360" w:lineRule="auto"/>
        <w:ind w:firstLine="420" w:firstLineChars="20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cs="Times New Roman"/>
          <w:color w:val="000000" w:themeColor="text1"/>
          <w:sz w:val="21"/>
          <w:szCs w:val="21"/>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66D8C8A">
      <w:pPr>
        <w:pStyle w:val="22"/>
        <w:widowControl/>
        <w:adjustRightInd w:val="0"/>
        <w:snapToGrid w:val="0"/>
        <w:spacing w:before="0" w:beforeAutospacing="0" w:after="0" w:afterAutospacing="0" w:line="360" w:lineRule="auto"/>
        <w:ind w:firstLine="420" w:firstLineChars="20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C767DF3">
      <w:pPr>
        <w:pStyle w:val="22"/>
        <w:widowControl/>
        <w:spacing w:before="75" w:beforeAutospacing="0" w:after="75" w:afterAutospacing="0" w:line="360" w:lineRule="auto"/>
        <w:ind w:firstLine="420"/>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5FF2A4A">
      <w:pPr>
        <w:pStyle w:val="22"/>
        <w:widowControl/>
        <w:spacing w:before="75" w:beforeAutospacing="0" w:after="75" w:afterAutospacing="0" w:line="360" w:lineRule="auto"/>
        <w:ind w:firstLine="420"/>
        <w:rPr>
          <w:rFonts w:ascii="Times New Roman" w:hAnsi="Times New Roman" w:cs="Times New Roman"/>
          <w:color w:val="000000" w:themeColor="text1"/>
          <w:sz w:val="21"/>
          <w:szCs w:val="21"/>
          <w:shd w:val="clear" w:color="auto" w:fill="FFFF00"/>
        </w:rPr>
      </w:pPr>
      <w:r>
        <w:rPr>
          <w:rFonts w:hint="eastAsia" w:ascii="Times New Roman" w:hAnsi="Times New Roman" w:cs="Times New Roman"/>
          <w:color w:val="000000" w:themeColor="text1"/>
          <w:sz w:val="21"/>
          <w:szCs w:val="21"/>
        </w:rPr>
        <w:t xml:space="preserve"> </w:t>
      </w:r>
      <w:r>
        <w:rPr>
          <w:rStyle w:val="30"/>
          <w:rFonts w:hint="eastAsia" w:ascii="Times New Roman" w:hAnsi="Times New Roman"/>
          <w:color w:val="000000" w:themeColor="text1"/>
          <w:sz w:val="21"/>
          <w:szCs w:val="21"/>
        </w:rPr>
        <w:t>4.其他事项：（1）单位负责人为同一人或者存在直接控股、管理关系的不同供应商，不得同时参加同一合同项下的投标。（2）为项目提供整体设计、规范编制或者项目管理、监理、检测等服务的供应商，不得再参加该采购项目的其他采购活动。（3）本项目执行促进中小企业发展（监狱企业、残疾人福利性单位视同小型、微型企业）、优先采购节能产品、优先采购环境标志产品政策。（4）为支持和促进中小企业发展，舟山市财政局出台了政府采购信用融资政策，具体详见采购文件。</w:t>
      </w:r>
    </w:p>
    <w:p w14:paraId="0141FDC3">
      <w:pPr>
        <w:pStyle w:val="22"/>
        <w:widowControl/>
        <w:spacing w:before="0" w:beforeAutospacing="0" w:after="0" w:afterAutospacing="0" w:line="360" w:lineRule="auto"/>
        <w:jc w:val="both"/>
        <w:rPr>
          <w:rStyle w:val="30"/>
          <w:rFonts w:ascii="Times New Roman" w:hAnsi="Times New Roman" w:cs="Times New Roman"/>
          <w:color w:val="000000" w:themeColor="text1"/>
          <w:sz w:val="21"/>
          <w:szCs w:val="21"/>
        </w:rPr>
      </w:pPr>
      <w:r>
        <w:rPr>
          <w:rStyle w:val="30"/>
          <w:rFonts w:ascii="Times New Roman" w:hAnsi="Times New Roman" w:cs="Times New Roman"/>
          <w:color w:val="000000" w:themeColor="text1"/>
          <w:sz w:val="21"/>
          <w:szCs w:val="21"/>
        </w:rPr>
        <w:t>七、对本次采购提出询问、质疑、投诉，请按以下方式联系</w:t>
      </w:r>
    </w:p>
    <w:p w14:paraId="4E02B286">
      <w:pPr>
        <w:pStyle w:val="22"/>
        <w:widowControl/>
        <w:spacing w:before="50" w:beforeAutospacing="0" w:after="50" w:afterAutospacing="0" w:line="360" w:lineRule="auto"/>
        <w:rPr>
          <w:rFonts w:ascii="Times New Roman" w:hAnsi="Times New Roman" w:cs="Times New Roman"/>
          <w:color w:val="000000" w:themeColor="text1"/>
          <w:sz w:val="21"/>
          <w:szCs w:val="21"/>
        </w:rPr>
      </w:pPr>
      <w:r>
        <w:rPr>
          <w:rFonts w:ascii="Times New Roman" w:hAnsi="Times New Roman" w:eastAsia="仿宋" w:cs="Times New Roman"/>
          <w:color w:val="000000" w:themeColor="text1"/>
          <w:sz w:val="21"/>
          <w:szCs w:val="21"/>
        </w:rPr>
        <w:t xml:space="preserve">  </w:t>
      </w:r>
      <w:r>
        <w:rPr>
          <w:rFonts w:ascii="Times New Roman" w:hAnsi="Times New Roman" w:cs="Times New Roman"/>
          <w:color w:val="000000" w:themeColor="text1"/>
          <w:sz w:val="21"/>
          <w:szCs w:val="21"/>
        </w:rPr>
        <w:t xml:space="preserve"> 1.采购人信息</w:t>
      </w:r>
    </w:p>
    <w:p w14:paraId="415F21A2">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    名    称：浙江省海洋生态环境监测中心 </w:t>
      </w:r>
    </w:p>
    <w:p w14:paraId="6C6770EE">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hint="eastAsia" w:ascii="Times New Roman" w:hAnsi="Times New Roman" w:cs="Times New Roman"/>
          <w:color w:val="000000" w:themeColor="text1"/>
          <w:sz w:val="21"/>
          <w:szCs w:val="21"/>
          <w:highlight w:val="none"/>
        </w:rPr>
        <w:t>    地    址：舟山市新城体育路20号 </w:t>
      </w:r>
    </w:p>
    <w:p w14:paraId="7146E213">
      <w:pPr>
        <w:pStyle w:val="22"/>
        <w:widowControl/>
        <w:spacing w:before="50" w:beforeAutospacing="0" w:after="50" w:afterAutospacing="0" w:line="360" w:lineRule="auto"/>
        <w:rPr>
          <w:rFonts w:hint="default" w:ascii="Times New Roman" w:hAnsi="Times New Roman" w:eastAsia="宋体" w:cs="Times New Roman"/>
          <w:color w:val="000000" w:themeColor="text1"/>
          <w:sz w:val="21"/>
          <w:szCs w:val="21"/>
          <w:highlight w:val="none"/>
          <w:lang w:val="en-US" w:eastAsia="zh-CN"/>
        </w:rPr>
      </w:pPr>
      <w:r>
        <w:rPr>
          <w:rFonts w:hint="eastAsia" w:ascii="Times New Roman" w:hAnsi="Times New Roman" w:cs="Times New Roman"/>
          <w:color w:val="000000" w:themeColor="text1"/>
          <w:sz w:val="21"/>
          <w:szCs w:val="21"/>
          <w:highlight w:val="none"/>
        </w:rPr>
        <w:t>   </w:t>
      </w:r>
      <w:r>
        <w:rPr>
          <w:rFonts w:hint="eastAsia" w:ascii="Times New Roman" w:hAnsi="Times New Roman" w:eastAsia="宋体" w:cs="Times New Roman"/>
          <w:color w:val="000000" w:themeColor="text1"/>
          <w:sz w:val="21"/>
          <w:szCs w:val="21"/>
          <w:highlight w:val="none"/>
        </w:rPr>
        <w:t xml:space="preserve"> 项目联系人（询问）：</w:t>
      </w:r>
      <w:r>
        <w:rPr>
          <w:rFonts w:hint="eastAsia" w:ascii="Times New Roman" w:hAnsi="Times New Roman" w:eastAsia="宋体" w:cs="Times New Roman"/>
          <w:color w:val="000000" w:themeColor="text1"/>
          <w:sz w:val="21"/>
          <w:szCs w:val="21"/>
          <w:highlight w:val="none"/>
          <w:lang w:val="en-US" w:eastAsia="zh-CN"/>
        </w:rPr>
        <w:t>王女士</w:t>
      </w:r>
    </w:p>
    <w:p w14:paraId="00244C8E">
      <w:pPr>
        <w:pStyle w:val="22"/>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lang w:val="en-US" w:eastAsia="zh-CN"/>
        </w:rPr>
      </w:pPr>
      <w:r>
        <w:rPr>
          <w:rFonts w:hint="eastAsia" w:ascii="Times New Roman" w:hAnsi="Times New Roman" w:eastAsia="宋体" w:cs="Times New Roman"/>
          <w:color w:val="000000" w:themeColor="text1"/>
          <w:sz w:val="21"/>
          <w:szCs w:val="21"/>
          <w:highlight w:val="none"/>
        </w:rPr>
        <w:t>    项目联系方式（询问）：0580-2024133</w:t>
      </w:r>
    </w:p>
    <w:p w14:paraId="417EC476">
      <w:pPr>
        <w:pStyle w:val="22"/>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rPr>
      </w:pPr>
      <w:r>
        <w:rPr>
          <w:rFonts w:hint="eastAsia" w:ascii="Times New Roman" w:hAnsi="Times New Roman" w:eastAsia="宋体" w:cs="Times New Roman"/>
          <w:color w:val="000000" w:themeColor="text1"/>
          <w:sz w:val="21"/>
          <w:szCs w:val="21"/>
          <w:highlight w:val="none"/>
        </w:rPr>
        <w:t>    质疑联系人：</w:t>
      </w:r>
      <w:r>
        <w:rPr>
          <w:rFonts w:hint="eastAsia" w:ascii="Times New Roman" w:hAnsi="Times New Roman" w:eastAsia="宋体" w:cs="Times New Roman"/>
          <w:color w:val="000000" w:themeColor="text1"/>
          <w:sz w:val="21"/>
          <w:szCs w:val="21"/>
          <w:highlight w:val="none"/>
          <w:lang w:val="en-US" w:eastAsia="zh-CN"/>
        </w:rPr>
        <w:t>叶先生</w:t>
      </w:r>
      <w:r>
        <w:rPr>
          <w:rFonts w:hint="eastAsia" w:ascii="Times New Roman" w:hAnsi="Times New Roman" w:eastAsia="宋体" w:cs="Times New Roman"/>
          <w:color w:val="000000" w:themeColor="text1"/>
          <w:sz w:val="21"/>
          <w:szCs w:val="21"/>
          <w:highlight w:val="none"/>
        </w:rPr>
        <w:t>    </w:t>
      </w:r>
    </w:p>
    <w:p w14:paraId="062AEA2F">
      <w:pPr>
        <w:pStyle w:val="22"/>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rPr>
      </w:pPr>
      <w:r>
        <w:rPr>
          <w:rFonts w:hint="eastAsia" w:ascii="Times New Roman" w:hAnsi="Times New Roman" w:eastAsia="宋体" w:cs="Times New Roman"/>
          <w:color w:val="000000" w:themeColor="text1"/>
          <w:sz w:val="21"/>
          <w:szCs w:val="21"/>
          <w:highlight w:val="none"/>
        </w:rPr>
        <w:t>    质疑联系方式：0580-2086704</w:t>
      </w:r>
    </w:p>
    <w:p w14:paraId="055ED33B">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p>
    <w:p w14:paraId="66ACF0A5">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w:t>
      </w:r>
    </w:p>
    <w:p w14:paraId="49F9DA56">
      <w:pPr>
        <w:pStyle w:val="22"/>
        <w:widowControl/>
        <w:spacing w:before="50" w:beforeAutospacing="0" w:after="50" w:afterAutospacing="0" w:line="360" w:lineRule="auto"/>
        <w:ind w:firstLine="420" w:firstLineChars="200"/>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2.采购代理机构信息</w:t>
      </w:r>
    </w:p>
    <w:p w14:paraId="5E6FBD5F">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名称：浙江自贸区中昊工程管理有限公司 </w:t>
      </w:r>
    </w:p>
    <w:p w14:paraId="53306491">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地址：舟山市定海区临城街道百川道9号海洋科学城A12号楼</w:t>
      </w:r>
      <w:r>
        <w:rPr>
          <w:rFonts w:hint="eastAsia" w:ascii="Times New Roman" w:hAnsi="Times New Roman" w:cs="Times New Roman"/>
          <w:color w:val="000000" w:themeColor="text1"/>
          <w:sz w:val="21"/>
          <w:szCs w:val="21"/>
          <w:highlight w:val="none"/>
        </w:rPr>
        <w:t>910室</w:t>
      </w:r>
      <w:r>
        <w:rPr>
          <w:rFonts w:ascii="Times New Roman" w:hAnsi="Times New Roman" w:cs="Times New Roman"/>
          <w:color w:val="000000" w:themeColor="text1"/>
          <w:sz w:val="21"/>
          <w:szCs w:val="21"/>
          <w:highlight w:val="none"/>
        </w:rPr>
        <w:t> </w:t>
      </w:r>
    </w:p>
    <w:p w14:paraId="42CCEF59">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传真：0580-2119100  </w:t>
      </w:r>
    </w:p>
    <w:p w14:paraId="6A89996D">
      <w:pPr>
        <w:pStyle w:val="22"/>
        <w:widowControl/>
        <w:spacing w:before="50" w:beforeAutospacing="0" w:after="50" w:afterAutospacing="0" w:line="360" w:lineRule="auto"/>
        <w:ind w:firstLine="315"/>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项目联系人（询问）：</w:t>
      </w:r>
      <w:r>
        <w:rPr>
          <w:rFonts w:hint="eastAsia" w:ascii="Times New Roman" w:hAnsi="Times New Roman" w:cs="Times New Roman"/>
          <w:color w:val="000000" w:themeColor="text1"/>
          <w:sz w:val="21"/>
          <w:szCs w:val="21"/>
          <w:highlight w:val="none"/>
        </w:rPr>
        <w:t>张璐</w:t>
      </w:r>
    </w:p>
    <w:p w14:paraId="1437ADC7">
      <w:pPr>
        <w:pStyle w:val="22"/>
        <w:widowControl/>
        <w:spacing w:before="50" w:beforeAutospacing="0" w:after="50" w:afterAutospacing="0" w:line="360" w:lineRule="auto"/>
        <w:ind w:firstLine="315"/>
        <w:rPr>
          <w:rFonts w:ascii="Times New Roman" w:hAnsi="Times New Roman" w:cs="Times New Roman"/>
          <w:b/>
          <w:bCs/>
          <w:color w:val="000000" w:themeColor="text1"/>
          <w:sz w:val="21"/>
          <w:szCs w:val="21"/>
          <w:highlight w:val="none"/>
        </w:rPr>
      </w:pPr>
      <w:r>
        <w:rPr>
          <w:rFonts w:ascii="Times New Roman" w:hAnsi="Times New Roman" w:cs="Times New Roman"/>
          <w:color w:val="000000" w:themeColor="text1"/>
          <w:sz w:val="21"/>
          <w:szCs w:val="21"/>
          <w:highlight w:val="none"/>
        </w:rPr>
        <w:t>项目联系方式（询问）：0580-2119100 </w:t>
      </w:r>
    </w:p>
    <w:p w14:paraId="035ECE0B">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质疑联系人：</w:t>
      </w:r>
      <w:r>
        <w:rPr>
          <w:rFonts w:hint="eastAsia" w:ascii="Times New Roman" w:hAnsi="Times New Roman" w:cs="Times New Roman"/>
          <w:color w:val="000000" w:themeColor="text1"/>
          <w:sz w:val="21"/>
          <w:szCs w:val="21"/>
          <w:highlight w:val="none"/>
        </w:rPr>
        <w:t>刘妮</w:t>
      </w:r>
    </w:p>
    <w:p w14:paraId="5FF4C885">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质疑联系方式：0580-2119100 </w:t>
      </w:r>
    </w:p>
    <w:p w14:paraId="02F5C095">
      <w:pPr>
        <w:pStyle w:val="22"/>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lang w:eastAsia="zh-CN"/>
        </w:rPr>
      </w:pPr>
      <w:r>
        <w:rPr>
          <w:rFonts w:ascii="Times New Roman" w:hAnsi="Times New Roman" w:cs="Times New Roman"/>
          <w:color w:val="000000" w:themeColor="text1"/>
          <w:sz w:val="21"/>
          <w:szCs w:val="21"/>
          <w:highlight w:val="none"/>
        </w:rPr>
        <w:t>  </w:t>
      </w:r>
    </w:p>
    <w:p w14:paraId="5A7BB032">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r>
        <w:rPr>
          <w:rFonts w:ascii="Times New Roman" w:hAnsi="Times New Roman" w:cs="Times New Roman"/>
          <w:color w:val="000000" w:themeColor="text1"/>
          <w:sz w:val="21"/>
          <w:szCs w:val="21"/>
          <w:highlight w:val="none"/>
        </w:rPr>
        <w:t>   </w:t>
      </w:r>
      <w:r>
        <w:rPr>
          <w:rFonts w:hint="eastAsia" w:ascii="Times New Roman" w:hAnsi="Times New Roman" w:cs="Times New Roman"/>
          <w:color w:val="000000" w:themeColor="text1"/>
          <w:sz w:val="21"/>
          <w:szCs w:val="21"/>
          <w:highlight w:val="none"/>
        </w:rPr>
        <w:t> 3.该项目由采购人处理采购争议。质疑环节，采购人委托采购代理机构处理的，可由采购代理机构答复。对质疑答复不满意的，向采购人内部设置的采购监督机构反映。            </w:t>
      </w:r>
    </w:p>
    <w:p w14:paraId="5467E529">
      <w:pPr>
        <w:pStyle w:val="22"/>
        <w:widowControl/>
        <w:spacing w:before="50" w:beforeAutospacing="0" w:after="50" w:afterAutospacing="0" w:line="360" w:lineRule="auto"/>
        <w:rPr>
          <w:rFonts w:hint="eastAsia" w:ascii="仿宋" w:hAnsi="仿宋" w:eastAsia="仿宋" w:cs="仿宋"/>
          <w:i w:val="0"/>
          <w:iCs w:val="0"/>
          <w:caps w:val="0"/>
          <w:color w:val="000000" w:themeColor="text1"/>
          <w:spacing w:val="0"/>
          <w:sz w:val="24"/>
          <w:szCs w:val="24"/>
          <w:highlight w:val="none"/>
        </w:rPr>
      </w:pPr>
      <w:r>
        <w:rPr>
          <w:rFonts w:hint="eastAsia" w:ascii="Times New Roman" w:hAnsi="Times New Roman" w:cs="Times New Roman"/>
          <w:color w:val="000000" w:themeColor="text1"/>
          <w:sz w:val="21"/>
          <w:szCs w:val="21"/>
          <w:highlight w:val="none"/>
        </w:rPr>
        <w:t>       预算金额未达100万元的采购项目，由采购人处理采购争议。</w:t>
      </w:r>
    </w:p>
    <w:p w14:paraId="483628FE">
      <w:pPr>
        <w:pStyle w:val="22"/>
        <w:widowControl/>
        <w:spacing w:before="50" w:beforeAutospacing="0" w:after="50" w:afterAutospacing="0" w:line="360" w:lineRule="auto"/>
        <w:rPr>
          <w:rFonts w:ascii="Times New Roman" w:hAnsi="Times New Roman" w:cs="Times New Roman"/>
          <w:color w:val="000000" w:themeColor="text1"/>
          <w:sz w:val="21"/>
          <w:szCs w:val="21"/>
          <w:highlight w:val="none"/>
        </w:rPr>
      </w:pPr>
    </w:p>
    <w:p w14:paraId="2A9C7D76">
      <w:pPr>
        <w:pStyle w:val="22"/>
        <w:widowControl/>
        <w:spacing w:before="75" w:beforeAutospacing="0" w:after="75" w:afterAutospacing="0" w:line="360" w:lineRule="auto"/>
        <w:rPr>
          <w:rFonts w:ascii="Times New Roman" w:hAnsi="Times New Roman" w:cs="Times New Roman"/>
          <w:color w:val="000000" w:themeColor="text1"/>
          <w:sz w:val="21"/>
          <w:szCs w:val="21"/>
        </w:rPr>
      </w:pPr>
      <w:r>
        <w:rPr>
          <w:rFonts w:ascii="Times New Roman" w:hAnsi="Times New Roman" w:eastAsia="仿宋" w:cs="Times New Roman"/>
          <w:color w:val="000000" w:themeColor="text1"/>
          <w:sz w:val="21"/>
          <w:szCs w:val="21"/>
        </w:rPr>
        <w:t xml:space="preserve">    </w:t>
      </w:r>
    </w:p>
    <w:p w14:paraId="668E4FD6">
      <w:pPr>
        <w:pStyle w:val="22"/>
        <w:widowControl/>
        <w:spacing w:before="50" w:beforeAutospacing="0" w:after="50" w:afterAutospacing="0" w:line="360" w:lineRule="auto"/>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若对项目采购电子交易系统操作有疑问，可登录政采云（https://www.zcygov.cn/），点击右侧咨询小采，获取采小蜜智能服务管家帮助，或拨打政采云服务热线95763获取热线服务帮助。       </w:t>
      </w:r>
    </w:p>
    <w:p w14:paraId="3BA7B743">
      <w:pPr>
        <w:pStyle w:val="22"/>
        <w:widowControl/>
        <w:spacing w:before="50" w:beforeAutospacing="0" w:after="50" w:afterAutospacing="0" w:line="360" w:lineRule="auto"/>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CA问题联系电话（人工）：汇信CA 400-888-4636；天谷CA 400-087-8198。</w:t>
      </w:r>
    </w:p>
    <w:p w14:paraId="6CEECBAD">
      <w:pPr>
        <w:pStyle w:val="22"/>
        <w:widowControl/>
        <w:spacing w:before="75" w:beforeAutospacing="0" w:after="75" w:afterAutospacing="0" w:line="360" w:lineRule="auto"/>
        <w:rPr>
          <w:rFonts w:ascii="Times New Roman" w:hAnsi="Times New Roman" w:cs="Times New Roman"/>
          <w:color w:val="000000" w:themeColor="text1"/>
        </w:rPr>
      </w:pPr>
    </w:p>
    <w:p w14:paraId="0BEC8095">
      <w:pPr>
        <w:pStyle w:val="16"/>
        <w:snapToGrid w:val="0"/>
        <w:spacing w:before="120" w:after="120" w:line="360" w:lineRule="auto"/>
        <w:ind w:firstLine="602" w:firstLineChars="200"/>
        <w:jc w:val="center"/>
        <w:outlineLvl w:val="0"/>
        <w:rPr>
          <w:rFonts w:ascii="Times New Roman" w:hAnsi="Times New Roman" w:cs="Times New Roman"/>
          <w:b/>
          <w:bCs/>
          <w:color w:val="000000" w:themeColor="text1"/>
        </w:rPr>
      </w:pPr>
      <w:r>
        <w:rPr>
          <w:rFonts w:ascii="Times New Roman" w:hAnsi="Times New Roman" w:cs="Times New Roman"/>
          <w:b/>
          <w:bCs/>
          <w:color w:val="000000" w:themeColor="text1"/>
          <w:kern w:val="2"/>
          <w:sz w:val="30"/>
          <w:szCs w:val="30"/>
        </w:rPr>
        <w:br w:type="page"/>
      </w:r>
      <w:r>
        <w:rPr>
          <w:rFonts w:ascii="Times New Roman" w:hAnsi="Times New Roman" w:cs="Times New Roman"/>
          <w:b/>
          <w:bCs/>
          <w:color w:val="000000" w:themeColor="text1"/>
          <w:kern w:val="2"/>
          <w:sz w:val="30"/>
          <w:szCs w:val="30"/>
        </w:rPr>
        <w:t>第二章采购需求</w:t>
      </w:r>
    </w:p>
    <w:p w14:paraId="11DBF0A8">
      <w:pPr>
        <w:spacing w:line="360" w:lineRule="auto"/>
        <w:jc w:val="left"/>
        <w:rPr>
          <w:rFonts w:ascii="Times New Roman" w:hAnsi="Times New Roman" w:eastAsia="宋体" w:cs="Times New Roman"/>
          <w:b/>
          <w:bCs/>
          <w:color w:val="000000" w:themeColor="text1"/>
          <w:sz w:val="24"/>
          <w:szCs w:val="21"/>
        </w:rPr>
      </w:pPr>
      <w:r>
        <w:rPr>
          <w:rFonts w:ascii="Times New Roman" w:hAnsi="宋体" w:eastAsia="宋体" w:cs="Times New Roman"/>
          <w:b/>
          <w:bCs/>
          <w:color w:val="000000" w:themeColor="text1"/>
          <w:sz w:val="24"/>
          <w:szCs w:val="21"/>
        </w:rPr>
        <w:t>标项一：舟山生态大楼颗粒物组分站</w:t>
      </w:r>
      <w:r>
        <w:rPr>
          <w:rFonts w:hint="eastAsia" w:ascii="Times New Roman" w:hAnsi="宋体" w:eastAsia="宋体" w:cs="Times New Roman"/>
          <w:b/>
          <w:bCs/>
          <w:color w:val="000000" w:themeColor="text1"/>
          <w:sz w:val="24"/>
          <w:szCs w:val="21"/>
          <w:lang w:val="en-US" w:eastAsia="zh-CN"/>
        </w:rPr>
        <w:t>2025年度</w:t>
      </w:r>
      <w:r>
        <w:rPr>
          <w:rFonts w:ascii="Times New Roman" w:hAnsi="宋体" w:eastAsia="宋体" w:cs="Times New Roman"/>
          <w:b/>
          <w:bCs/>
          <w:color w:val="000000" w:themeColor="text1"/>
          <w:sz w:val="24"/>
          <w:szCs w:val="21"/>
        </w:rPr>
        <w:t>运维服务项目</w:t>
      </w:r>
    </w:p>
    <w:p w14:paraId="66428DBA">
      <w:pPr>
        <w:spacing w:line="360" w:lineRule="auto"/>
        <w:ind w:firstLine="413" w:firstLineChars="196"/>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一、项目概述</w:t>
      </w:r>
    </w:p>
    <w:p w14:paraId="0DD536DE">
      <w:pPr>
        <w:adjustRightInd w:val="0"/>
        <w:snapToGrid w:val="0"/>
        <w:spacing w:line="360" w:lineRule="auto"/>
        <w:ind w:firstLine="510"/>
        <w:rPr>
          <w:rFonts w:ascii="Times New Roman" w:hAnsi="Times New Roman" w:eastAsia="宋体" w:cs="Times New Roman"/>
          <w:color w:val="000000" w:themeColor="text1"/>
          <w:szCs w:val="21"/>
        </w:rPr>
      </w:pPr>
      <w:r>
        <w:rPr>
          <w:rFonts w:ascii="Times New Roman" w:hAnsi="宋体" w:eastAsia="宋体" w:cs="Times New Roman"/>
          <w:color w:val="000000" w:themeColor="text1"/>
          <w:szCs w:val="21"/>
        </w:rPr>
        <w:t>为保障环境空气自动监测系统正常运行，更好地为环境管理服务，现采取委托第三方全托管运行维护方式对舟山生态大楼颗粒物组分站监测仪器进行运维管理。本项目预算</w:t>
      </w:r>
      <w:r>
        <w:rPr>
          <w:rFonts w:ascii="Times New Roman" w:hAnsi="Times New Roman" w:eastAsia="宋体" w:cs="Times New Roman"/>
          <w:color w:val="000000" w:themeColor="text1"/>
          <w:szCs w:val="21"/>
        </w:rPr>
        <w:t>68</w:t>
      </w:r>
      <w:r>
        <w:rPr>
          <w:rFonts w:ascii="Times New Roman" w:hAnsi="宋体" w:eastAsia="宋体" w:cs="Times New Roman"/>
          <w:color w:val="000000" w:themeColor="text1"/>
          <w:szCs w:val="21"/>
        </w:rPr>
        <w:t>万元。</w:t>
      </w:r>
    </w:p>
    <w:p w14:paraId="546DD8A4">
      <w:pPr>
        <w:adjustRightInd w:val="0"/>
        <w:snapToGrid w:val="0"/>
        <w:spacing w:line="360" w:lineRule="auto"/>
        <w:ind w:firstLine="510"/>
        <w:rPr>
          <w:rFonts w:ascii="Times New Roman" w:hAnsi="Times New Roman" w:eastAsia="宋体" w:cs="Times New Roman"/>
          <w:bCs/>
          <w:color w:val="000000" w:themeColor="text1"/>
          <w:szCs w:val="21"/>
        </w:rPr>
      </w:pPr>
      <w:r>
        <w:rPr>
          <w:rFonts w:ascii="Times New Roman" w:hAnsi="宋体" w:eastAsia="宋体" w:cs="Times New Roman"/>
          <w:color w:val="000000" w:themeColor="text1"/>
          <w:szCs w:val="21"/>
        </w:rPr>
        <w:t>全托管</w:t>
      </w:r>
      <w:r>
        <w:rPr>
          <w:rFonts w:ascii="Times New Roman" w:hAnsi="宋体" w:eastAsia="宋体" w:cs="Times New Roman"/>
          <w:color w:val="000000" w:themeColor="text1"/>
          <w:szCs w:val="21"/>
          <w:shd w:val="clear" w:color="auto" w:fill="FFFFFF"/>
        </w:rPr>
        <w:t>运维费用包括所有监测</w:t>
      </w:r>
      <w:r>
        <w:rPr>
          <w:rFonts w:ascii="Times New Roman" w:hAnsi="宋体" w:eastAsia="宋体" w:cs="Times New Roman"/>
          <w:color w:val="000000" w:themeColor="text1"/>
          <w:szCs w:val="21"/>
        </w:rPr>
        <w:t>仪器</w:t>
      </w:r>
      <w:r>
        <w:rPr>
          <w:rFonts w:ascii="Times New Roman" w:hAnsi="宋体" w:eastAsia="宋体" w:cs="Times New Roman"/>
          <w:color w:val="000000" w:themeColor="text1"/>
          <w:szCs w:val="21"/>
          <w:shd w:val="clear" w:color="auto" w:fill="FFFFFF"/>
        </w:rPr>
        <w:t>运行所需的所有耗材、配件、标样、故障维修与配件更换，监测数据重积分处理及审核、站房维修维护、附属设施维修维护</w:t>
      </w:r>
      <w:r>
        <w:rPr>
          <w:rFonts w:ascii="Times New Roman" w:hAnsi="Times New Roman" w:eastAsia="宋体" w:cs="Times New Roman"/>
          <w:color w:val="000000" w:themeColor="text1"/>
          <w:szCs w:val="21"/>
          <w:shd w:val="clear" w:color="auto" w:fill="FFFFFF"/>
        </w:rPr>
        <w:t>(</w:t>
      </w:r>
      <w:r>
        <w:rPr>
          <w:rFonts w:ascii="Times New Roman" w:hAnsi="宋体" w:eastAsia="宋体" w:cs="Times New Roman"/>
          <w:color w:val="000000" w:themeColor="text1"/>
          <w:szCs w:val="21"/>
          <w:shd w:val="clear" w:color="auto" w:fill="FFFFFF"/>
        </w:rPr>
        <w:t>含年度防雷检测报告</w:t>
      </w:r>
      <w:r>
        <w:rPr>
          <w:rFonts w:ascii="Times New Roman" w:hAnsi="Times New Roman" w:eastAsia="宋体" w:cs="Times New Roman"/>
          <w:color w:val="000000" w:themeColor="text1"/>
          <w:szCs w:val="21"/>
          <w:shd w:val="clear" w:color="auto" w:fill="FFFFFF"/>
        </w:rPr>
        <w:t>)</w:t>
      </w:r>
      <w:r>
        <w:rPr>
          <w:rFonts w:ascii="Times New Roman" w:hAnsi="宋体" w:eastAsia="宋体" w:cs="Times New Roman"/>
          <w:color w:val="000000" w:themeColor="text1"/>
          <w:szCs w:val="21"/>
          <w:shd w:val="clear" w:color="auto" w:fill="FFFFFF"/>
        </w:rPr>
        <w:t>、站点安保等，以及其他暂未获取专项运维经费支持的空气自动监测站的运维保障任务。所有耗材、配件、标样等易耗品必须使用正规品牌，杜绝劣质品牌，以确保监测数据准确稳定。</w:t>
      </w:r>
    </w:p>
    <w:p w14:paraId="57CF96D3">
      <w:pPr>
        <w:spacing w:line="360" w:lineRule="auto"/>
        <w:ind w:firstLine="413" w:firstLineChars="196"/>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二、运维需求及内容</w:t>
      </w:r>
    </w:p>
    <w:p w14:paraId="283CC35C">
      <w:pPr>
        <w:adjustRightInd w:val="0"/>
        <w:snapToGrid w:val="0"/>
        <w:spacing w:line="360" w:lineRule="auto"/>
        <w:ind w:firstLine="51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1</w:t>
      </w:r>
      <w:r>
        <w:rPr>
          <w:rFonts w:ascii="Times New Roman" w:hAnsi="宋体" w:eastAsia="宋体" w:cs="Times New Roman"/>
          <w:b/>
          <w:color w:val="000000" w:themeColor="text1"/>
          <w:szCs w:val="21"/>
        </w:rPr>
        <w:t>、站点仪器设备配置情况见表</w:t>
      </w:r>
      <w:r>
        <w:rPr>
          <w:rFonts w:ascii="Times New Roman" w:hAnsi="Times New Roman" w:eastAsia="宋体" w:cs="Times New Roman"/>
          <w:b/>
          <w:color w:val="000000" w:themeColor="text1"/>
          <w:szCs w:val="21"/>
        </w:rPr>
        <w:t>1</w:t>
      </w:r>
      <w:r>
        <w:rPr>
          <w:rFonts w:ascii="Times New Roman" w:hAnsi="宋体" w:eastAsia="宋体" w:cs="Times New Roman"/>
          <w:b/>
          <w:color w:val="000000" w:themeColor="text1"/>
          <w:szCs w:val="21"/>
        </w:rPr>
        <w:t>。</w:t>
      </w:r>
    </w:p>
    <w:p w14:paraId="7167C187">
      <w:pPr>
        <w:spacing w:beforeLines="50" w:line="360" w:lineRule="auto"/>
        <w:jc w:val="center"/>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表</w:t>
      </w:r>
      <w:r>
        <w:rPr>
          <w:rFonts w:ascii="Times New Roman" w:hAnsi="Times New Roman" w:eastAsia="宋体" w:cs="Times New Roman"/>
          <w:b/>
          <w:color w:val="000000" w:themeColor="text1"/>
          <w:szCs w:val="21"/>
        </w:rPr>
        <w:t xml:space="preserve">1 </w:t>
      </w:r>
      <w:r>
        <w:rPr>
          <w:rFonts w:ascii="Times New Roman" w:hAnsi="宋体" w:eastAsia="宋体" w:cs="Times New Roman"/>
          <w:b/>
          <w:color w:val="000000" w:themeColor="text1"/>
          <w:szCs w:val="21"/>
        </w:rPr>
        <w:t>舟山生态大楼颗粒物组分站点仪器配置情况一览表</w:t>
      </w:r>
    </w:p>
    <w:p w14:paraId="485CE145">
      <w:pPr>
        <w:ind w:firstLine="284"/>
        <w:rPr>
          <w:rFonts w:ascii="Times New Roman" w:hAnsi="Times New Roman" w:eastAsia="宋体" w:cs="Times New Roman"/>
          <w:color w:val="000000" w:themeColor="text1"/>
          <w:szCs w:val="21"/>
        </w:rPr>
      </w:pPr>
    </w:p>
    <w:tbl>
      <w:tblPr>
        <w:tblStyle w:val="169"/>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16"/>
        <w:gridCol w:w="2146"/>
        <w:gridCol w:w="1083"/>
        <w:gridCol w:w="1936"/>
      </w:tblGrid>
      <w:tr w14:paraId="77CEB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vAlign w:val="center"/>
          </w:tcPr>
          <w:p w14:paraId="211292BD">
            <w:pPr>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序号</w:t>
            </w:r>
          </w:p>
        </w:tc>
        <w:tc>
          <w:tcPr>
            <w:tcW w:w="2116" w:type="dxa"/>
            <w:vAlign w:val="center"/>
          </w:tcPr>
          <w:p w14:paraId="6447D46A">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设备名称</w:t>
            </w:r>
          </w:p>
        </w:tc>
        <w:tc>
          <w:tcPr>
            <w:tcW w:w="2146" w:type="dxa"/>
            <w:vAlign w:val="center"/>
          </w:tcPr>
          <w:p w14:paraId="49D5C7DF">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品牌型号</w:t>
            </w:r>
          </w:p>
        </w:tc>
        <w:tc>
          <w:tcPr>
            <w:tcW w:w="1083" w:type="dxa"/>
            <w:vAlign w:val="center"/>
          </w:tcPr>
          <w:p w14:paraId="7C365F11">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数量</w:t>
            </w:r>
          </w:p>
        </w:tc>
        <w:tc>
          <w:tcPr>
            <w:tcW w:w="1936" w:type="dxa"/>
            <w:vAlign w:val="center"/>
          </w:tcPr>
          <w:p w14:paraId="3A3DC32A">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设备投入运行时间</w:t>
            </w:r>
          </w:p>
        </w:tc>
      </w:tr>
      <w:tr w14:paraId="3A74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vAlign w:val="center"/>
          </w:tcPr>
          <w:p w14:paraId="481CE263">
            <w:pPr>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1</w:t>
            </w:r>
          </w:p>
        </w:tc>
        <w:tc>
          <w:tcPr>
            <w:tcW w:w="2116" w:type="dxa"/>
            <w:vAlign w:val="center"/>
          </w:tcPr>
          <w:p w14:paraId="513751DC">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PM</w:t>
            </w:r>
            <w:r>
              <w:rPr>
                <w:rFonts w:ascii="Times New Roman" w:hAnsi="Times New Roman" w:eastAsia="宋体" w:cs="Times New Roman"/>
                <w:color w:val="000000" w:themeColor="text1"/>
                <w:kern w:val="0"/>
                <w:sz w:val="20"/>
                <w:szCs w:val="21"/>
                <w:vertAlign w:val="subscript"/>
              </w:rPr>
              <w:t>2.5</w:t>
            </w:r>
            <w:r>
              <w:rPr>
                <w:rFonts w:ascii="Times New Roman" w:hAnsi="宋体" w:eastAsia="宋体" w:cs="Times New Roman"/>
                <w:color w:val="000000" w:themeColor="text1"/>
                <w:kern w:val="0"/>
                <w:sz w:val="20"/>
                <w:szCs w:val="21"/>
              </w:rPr>
              <w:t>在线分析仪</w:t>
            </w:r>
          </w:p>
        </w:tc>
        <w:tc>
          <w:tcPr>
            <w:tcW w:w="2146" w:type="dxa"/>
            <w:vAlign w:val="center"/>
          </w:tcPr>
          <w:p w14:paraId="2F22077D">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赛默飞</w:t>
            </w:r>
            <w:r>
              <w:rPr>
                <w:rFonts w:ascii="Times New Roman" w:hAnsi="Times New Roman" w:eastAsia="宋体" w:cs="Times New Roman"/>
                <w:color w:val="000000" w:themeColor="text1"/>
                <w:kern w:val="0"/>
                <w:sz w:val="20"/>
                <w:szCs w:val="21"/>
              </w:rPr>
              <w:t>5030i</w:t>
            </w:r>
          </w:p>
        </w:tc>
        <w:tc>
          <w:tcPr>
            <w:tcW w:w="1083" w:type="dxa"/>
            <w:vAlign w:val="center"/>
          </w:tcPr>
          <w:p w14:paraId="4ED22CDA">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1</w:t>
            </w:r>
            <w:r>
              <w:rPr>
                <w:rFonts w:ascii="Times New Roman" w:hAnsi="宋体" w:eastAsia="宋体" w:cs="Times New Roman"/>
                <w:color w:val="000000" w:themeColor="text1"/>
                <w:kern w:val="0"/>
                <w:sz w:val="20"/>
                <w:szCs w:val="21"/>
              </w:rPr>
              <w:t>套</w:t>
            </w:r>
          </w:p>
        </w:tc>
        <w:tc>
          <w:tcPr>
            <w:tcW w:w="1936" w:type="dxa"/>
            <w:vAlign w:val="center"/>
          </w:tcPr>
          <w:p w14:paraId="438E0A7A">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2021</w:t>
            </w:r>
            <w:r>
              <w:rPr>
                <w:rFonts w:ascii="Times New Roman" w:hAnsi="宋体" w:eastAsia="宋体" w:cs="Times New Roman"/>
                <w:color w:val="000000" w:themeColor="text1"/>
                <w:kern w:val="0"/>
                <w:sz w:val="20"/>
                <w:szCs w:val="21"/>
              </w:rPr>
              <w:t>年</w:t>
            </w:r>
          </w:p>
        </w:tc>
      </w:tr>
      <w:tr w14:paraId="7DFE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vAlign w:val="center"/>
          </w:tcPr>
          <w:p w14:paraId="22721AF3">
            <w:pPr>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2</w:t>
            </w:r>
          </w:p>
        </w:tc>
        <w:tc>
          <w:tcPr>
            <w:tcW w:w="2116" w:type="dxa"/>
            <w:vAlign w:val="center"/>
          </w:tcPr>
          <w:p w14:paraId="43D8968C">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在线离子色谱仪</w:t>
            </w:r>
          </w:p>
        </w:tc>
        <w:tc>
          <w:tcPr>
            <w:tcW w:w="2146" w:type="dxa"/>
            <w:vAlign w:val="center"/>
          </w:tcPr>
          <w:p w14:paraId="494E8EEE">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ThermoFisher URG9000D</w:t>
            </w:r>
          </w:p>
        </w:tc>
        <w:tc>
          <w:tcPr>
            <w:tcW w:w="1083" w:type="dxa"/>
            <w:vAlign w:val="center"/>
          </w:tcPr>
          <w:p w14:paraId="60E17FC9">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1</w:t>
            </w:r>
            <w:r>
              <w:rPr>
                <w:rFonts w:ascii="Times New Roman" w:hAnsi="宋体" w:eastAsia="宋体" w:cs="Times New Roman"/>
                <w:color w:val="000000" w:themeColor="text1"/>
                <w:kern w:val="0"/>
                <w:sz w:val="20"/>
                <w:szCs w:val="21"/>
              </w:rPr>
              <w:t>套</w:t>
            </w:r>
          </w:p>
        </w:tc>
        <w:tc>
          <w:tcPr>
            <w:tcW w:w="1936" w:type="dxa"/>
            <w:vAlign w:val="center"/>
          </w:tcPr>
          <w:p w14:paraId="53030265">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2021</w:t>
            </w:r>
            <w:r>
              <w:rPr>
                <w:rFonts w:ascii="Times New Roman" w:hAnsi="宋体" w:eastAsia="宋体" w:cs="Times New Roman"/>
                <w:color w:val="000000" w:themeColor="text1"/>
                <w:kern w:val="0"/>
                <w:sz w:val="20"/>
                <w:szCs w:val="21"/>
              </w:rPr>
              <w:t>年</w:t>
            </w:r>
          </w:p>
        </w:tc>
      </w:tr>
      <w:tr w14:paraId="161F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5" w:type="dxa"/>
            <w:vAlign w:val="center"/>
          </w:tcPr>
          <w:p w14:paraId="72C8ABD4">
            <w:pPr>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3</w:t>
            </w:r>
          </w:p>
        </w:tc>
        <w:tc>
          <w:tcPr>
            <w:tcW w:w="2116" w:type="dxa"/>
            <w:vAlign w:val="center"/>
          </w:tcPr>
          <w:p w14:paraId="5A5AB3CB">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在线无机元素分析仪</w:t>
            </w:r>
          </w:p>
        </w:tc>
        <w:tc>
          <w:tcPr>
            <w:tcW w:w="2146" w:type="dxa"/>
            <w:vAlign w:val="center"/>
          </w:tcPr>
          <w:p w14:paraId="68C37375">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COOPER ENVIRONMENTAL</w:t>
            </w:r>
          </w:p>
          <w:p w14:paraId="14BA9C4F">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CES Xact625</w:t>
            </w:r>
          </w:p>
        </w:tc>
        <w:tc>
          <w:tcPr>
            <w:tcW w:w="1083" w:type="dxa"/>
            <w:vAlign w:val="center"/>
          </w:tcPr>
          <w:p w14:paraId="2EFAC923">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1</w:t>
            </w:r>
            <w:r>
              <w:rPr>
                <w:rFonts w:ascii="Times New Roman" w:hAnsi="宋体" w:eastAsia="宋体" w:cs="Times New Roman"/>
                <w:color w:val="000000" w:themeColor="text1"/>
                <w:kern w:val="0"/>
                <w:sz w:val="20"/>
                <w:szCs w:val="21"/>
              </w:rPr>
              <w:t>套</w:t>
            </w:r>
          </w:p>
        </w:tc>
        <w:tc>
          <w:tcPr>
            <w:tcW w:w="1936" w:type="dxa"/>
            <w:vAlign w:val="center"/>
          </w:tcPr>
          <w:p w14:paraId="178B3E7E">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2021</w:t>
            </w:r>
            <w:r>
              <w:rPr>
                <w:rFonts w:ascii="Times New Roman" w:hAnsi="宋体" w:eastAsia="宋体" w:cs="Times New Roman"/>
                <w:color w:val="000000" w:themeColor="text1"/>
                <w:kern w:val="0"/>
                <w:sz w:val="20"/>
                <w:szCs w:val="21"/>
              </w:rPr>
              <w:t>年</w:t>
            </w:r>
          </w:p>
        </w:tc>
      </w:tr>
      <w:tr w14:paraId="6CB4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5" w:type="dxa"/>
            <w:vAlign w:val="center"/>
          </w:tcPr>
          <w:p w14:paraId="08EAFBBC">
            <w:pPr>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4</w:t>
            </w:r>
          </w:p>
        </w:tc>
        <w:tc>
          <w:tcPr>
            <w:tcW w:w="2116" w:type="dxa"/>
            <w:vAlign w:val="center"/>
          </w:tcPr>
          <w:p w14:paraId="65C53290">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在线碳组分分析仪</w:t>
            </w:r>
          </w:p>
        </w:tc>
        <w:tc>
          <w:tcPr>
            <w:tcW w:w="2146" w:type="dxa"/>
            <w:vAlign w:val="center"/>
          </w:tcPr>
          <w:p w14:paraId="7CAF3263">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MAGEE CASS</w:t>
            </w:r>
          </w:p>
        </w:tc>
        <w:tc>
          <w:tcPr>
            <w:tcW w:w="1083" w:type="dxa"/>
            <w:vAlign w:val="center"/>
          </w:tcPr>
          <w:p w14:paraId="7C24C023">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1</w:t>
            </w:r>
            <w:r>
              <w:rPr>
                <w:rFonts w:ascii="Times New Roman" w:hAnsi="宋体" w:eastAsia="宋体" w:cs="Times New Roman"/>
                <w:color w:val="000000" w:themeColor="text1"/>
                <w:kern w:val="0"/>
                <w:sz w:val="20"/>
                <w:szCs w:val="21"/>
              </w:rPr>
              <w:t>套</w:t>
            </w:r>
          </w:p>
        </w:tc>
        <w:tc>
          <w:tcPr>
            <w:tcW w:w="1936" w:type="dxa"/>
            <w:vAlign w:val="center"/>
          </w:tcPr>
          <w:p w14:paraId="675B2F5C">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2021</w:t>
            </w:r>
            <w:r>
              <w:rPr>
                <w:rFonts w:ascii="Times New Roman" w:hAnsi="宋体" w:eastAsia="宋体" w:cs="Times New Roman"/>
                <w:color w:val="000000" w:themeColor="text1"/>
                <w:kern w:val="0"/>
                <w:sz w:val="20"/>
                <w:szCs w:val="21"/>
              </w:rPr>
              <w:t>年</w:t>
            </w:r>
          </w:p>
        </w:tc>
      </w:tr>
    </w:tbl>
    <w:p w14:paraId="0F2E0E4B">
      <w:pPr>
        <w:spacing w:line="360" w:lineRule="auto"/>
        <w:ind w:firstLine="284"/>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2</w:t>
      </w:r>
      <w:r>
        <w:rPr>
          <w:rFonts w:ascii="Times New Roman" w:hAnsi="宋体" w:eastAsia="宋体" w:cs="Times New Roman"/>
          <w:b/>
          <w:bCs/>
          <w:color w:val="000000" w:themeColor="text1"/>
          <w:kern w:val="0"/>
          <w:szCs w:val="21"/>
        </w:rPr>
        <w:t>、运维管理内容</w:t>
      </w:r>
    </w:p>
    <w:p w14:paraId="256982F7">
      <w:pPr>
        <w:spacing w:line="360" w:lineRule="auto"/>
        <w:ind w:firstLine="482"/>
        <w:rPr>
          <w:rFonts w:ascii="Times New Roman" w:hAnsi="Times New Roman" w:eastAsia="宋体" w:cs="Times New Roman"/>
          <w:bCs/>
          <w:color w:val="000000" w:themeColor="text1"/>
          <w:kern w:val="0"/>
          <w:szCs w:val="21"/>
        </w:rPr>
      </w:pPr>
      <w:r>
        <w:rPr>
          <w:rFonts w:ascii="Times New Roman" w:hAnsi="Times New Roman" w:eastAsia="宋体" w:cs="Times New Roman"/>
          <w:b/>
          <w:color w:val="000000" w:themeColor="text1"/>
          <w:szCs w:val="21"/>
        </w:rPr>
        <w:t>2.1</w:t>
      </w:r>
      <w:r>
        <w:rPr>
          <w:rFonts w:ascii="Times New Roman" w:hAnsi="宋体" w:eastAsia="宋体" w:cs="Times New Roman"/>
          <w:bCs/>
          <w:color w:val="000000" w:themeColor="text1"/>
          <w:kern w:val="0"/>
          <w:szCs w:val="21"/>
        </w:rPr>
        <w:t>运维能力</w:t>
      </w:r>
    </w:p>
    <w:p w14:paraId="127B1F2B">
      <w:pPr>
        <w:spacing w:line="360" w:lineRule="auto"/>
        <w:ind w:firstLine="284"/>
        <w:rPr>
          <w:rFonts w:ascii="Times New Roman" w:hAnsi="Times New Roman" w:eastAsia="宋体" w:cs="Times New Roman"/>
          <w:bCs/>
          <w:color w:val="000000" w:themeColor="text1"/>
          <w:kern w:val="0"/>
          <w:szCs w:val="21"/>
        </w:rPr>
      </w:pPr>
      <w:r>
        <w:rPr>
          <w:rFonts w:ascii="Times New Roman" w:hAnsi="宋体" w:eastAsia="宋体" w:cs="Times New Roman"/>
          <w:bCs/>
          <w:color w:val="000000" w:themeColor="text1"/>
          <w:kern w:val="0"/>
          <w:szCs w:val="21"/>
        </w:rPr>
        <w:t>投标商自行提供运维方案，包括耗材更换以及日常运维计划。如数据有效率不能达标，应针对以其实际情况增加运维频次。</w:t>
      </w:r>
    </w:p>
    <w:p w14:paraId="7C388E10">
      <w:pPr>
        <w:spacing w:line="360" w:lineRule="auto"/>
        <w:ind w:firstLine="284"/>
        <w:rPr>
          <w:rFonts w:ascii="Times New Roman" w:hAnsi="Times New Roman" w:eastAsia="宋体" w:cs="Times New Roman"/>
          <w:bCs/>
          <w:color w:val="000000" w:themeColor="text1"/>
          <w:kern w:val="0"/>
          <w:szCs w:val="21"/>
        </w:rPr>
      </w:pPr>
      <w:r>
        <w:rPr>
          <w:rFonts w:ascii="Times New Roman" w:hAnsi="宋体" w:eastAsia="宋体" w:cs="Times New Roman"/>
          <w:bCs/>
          <w:color w:val="000000" w:themeColor="text1"/>
          <w:kern w:val="0"/>
          <w:szCs w:val="21"/>
        </w:rPr>
        <w:t>运维技术人员须在正式运维前熟练操作其标项内所包含的仪器，因运维不当造成仪器损坏由该</w:t>
      </w:r>
      <w:r>
        <w:rPr>
          <w:rFonts w:hint="eastAsia" w:ascii="Times New Roman" w:hAnsi="宋体" w:eastAsia="宋体" w:cs="Times New Roman"/>
          <w:bCs/>
          <w:color w:val="000000" w:themeColor="text1"/>
          <w:kern w:val="0"/>
          <w:szCs w:val="21"/>
          <w:lang w:eastAsia="zh-CN"/>
        </w:rPr>
        <w:t>中标供应商</w:t>
      </w:r>
      <w:r>
        <w:rPr>
          <w:rFonts w:ascii="Times New Roman" w:hAnsi="宋体" w:eastAsia="宋体" w:cs="Times New Roman"/>
          <w:bCs/>
          <w:color w:val="000000" w:themeColor="text1"/>
          <w:kern w:val="0"/>
          <w:szCs w:val="21"/>
        </w:rPr>
        <w:t>承担相应责任并赔偿损失。用户有权对</w:t>
      </w:r>
      <w:r>
        <w:rPr>
          <w:rFonts w:hint="eastAsia" w:ascii="Times New Roman" w:hAnsi="宋体" w:eastAsia="宋体" w:cs="Times New Roman"/>
          <w:bCs/>
          <w:color w:val="000000" w:themeColor="text1"/>
          <w:kern w:val="0"/>
          <w:szCs w:val="21"/>
          <w:lang w:eastAsia="zh-CN"/>
        </w:rPr>
        <w:t>中标供应商</w:t>
      </w:r>
      <w:r>
        <w:rPr>
          <w:rFonts w:ascii="Times New Roman" w:hAnsi="宋体" w:eastAsia="宋体" w:cs="Times New Roman"/>
          <w:bCs/>
          <w:color w:val="000000" w:themeColor="text1"/>
          <w:kern w:val="0"/>
          <w:szCs w:val="21"/>
        </w:rPr>
        <w:t>安排的技术人员进行技术考核，如不能满足实际维护能力要求，不遵守管理制度，影响运维工作开展，用户有权要求更换技术人员，</w:t>
      </w:r>
      <w:r>
        <w:rPr>
          <w:rFonts w:hint="eastAsia" w:ascii="Times New Roman" w:hAnsi="宋体" w:eastAsia="宋体" w:cs="Times New Roman"/>
          <w:bCs/>
          <w:color w:val="000000" w:themeColor="text1"/>
          <w:kern w:val="0"/>
          <w:szCs w:val="21"/>
          <w:lang w:eastAsia="zh-CN"/>
        </w:rPr>
        <w:t>中标供应商</w:t>
      </w:r>
      <w:r>
        <w:rPr>
          <w:rFonts w:ascii="Times New Roman" w:hAnsi="宋体" w:eastAsia="宋体" w:cs="Times New Roman"/>
          <w:bCs/>
          <w:color w:val="000000" w:themeColor="text1"/>
          <w:kern w:val="0"/>
          <w:szCs w:val="21"/>
        </w:rPr>
        <w:t>在收到要求更换运维技术人员的文件两周之内进行更换。合同期内运维技术人员的一切开支由</w:t>
      </w:r>
      <w:r>
        <w:rPr>
          <w:rFonts w:hint="eastAsia" w:ascii="Times New Roman" w:hAnsi="宋体" w:eastAsia="宋体" w:cs="Times New Roman"/>
          <w:bCs/>
          <w:color w:val="000000" w:themeColor="text1"/>
          <w:kern w:val="0"/>
          <w:szCs w:val="21"/>
          <w:lang w:eastAsia="zh-CN"/>
        </w:rPr>
        <w:t>中标供应商</w:t>
      </w:r>
      <w:r>
        <w:rPr>
          <w:rFonts w:ascii="Times New Roman" w:hAnsi="宋体" w:eastAsia="宋体" w:cs="Times New Roman"/>
          <w:bCs/>
          <w:color w:val="000000" w:themeColor="text1"/>
          <w:kern w:val="0"/>
          <w:szCs w:val="21"/>
        </w:rPr>
        <w:t>负责（如食宿、差旅费等）。</w:t>
      </w:r>
    </w:p>
    <w:p w14:paraId="76EE5E45">
      <w:pPr>
        <w:spacing w:line="360" w:lineRule="auto"/>
        <w:ind w:firstLine="284"/>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 xml:space="preserve">2.2 </w:t>
      </w:r>
      <w:r>
        <w:rPr>
          <w:rFonts w:ascii="Times New Roman" w:hAnsi="宋体" w:eastAsia="宋体" w:cs="Times New Roman"/>
          <w:b/>
          <w:color w:val="000000" w:themeColor="text1"/>
          <w:szCs w:val="21"/>
        </w:rPr>
        <w:t>保密原则</w:t>
      </w:r>
    </w:p>
    <w:p w14:paraId="2D8C777A">
      <w:pPr>
        <w:spacing w:line="360" w:lineRule="auto"/>
        <w:ind w:firstLine="480"/>
        <w:rPr>
          <w:rFonts w:ascii="Times New Roman" w:hAnsi="Times New Roman" w:eastAsia="宋体" w:cs="Times New Roman"/>
          <w:bCs/>
          <w:color w:val="000000" w:themeColor="text1"/>
          <w:szCs w:val="21"/>
        </w:rPr>
      </w:pPr>
      <w:r>
        <w:rPr>
          <w:rFonts w:ascii="Times New Roman" w:hAnsi="宋体" w:eastAsia="宋体" w:cs="Times New Roman"/>
          <w:color w:val="000000" w:themeColor="text1"/>
          <w:szCs w:val="21"/>
        </w:rPr>
        <w:t>运维技术人员在维护期间须遵守用户的相应管理制度，并与用户签订保密协议。如因违反管理规定或保密协议，用户有权追究</w:t>
      </w:r>
      <w:r>
        <w:rPr>
          <w:rFonts w:hint="eastAsia" w:ascii="Times New Roman" w:hAnsi="宋体" w:eastAsia="宋体" w:cs="Times New Roman"/>
          <w:color w:val="000000" w:themeColor="text1"/>
          <w:szCs w:val="21"/>
          <w:lang w:eastAsia="zh-CN"/>
        </w:rPr>
        <w:t>中标供应商</w:t>
      </w:r>
      <w:r>
        <w:rPr>
          <w:rFonts w:ascii="Times New Roman" w:hAnsi="宋体" w:eastAsia="宋体" w:cs="Times New Roman"/>
          <w:color w:val="000000" w:themeColor="text1"/>
          <w:szCs w:val="21"/>
        </w:rPr>
        <w:t>及该名运维技术人员的相应责任并赔偿相应损失。</w:t>
      </w:r>
    </w:p>
    <w:p w14:paraId="5F337A8E">
      <w:pPr>
        <w:spacing w:line="360" w:lineRule="auto"/>
        <w:ind w:firstLine="284"/>
        <w:rPr>
          <w:rFonts w:ascii="Times New Roman" w:hAnsi="Times New Roman" w:eastAsia="宋体" w:cs="Times New Roman"/>
          <w:b/>
          <w:color w:val="000000" w:themeColor="text1"/>
          <w:szCs w:val="21"/>
        </w:rPr>
      </w:pPr>
      <w:r>
        <w:rPr>
          <w:rFonts w:ascii="Times New Roman" w:hAnsi="Times New Roman" w:eastAsia="宋体" w:cs="Times New Roman"/>
          <w:b/>
          <w:bCs/>
          <w:color w:val="000000" w:themeColor="text1"/>
          <w:szCs w:val="21"/>
        </w:rPr>
        <w:t xml:space="preserve">2.3 </w:t>
      </w:r>
      <w:r>
        <w:rPr>
          <w:rFonts w:ascii="Times New Roman" w:hAnsi="宋体" w:eastAsia="宋体" w:cs="Times New Roman"/>
          <w:b/>
          <w:color w:val="000000" w:themeColor="text1"/>
          <w:szCs w:val="21"/>
        </w:rPr>
        <w:t>仪器故障处理</w:t>
      </w:r>
    </w:p>
    <w:p w14:paraId="7B837D48">
      <w:pPr>
        <w:spacing w:line="360" w:lineRule="auto"/>
        <w:ind w:firstLine="480"/>
        <w:rPr>
          <w:rFonts w:ascii="Times New Roman" w:hAnsi="Times New Roman" w:eastAsia="宋体" w:cs="Times New Roman"/>
          <w:color w:val="000000" w:themeColor="text1"/>
          <w:szCs w:val="21"/>
        </w:rPr>
      </w:pPr>
      <w:r>
        <w:rPr>
          <w:rFonts w:ascii="Times New Roman" w:hAnsi="宋体" w:eastAsia="宋体" w:cs="Times New Roman"/>
          <w:color w:val="000000" w:themeColor="text1"/>
          <w:szCs w:val="21"/>
        </w:rPr>
        <w:t>当项目运维清单中设备发生故障时，须向浙江省海洋生态环境监测中心报告，</w:t>
      </w:r>
      <w:r>
        <w:rPr>
          <w:rFonts w:hint="eastAsia" w:ascii="Times New Roman" w:hAnsi="宋体" w:eastAsia="宋体" w:cs="Times New Roman"/>
          <w:color w:val="000000" w:themeColor="text1"/>
          <w:szCs w:val="21"/>
          <w:lang w:eastAsia="zh-CN"/>
        </w:rPr>
        <w:t>中标供应商</w:t>
      </w:r>
      <w:r>
        <w:rPr>
          <w:rFonts w:ascii="Times New Roman" w:hAnsi="宋体" w:eastAsia="宋体" w:cs="Times New Roman"/>
          <w:color w:val="000000" w:themeColor="text1"/>
          <w:szCs w:val="21"/>
        </w:rPr>
        <w:t>须承担所有维修费用，故障须尽快解决，故障超过</w:t>
      </w:r>
      <w:r>
        <w:rPr>
          <w:rFonts w:ascii="Times New Roman" w:hAnsi="Times New Roman" w:eastAsia="宋体" w:cs="Times New Roman"/>
          <w:color w:val="000000" w:themeColor="text1"/>
          <w:szCs w:val="21"/>
        </w:rPr>
        <w:t>7</w:t>
      </w:r>
      <w:r>
        <w:rPr>
          <w:rFonts w:ascii="Times New Roman" w:hAnsi="宋体" w:eastAsia="宋体" w:cs="Times New Roman"/>
          <w:color w:val="000000" w:themeColor="text1"/>
          <w:szCs w:val="21"/>
        </w:rPr>
        <w:t>天须说明原因并提供维修证明，维修时间最迟不得超过</w:t>
      </w:r>
      <w:r>
        <w:rPr>
          <w:rFonts w:ascii="Times New Roman" w:hAnsi="Times New Roman" w:eastAsia="宋体" w:cs="Times New Roman"/>
          <w:color w:val="000000" w:themeColor="text1"/>
          <w:szCs w:val="21"/>
        </w:rPr>
        <w:t>1</w:t>
      </w:r>
      <w:r>
        <w:rPr>
          <w:rFonts w:ascii="Times New Roman" w:hAnsi="宋体" w:eastAsia="宋体" w:cs="Times New Roman"/>
          <w:color w:val="000000" w:themeColor="text1"/>
          <w:szCs w:val="21"/>
        </w:rPr>
        <w:t>个月，如在一个月内无法修复的设备，须提供相当性能、功能的整机或备件。</w:t>
      </w:r>
    </w:p>
    <w:p w14:paraId="0EA1E84B">
      <w:pPr>
        <w:spacing w:line="360" w:lineRule="auto"/>
        <w:ind w:firstLine="284"/>
        <w:rPr>
          <w:rFonts w:ascii="Times New Roman" w:hAnsi="Times New Roman" w:eastAsia="宋体" w:cs="Times New Roman"/>
          <w:b/>
          <w:color w:val="000000" w:themeColor="text1"/>
          <w:szCs w:val="21"/>
        </w:rPr>
      </w:pPr>
      <w:r>
        <w:rPr>
          <w:rFonts w:ascii="Times New Roman" w:hAnsi="Times New Roman" w:eastAsia="宋体" w:cs="Times New Roman"/>
          <w:b/>
          <w:bCs/>
          <w:color w:val="000000" w:themeColor="text1"/>
          <w:szCs w:val="21"/>
        </w:rPr>
        <w:t xml:space="preserve">2.4 </w:t>
      </w:r>
      <w:r>
        <w:rPr>
          <w:rFonts w:ascii="Times New Roman" w:hAnsi="宋体" w:eastAsia="宋体" w:cs="Times New Roman"/>
          <w:b/>
          <w:color w:val="000000" w:themeColor="text1"/>
          <w:szCs w:val="21"/>
        </w:rPr>
        <w:t>运维记录</w:t>
      </w:r>
      <w:r>
        <w:rPr>
          <w:rFonts w:ascii="Times New Roman" w:hAnsi="宋体" w:eastAsia="宋体" w:cs="Times New Roman"/>
          <w:b/>
          <w:bCs/>
          <w:color w:val="000000" w:themeColor="text1"/>
          <w:szCs w:val="21"/>
        </w:rPr>
        <w:t>、耗材及配件</w:t>
      </w:r>
      <w:r>
        <w:rPr>
          <w:rFonts w:ascii="Times New Roman" w:hAnsi="宋体" w:eastAsia="宋体" w:cs="Times New Roman"/>
          <w:b/>
          <w:color w:val="000000" w:themeColor="text1"/>
          <w:szCs w:val="21"/>
        </w:rPr>
        <w:t>管理</w:t>
      </w:r>
    </w:p>
    <w:p w14:paraId="478C08C9">
      <w:pPr>
        <w:spacing w:line="360" w:lineRule="auto"/>
        <w:ind w:firstLine="480"/>
        <w:rPr>
          <w:rFonts w:ascii="Times New Roman" w:hAnsi="Times New Roman" w:eastAsia="宋体" w:cs="Times New Roman"/>
          <w:color w:val="000000" w:themeColor="text1"/>
          <w:szCs w:val="21"/>
        </w:rPr>
      </w:pPr>
      <w:r>
        <w:rPr>
          <w:rFonts w:hint="eastAsia" w:ascii="Times New Roman" w:hAnsi="宋体" w:eastAsia="宋体" w:cs="Times New Roman"/>
          <w:color w:val="000000" w:themeColor="text1"/>
          <w:szCs w:val="21"/>
          <w:lang w:eastAsia="zh-CN"/>
        </w:rPr>
        <w:t>中标供应商</w:t>
      </w:r>
      <w:r>
        <w:rPr>
          <w:rFonts w:ascii="Times New Roman" w:hAnsi="宋体" w:eastAsia="宋体" w:cs="Times New Roman"/>
          <w:color w:val="000000" w:themeColor="text1"/>
          <w:szCs w:val="21"/>
        </w:rPr>
        <w:t>须按照甲方的要求填写仪器运维表格，做好空气站运行管理记录和存档。每次到站房运维后须为每台仪器填写运维表格，包括仪器原始设置、报警、维修、更换、保养、仪器校准、标气使用、标液配置、采样管清洁等运行维护内容。填写完成后须上交给甲方。</w:t>
      </w:r>
    </w:p>
    <w:p w14:paraId="3F3384CA">
      <w:pPr>
        <w:spacing w:line="360" w:lineRule="auto"/>
        <w:ind w:firstLine="480"/>
        <w:rPr>
          <w:rFonts w:ascii="Times New Roman" w:hAnsi="Times New Roman" w:eastAsia="宋体" w:cs="Times New Roman"/>
          <w:color w:val="000000" w:themeColor="text1"/>
          <w:szCs w:val="21"/>
        </w:rPr>
      </w:pPr>
      <w:r>
        <w:rPr>
          <w:rFonts w:ascii="Times New Roman" w:hAnsi="宋体" w:eastAsia="宋体" w:cs="Times New Roman"/>
          <w:color w:val="000000" w:themeColor="text1"/>
          <w:szCs w:val="21"/>
        </w:rPr>
        <w:t>运维过程中的耗材、备品备件需采用原厂件，如确实采购不到原厂件的，需向业主方报备并采购具有相同技术指标的耗材或配件。每次更换下来的耗材、配件须保存好，标注更换日期，经甲方认可后方可处理。每季度提交一次运维报告，年度运维完成后提交总报告。</w:t>
      </w:r>
    </w:p>
    <w:p w14:paraId="627630A9">
      <w:pPr>
        <w:spacing w:line="360" w:lineRule="auto"/>
        <w:ind w:firstLine="413" w:firstLineChars="196"/>
        <w:rPr>
          <w:rFonts w:ascii="Times New Roman" w:hAnsi="Times New Roman" w:eastAsia="宋体" w:cs="Times New Roman"/>
          <w:b/>
          <w:bCs/>
          <w:color w:val="000000" w:themeColor="text1"/>
          <w:kern w:val="0"/>
          <w:szCs w:val="21"/>
        </w:rPr>
      </w:pPr>
      <w:r>
        <w:rPr>
          <w:rFonts w:ascii="Times New Roman" w:hAnsi="宋体" w:eastAsia="宋体" w:cs="Times New Roman"/>
          <w:b/>
          <w:bCs/>
          <w:color w:val="000000" w:themeColor="text1"/>
          <w:kern w:val="0"/>
          <w:szCs w:val="21"/>
        </w:rPr>
        <w:t>三、</w:t>
      </w:r>
      <w:r>
        <w:rPr>
          <w:rFonts w:ascii="Times New Roman" w:hAnsi="Times New Roman" w:eastAsia="宋体" w:cs="Times New Roman"/>
          <w:b/>
          <w:bCs/>
          <w:color w:val="000000" w:themeColor="text1"/>
          <w:kern w:val="0"/>
          <w:szCs w:val="21"/>
        </w:rPr>
        <w:t xml:space="preserve"> </w:t>
      </w:r>
      <w:r>
        <w:rPr>
          <w:rFonts w:ascii="Times New Roman" w:hAnsi="宋体" w:eastAsia="宋体" w:cs="Times New Roman"/>
          <w:b/>
          <w:bCs/>
          <w:color w:val="000000" w:themeColor="text1"/>
          <w:kern w:val="0"/>
          <w:szCs w:val="21"/>
        </w:rPr>
        <w:t>服务期</w:t>
      </w:r>
    </w:p>
    <w:p w14:paraId="7CD4E0DA">
      <w:pPr>
        <w:snapToGrid w:val="0"/>
        <w:spacing w:line="360" w:lineRule="auto"/>
        <w:ind w:firstLine="422" w:firstLineChars="200"/>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运维服务时间：</w:t>
      </w:r>
      <w:r>
        <w:rPr>
          <w:rFonts w:ascii="Times New Roman" w:hAnsi="Times New Roman" w:eastAsia="宋体" w:cs="Times New Roman"/>
          <w:b/>
          <w:color w:val="000000" w:themeColor="text1"/>
          <w:szCs w:val="21"/>
        </w:rPr>
        <w:t>202</w:t>
      </w:r>
      <w:r>
        <w:rPr>
          <w:rFonts w:hint="eastAsia" w:ascii="Times New Roman" w:hAnsi="Times New Roman" w:eastAsia="宋体" w:cs="Times New Roman"/>
          <w:b/>
          <w:color w:val="000000" w:themeColor="text1"/>
          <w:szCs w:val="21"/>
        </w:rPr>
        <w:t>5</w:t>
      </w:r>
      <w:r>
        <w:rPr>
          <w:rFonts w:ascii="Times New Roman" w:hAnsi="宋体" w:eastAsia="宋体" w:cs="Times New Roman"/>
          <w:b/>
          <w:color w:val="000000" w:themeColor="text1"/>
          <w:szCs w:val="21"/>
        </w:rPr>
        <w:t>年</w:t>
      </w:r>
      <w:r>
        <w:rPr>
          <w:rFonts w:ascii="Times New Roman" w:hAnsi="Times New Roman" w:eastAsia="宋体" w:cs="Times New Roman"/>
          <w:b/>
          <w:color w:val="000000" w:themeColor="text1"/>
          <w:szCs w:val="21"/>
        </w:rPr>
        <w:t>8</w:t>
      </w:r>
      <w:r>
        <w:rPr>
          <w:rFonts w:ascii="Times New Roman" w:hAnsi="宋体" w:eastAsia="宋体" w:cs="Times New Roman"/>
          <w:b/>
          <w:color w:val="000000" w:themeColor="text1"/>
          <w:szCs w:val="21"/>
        </w:rPr>
        <w:t>月</w:t>
      </w:r>
      <w:r>
        <w:rPr>
          <w:rFonts w:ascii="Times New Roman" w:hAnsi="Times New Roman" w:eastAsia="宋体" w:cs="Times New Roman"/>
          <w:b/>
          <w:color w:val="000000" w:themeColor="text1"/>
          <w:szCs w:val="21"/>
        </w:rPr>
        <w:t>1</w:t>
      </w:r>
      <w:r>
        <w:rPr>
          <w:rFonts w:ascii="Times New Roman" w:hAnsi="宋体" w:eastAsia="宋体" w:cs="Times New Roman"/>
          <w:b/>
          <w:color w:val="000000" w:themeColor="text1"/>
          <w:szCs w:val="21"/>
        </w:rPr>
        <w:t>日至</w:t>
      </w:r>
      <w:r>
        <w:rPr>
          <w:rFonts w:ascii="Times New Roman" w:hAnsi="Times New Roman" w:eastAsia="宋体" w:cs="Times New Roman"/>
          <w:b/>
          <w:color w:val="000000" w:themeColor="text1"/>
          <w:szCs w:val="21"/>
        </w:rPr>
        <w:t>202</w:t>
      </w:r>
      <w:r>
        <w:rPr>
          <w:rFonts w:hint="eastAsia" w:ascii="Times New Roman" w:hAnsi="Times New Roman" w:eastAsia="宋体" w:cs="Times New Roman"/>
          <w:b/>
          <w:color w:val="000000" w:themeColor="text1"/>
          <w:szCs w:val="21"/>
        </w:rPr>
        <w:t>6</w:t>
      </w:r>
      <w:r>
        <w:rPr>
          <w:rFonts w:ascii="Times New Roman" w:hAnsi="宋体" w:eastAsia="宋体" w:cs="Times New Roman"/>
          <w:b/>
          <w:color w:val="000000" w:themeColor="text1"/>
          <w:szCs w:val="21"/>
        </w:rPr>
        <w:t>年</w:t>
      </w:r>
      <w:r>
        <w:rPr>
          <w:rFonts w:ascii="Times New Roman" w:hAnsi="Times New Roman" w:eastAsia="宋体" w:cs="Times New Roman"/>
          <w:b/>
          <w:color w:val="000000" w:themeColor="text1"/>
          <w:szCs w:val="21"/>
        </w:rPr>
        <w:t>7</w:t>
      </w:r>
      <w:r>
        <w:rPr>
          <w:rFonts w:ascii="Times New Roman" w:hAnsi="宋体" w:eastAsia="宋体" w:cs="Times New Roman"/>
          <w:b/>
          <w:color w:val="000000" w:themeColor="text1"/>
          <w:szCs w:val="21"/>
        </w:rPr>
        <w:t>月</w:t>
      </w:r>
      <w:r>
        <w:rPr>
          <w:rFonts w:ascii="Times New Roman" w:hAnsi="Times New Roman" w:eastAsia="宋体" w:cs="Times New Roman"/>
          <w:b/>
          <w:color w:val="000000" w:themeColor="text1"/>
          <w:szCs w:val="21"/>
        </w:rPr>
        <w:t>31</w:t>
      </w:r>
      <w:r>
        <w:rPr>
          <w:rFonts w:ascii="Times New Roman" w:hAnsi="宋体" w:eastAsia="宋体" w:cs="Times New Roman"/>
          <w:b/>
          <w:color w:val="000000" w:themeColor="text1"/>
          <w:szCs w:val="21"/>
        </w:rPr>
        <w:t>日，为期</w:t>
      </w:r>
      <w:r>
        <w:rPr>
          <w:rFonts w:ascii="Times New Roman" w:hAnsi="Times New Roman" w:eastAsia="宋体" w:cs="Times New Roman"/>
          <w:b/>
          <w:color w:val="000000" w:themeColor="text1"/>
          <w:szCs w:val="21"/>
        </w:rPr>
        <w:t>12</w:t>
      </w:r>
      <w:r>
        <w:rPr>
          <w:rFonts w:ascii="Times New Roman" w:hAnsi="宋体" w:eastAsia="宋体" w:cs="Times New Roman"/>
          <w:b/>
          <w:color w:val="000000" w:themeColor="text1"/>
          <w:szCs w:val="21"/>
        </w:rPr>
        <w:t>个月。</w:t>
      </w:r>
    </w:p>
    <w:p w14:paraId="123EAEA8">
      <w:pPr>
        <w:spacing w:line="360" w:lineRule="auto"/>
        <w:ind w:firstLine="413" w:firstLineChars="196"/>
        <w:rPr>
          <w:rFonts w:ascii="Times New Roman" w:hAnsi="Times New Roman" w:eastAsia="宋体" w:cs="Times New Roman"/>
          <w:b/>
          <w:bCs/>
          <w:color w:val="000000" w:themeColor="text1"/>
          <w:kern w:val="0"/>
          <w:szCs w:val="21"/>
        </w:rPr>
      </w:pPr>
      <w:r>
        <w:rPr>
          <w:rFonts w:ascii="Times New Roman" w:hAnsi="宋体" w:eastAsia="宋体" w:cs="Times New Roman"/>
          <w:b/>
          <w:bCs/>
          <w:color w:val="000000" w:themeColor="text1"/>
          <w:kern w:val="0"/>
          <w:szCs w:val="21"/>
        </w:rPr>
        <w:t>四、</w:t>
      </w:r>
      <w:r>
        <w:rPr>
          <w:rFonts w:ascii="Times New Roman" w:hAnsi="Times New Roman" w:eastAsia="宋体" w:cs="Times New Roman"/>
          <w:b/>
          <w:bCs/>
          <w:color w:val="000000" w:themeColor="text1"/>
          <w:kern w:val="0"/>
          <w:szCs w:val="21"/>
        </w:rPr>
        <w:t xml:space="preserve"> </w:t>
      </w:r>
      <w:r>
        <w:rPr>
          <w:rFonts w:ascii="Times New Roman" w:hAnsi="宋体" w:eastAsia="宋体" w:cs="Times New Roman"/>
          <w:b/>
          <w:bCs/>
          <w:color w:val="000000" w:themeColor="text1"/>
          <w:kern w:val="0"/>
          <w:szCs w:val="21"/>
        </w:rPr>
        <w:t>运维技术要求</w:t>
      </w:r>
    </w:p>
    <w:p w14:paraId="21C33D78">
      <w:pPr>
        <w:spacing w:line="360" w:lineRule="auto"/>
        <w:ind w:firstLine="284"/>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4.1</w:t>
      </w:r>
      <w:r>
        <w:rPr>
          <w:rFonts w:ascii="Times New Roman" w:hAnsi="宋体" w:eastAsia="宋体" w:cs="Times New Roman"/>
          <w:b/>
          <w:bCs/>
          <w:color w:val="000000" w:themeColor="text1"/>
          <w:kern w:val="0"/>
          <w:szCs w:val="21"/>
        </w:rPr>
        <w:t>仪器设备维护要求</w:t>
      </w:r>
    </w:p>
    <w:p w14:paraId="4DC21327">
      <w:pPr>
        <w:spacing w:line="360" w:lineRule="auto"/>
        <w:ind w:firstLine="480"/>
        <w:rPr>
          <w:rFonts w:ascii="Times New Roman" w:hAnsi="Times New Roman" w:eastAsia="宋体" w:cs="Times New Roman"/>
          <w:b/>
          <w:bCs/>
          <w:color w:val="000000" w:themeColor="text1"/>
          <w:kern w:val="0"/>
          <w:szCs w:val="21"/>
        </w:rPr>
      </w:pPr>
      <w:r>
        <w:rPr>
          <w:rFonts w:ascii="Times New Roman" w:hAnsi="宋体" w:eastAsia="宋体" w:cs="Times New Roman"/>
          <w:bCs/>
          <w:color w:val="000000" w:themeColor="text1"/>
          <w:kern w:val="0"/>
          <w:szCs w:val="21"/>
        </w:rPr>
        <w:t>按照</w:t>
      </w:r>
      <w:r>
        <w:rPr>
          <w:rFonts w:ascii="Times New Roman" w:hAnsi="宋体" w:eastAsia="宋体" w:cs="Times New Roman"/>
          <w:color w:val="000000" w:themeColor="text1"/>
          <w:szCs w:val="21"/>
        </w:rPr>
        <w:t>《环境空气质量监测技术规范》</w:t>
      </w:r>
      <w:r>
        <w:rPr>
          <w:rFonts w:ascii="Times New Roman" w:hAnsi="宋体" w:eastAsia="宋体" w:cs="Times New Roman"/>
          <w:bCs/>
          <w:color w:val="000000" w:themeColor="text1"/>
          <w:kern w:val="0"/>
          <w:szCs w:val="21"/>
        </w:rPr>
        <w:t>、《环境空气颗粒物（</w:t>
      </w:r>
      <w:r>
        <w:rPr>
          <w:rFonts w:ascii="Times New Roman" w:hAnsi="Times New Roman" w:eastAsia="宋体" w:cs="Times New Roman"/>
          <w:bCs/>
          <w:color w:val="000000" w:themeColor="text1"/>
          <w:kern w:val="0"/>
          <w:szCs w:val="21"/>
        </w:rPr>
        <w:t>PM</w:t>
      </w:r>
      <w:r>
        <w:rPr>
          <w:rFonts w:ascii="Times New Roman" w:hAnsi="Times New Roman" w:eastAsia="宋体" w:cs="Times New Roman"/>
          <w:bCs/>
          <w:color w:val="000000" w:themeColor="text1"/>
          <w:kern w:val="0"/>
          <w:szCs w:val="21"/>
          <w:vertAlign w:val="subscript"/>
        </w:rPr>
        <w:t>10</w:t>
      </w:r>
      <w:r>
        <w:rPr>
          <w:rFonts w:ascii="Times New Roman" w:hAnsi="宋体" w:eastAsia="宋体" w:cs="Times New Roman"/>
          <w:bCs/>
          <w:color w:val="000000" w:themeColor="text1"/>
          <w:kern w:val="0"/>
          <w:szCs w:val="21"/>
        </w:rPr>
        <w:t>和</w:t>
      </w:r>
      <w:r>
        <w:rPr>
          <w:rFonts w:ascii="Times New Roman" w:hAnsi="Times New Roman" w:eastAsia="宋体" w:cs="Times New Roman"/>
          <w:bCs/>
          <w:color w:val="000000" w:themeColor="text1"/>
          <w:kern w:val="0"/>
          <w:szCs w:val="21"/>
        </w:rPr>
        <w:t>PM</w:t>
      </w:r>
      <w:r>
        <w:rPr>
          <w:rFonts w:ascii="Times New Roman" w:hAnsi="Times New Roman" w:eastAsia="宋体" w:cs="Times New Roman"/>
          <w:bCs/>
          <w:color w:val="000000" w:themeColor="text1"/>
          <w:kern w:val="0"/>
          <w:szCs w:val="21"/>
          <w:vertAlign w:val="subscript"/>
        </w:rPr>
        <w:t>2.5</w:t>
      </w:r>
      <w:r>
        <w:rPr>
          <w:rFonts w:ascii="Times New Roman" w:hAnsi="宋体" w:eastAsia="宋体" w:cs="Times New Roman"/>
          <w:bCs/>
          <w:color w:val="000000" w:themeColor="text1"/>
          <w:kern w:val="0"/>
          <w:szCs w:val="21"/>
        </w:rPr>
        <w:t>）连续自动监测系统运行和质控技术规范》</w:t>
      </w:r>
      <w:r>
        <w:rPr>
          <w:rFonts w:ascii="Times New Roman" w:hAnsi="Times New Roman" w:eastAsia="宋体" w:cs="Times New Roman"/>
          <w:bCs/>
          <w:color w:val="000000" w:themeColor="text1"/>
          <w:kern w:val="0"/>
          <w:szCs w:val="21"/>
        </w:rPr>
        <w:t>(HJ 817-2018</w:t>
      </w:r>
      <w:r>
        <w:rPr>
          <w:rFonts w:ascii="Times New Roman" w:hAnsi="宋体" w:eastAsia="宋体" w:cs="Times New Roman"/>
          <w:bCs/>
          <w:color w:val="000000" w:themeColor="text1"/>
          <w:kern w:val="0"/>
          <w:szCs w:val="21"/>
        </w:rPr>
        <w:t>部分代替</w:t>
      </w:r>
      <w:r>
        <w:rPr>
          <w:rFonts w:ascii="Times New Roman" w:hAnsi="Times New Roman" w:eastAsia="宋体" w:cs="Times New Roman"/>
          <w:bCs/>
          <w:color w:val="000000" w:themeColor="text1"/>
          <w:kern w:val="0"/>
          <w:szCs w:val="21"/>
        </w:rPr>
        <w:t xml:space="preserve"> HJ/T 193-2005)</w:t>
      </w:r>
      <w:r>
        <w:rPr>
          <w:rFonts w:ascii="Times New Roman" w:hAnsi="宋体" w:eastAsia="宋体" w:cs="Times New Roman"/>
          <w:bCs/>
          <w:color w:val="000000" w:themeColor="text1"/>
          <w:kern w:val="0"/>
          <w:szCs w:val="21"/>
        </w:rPr>
        <w:t>、《环境空气颗粒物（</w:t>
      </w:r>
      <w:r>
        <w:rPr>
          <w:rFonts w:ascii="Times New Roman" w:hAnsi="Times New Roman" w:eastAsia="宋体" w:cs="Times New Roman"/>
          <w:bCs/>
          <w:color w:val="000000" w:themeColor="text1"/>
          <w:kern w:val="0"/>
          <w:szCs w:val="21"/>
        </w:rPr>
        <w:t>PM</w:t>
      </w:r>
      <w:r>
        <w:rPr>
          <w:rFonts w:ascii="Times New Roman" w:hAnsi="Times New Roman" w:eastAsia="宋体" w:cs="Times New Roman"/>
          <w:bCs/>
          <w:color w:val="000000" w:themeColor="text1"/>
          <w:kern w:val="0"/>
          <w:szCs w:val="21"/>
          <w:vertAlign w:val="subscript"/>
        </w:rPr>
        <w:t>2.5</w:t>
      </w:r>
      <w:r>
        <w:rPr>
          <w:rFonts w:ascii="Times New Roman" w:hAnsi="宋体" w:eastAsia="宋体" w:cs="Times New Roman"/>
          <w:bCs/>
          <w:color w:val="000000" w:themeColor="text1"/>
          <w:kern w:val="0"/>
          <w:szCs w:val="21"/>
        </w:rPr>
        <w:t>）中水溶性离子连续自动监测技术规范》（</w:t>
      </w:r>
      <w:r>
        <w:rPr>
          <w:rFonts w:ascii="Times New Roman" w:hAnsi="Times New Roman" w:eastAsia="宋体" w:cs="Times New Roman"/>
          <w:bCs/>
          <w:color w:val="000000" w:themeColor="text1"/>
          <w:kern w:val="0"/>
          <w:szCs w:val="21"/>
        </w:rPr>
        <w:t>HJ 1328—2023</w:t>
      </w:r>
      <w:r>
        <w:rPr>
          <w:rFonts w:ascii="Times New Roman" w:hAnsi="宋体" w:eastAsia="宋体" w:cs="Times New Roman"/>
          <w:bCs/>
          <w:color w:val="000000" w:themeColor="text1"/>
          <w:kern w:val="0"/>
          <w:szCs w:val="21"/>
        </w:rPr>
        <w:t>）、《环境空气颗粒物（</w:t>
      </w:r>
      <w:r>
        <w:rPr>
          <w:rFonts w:ascii="Times New Roman" w:hAnsi="Times New Roman" w:eastAsia="宋体" w:cs="Times New Roman"/>
          <w:bCs/>
          <w:color w:val="000000" w:themeColor="text1"/>
          <w:kern w:val="0"/>
          <w:szCs w:val="21"/>
        </w:rPr>
        <w:t>PM</w:t>
      </w:r>
      <w:r>
        <w:rPr>
          <w:rFonts w:ascii="Times New Roman" w:hAnsi="Times New Roman" w:eastAsia="宋体" w:cs="Times New Roman"/>
          <w:bCs/>
          <w:color w:val="000000" w:themeColor="text1"/>
          <w:kern w:val="0"/>
          <w:szCs w:val="21"/>
          <w:vertAlign w:val="subscript"/>
        </w:rPr>
        <w:t>2.5</w:t>
      </w:r>
      <w:r>
        <w:rPr>
          <w:rFonts w:ascii="Times New Roman" w:hAnsi="宋体" w:eastAsia="宋体" w:cs="Times New Roman"/>
          <w:bCs/>
          <w:color w:val="000000" w:themeColor="text1"/>
          <w:kern w:val="0"/>
          <w:szCs w:val="21"/>
        </w:rPr>
        <w:t>）中无机元素连续自动监测技术规范》（</w:t>
      </w:r>
      <w:r>
        <w:rPr>
          <w:rFonts w:ascii="Times New Roman" w:hAnsi="Times New Roman" w:eastAsia="宋体" w:cs="Times New Roman"/>
          <w:bCs/>
          <w:color w:val="000000" w:themeColor="text1"/>
          <w:kern w:val="0"/>
          <w:szCs w:val="21"/>
        </w:rPr>
        <w:t>HJ 1329—2023</w:t>
      </w:r>
      <w:r>
        <w:rPr>
          <w:rFonts w:ascii="Times New Roman" w:hAnsi="宋体" w:eastAsia="宋体" w:cs="Times New Roman"/>
          <w:bCs/>
          <w:color w:val="000000" w:themeColor="text1"/>
          <w:kern w:val="0"/>
          <w:szCs w:val="21"/>
        </w:rPr>
        <w:t>）、《环境空气颗粒物（</w:t>
      </w:r>
      <w:r>
        <w:rPr>
          <w:rFonts w:ascii="Times New Roman" w:hAnsi="Times New Roman" w:eastAsia="宋体" w:cs="Times New Roman"/>
          <w:bCs/>
          <w:color w:val="000000" w:themeColor="text1"/>
          <w:kern w:val="0"/>
          <w:szCs w:val="21"/>
        </w:rPr>
        <w:t>PM</w:t>
      </w:r>
      <w:r>
        <w:rPr>
          <w:rFonts w:ascii="Times New Roman" w:hAnsi="Times New Roman" w:eastAsia="宋体" w:cs="Times New Roman"/>
          <w:bCs/>
          <w:color w:val="000000" w:themeColor="text1"/>
          <w:kern w:val="0"/>
          <w:szCs w:val="21"/>
          <w:vertAlign w:val="subscript"/>
        </w:rPr>
        <w:t>2.5</w:t>
      </w:r>
      <w:r>
        <w:rPr>
          <w:rFonts w:ascii="Times New Roman" w:hAnsi="宋体" w:eastAsia="宋体" w:cs="Times New Roman"/>
          <w:bCs/>
          <w:color w:val="000000" w:themeColor="text1"/>
          <w:kern w:val="0"/>
          <w:szCs w:val="21"/>
        </w:rPr>
        <w:t>）中有机碳和元素碳连续自动监测技术规范》（</w:t>
      </w:r>
      <w:r>
        <w:rPr>
          <w:rFonts w:ascii="Times New Roman" w:hAnsi="Times New Roman" w:eastAsia="宋体" w:cs="Times New Roman"/>
          <w:bCs/>
          <w:color w:val="000000" w:themeColor="text1"/>
          <w:kern w:val="0"/>
          <w:szCs w:val="21"/>
        </w:rPr>
        <w:t>HJ 1327—2023</w:t>
      </w:r>
      <w:r>
        <w:rPr>
          <w:rFonts w:ascii="Times New Roman" w:hAnsi="宋体" w:eastAsia="宋体" w:cs="Times New Roman"/>
          <w:bCs/>
          <w:color w:val="000000" w:themeColor="text1"/>
          <w:kern w:val="0"/>
          <w:szCs w:val="21"/>
        </w:rPr>
        <w:t>）、《浙江省环境空气质量自动监测系统运行管理实施细则》等要求进行运行维护及管理，包括日常维护、日常数据检查、仪器维修、故障处理等服务。</w:t>
      </w:r>
    </w:p>
    <w:p w14:paraId="2C661F56">
      <w:pPr>
        <w:spacing w:line="360" w:lineRule="auto"/>
        <w:ind w:firstLine="284"/>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4.2</w:t>
      </w:r>
      <w:r>
        <w:rPr>
          <w:rFonts w:ascii="Times New Roman" w:hAnsi="宋体" w:eastAsia="宋体" w:cs="Times New Roman"/>
          <w:b/>
          <w:bCs/>
          <w:color w:val="000000" w:themeColor="text1"/>
          <w:kern w:val="0"/>
          <w:szCs w:val="21"/>
        </w:rPr>
        <w:t>监测站房及辅助设备日常巡检</w:t>
      </w:r>
    </w:p>
    <w:p w14:paraId="0CB8C2C0">
      <w:pPr>
        <w:spacing w:line="360" w:lineRule="auto"/>
        <w:ind w:firstLine="480"/>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监测站房及辅助设备</w:t>
      </w:r>
      <w:r>
        <w:rPr>
          <w:rFonts w:ascii="Times New Roman" w:hAnsi="宋体" w:eastAsia="宋体" w:cs="Times New Roman"/>
          <w:color w:val="000000" w:themeColor="text1"/>
          <w:szCs w:val="21"/>
        </w:rPr>
        <w:t>日常</w:t>
      </w:r>
      <w:r>
        <w:rPr>
          <w:rFonts w:ascii="Times New Roman" w:hAnsi="Calibri" w:eastAsia="宋体" w:cs="Times New Roman"/>
          <w:color w:val="000000" w:themeColor="text1"/>
          <w:szCs w:val="21"/>
        </w:rPr>
        <w:t>巡检应满足</w:t>
      </w:r>
      <w:r>
        <w:rPr>
          <w:rFonts w:ascii="Times New Roman" w:hAnsi="Times New Roman" w:eastAsia="宋体" w:cs="Times New Roman"/>
          <w:color w:val="000000" w:themeColor="text1"/>
          <w:szCs w:val="21"/>
        </w:rPr>
        <w:t>HJ 817 中的相关要求。应对站房及辅助设备定期巡检，每周至少巡检1 次，巡检工作主要包括：</w:t>
      </w:r>
    </w:p>
    <w:p w14:paraId="119CE421">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a）检查站房内温度是否保持在25 ℃±5 ℃范围内，相对湿度不高于80%，在冬、夏季节应注意站房内外温差，及时调整站房内温度或对采样管采取适当的温控措施，防止因温差造成采样装置出现冷凝水；</w:t>
      </w:r>
    </w:p>
    <w:p w14:paraId="039E02BB">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）检查站房排风、排气装置是否正常工作；</w:t>
      </w:r>
    </w:p>
    <w:p w14:paraId="6CDAE05D">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）检查采样头、采样管的完好性；</w:t>
      </w:r>
    </w:p>
    <w:p w14:paraId="015FF6C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）检查数据采集、传输与网络通信是否正常；</w:t>
      </w:r>
    </w:p>
    <w:p w14:paraId="188BBAB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w:t>
      </w:r>
      <w:r>
        <w:rPr>
          <w:rFonts w:ascii="Times New Roman" w:hAnsi="Calibri" w:eastAsia="宋体" w:cs="Times New Roman"/>
          <w:color w:val="000000" w:themeColor="text1"/>
          <w:szCs w:val="21"/>
        </w:rPr>
        <w:t>）检查气瓶固定装置是否牢靠；</w:t>
      </w:r>
    </w:p>
    <w:p w14:paraId="1489BCFB">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w:t>
      </w:r>
      <w:r>
        <w:rPr>
          <w:rFonts w:ascii="Times New Roman" w:hAnsi="Calibri" w:eastAsia="宋体" w:cs="Times New Roman"/>
          <w:color w:val="000000" w:themeColor="text1"/>
          <w:szCs w:val="21"/>
        </w:rPr>
        <w:t>）检查各种运维工具、仪器耗材、备件是否完好齐全；</w:t>
      </w:r>
    </w:p>
    <w:p w14:paraId="02405951">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w:t>
      </w:r>
      <w:r>
        <w:rPr>
          <w:rFonts w:ascii="Times New Roman" w:hAnsi="Calibri" w:eastAsia="宋体" w:cs="Times New Roman"/>
          <w:color w:val="000000" w:themeColor="text1"/>
          <w:szCs w:val="21"/>
        </w:rPr>
        <w:t>）检查空调、电源等辅助设备的运行状况是否正常，检查站房空调机的过滤网是否清洁；</w:t>
      </w:r>
    </w:p>
    <w:p w14:paraId="5BB12498">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w:t>
      </w:r>
      <w:r>
        <w:rPr>
          <w:rFonts w:ascii="Times New Roman" w:hAnsi="Calibri" w:eastAsia="宋体" w:cs="Times New Roman"/>
          <w:color w:val="000000" w:themeColor="text1"/>
          <w:szCs w:val="21"/>
        </w:rPr>
        <w:t>）检查各种消防、安全设施是否完好齐全，是否在有效期内；</w:t>
      </w:r>
    </w:p>
    <w:p w14:paraId="3826F51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i</w:t>
      </w:r>
      <w:r>
        <w:rPr>
          <w:rFonts w:ascii="Times New Roman" w:hAnsi="Calibri" w:eastAsia="宋体" w:cs="Times New Roman"/>
          <w:color w:val="000000" w:themeColor="text1"/>
          <w:szCs w:val="21"/>
        </w:rPr>
        <w:t>）及时清除站房周围的杂草和积水；</w:t>
      </w:r>
    </w:p>
    <w:p w14:paraId="4BFCC19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j</w:t>
      </w:r>
      <w:r>
        <w:rPr>
          <w:rFonts w:ascii="Times New Roman" w:hAnsi="Calibri" w:eastAsia="宋体" w:cs="Times New Roman"/>
          <w:color w:val="000000" w:themeColor="text1"/>
          <w:szCs w:val="21"/>
        </w:rPr>
        <w:t>）检查防雷设施是否正常，站房是否有漏雨现象；</w:t>
      </w:r>
    </w:p>
    <w:p w14:paraId="0E3E64D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k</w:t>
      </w:r>
      <w:r>
        <w:rPr>
          <w:rFonts w:ascii="Times New Roman" w:hAnsi="Calibri" w:eastAsia="宋体" w:cs="Times New Roman"/>
          <w:color w:val="000000" w:themeColor="text1"/>
          <w:szCs w:val="21"/>
        </w:rPr>
        <w:t>）检查仪器、工控机时间与北京时间是否一致，数据采集时间与平台展示时间是否同步；</w:t>
      </w:r>
    </w:p>
    <w:p w14:paraId="3FC47F0F">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l</w:t>
      </w:r>
      <w:r>
        <w:rPr>
          <w:rFonts w:ascii="Times New Roman" w:hAnsi="Calibri" w:eastAsia="宋体" w:cs="Times New Roman"/>
          <w:color w:val="000000" w:themeColor="text1"/>
          <w:szCs w:val="21"/>
        </w:rPr>
        <w:t>）做好每周巡检记录，并定期存档。</w:t>
      </w:r>
    </w:p>
    <w:p w14:paraId="06EE858E">
      <w:pPr>
        <w:ind w:firstLine="284"/>
        <w:rPr>
          <w:rFonts w:ascii="Times New Roman" w:hAnsi="Times New Roman" w:eastAsia="宋体" w:cs="Times New Roman"/>
          <w:color w:val="000000" w:themeColor="text1"/>
          <w:szCs w:val="21"/>
        </w:rPr>
      </w:pPr>
      <w:r>
        <w:rPr>
          <w:rFonts w:ascii="Times New Roman" w:hAnsi="Times New Roman" w:eastAsia="宋体" w:cs="Times New Roman"/>
          <w:b/>
          <w:bCs/>
          <w:color w:val="000000" w:themeColor="text1"/>
          <w:kern w:val="0"/>
          <w:szCs w:val="21"/>
        </w:rPr>
        <w:t>4.3 PM</w:t>
      </w:r>
      <w:r>
        <w:rPr>
          <w:rFonts w:ascii="Times New Roman" w:hAnsi="Times New Roman" w:eastAsia="宋体" w:cs="Times New Roman"/>
          <w:b/>
          <w:bCs/>
          <w:color w:val="000000" w:themeColor="text1"/>
          <w:kern w:val="0"/>
          <w:szCs w:val="21"/>
          <w:vertAlign w:val="subscript"/>
        </w:rPr>
        <w:t>2.5</w:t>
      </w:r>
      <w:r>
        <w:rPr>
          <w:rFonts w:ascii="Times New Roman" w:hAnsi="宋体" w:eastAsia="宋体" w:cs="Times New Roman"/>
          <w:b/>
          <w:bCs/>
          <w:color w:val="000000" w:themeColor="text1"/>
          <w:kern w:val="0"/>
          <w:szCs w:val="21"/>
        </w:rPr>
        <w:t>在线分析仪</w:t>
      </w:r>
    </w:p>
    <w:p w14:paraId="08B72B16">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w:t>
      </w:r>
      <w:r>
        <w:rPr>
          <w:rFonts w:ascii="Times New Roman" w:hAnsi="Calibri" w:eastAsia="宋体" w:cs="Times New Roman"/>
          <w:color w:val="000000" w:themeColor="text1"/>
          <w:szCs w:val="21"/>
        </w:rPr>
        <w:t>）每日：查看平台数据；</w:t>
      </w:r>
    </w:p>
    <w:p w14:paraId="78B6F82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r>
        <w:rPr>
          <w:rFonts w:ascii="Times New Roman" w:hAnsi="Calibri" w:eastAsia="宋体" w:cs="Times New Roman"/>
          <w:color w:val="000000" w:themeColor="text1"/>
          <w:szCs w:val="21"/>
        </w:rPr>
        <w:t>）每周：</w:t>
      </w: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查看仪器运行和联网状况；</w:t>
      </w:r>
    </w:p>
    <w:p w14:paraId="227B9B56">
      <w:pPr>
        <w:spacing w:line="440" w:lineRule="exact"/>
        <w:ind w:left="909" w:leftChars="433" w:firstLine="525" w:firstLineChars="25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检查纸带是否有破损或边缘不光滑的情况；</w:t>
      </w:r>
    </w:p>
    <w:p w14:paraId="058DB0AB">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．查看仪器上历史报警信息，与工控机历史数据进行对应，去除无效数据；</w:t>
      </w:r>
    </w:p>
    <w:p w14:paraId="5D0AC07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r>
        <w:rPr>
          <w:rFonts w:ascii="Times New Roman" w:hAnsi="Calibri" w:eastAsia="宋体" w:cs="Times New Roman"/>
          <w:color w:val="000000" w:themeColor="text1"/>
          <w:szCs w:val="21"/>
        </w:rPr>
        <w:t>）两周：精度检查；</w:t>
      </w:r>
    </w:p>
    <w:p w14:paraId="68D3E588">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4</w:t>
      </w:r>
      <w:r>
        <w:rPr>
          <w:rFonts w:ascii="Times New Roman" w:hAnsi="Calibri" w:eastAsia="宋体" w:cs="Times New Roman"/>
          <w:color w:val="000000" w:themeColor="text1"/>
          <w:szCs w:val="21"/>
        </w:rPr>
        <w:t>）每月：</w:t>
      </w: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流量检查及校准；</w:t>
      </w:r>
    </w:p>
    <w:p w14:paraId="493C2F13">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清洗喷嘴；</w:t>
      </w:r>
    </w:p>
    <w:p w14:paraId="55C0D29D">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r>
        <w:rPr>
          <w:rFonts w:ascii="Times New Roman" w:hAnsi="Calibri" w:eastAsia="宋体" w:cs="Times New Roman"/>
          <w:color w:val="000000" w:themeColor="text1"/>
          <w:szCs w:val="21"/>
        </w:rPr>
        <w:t>）两月：清洗采样切割器；</w:t>
      </w:r>
    </w:p>
    <w:p w14:paraId="24D3CA7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w:t>
      </w:r>
      <w:r>
        <w:rPr>
          <w:rFonts w:ascii="Times New Roman" w:hAnsi="Calibri" w:eastAsia="宋体" w:cs="Times New Roman"/>
          <w:color w:val="000000" w:themeColor="text1"/>
          <w:szCs w:val="21"/>
        </w:rPr>
        <w:t>）半年：</w:t>
      </w: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更换纸带；</w:t>
      </w:r>
    </w:p>
    <w:p w14:paraId="289ACA36">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浊度校准；</w:t>
      </w:r>
    </w:p>
    <w:p w14:paraId="4170331A">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标准膜校准；</w:t>
      </w:r>
    </w:p>
    <w:p w14:paraId="4837F211">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．清洗反应室；</w:t>
      </w:r>
    </w:p>
    <w:p w14:paraId="125C7A1D">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7</w:t>
      </w:r>
      <w:r>
        <w:rPr>
          <w:rFonts w:ascii="Times New Roman" w:hAnsi="Calibri" w:eastAsia="宋体" w:cs="Times New Roman"/>
          <w:color w:val="000000" w:themeColor="text1"/>
          <w:szCs w:val="21"/>
        </w:rPr>
        <w:t>）每年：</w:t>
      </w: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温度与压力传感器校准；</w:t>
      </w:r>
    </w:p>
    <w:p w14:paraId="602BEEDC">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质量传感器校准；</w:t>
      </w:r>
    </w:p>
    <w:p w14:paraId="1930FFBB">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更换泵刮板；</w:t>
      </w:r>
    </w:p>
    <w:p w14:paraId="00D9F978">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．更换泵过滤器；</w:t>
      </w:r>
    </w:p>
    <w:p w14:paraId="0FFFCF52">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w:t>
      </w:r>
      <w:r>
        <w:rPr>
          <w:rFonts w:ascii="Times New Roman" w:hAnsi="Calibri" w:eastAsia="宋体" w:cs="Times New Roman"/>
          <w:color w:val="000000" w:themeColor="text1"/>
          <w:szCs w:val="21"/>
        </w:rPr>
        <w:t>．更换</w:t>
      </w:r>
      <w:r>
        <w:rPr>
          <w:rFonts w:ascii="Times New Roman" w:hAnsi="Times New Roman" w:eastAsia="宋体" w:cs="Times New Roman"/>
          <w:color w:val="000000" w:themeColor="text1"/>
          <w:szCs w:val="21"/>
        </w:rPr>
        <w:t>O</w:t>
      </w:r>
      <w:r>
        <w:rPr>
          <w:rFonts w:ascii="Times New Roman" w:hAnsi="Calibri" w:eastAsia="宋体" w:cs="Times New Roman"/>
          <w:color w:val="000000" w:themeColor="text1"/>
          <w:szCs w:val="21"/>
        </w:rPr>
        <w:t>型圈。</w:t>
      </w:r>
    </w:p>
    <w:p w14:paraId="091E0BC2">
      <w:pPr>
        <w:ind w:firstLine="284"/>
        <w:rPr>
          <w:rFonts w:ascii="Times New Roman" w:hAnsi="Times New Roman" w:eastAsia="宋体" w:cs="Times New Roman"/>
          <w:color w:val="000000" w:themeColor="text1"/>
          <w:szCs w:val="21"/>
        </w:rPr>
      </w:pPr>
      <w:r>
        <w:rPr>
          <w:rFonts w:ascii="Times New Roman" w:hAnsi="Times New Roman" w:eastAsia="宋体" w:cs="Times New Roman"/>
          <w:b/>
          <w:bCs/>
          <w:color w:val="000000" w:themeColor="text1"/>
          <w:kern w:val="0"/>
          <w:szCs w:val="21"/>
        </w:rPr>
        <w:t>4.4</w:t>
      </w:r>
      <w:r>
        <w:rPr>
          <w:rFonts w:ascii="Times New Roman" w:hAnsi="宋体" w:eastAsia="宋体" w:cs="Times New Roman"/>
          <w:b/>
          <w:bCs/>
          <w:color w:val="000000" w:themeColor="text1"/>
          <w:kern w:val="0"/>
          <w:szCs w:val="21"/>
        </w:rPr>
        <w:t>在线离子色谱仪</w:t>
      </w:r>
    </w:p>
    <w:p w14:paraId="7D12A68E">
      <w:pPr>
        <w:spacing w:line="440" w:lineRule="exact"/>
        <w:ind w:left="1257" w:leftChars="150" w:hanging="942" w:hangingChars="447"/>
        <w:rPr>
          <w:rFonts w:ascii="Times New Roman" w:hAnsi="Times New Roman" w:eastAsia="宋体" w:cs="Times New Roman"/>
          <w:b/>
          <w:color w:val="000000" w:themeColor="text1"/>
          <w:szCs w:val="21"/>
        </w:rPr>
      </w:pPr>
      <w:r>
        <w:rPr>
          <w:rFonts w:ascii="Times New Roman" w:hAnsi="Calibri" w:eastAsia="宋体" w:cs="Times New Roman"/>
          <w:b/>
          <w:color w:val="000000" w:themeColor="text1"/>
          <w:szCs w:val="21"/>
        </w:rPr>
        <w:t>每日维护工作要求：</w:t>
      </w:r>
    </w:p>
    <w:p w14:paraId="24ABCFE0">
      <w:pPr>
        <w:spacing w:line="440" w:lineRule="exact"/>
        <w:ind w:left="705" w:leftChars="198" w:hanging="289" w:hangingChars="138"/>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）每日检查仪器采样流量、</w:t>
      </w:r>
      <w:r>
        <w:rPr>
          <w:rFonts w:ascii="Times New Roman" w:hAnsi="Times New Roman" w:eastAsia="宋体" w:cs="Times New Roman"/>
          <w:color w:val="000000" w:themeColor="text1"/>
          <w:szCs w:val="21"/>
        </w:rPr>
        <w:t>色谱柱</w:t>
      </w:r>
      <w:r>
        <w:rPr>
          <w:rFonts w:ascii="Times New Roman" w:hAnsi="Calibri" w:eastAsia="宋体" w:cs="Times New Roman"/>
          <w:color w:val="000000" w:themeColor="text1"/>
          <w:szCs w:val="21"/>
        </w:rPr>
        <w:t>压、柱温、电导率、目标离子色谱峰出峰时间和峰宽等工作参数；如在现场，还应查看管路是否有气泡或漏液，溶蚀器滤膜是否有气泡，系统中设置的样品序列是否足够，淋洗液是否充足；</w:t>
      </w:r>
    </w:p>
    <w:p w14:paraId="2102501A">
      <w:pPr>
        <w:spacing w:line="440" w:lineRule="exact"/>
        <w:ind w:left="705" w:leftChars="198" w:hanging="289" w:hangingChars="138"/>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）以</w:t>
      </w:r>
      <w:r>
        <w:rPr>
          <w:rFonts w:ascii="Times New Roman" w:hAnsi="Times New Roman" w:eastAsia="宋体" w:cs="Times New Roman"/>
          <w:color w:val="000000" w:themeColor="text1"/>
          <w:szCs w:val="21"/>
        </w:rPr>
        <w:t>PM</w:t>
      </w:r>
      <w:r>
        <w:rPr>
          <w:rFonts w:ascii="Times New Roman" w:hAnsi="Times New Roman" w:eastAsia="宋体" w:cs="Times New Roman"/>
          <w:color w:val="000000" w:themeColor="text1"/>
          <w:szCs w:val="21"/>
          <w:vertAlign w:val="subscript"/>
        </w:rPr>
        <w:t xml:space="preserve">2.5 </w:t>
      </w:r>
      <w:r>
        <w:rPr>
          <w:rFonts w:ascii="Times New Roman" w:hAnsi="Calibri" w:eastAsia="宋体" w:cs="Times New Roman"/>
          <w:color w:val="000000" w:themeColor="text1"/>
          <w:szCs w:val="21"/>
        </w:rPr>
        <w:t>或</w:t>
      </w:r>
      <w:r>
        <w:rPr>
          <w:rFonts w:ascii="Times New Roman" w:hAnsi="Times New Roman" w:eastAsia="宋体" w:cs="Times New Roman"/>
          <w:color w:val="000000" w:themeColor="text1"/>
          <w:szCs w:val="21"/>
        </w:rPr>
        <w:t>PM</w:t>
      </w:r>
      <w:r>
        <w:rPr>
          <w:rFonts w:ascii="Times New Roman" w:hAnsi="Times New Roman" w:eastAsia="宋体" w:cs="Times New Roman"/>
          <w:color w:val="000000" w:themeColor="text1"/>
          <w:szCs w:val="21"/>
          <w:vertAlign w:val="subscript"/>
        </w:rPr>
        <w:t>10</w:t>
      </w:r>
      <w:r>
        <w:rPr>
          <w:rFonts w:ascii="Times New Roman" w:hAnsi="Calibri" w:eastAsia="宋体" w:cs="Times New Roman"/>
          <w:color w:val="000000" w:themeColor="text1"/>
          <w:szCs w:val="21"/>
        </w:rPr>
        <w:t>为首要污染物的重污染天气预警发布后，可根据仪器数据质量情况</w:t>
      </w:r>
      <w:r>
        <w:rPr>
          <w:rFonts w:ascii="Times New Roman" w:hAnsi="Times New Roman" w:eastAsia="宋体" w:cs="Times New Roman"/>
          <w:color w:val="000000" w:themeColor="text1"/>
          <w:szCs w:val="21"/>
        </w:rPr>
        <w:t xml:space="preserve">24 h </w:t>
      </w:r>
      <w:r>
        <w:rPr>
          <w:rFonts w:ascii="Times New Roman" w:hAnsi="Calibri" w:eastAsia="宋体" w:cs="Times New Roman"/>
          <w:color w:val="000000" w:themeColor="text1"/>
          <w:szCs w:val="21"/>
        </w:rPr>
        <w:t>内全面检查仪器</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次；必要时校准或调整并避开重污染时段，重污染过程或沙尘影响结束后应及时清理采样头和切割器，并核查流量；</w:t>
      </w:r>
    </w:p>
    <w:p w14:paraId="1C076A23">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）每日检查仪器监测结果，发现异常数据及时排查原因；</w:t>
      </w:r>
    </w:p>
    <w:p w14:paraId="2AA922A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）做好每日维护记录，并定期存档。</w:t>
      </w:r>
    </w:p>
    <w:p w14:paraId="17CFC9A6">
      <w:pPr>
        <w:spacing w:line="440" w:lineRule="exact"/>
        <w:ind w:left="1257" w:leftChars="150" w:hanging="942" w:hangingChars="447"/>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每周维护工作要求：</w:t>
      </w:r>
    </w:p>
    <w:p w14:paraId="04FEA621">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）每周至少现场检查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次仪器运行状态；</w:t>
      </w:r>
    </w:p>
    <w:p w14:paraId="2B57EFB2">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次监测仪器散热风扇污染情况，及时清洁；</w:t>
      </w:r>
    </w:p>
    <w:p w14:paraId="6577FD6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次户外缓冲瓶，及时清理积水；</w:t>
      </w:r>
    </w:p>
    <w:p w14:paraId="7522C3A0">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次蒸汽发生器水位是否正常、样品收集装置是否充满吸收液、管路是否有气泡与漏液；</w:t>
      </w:r>
    </w:p>
    <w:p w14:paraId="1DBF3DD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次溶蚀器是否正常，当发现漏液、有气泡或污染时，应及时分析原因，更换过滤器等耗材或备件；</w:t>
      </w:r>
    </w:p>
    <w:p w14:paraId="64B89AC8">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w:t>
      </w:r>
      <w:r>
        <w:rPr>
          <w:rFonts w:ascii="Times New Roman" w:hAnsi="Calibri" w:eastAsia="宋体" w:cs="Times New Roman"/>
          <w:color w:val="000000" w:themeColor="text1"/>
          <w:szCs w:val="21"/>
        </w:rPr>
        <w:t>）对于颗粒物流路，每周至少更换</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次过滤器；对于气体流路，如配有过滤器的，每两周至少更换</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次过滤器；可根据仪器说明书要求及当地污染程度增加过滤器更换频次，新过滤器使用前应活化；</w:t>
      </w:r>
    </w:p>
    <w:p w14:paraId="5C48DBC2">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次色谱柱柱效，当发现色谱柱柱效下降较多，如</w:t>
      </w:r>
      <w:r>
        <w:rPr>
          <w:rFonts w:ascii="Times New Roman" w:hAnsi="Times New Roman" w:eastAsia="宋体" w:cs="Times New Roman"/>
          <w:color w:val="000000" w:themeColor="text1"/>
          <w:szCs w:val="21"/>
        </w:rPr>
        <w:t>NO</w:t>
      </w:r>
      <w:r>
        <w:rPr>
          <w:rFonts w:ascii="Times New Roman" w:hAnsi="Times New Roman" w:eastAsia="宋体" w:cs="Times New Roman"/>
          <w:color w:val="000000" w:themeColor="text1"/>
          <w:szCs w:val="21"/>
          <w:vertAlign w:val="subscript"/>
        </w:rPr>
        <w:t>3</w:t>
      </w:r>
      <w:r>
        <w:rPr>
          <w:rFonts w:ascii="Times New Roman" w:hAnsi="Times New Roman" w:eastAsia="宋体" w:cs="Times New Roman"/>
          <w:color w:val="000000" w:themeColor="text1"/>
          <w:szCs w:val="21"/>
          <w:vertAlign w:val="superscript"/>
        </w:rPr>
        <w:t>-</w:t>
      </w:r>
      <w:r>
        <w:rPr>
          <w:rFonts w:ascii="Times New Roman" w:hAnsi="Calibri" w:eastAsia="宋体" w:cs="Times New Roman"/>
          <w:color w:val="000000" w:themeColor="text1"/>
          <w:szCs w:val="21"/>
        </w:rPr>
        <w:t>和</w:t>
      </w:r>
      <w:r>
        <w:rPr>
          <w:rFonts w:ascii="Times New Roman" w:hAnsi="Times New Roman" w:eastAsia="宋体" w:cs="Times New Roman"/>
          <w:color w:val="000000" w:themeColor="text1"/>
          <w:szCs w:val="21"/>
        </w:rPr>
        <w:t>SO</w:t>
      </w:r>
      <w:r>
        <w:rPr>
          <w:rFonts w:ascii="Times New Roman" w:hAnsi="Times New Roman" w:eastAsia="宋体" w:cs="Times New Roman"/>
          <w:color w:val="000000" w:themeColor="text1"/>
          <w:szCs w:val="21"/>
          <w:vertAlign w:val="subscript"/>
        </w:rPr>
        <w:t>4</w:t>
      </w:r>
      <w:r>
        <w:rPr>
          <w:rFonts w:ascii="Times New Roman" w:hAnsi="Times New Roman" w:eastAsia="宋体" w:cs="Times New Roman"/>
          <w:color w:val="000000" w:themeColor="text1"/>
          <w:szCs w:val="21"/>
          <w:vertAlign w:val="superscript"/>
        </w:rPr>
        <w:t>2-</w:t>
      </w:r>
      <w:r>
        <w:rPr>
          <w:rFonts w:ascii="Times New Roman" w:hAnsi="Calibri" w:eastAsia="宋体" w:cs="Times New Roman"/>
          <w:color w:val="000000" w:themeColor="text1"/>
          <w:szCs w:val="21"/>
        </w:rPr>
        <w:t>色谱峰之间的分离度小于</w:t>
      </w:r>
      <w:r>
        <w:rPr>
          <w:rFonts w:ascii="Times New Roman" w:hAnsi="Times New Roman" w:eastAsia="宋体" w:cs="Times New Roman"/>
          <w:color w:val="000000" w:themeColor="text1"/>
          <w:szCs w:val="21"/>
        </w:rPr>
        <w:t>1.2</w:t>
      </w:r>
      <w:r>
        <w:rPr>
          <w:rFonts w:ascii="Times New Roman" w:hAnsi="Calibri" w:eastAsia="宋体" w:cs="Times New Roman"/>
          <w:color w:val="000000" w:themeColor="text1"/>
          <w:szCs w:val="21"/>
        </w:rPr>
        <w:t>、</w:t>
      </w:r>
      <w:r>
        <w:rPr>
          <w:rFonts w:ascii="Times New Roman" w:hAnsi="Times New Roman" w:eastAsia="宋体" w:cs="Times New Roman"/>
          <w:color w:val="000000" w:themeColor="text1"/>
          <w:szCs w:val="21"/>
        </w:rPr>
        <w:t>Na</w:t>
      </w:r>
      <w:r>
        <w:rPr>
          <w:rFonts w:ascii="Times New Roman" w:hAnsi="Times New Roman" w:eastAsia="宋体" w:cs="Times New Roman"/>
          <w:color w:val="000000" w:themeColor="text1"/>
          <w:szCs w:val="21"/>
          <w:vertAlign w:val="superscript"/>
        </w:rPr>
        <w:t>+</w:t>
      </w:r>
      <w:r>
        <w:rPr>
          <w:rFonts w:ascii="Times New Roman" w:hAnsi="Calibri" w:eastAsia="宋体" w:cs="Times New Roman"/>
          <w:color w:val="000000" w:themeColor="text1"/>
          <w:szCs w:val="21"/>
        </w:rPr>
        <w:t>和</w:t>
      </w:r>
      <w:r>
        <w:rPr>
          <w:rFonts w:ascii="Times New Roman" w:hAnsi="Times New Roman" w:eastAsia="宋体" w:cs="Times New Roman"/>
          <w:color w:val="000000" w:themeColor="text1"/>
          <w:szCs w:val="21"/>
        </w:rPr>
        <w:t>NH</w:t>
      </w:r>
      <w:r>
        <w:rPr>
          <w:rFonts w:ascii="Times New Roman" w:hAnsi="Times New Roman" w:eastAsia="宋体" w:cs="Times New Roman"/>
          <w:color w:val="000000" w:themeColor="text1"/>
          <w:szCs w:val="21"/>
          <w:vertAlign w:val="subscript"/>
        </w:rPr>
        <w:t xml:space="preserve">4 </w:t>
      </w:r>
      <w:r>
        <w:rPr>
          <w:rFonts w:ascii="Times New Roman" w:hAnsi="Times New Roman" w:eastAsia="宋体" w:cs="Times New Roman"/>
          <w:color w:val="000000" w:themeColor="text1"/>
          <w:szCs w:val="21"/>
          <w:vertAlign w:val="superscript"/>
        </w:rPr>
        <w:t>+</w:t>
      </w:r>
      <w:r>
        <w:rPr>
          <w:rFonts w:ascii="Times New Roman" w:hAnsi="Calibri" w:eastAsia="宋体" w:cs="Times New Roman"/>
          <w:color w:val="000000" w:themeColor="text1"/>
          <w:szCs w:val="21"/>
        </w:rPr>
        <w:t>色谱峰之间的分离度小于</w:t>
      </w:r>
      <w:r>
        <w:rPr>
          <w:rFonts w:ascii="Times New Roman" w:hAnsi="Times New Roman" w:eastAsia="宋体" w:cs="Times New Roman"/>
          <w:color w:val="000000" w:themeColor="text1"/>
          <w:szCs w:val="21"/>
        </w:rPr>
        <w:t xml:space="preserve">1.5 </w:t>
      </w:r>
      <w:r>
        <w:rPr>
          <w:rFonts w:ascii="Times New Roman" w:hAnsi="Calibri" w:eastAsia="宋体" w:cs="Times New Roman"/>
          <w:color w:val="000000" w:themeColor="text1"/>
          <w:szCs w:val="21"/>
        </w:rPr>
        <w:t>或</w:t>
      </w:r>
      <w:r>
        <w:rPr>
          <w:rFonts w:ascii="Times New Roman" w:hAnsi="Times New Roman" w:eastAsia="宋体" w:cs="Times New Roman"/>
          <w:color w:val="000000" w:themeColor="text1"/>
          <w:szCs w:val="21"/>
        </w:rPr>
        <w:t>Na</w:t>
      </w:r>
      <w:r>
        <w:rPr>
          <w:rFonts w:ascii="Times New Roman" w:hAnsi="Times New Roman" w:eastAsia="宋体" w:cs="Times New Roman"/>
          <w:color w:val="000000" w:themeColor="text1"/>
          <w:szCs w:val="21"/>
          <w:vertAlign w:val="superscript"/>
        </w:rPr>
        <w:t>+</w:t>
      </w:r>
      <w:r>
        <w:rPr>
          <w:rFonts w:ascii="Times New Roman" w:hAnsi="Calibri" w:eastAsia="宋体" w:cs="Times New Roman"/>
          <w:color w:val="000000" w:themeColor="text1"/>
          <w:szCs w:val="21"/>
        </w:rPr>
        <w:t>和水负峰</w:t>
      </w:r>
      <w:r>
        <w:rPr>
          <w:rFonts w:ascii="Times New Roman" w:hAnsi="Times New Roman" w:eastAsia="宋体" w:cs="Times New Roman"/>
          <w:color w:val="000000" w:themeColor="text1"/>
          <w:szCs w:val="21"/>
        </w:rPr>
        <w:t>/</w:t>
      </w:r>
      <w:r>
        <w:rPr>
          <w:rFonts w:ascii="Times New Roman" w:hAnsi="Calibri" w:eastAsia="宋体" w:cs="Times New Roman"/>
          <w:color w:val="000000" w:themeColor="text1"/>
          <w:szCs w:val="21"/>
        </w:rPr>
        <w:t>系统峰分离度小于</w:t>
      </w:r>
      <w:r>
        <w:rPr>
          <w:rFonts w:ascii="Times New Roman" w:hAnsi="Times New Roman" w:eastAsia="宋体" w:cs="Times New Roman"/>
          <w:color w:val="000000" w:themeColor="text1"/>
          <w:szCs w:val="21"/>
        </w:rPr>
        <w:t xml:space="preserve">1.5 </w:t>
      </w:r>
      <w:r>
        <w:rPr>
          <w:rFonts w:ascii="Times New Roman" w:hAnsi="Calibri" w:eastAsia="宋体" w:cs="Times New Roman"/>
          <w:color w:val="000000" w:themeColor="text1"/>
          <w:szCs w:val="21"/>
        </w:rPr>
        <w:t>时，应及时更换相应的色谱柱与保护柱；</w:t>
      </w:r>
    </w:p>
    <w:p w14:paraId="6FC1045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次采样泵是否运转正常；</w:t>
      </w:r>
    </w:p>
    <w:p w14:paraId="0D90A7C8">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i</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次采样和排气管路是否有漏气或堵塞现象，流路管路是否洁净和畅通，及时发现并清除管路中的异物和气泡，必要时更换配件或耗材；</w:t>
      </w:r>
    </w:p>
    <w:p w14:paraId="5078BBAD">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j</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次淋洗液液位，液位低于容器容积的</w:t>
      </w:r>
      <w:r>
        <w:rPr>
          <w:rFonts w:ascii="Times New Roman" w:hAnsi="Times New Roman" w:eastAsia="宋体" w:cs="Times New Roman"/>
          <w:color w:val="000000" w:themeColor="text1"/>
          <w:szCs w:val="21"/>
        </w:rPr>
        <w:t xml:space="preserve">1/5 </w:t>
      </w:r>
      <w:r>
        <w:rPr>
          <w:rFonts w:ascii="Times New Roman" w:hAnsi="Calibri" w:eastAsia="宋体" w:cs="Times New Roman"/>
          <w:color w:val="000000" w:themeColor="text1"/>
          <w:szCs w:val="21"/>
        </w:rPr>
        <w:t>时应及时更换淋洗液，若使用淋洗液自动发生器，应及时添加去离子水；每次更换淋洗液后应检查目标离子的保留时间和背景电导率，查看保留时间漂移情况，如漂移超出</w:t>
      </w:r>
      <w:r>
        <w:rPr>
          <w:rFonts w:ascii="Times New Roman" w:hAnsi="Times New Roman" w:eastAsia="宋体" w:cs="Times New Roman"/>
          <w:color w:val="000000" w:themeColor="text1"/>
          <w:szCs w:val="21"/>
        </w:rPr>
        <w:t>0.5 min</w:t>
      </w:r>
      <w:r>
        <w:rPr>
          <w:rFonts w:ascii="Times New Roman" w:hAnsi="Calibri" w:eastAsia="宋体" w:cs="Times New Roman"/>
          <w:color w:val="000000" w:themeColor="text1"/>
          <w:szCs w:val="21"/>
        </w:rPr>
        <w:t>，应及时排查原因；</w:t>
      </w:r>
    </w:p>
    <w:p w14:paraId="4E19F4A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k</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次废液桶，及时清空废液；</w:t>
      </w:r>
    </w:p>
    <w:p w14:paraId="1CFC0B42">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l</w:t>
      </w:r>
      <w:r>
        <w:rPr>
          <w:rFonts w:ascii="Times New Roman" w:hAnsi="Calibri" w:eastAsia="宋体" w:cs="Times New Roman"/>
          <w:color w:val="000000" w:themeColor="text1"/>
          <w:szCs w:val="21"/>
        </w:rPr>
        <w:t>）每两周使用去离子水（电阻率应</w:t>
      </w:r>
      <w:r>
        <w:rPr>
          <w:rFonts w:ascii="Times New Roman" w:hAnsi="Times New Roman" w:eastAsia="宋体" w:cs="Times New Roman"/>
          <w:color w:val="000000" w:themeColor="text1"/>
          <w:szCs w:val="21"/>
        </w:rPr>
        <w:t>≥18 MΩ·cm</w:t>
      </w:r>
      <w:r>
        <w:rPr>
          <w:rFonts w:ascii="Times New Roman" w:hAnsi="Calibri" w:eastAsia="宋体" w:cs="Times New Roman"/>
          <w:color w:val="000000" w:themeColor="text1"/>
          <w:szCs w:val="21"/>
        </w:rPr>
        <w:t>，</w:t>
      </w:r>
      <w:r>
        <w:rPr>
          <w:rFonts w:ascii="Times New Roman" w:hAnsi="Times New Roman" w:eastAsia="宋体" w:cs="Times New Roman"/>
          <w:color w:val="000000" w:themeColor="text1"/>
          <w:szCs w:val="21"/>
        </w:rPr>
        <w:t>25 ℃</w:t>
      </w:r>
      <w:r>
        <w:rPr>
          <w:rFonts w:ascii="Times New Roman" w:hAnsi="Calibri" w:eastAsia="宋体" w:cs="Times New Roman"/>
          <w:color w:val="000000" w:themeColor="text1"/>
          <w:szCs w:val="21"/>
        </w:rPr>
        <w:t>）检查仪器基线与空白响应情况，如目标离子浓度高于仪器检出限，应及时排查后重新测试；</w:t>
      </w:r>
    </w:p>
    <w:p w14:paraId="2FFCFAC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m</w:t>
      </w:r>
      <w:r>
        <w:rPr>
          <w:rFonts w:ascii="Times New Roman" w:hAnsi="Calibri" w:eastAsia="宋体" w:cs="Times New Roman"/>
          <w:color w:val="000000" w:themeColor="text1"/>
          <w:szCs w:val="21"/>
        </w:rPr>
        <w:t>）执行仪器说明书规定的其他周维护内容；</w:t>
      </w:r>
    </w:p>
    <w:p w14:paraId="64477EE0">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n</w:t>
      </w:r>
      <w:r>
        <w:rPr>
          <w:rFonts w:ascii="Times New Roman" w:hAnsi="Calibri" w:eastAsia="宋体" w:cs="Times New Roman"/>
          <w:color w:val="000000" w:themeColor="text1"/>
          <w:szCs w:val="21"/>
        </w:rPr>
        <w:t>）做好每周维护记录，并定期存档。</w:t>
      </w:r>
    </w:p>
    <w:p w14:paraId="1652007F">
      <w:pPr>
        <w:spacing w:line="440" w:lineRule="exact"/>
        <w:ind w:left="1257" w:leftChars="150" w:hanging="942" w:hangingChars="447"/>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每月维护工作要求：</w:t>
      </w:r>
    </w:p>
    <w:p w14:paraId="3B938F76">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）每月至少清洁</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采样头；在颗粒物污染较重或植物飞絮、飞虫影响较大的季节，应增加采样头的检查和清洁频次；清洁时，应完全拆开采样头和切割器，用蒸馏水或无水乙醇清洁（无水乙醇清洁后需再用蒸馏水清洁一遍），待完全晾干或用风机吹干后重新组装，组装时应检查密封圈的密封情况；</w:t>
      </w:r>
    </w:p>
    <w:p w14:paraId="76B8C127">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）每月至少备份</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次原始数据；</w:t>
      </w:r>
    </w:p>
    <w:p w14:paraId="09132099">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）执行仪器说明书规定的其他月维护内容；</w:t>
      </w:r>
    </w:p>
    <w:p w14:paraId="2BDB64F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）做好每月维护记录，并定期存档。</w:t>
      </w:r>
    </w:p>
    <w:p w14:paraId="64E26D4C">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季度维护工作要求：</w:t>
      </w:r>
    </w:p>
    <w:p w14:paraId="1D26AB13">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）采用溶蚀器滤膜的仪器，每季度至少更换</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次滤膜；</w:t>
      </w:r>
    </w:p>
    <w:p w14:paraId="06D299F9">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）每季度至少清洁或更换</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次溶蚀器、蒸汽发生器、采样及流路管路，根据当地污染程度可增加清洁频次；采样管路清洁后应检查气密性，并核查采样流量；</w:t>
      </w:r>
    </w:p>
    <w:p w14:paraId="003621E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）执行仪器说明书规定的其他季度维护内容；</w:t>
      </w:r>
    </w:p>
    <w:p w14:paraId="777F94C3">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）做好每季度维护记录，并定期存档。</w:t>
      </w:r>
    </w:p>
    <w:p w14:paraId="195B94F1">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Calibri" w:eastAsia="宋体" w:cs="Times New Roman"/>
          <w:b/>
          <w:color w:val="000000" w:themeColor="text1"/>
          <w:szCs w:val="21"/>
        </w:rPr>
        <w:t>每半年维护工作要求：</w:t>
      </w:r>
    </w:p>
    <w:p w14:paraId="2BA9FBB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）每半年至少更换</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次蠕动泵管和采样泵过滤器，根据实际情况可适当增加更换频次；</w:t>
      </w:r>
    </w:p>
    <w:p w14:paraId="789AB289">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）执行仪器说明书规定的其他半年维护内容；</w:t>
      </w:r>
    </w:p>
    <w:p w14:paraId="241FA8E4">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）做好每半年维护记录，并定期存档。</w:t>
      </w:r>
    </w:p>
    <w:p w14:paraId="5CCAF126">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Calibri" w:eastAsia="宋体" w:cs="Times New Roman"/>
          <w:b/>
          <w:color w:val="000000" w:themeColor="text1"/>
          <w:szCs w:val="21"/>
        </w:rPr>
        <w:t>每年维护工作要求：</w:t>
      </w:r>
    </w:p>
    <w:p w14:paraId="4151C0F6">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）每年对仪器预防性维护</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次（或根据污染情况调整维护频次），检查与清洁样品采集单元和分析单元，更换必要的耗材与配件；维护后，应全面核查仪器状态，确保仪器在维护前后数据的准确性和可比性；</w:t>
      </w:r>
    </w:p>
    <w:p w14:paraId="540AAF2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）执行仪器说明书规定的其他年度维护内容；</w:t>
      </w:r>
    </w:p>
    <w:p w14:paraId="73C4851D">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）做好每年维护记录，并定期存档。</w:t>
      </w:r>
    </w:p>
    <w:p w14:paraId="0C253013">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Calibri" w:eastAsia="宋体" w:cs="Times New Roman"/>
          <w:b/>
          <w:color w:val="000000" w:themeColor="text1"/>
          <w:szCs w:val="21"/>
        </w:rPr>
        <w:t>故障检修</w:t>
      </w:r>
    </w:p>
    <w:p w14:paraId="799EEC6D">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对出现故障的仪器应进行针对性的检查和维修。</w:t>
      </w:r>
    </w:p>
    <w:p w14:paraId="77E2EAE1">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）根据仪器维修手册要求，开展故障判断和检修；</w:t>
      </w:r>
    </w:p>
    <w:p w14:paraId="5BCCCD2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）对于在现场能够诊断明确并且可以通过简单更换备件解决的仪器故障，应及时检修并尽快恢复</w:t>
      </w:r>
    </w:p>
    <w:p w14:paraId="4FFCC5C0">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正常运行；</w:t>
      </w:r>
    </w:p>
    <w:p w14:paraId="60C1C918">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）对于不能在现场完成故障检修的仪器，应及时送修；</w:t>
      </w:r>
    </w:p>
    <w:p w14:paraId="5B6AA13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）每次故障检修完成后，应核查或校准仪器；</w:t>
      </w:r>
    </w:p>
    <w:p w14:paraId="58069A03">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w:t>
      </w:r>
      <w:r>
        <w:rPr>
          <w:rFonts w:ascii="Times New Roman" w:hAnsi="Calibri" w:eastAsia="宋体" w:cs="Times New Roman"/>
          <w:color w:val="000000" w:themeColor="text1"/>
          <w:szCs w:val="21"/>
        </w:rPr>
        <w:t>）每次故障检修完成后，应记录检修、核查、校准情况并存档。</w:t>
      </w:r>
    </w:p>
    <w:p w14:paraId="11873913">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Calibri" w:eastAsia="宋体" w:cs="Times New Roman"/>
          <w:b/>
          <w:color w:val="000000" w:themeColor="text1"/>
          <w:szCs w:val="21"/>
        </w:rPr>
        <w:t>质量保证和质量控制</w:t>
      </w:r>
    </w:p>
    <w:p w14:paraId="3F8D91BF">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）校准曲线中间点浓度核查</w:t>
      </w:r>
    </w:p>
    <w:p w14:paraId="6275FA4F">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每周至少核查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次校准曲线中间点浓度，配制并测试校准曲线中间点浓度的标准溶液，相对误差应在</w:t>
      </w:r>
      <w:r>
        <w:rPr>
          <w:rFonts w:ascii="Times New Roman" w:hAnsi="Times New Roman" w:eastAsia="宋体" w:cs="Times New Roman"/>
          <w:color w:val="000000" w:themeColor="text1"/>
          <w:szCs w:val="21"/>
        </w:rPr>
        <w:t>±10%</w:t>
      </w:r>
      <w:r>
        <w:rPr>
          <w:rFonts w:ascii="Times New Roman" w:hAnsi="Calibri" w:eastAsia="宋体" w:cs="Times New Roman"/>
          <w:color w:val="000000" w:themeColor="text1"/>
          <w:szCs w:val="21"/>
        </w:rPr>
        <w:t>范围内，否则应及时排查原因，重新测试至相对误差达到要求。</w:t>
      </w:r>
    </w:p>
    <w:p w14:paraId="7A9374FF">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）采样流量核查</w:t>
      </w:r>
    </w:p>
    <w:p w14:paraId="71FE9C61">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每月至少核查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次采样流量，使用经过计量检定合格的</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级标准流量计测试仪器采样流量，实测流量与仪器设定流量的相对误差应在</w:t>
      </w:r>
      <w:r>
        <w:rPr>
          <w:rFonts w:ascii="Times New Roman" w:hAnsi="Times New Roman" w:eastAsia="宋体" w:cs="Times New Roman"/>
          <w:color w:val="000000" w:themeColor="text1"/>
          <w:szCs w:val="21"/>
        </w:rPr>
        <w:t>±5%</w:t>
      </w:r>
      <w:r>
        <w:rPr>
          <w:rFonts w:ascii="Times New Roman" w:hAnsi="Calibri" w:eastAsia="宋体" w:cs="Times New Roman"/>
          <w:color w:val="000000" w:themeColor="text1"/>
          <w:szCs w:val="21"/>
        </w:rPr>
        <w:t>范围内，且示值流量与实测流量的示值误差应在</w:t>
      </w:r>
      <w:r>
        <w:rPr>
          <w:rFonts w:ascii="Times New Roman" w:hAnsi="Times New Roman" w:eastAsia="宋体" w:cs="Times New Roman"/>
          <w:color w:val="000000" w:themeColor="text1"/>
          <w:szCs w:val="21"/>
        </w:rPr>
        <w:t>±2%</w:t>
      </w:r>
      <w:r>
        <w:rPr>
          <w:rFonts w:ascii="Times New Roman" w:hAnsi="Calibri" w:eastAsia="宋体" w:cs="Times New Roman"/>
          <w:color w:val="000000" w:themeColor="text1"/>
          <w:szCs w:val="21"/>
        </w:rPr>
        <w:t>范围内，否则应及时调整仪器采样流量。</w:t>
      </w:r>
    </w:p>
    <w:p w14:paraId="5E6451B9">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）温度测量示值核查</w:t>
      </w:r>
    </w:p>
    <w:p w14:paraId="07CD8AD8">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每月至少核查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次温度测量示值，使用经过计量检定合格的</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级标准温度计测量环境温度，仪器显示的环境温度值与实测的环境温度值的误差应在</w:t>
      </w:r>
      <w:r>
        <w:rPr>
          <w:rFonts w:ascii="Times New Roman" w:hAnsi="Times New Roman" w:eastAsia="宋体" w:cs="Times New Roman"/>
          <w:color w:val="000000" w:themeColor="text1"/>
          <w:szCs w:val="21"/>
        </w:rPr>
        <w:t>±2 ℃</w:t>
      </w:r>
      <w:r>
        <w:rPr>
          <w:rFonts w:ascii="Times New Roman" w:hAnsi="Calibri" w:eastAsia="宋体" w:cs="Times New Roman"/>
          <w:color w:val="000000" w:themeColor="text1"/>
          <w:szCs w:val="21"/>
        </w:rPr>
        <w:t>范围内，否则应及时调整仪器环境温度示值。</w:t>
      </w:r>
    </w:p>
    <w:p w14:paraId="1B5F193F">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）大气压测量示值核查</w:t>
      </w:r>
    </w:p>
    <w:p w14:paraId="679079B6">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每月至少核查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次大气压测量示值，使用经过计量检定合格的</w:t>
      </w:r>
      <w:r>
        <w:rPr>
          <w:rFonts w:ascii="Times New Roman" w:hAnsi="Times New Roman" w:eastAsia="宋体" w:cs="Times New Roman"/>
          <w:color w:val="000000" w:themeColor="text1"/>
          <w:szCs w:val="21"/>
        </w:rPr>
        <w:t xml:space="preserve">0.5 </w:t>
      </w:r>
      <w:r>
        <w:rPr>
          <w:rFonts w:ascii="Times New Roman" w:hAnsi="Calibri" w:eastAsia="宋体" w:cs="Times New Roman"/>
          <w:color w:val="000000" w:themeColor="text1"/>
          <w:szCs w:val="21"/>
        </w:rPr>
        <w:t>级标准气压计测量环境大气压，仪器显示的环境大气压值与实测的环境大气压值的误差应在</w:t>
      </w:r>
      <w:r>
        <w:rPr>
          <w:rFonts w:ascii="Times New Roman" w:hAnsi="Times New Roman" w:eastAsia="宋体" w:cs="Times New Roman"/>
          <w:color w:val="000000" w:themeColor="text1"/>
          <w:szCs w:val="21"/>
        </w:rPr>
        <w:t xml:space="preserve">±1 kPa </w:t>
      </w:r>
      <w:r>
        <w:rPr>
          <w:rFonts w:ascii="Times New Roman" w:hAnsi="Calibri" w:eastAsia="宋体" w:cs="Times New Roman"/>
          <w:color w:val="000000" w:themeColor="text1"/>
          <w:szCs w:val="21"/>
        </w:rPr>
        <w:t>范围内，否则应及时调整仪器环境大气压示值。</w:t>
      </w:r>
    </w:p>
    <w:p w14:paraId="2D7E1E8B">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w:t>
      </w:r>
      <w:r>
        <w:rPr>
          <w:rFonts w:ascii="Times New Roman" w:hAnsi="Calibri" w:eastAsia="宋体" w:cs="Times New Roman"/>
          <w:color w:val="000000" w:themeColor="text1"/>
          <w:szCs w:val="21"/>
        </w:rPr>
        <w:t>）仪器空白核查</w:t>
      </w:r>
    </w:p>
    <w:p w14:paraId="12A965F4">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每月至少核查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仪器空白，在未启动采样泵的状态下，采用手动进样的方式，将去离子水注入离子色谱系统，所有目标离子的仪器空白应小于等于仪器检出限，否则应及时排查原因，重新测试至仪器空白达到要求。每次重启系统后应核查仪器空白。</w:t>
      </w:r>
    </w:p>
    <w:p w14:paraId="6A50C8D3">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w:t>
      </w:r>
      <w:r>
        <w:rPr>
          <w:rFonts w:ascii="Times New Roman" w:hAnsi="Calibri" w:eastAsia="宋体" w:cs="Times New Roman"/>
          <w:color w:val="000000" w:themeColor="text1"/>
          <w:szCs w:val="21"/>
        </w:rPr>
        <w:t>）校准曲线的建立</w:t>
      </w:r>
    </w:p>
    <w:p w14:paraId="54E43B04">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使用外标法定量的仪器，每月至少建立</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次校准曲线。当仪器更换定量环、色谱柱、抑制器等核心部件后，应重新建立校准曲线，并更新分析软件中的样品序列。校准曲线至少含</w:t>
      </w:r>
      <w:r>
        <w:rPr>
          <w:rFonts w:ascii="Times New Roman" w:hAnsi="Times New Roman" w:eastAsia="宋体" w:cs="Times New Roman"/>
          <w:color w:val="000000" w:themeColor="text1"/>
          <w:szCs w:val="21"/>
        </w:rPr>
        <w:t xml:space="preserve">6 </w:t>
      </w:r>
      <w:r>
        <w:rPr>
          <w:rFonts w:ascii="Times New Roman" w:hAnsi="Calibri" w:eastAsia="宋体" w:cs="Times New Roman"/>
          <w:color w:val="000000" w:themeColor="text1"/>
          <w:szCs w:val="21"/>
        </w:rPr>
        <w:t>个校准点（包括零浓度），曲线不强制过零点（环境样品浓度较低的情况下可强制过零点），校准曲线线性相关系数应满足</w:t>
      </w:r>
      <w:r>
        <w:rPr>
          <w:rFonts w:ascii="Times New Roman" w:hAnsi="Times New Roman" w:eastAsia="宋体" w:cs="Times New Roman"/>
          <w:i/>
          <w:iCs/>
          <w:color w:val="000000" w:themeColor="text1"/>
          <w:szCs w:val="21"/>
        </w:rPr>
        <w:t>r</w:t>
      </w:r>
      <w:r>
        <w:rPr>
          <w:rFonts w:ascii="Times New Roman" w:hAnsi="Times New Roman" w:eastAsia="宋体" w:cs="Times New Roman"/>
          <w:color w:val="000000" w:themeColor="text1"/>
          <w:szCs w:val="21"/>
        </w:rPr>
        <w:t>≥0.995</w:t>
      </w:r>
      <w:r>
        <w:rPr>
          <w:rFonts w:ascii="Times New Roman" w:hAnsi="Calibri" w:eastAsia="宋体" w:cs="Times New Roman"/>
          <w:color w:val="000000" w:themeColor="text1"/>
          <w:szCs w:val="21"/>
        </w:rPr>
        <w:t>，否则应重新建立校准曲线。</w:t>
      </w:r>
    </w:p>
    <w:p w14:paraId="12EE4F7B">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w:t>
      </w:r>
      <w:r>
        <w:rPr>
          <w:rFonts w:ascii="Times New Roman" w:hAnsi="Calibri" w:eastAsia="宋体" w:cs="Times New Roman"/>
          <w:color w:val="000000" w:themeColor="text1"/>
          <w:szCs w:val="21"/>
        </w:rPr>
        <w:t>）正确度核查</w:t>
      </w:r>
    </w:p>
    <w:p w14:paraId="1DDEA6D2">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每次建立完校准曲线后，使用有证标准物质测定所有目标离子，重复测量</w:t>
      </w:r>
      <w:r>
        <w:rPr>
          <w:rFonts w:ascii="Times New Roman" w:hAnsi="Times New Roman" w:eastAsia="宋体" w:cs="Times New Roman"/>
          <w:color w:val="000000" w:themeColor="text1"/>
          <w:szCs w:val="21"/>
        </w:rPr>
        <w:t xml:space="preserve">3 </w:t>
      </w:r>
      <w:r>
        <w:rPr>
          <w:rFonts w:ascii="Times New Roman" w:hAnsi="Calibri" w:eastAsia="宋体" w:cs="Times New Roman"/>
          <w:color w:val="000000" w:themeColor="text1"/>
          <w:szCs w:val="21"/>
        </w:rPr>
        <w:t>次，测定均值与理论值的相对误差应在</w:t>
      </w:r>
      <w:r>
        <w:rPr>
          <w:rFonts w:ascii="Times New Roman" w:hAnsi="Times New Roman" w:eastAsia="宋体" w:cs="Times New Roman"/>
          <w:color w:val="000000" w:themeColor="text1"/>
          <w:szCs w:val="21"/>
        </w:rPr>
        <w:t>±10%</w:t>
      </w:r>
      <w:r>
        <w:rPr>
          <w:rFonts w:ascii="Times New Roman" w:hAnsi="Calibri" w:eastAsia="宋体" w:cs="Times New Roman"/>
          <w:color w:val="000000" w:themeColor="text1"/>
          <w:szCs w:val="21"/>
        </w:rPr>
        <w:t>范围内，否则应及时排查原因，重新测试至正确度达到要求。</w:t>
      </w:r>
    </w:p>
    <w:p w14:paraId="1114217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w:t>
      </w:r>
      <w:r>
        <w:rPr>
          <w:rFonts w:ascii="Times New Roman" w:hAnsi="Calibri" w:eastAsia="宋体" w:cs="Times New Roman"/>
          <w:color w:val="000000" w:themeColor="text1"/>
          <w:szCs w:val="21"/>
        </w:rPr>
        <w:t>）数据一致性核查</w:t>
      </w:r>
    </w:p>
    <w:p w14:paraId="67D63AE7">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每半年至少核查</w:t>
      </w:r>
      <w:r>
        <w:rPr>
          <w:rFonts w:ascii="Times New Roman" w:hAnsi="Times New Roman" w:eastAsia="宋体" w:cs="Times New Roman"/>
          <w:color w:val="000000" w:themeColor="text1"/>
          <w:szCs w:val="21"/>
        </w:rPr>
        <w:t>1</w:t>
      </w:r>
      <w:r>
        <w:rPr>
          <w:rFonts w:ascii="Times New Roman" w:hAnsi="Calibri" w:eastAsia="宋体" w:cs="Times New Roman"/>
          <w:color w:val="000000" w:themeColor="text1"/>
          <w:szCs w:val="21"/>
        </w:rPr>
        <w:t>次数据一致性。不应采用模拟量传输等可能导致数据偏差的方式，数据采集仪记录的数据与仪器显示和存储的数据应一致，否则应及时检查仪器和数据采集仪的参数设置等是否正常。每次更换仪器后，应核查数据一致性。</w:t>
      </w:r>
    </w:p>
    <w:p w14:paraId="1F131521">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i</w:t>
      </w:r>
      <w:r>
        <w:rPr>
          <w:rFonts w:ascii="Times New Roman" w:hAnsi="Calibri" w:eastAsia="宋体" w:cs="Times New Roman"/>
          <w:color w:val="000000" w:themeColor="text1"/>
          <w:szCs w:val="21"/>
        </w:rPr>
        <w:t>）计量溯源性要求</w:t>
      </w:r>
    </w:p>
    <w:p w14:paraId="31A39BF9">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计量器具（如流量计、温度计、气压计等）应检定或校准合格，并在有效期内。标准溶液应使用有效期内的有证标准物质配制。</w:t>
      </w:r>
    </w:p>
    <w:p w14:paraId="3656A606">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j</w:t>
      </w:r>
      <w:r>
        <w:rPr>
          <w:rFonts w:ascii="Times New Roman" w:hAnsi="Calibri" w:eastAsia="宋体" w:cs="Times New Roman"/>
          <w:color w:val="000000" w:themeColor="text1"/>
          <w:szCs w:val="21"/>
        </w:rPr>
        <w:t>）质控记录</w:t>
      </w:r>
    </w:p>
    <w:p w14:paraId="325EFFE3">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质控工作应填写记录表。</w:t>
      </w:r>
    </w:p>
    <w:p w14:paraId="586881C3">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数据有效性判断</w:t>
      </w:r>
    </w:p>
    <w:p w14:paraId="18405EC3">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数据有效性判断要求如下：</w:t>
      </w:r>
    </w:p>
    <w:p w14:paraId="5EF2D2CC">
      <w:pPr>
        <w:spacing w:line="440" w:lineRule="exact"/>
        <w:ind w:left="846" w:leftChars="299" w:hanging="218" w:hangingChars="10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a）仪器正常运行时获取的经审核符合质控要求的监测数据为有效数据，应全部参与统计；</w:t>
      </w:r>
    </w:p>
    <w:p w14:paraId="513F033A">
      <w:pPr>
        <w:spacing w:line="440" w:lineRule="exact"/>
        <w:ind w:left="206" w:leftChars="98"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b）核查、维护保养仪器或仪器出现故障等非正常监测期间的数据为无效数据；仪器启动至预热完成时段内的数据为无效数据；</w:t>
      </w:r>
    </w:p>
    <w:p w14:paraId="7567A682">
      <w:pPr>
        <w:spacing w:line="440" w:lineRule="exact"/>
        <w:ind w:left="206" w:leftChars="98"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c）监测频次一般不低于每小时1组数据，低浓度环境条件下，如1 h采样的监测结果低于方法检出限，则可延长采样时长；</w:t>
      </w:r>
    </w:p>
    <w:p w14:paraId="61EBD419">
      <w:pPr>
        <w:spacing w:line="440" w:lineRule="exact"/>
        <w:ind w:firstLine="630" w:firstLineChars="3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d）低浓度环境条件下仪器正常运行出现的零值或负值为有效数据，应采用二分之一方法检出限作为修正后的值参与统计；在运行不稳定或其他监测质量不受控情况下出现的零值或负值为无效数据，不参与统计；</w:t>
      </w:r>
    </w:p>
    <w:p w14:paraId="4FDEAE54">
      <w:pPr>
        <w:spacing w:line="440" w:lineRule="exact"/>
        <w:ind w:left="846" w:leftChars="299" w:hanging="218" w:hangingChars="10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e）对于缺失和判断为无效的数据均应注明原因，并保留原始记录；</w:t>
      </w:r>
    </w:p>
    <w:p w14:paraId="1E04E750">
      <w:pPr>
        <w:spacing w:line="440" w:lineRule="exact"/>
        <w:ind w:left="846" w:leftChars="299" w:hanging="218" w:hangingChars="10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f）对于保留时间漂移或积分错误的目标离子峰，应重新手动积分，并回补数据；</w:t>
      </w:r>
    </w:p>
    <w:p w14:paraId="0CF7B2FD">
      <w:pPr>
        <w:spacing w:line="440" w:lineRule="exact"/>
        <w:ind w:left="206" w:leftChars="98"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每月监测数据有效率为每月实际获得的有效数据量与每月应有数据量的比值，其结果应不低于75%；每月应有数据量为每月总小时数与目标离子数量的乘积，总小时数应扣除停电等不可抗力因素导致数据缺失的小时数。</w:t>
      </w:r>
    </w:p>
    <w:p w14:paraId="4B5963AE">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废液处置</w:t>
      </w:r>
    </w:p>
    <w:p w14:paraId="59958D0A">
      <w:pPr>
        <w:spacing w:line="440" w:lineRule="exact"/>
        <w:ind w:left="846" w:leftChars="299" w:hanging="218" w:hangingChars="10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监测过程中产生的废液应集中收集，分类保存，并做好相应的标识，依法处置。</w:t>
      </w:r>
    </w:p>
    <w:p w14:paraId="638B8D7F">
      <w:pPr>
        <w:spacing w:line="440" w:lineRule="exact"/>
        <w:ind w:left="850" w:leftChars="199" w:hanging="432" w:hangingChars="205"/>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4.5在线无机元素分析仪</w:t>
      </w:r>
    </w:p>
    <w:p w14:paraId="343A33D7">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每日维护</w:t>
      </w:r>
    </w:p>
    <w:p w14:paraId="19382759">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a）每日检查环境大气压、环境温度、仪器采样流量、X射线管温度等工作参数，如有报警应及时处理；</w:t>
      </w:r>
    </w:p>
    <w:p w14:paraId="22C72630">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b）如仪器具备具备自动质控功能，每日需检查仪器自动质控数据，包括内标值、流量质控结果等，如有异常应及时排查原因；</w:t>
      </w:r>
    </w:p>
    <w:p w14:paraId="42ED3EAB">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c）以PM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或PM</w:t>
      </w:r>
      <w:r>
        <w:rPr>
          <w:rFonts w:ascii="Times New Roman" w:hAnsi="Times New Roman" w:eastAsia="宋体" w:cs="Times New Roman"/>
          <w:color w:val="000000" w:themeColor="text1"/>
          <w:szCs w:val="21"/>
          <w:vertAlign w:val="subscript"/>
        </w:rPr>
        <w:t>10</w:t>
      </w:r>
      <w:r>
        <w:rPr>
          <w:rFonts w:ascii="Times New Roman" w:hAnsi="Times New Roman" w:eastAsia="宋体" w:cs="Times New Roman"/>
          <w:color w:val="000000" w:themeColor="text1"/>
          <w:szCs w:val="21"/>
        </w:rPr>
        <w:t>为首要污染物的重污染天气预警发布后，可根据仪器数据质量情况24h内全面检查仪器1次；必要时校准或调整并避开重污染时段，重污染过程或沙尘影响结束后应及时清理采样头和切割器，并核查流量；</w:t>
      </w:r>
    </w:p>
    <w:p w14:paraId="3F7E2F95">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d）做好每日远程检查记录，并定期存档。</w:t>
      </w:r>
    </w:p>
    <w:p w14:paraId="37897D73">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每周维护</w:t>
      </w:r>
    </w:p>
    <w:p w14:paraId="689767C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a）每周至少现场检查1次仪器运行状态；</w:t>
      </w:r>
    </w:p>
    <w:p w14:paraId="28BD2FC1">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b）每周至少检查1次纸带位置是否正常，采样斑点是否圆滑、均匀、完整；检查纸带剩余长度，如长度不足7d用量应及时更换；</w:t>
      </w:r>
    </w:p>
    <w:p w14:paraId="54F31D7A">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c）每周至少检查1次X射线管温度是否在正常范围内，如出现X射线管温度逐渐升高的现象，应及时清洁主机机箱的风扇防尘网；</w:t>
      </w:r>
    </w:p>
    <w:p w14:paraId="42DD1A2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d）每周至少检查1次采样管的加热温度是否正常；</w:t>
      </w:r>
    </w:p>
    <w:p w14:paraId="053D6F73">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e）执行仪器说明书规定的其他周维护内容；</w:t>
      </w:r>
    </w:p>
    <w:p w14:paraId="2207A377">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f）做好每周维护记录，并定期存档。</w:t>
      </w:r>
    </w:p>
    <w:p w14:paraId="13AADD44">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每月维护</w:t>
      </w:r>
    </w:p>
    <w:p w14:paraId="22AE97B6">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a）每月至少清洁1次采样喷嘴压头及纸带下的垫块，在污染较重的季节或连续污染天气后应增加清洁频次，使用棉签棒蘸取无水乙醇清洁；</w:t>
      </w:r>
    </w:p>
    <w:p w14:paraId="45C5C4F9">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每月至少清洁1次采样头；在颗粒物污染较重或植物飞絮、飞虫影响较大的季节，应增加采样头的检查和清洁频次；清洁时，应完全拆开采样头和切割器，用蒸馏水或无水乙醇清洁（无水乙醇清洁后需再用蒸馏水清洁一遍），待完全晾干或用风机吹干后重新组装，组装时应检查密封圈的密封情况；</w:t>
      </w:r>
    </w:p>
    <w:p w14:paraId="17ACB01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c）每月至少备份1次原始数据；</w:t>
      </w:r>
    </w:p>
    <w:p w14:paraId="3B865A4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d）执行仪器说明书规定的其他月维护内容；</w:t>
      </w:r>
    </w:p>
    <w:p w14:paraId="6A696DF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e）做好每月维护记录，并定期存档。</w:t>
      </w:r>
    </w:p>
    <w:p w14:paraId="286D4D23">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每年维护</w:t>
      </w:r>
    </w:p>
    <w:p w14:paraId="4A5ABD02">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a）每年至少清洁1次采样管路，根据当地污染程度可增加清洁频次；采样管路清洁后应检查气密性，并核查采样流量；</w:t>
      </w:r>
    </w:p>
    <w:p w14:paraId="47AA1657">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b）每年对仪器预防性维护1次（或根据污染情况调整维护频次），检查与清洁样品采集单元和分析单元，更换必要的耗材与配件；维护后，应全面核查仪器状态，确保仪器在维护前后数据的准确性和可比性；</w:t>
      </w:r>
    </w:p>
    <w:p w14:paraId="0A6613D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c）执行仪器说明书规定的其他年度维护内容；</w:t>
      </w:r>
    </w:p>
    <w:p w14:paraId="0B7D783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d）做好每年维护记录，并定期存档。</w:t>
      </w:r>
    </w:p>
    <w:p w14:paraId="34CCB414">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故障检修</w:t>
      </w:r>
    </w:p>
    <w:p w14:paraId="6C1906B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出现故障的仪器应检查和维修，具体要求如下：</w:t>
      </w:r>
    </w:p>
    <w:p w14:paraId="5E7EA843">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a）根据仪器维修手册要求，开展故障判断和检修；</w:t>
      </w:r>
    </w:p>
    <w:p w14:paraId="20895BFB">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b）对于在现场能够诊断明确并且可以通过简单更换备件解决的仪器故障，应及时检修并尽快恢复正常运行；</w:t>
      </w:r>
    </w:p>
    <w:p w14:paraId="0D48819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c）对于不能在现场完成故障检修的仪器，应及时送修；</w:t>
      </w:r>
    </w:p>
    <w:p w14:paraId="5B9D1E0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d）每次故障检修完成后，应核查或校准仪器；</w:t>
      </w:r>
    </w:p>
    <w:p w14:paraId="2EBCFF64">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e）每次故障检修完成后，应记录检修、核查、校准情况并存档。</w:t>
      </w:r>
    </w:p>
    <w:p w14:paraId="560E3A8A">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质量保证和质量控制</w:t>
      </w:r>
    </w:p>
    <w:p w14:paraId="6BACD12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质量保证和质量控制的主要内容与频次要求如下，各站点可根据仪器实际运行情况进行调整。</w:t>
      </w:r>
    </w:p>
    <w:p w14:paraId="540A170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a）仪器空白核查</w:t>
      </w:r>
    </w:p>
    <w:p w14:paraId="4076B02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次更换纸带后需核查仪器空白，所有目标元素的空白值应小于等于仪器测定下限，至少70%的目标元素空白值应小于等于仪器检出限，否则应及时排查原因，重新测试至仪器空白达到要求。每次重启系统后应核查仪器空白。</w:t>
      </w:r>
    </w:p>
    <w:p w14:paraId="1D3D73C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b）采样流量核查</w:t>
      </w:r>
    </w:p>
    <w:p w14:paraId="082D17E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采样流量，使用经过计量检定合格的1级标准流量计测试仪器采样流量，实测流量与仪器设定流量的相对误差应在±5%范围内，且示值流量与实测流量的示值误差应在±2%范围内，否则应及时调整仪器采样流量。</w:t>
      </w:r>
    </w:p>
    <w:p w14:paraId="382A3E4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c）温度测量示值核查</w:t>
      </w:r>
    </w:p>
    <w:p w14:paraId="34B9B5FC">
      <w:pPr>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每月至少核查1次温度测量示值，使用经过计量检定合格的1级标准温度计测量环境温度，仪器显示的环境温度值与实测的环境温度值的误差应在±2℃范围内，否则应及时调整仪器环境温度示值。</w:t>
      </w:r>
    </w:p>
    <w:p w14:paraId="0C7AAB67">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d）大气压测量示值核查</w:t>
      </w:r>
    </w:p>
    <w:p w14:paraId="2352B7D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每月至少核查1次大气压测量示值，使用经过计量检定合格的0.5级标准气压计测量环境大气压，仪器显示的环境大气压值与实测的环境大气压值的误差应在±1kPa范围内，否则应及时调整仪器环境大气压示值。</w:t>
      </w:r>
    </w:p>
    <w:p w14:paraId="512D454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e）正确度核查</w:t>
      </w:r>
    </w:p>
    <w:p w14:paraId="25356123">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每季度至少使用标准膜核查1次正确度，选取1种元素核查1个浓度的正确度，实测值与理论值的相对误差应在±10%范围内，否则应及时排查原因，重新测试至正确度达到要求。</w:t>
      </w:r>
    </w:p>
    <w:p w14:paraId="544B88C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每年至少使用标准膜对全部目标元素核查1次正确度，至少70%的目标元素实测值与理论值的相对误差应在±10%范围内，否则应及时校准或调整。</w:t>
      </w:r>
    </w:p>
    <w:p w14:paraId="5F6F490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f）元素特征X射线能量核查</w:t>
      </w:r>
    </w:p>
    <w:p w14:paraId="7A95346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季度至少核查1次元素特征X射线能量，选择1～2种元素（种类自定），重复测量3次，计算目标元素测定均值，元素特征X射线能量相对误差应在±0.5%范围内，否则应及时调整能量，如无法调整应及时更换X射线管等部件。</w:t>
      </w:r>
    </w:p>
    <w:p w14:paraId="24448683">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g）湿度传感器核查</w:t>
      </w:r>
    </w:p>
    <w:p w14:paraId="6ABB50F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每半年至少核查1次仪器湿度传感器，使用经过计量检定合格的1级标准湿度计测量环境湿度，仪器显示的环境湿度值与实测的环境湿度值的误差应在±4%范围内，否则应及时校准仪器的环境湿度示值。</w:t>
      </w:r>
    </w:p>
    <w:p w14:paraId="2DA92204">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h）校准曲线的建立</w:t>
      </w:r>
    </w:p>
    <w:p w14:paraId="08664A34">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年至少对目标元素建立1次校准曲线。当仪器更换核心部件后，应重新建立校准曲线。使用空白纸带及2种以上不同浓度的标准膜建立校准曲线，校准曲线线性相关系数应满足r≥0.98，否则应重新建立校准曲线。曲线浓度设定参见HJ829的相关要求，并结合实际环境浓度水平设定。</w:t>
      </w:r>
    </w:p>
    <w:p w14:paraId="647A7115">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i）数据一致性核查</w:t>
      </w:r>
    </w:p>
    <w:p w14:paraId="704D6484">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半年至少核查1次数据一致性。不应采用模拟量传输等可能导致数据偏差的方式，数据采集仪记录的数据与仪器显示和存储的数据应一致，否则应及时检查仪器和数据采集仪的参数设置等是否正常。每次更换仪器后，应核查数据一致性。</w:t>
      </w:r>
    </w:p>
    <w:p w14:paraId="61AF493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j）计量溯源性要求</w:t>
      </w:r>
    </w:p>
    <w:p w14:paraId="4CA5233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计量器具（如流量计、温度计、气压计、湿度计等）应检定或校准合格，并在有效期内。标准膜应可溯源至权威计量机构，并在有效期内。</w:t>
      </w:r>
    </w:p>
    <w:p w14:paraId="2F6B207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k）质控记录</w:t>
      </w:r>
    </w:p>
    <w:p w14:paraId="59E8B0B2">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质控工作应填写记录表，记录表参见附录E。</w:t>
      </w:r>
    </w:p>
    <w:p w14:paraId="050CE926">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数据有效性判断</w:t>
      </w:r>
    </w:p>
    <w:p w14:paraId="18E5C7B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数据有效性判断要求如下：</w:t>
      </w:r>
    </w:p>
    <w:p w14:paraId="2114B16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a）仪器正常运行时获取的经审核符合质控要求的监测数据为有效数据，应全部参与统计；</w:t>
      </w:r>
    </w:p>
    <w:p w14:paraId="2E0B3BE4">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b）核查、维护保养仪器或仪器出现故障等非正常监测期间的数据为无效数据；仪器启动至预热完成时段内的数据为无效数据；</w:t>
      </w:r>
    </w:p>
    <w:p w14:paraId="30603DF8">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c）监测频次一般不低于每小时1组数据，低浓度环境条件下，如1h采样多种无机元素监测结果均低于方法检出限，则可延长采样时长；</w:t>
      </w:r>
    </w:p>
    <w:p w14:paraId="380A07B1">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d）低浓度环境条件下仪器正常运行出现的零值或负值应标记为未检出，不参与统计；在运行不稳定或其他监测质量不受控的情况下出现的零值或负值为无效数据，不参与统计；</w:t>
      </w:r>
    </w:p>
    <w:p w14:paraId="5F920F03">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e）对于缺失和判断为无效的数据均应注明原因，并保留原始记录；</w:t>
      </w:r>
    </w:p>
    <w:p w14:paraId="2A50528F">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每月监测数据为每月实际获得的有效数据量与每月应有数据量的比值，其结果应不低于75%；每月应有数据量为每月总小时数与目标元素数量的乘积，总小时数应扣除停电等不可抗力因素导致数据缺失的小时数。</w:t>
      </w:r>
    </w:p>
    <w:p w14:paraId="07D72E4E">
      <w:pPr>
        <w:spacing w:line="440" w:lineRule="exact"/>
        <w:ind w:left="850" w:leftChars="199" w:hanging="432" w:hangingChars="205"/>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4.6在线碳组分分析仪</w:t>
      </w:r>
    </w:p>
    <w:p w14:paraId="58D328B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本仪器为热学-光学衰减法，日常维护工作要求如下：</w:t>
      </w:r>
    </w:p>
    <w:p w14:paraId="0D3C7C68">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每日远程监控内容：</w:t>
      </w:r>
    </w:p>
    <w:p w14:paraId="23D42942">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a）每日检查仪器的运行状态参数，如有异常及时处理；</w:t>
      </w:r>
    </w:p>
    <w:p w14:paraId="06E272D8">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b）以PM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或PM</w:t>
      </w:r>
      <w:r>
        <w:rPr>
          <w:rFonts w:ascii="Times New Roman" w:hAnsi="Times New Roman" w:eastAsia="宋体" w:cs="Times New Roman"/>
          <w:color w:val="000000" w:themeColor="text1"/>
          <w:szCs w:val="21"/>
          <w:vertAlign w:val="subscript"/>
        </w:rPr>
        <w:t>10</w:t>
      </w:r>
      <w:r>
        <w:rPr>
          <w:rFonts w:ascii="Times New Roman" w:hAnsi="Times New Roman" w:eastAsia="宋体" w:cs="Times New Roman"/>
          <w:color w:val="000000" w:themeColor="text1"/>
          <w:szCs w:val="21"/>
        </w:rPr>
        <w:t>为首要污染物的重污染天气预警发布后，可根据仪器数据质量情况24h内全面检查仪器1次；必要时校准或调整并避开重污染时段，重污染过程或沙尘天气结束后应及时清理采样头和切割器、更换采样滤膜，并核查流量；</w:t>
      </w:r>
    </w:p>
    <w:p w14:paraId="0A12E4AA">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c）每日检查仪器监测结果，发现异常数据及时排查原因；</w:t>
      </w:r>
    </w:p>
    <w:p w14:paraId="400B5A91">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d）做好每日远程检查记录，并定期存档。</w:t>
      </w:r>
    </w:p>
    <w:p w14:paraId="6EC61909">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每周维护内容：</w:t>
      </w:r>
    </w:p>
    <w:p w14:paraId="3C441A7A">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周至少巡检1次现场，检查仪器运行状态，检查EC样品采集单元的纸带剩余量，如更换纸带则需要测试仪器稳定性和气密性；每周更换TC的采样滤膜（可根据实际污染情况调整更换频次），并测试气密性和仪器空白，TC仪器空白应≤0.3μg；</w:t>
      </w:r>
    </w:p>
    <w:p w14:paraId="5EE138B3">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b）检查集水装置状态，及时清理积水；</w:t>
      </w:r>
    </w:p>
    <w:p w14:paraId="7E1075BD">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c）执行仪器说明书规定的其他周维护内容；</w:t>
      </w:r>
    </w:p>
    <w:p w14:paraId="528E04B4">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d）做好每周维护记录，并定期存档。</w:t>
      </w:r>
    </w:p>
    <w:p w14:paraId="5C09843E">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每月维护内容：</w:t>
      </w:r>
    </w:p>
    <w:p w14:paraId="26BCD96F">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月至少清洁1次采样头，在颗粒物污染较重或植物飞絮、飞虫影响较大的季节，应增加采样头的检查和清洁频次；清洁时，应完全拆开采样头和切割器，用蒸馏水或无水乙醇清洁（无水乙醇清洁后需再用蒸馏水清洁一遍），待完全晾干或用风机吹干后重新组装，组装时应检查密封圈的密封情况；</w:t>
      </w:r>
    </w:p>
    <w:p w14:paraId="7F77B47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b）每月至少备份1次原始数据；</w:t>
      </w:r>
    </w:p>
    <w:p w14:paraId="2E079DE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c）每月至少清理1次仪器散热风扇滤网；</w:t>
      </w:r>
    </w:p>
    <w:p w14:paraId="387D711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d）每月至少测量1次溶蚀器吸收效率，低于70%则需更换溶蚀器碳膜（块）；</w:t>
      </w:r>
    </w:p>
    <w:p w14:paraId="4C64A45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e）执行仪器说明书规定的其他月维护内容；</w:t>
      </w:r>
    </w:p>
    <w:p w14:paraId="3ECD734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f）做好每月维护记录，并定期存档。</w:t>
      </w:r>
    </w:p>
    <w:p w14:paraId="12F3A61C">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每季度维护内容：</w:t>
      </w:r>
    </w:p>
    <w:p w14:paraId="01226239">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a）每季度至少清洁1次溶蚀器和采样管路，根据当地污染程度可增加清洁频次；采样管路清洁后应检查气密性，并核查采样流量；</w:t>
      </w:r>
    </w:p>
    <w:p w14:paraId="25B5CAD3">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b）每季度至少更换1次溶蚀器碳膜（块）等耗材，根据当地污染程度可增加更换频次；</w:t>
      </w:r>
    </w:p>
    <w:p w14:paraId="6D28467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c）每季度至少更换1次分析单元的一次性过滤器；</w:t>
      </w:r>
    </w:p>
    <w:p w14:paraId="4E0A7A6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d）每季度至少测量1次EC系统空白；</w:t>
      </w:r>
    </w:p>
    <w:p w14:paraId="6CB32FE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e）执行仪器说明书规定的其他季度维护内容；</w:t>
      </w:r>
    </w:p>
    <w:p w14:paraId="6A160D4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f）做好每季度维护记录，并定期存档。</w:t>
      </w:r>
    </w:p>
    <w:p w14:paraId="1A079E6C">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每半年维护内容：</w:t>
      </w:r>
    </w:p>
    <w:p w14:paraId="5A8CE13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a）每半年更换1次TC分析系统的一次性过滤器和辅助气体过滤器；</w:t>
      </w:r>
    </w:p>
    <w:p w14:paraId="2FBAFAB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b）执行仪器说明书规定的其他半年维护内容；</w:t>
      </w:r>
    </w:p>
    <w:p w14:paraId="5210896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c）做好每半年维护记录，并定期存档。</w:t>
      </w:r>
    </w:p>
    <w:p w14:paraId="0B2EBF2B">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每年维护内容：</w:t>
      </w:r>
    </w:p>
    <w:p w14:paraId="4997A99F">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a）每年对仪器预防性维护1次（或根据污染情况调整维护频次），检查与清洁样品采集单元和分析单元，更换必要的耗材与配件；维护后，应全面核查仪器状态，确保仪器在维护前后数据的准确性和可比性；</w:t>
      </w:r>
    </w:p>
    <w:p w14:paraId="124D77C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b）执行仪器说明书规定的其他年度维护内容；</w:t>
      </w:r>
    </w:p>
    <w:p w14:paraId="2197E84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c）做好每年维护记录，并定期存档。</w:t>
      </w:r>
    </w:p>
    <w:p w14:paraId="2EC701FB">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故障检修</w:t>
      </w:r>
    </w:p>
    <w:p w14:paraId="09C95F1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出现故障的仪器应检查和维修，具体要求如下：</w:t>
      </w:r>
    </w:p>
    <w:p w14:paraId="36B3C7A9">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a）根据仪器维修手册要求，开展故障判断和检修；</w:t>
      </w:r>
    </w:p>
    <w:p w14:paraId="5D8D78F5">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b）对于在现场能够诊断明确并且可以通过简单更换备件解决的仪器故障，应及时检修并尽快恢复正常运行；</w:t>
      </w:r>
    </w:p>
    <w:p w14:paraId="225D444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c）对于不能在现场完成故障检修的仪器，应及时送修；</w:t>
      </w:r>
    </w:p>
    <w:p w14:paraId="193633C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d）每次故障检修完成后，应核查或校准仪器；</w:t>
      </w:r>
    </w:p>
    <w:p w14:paraId="34668EF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e）每次故障检修完成后，应记录检修、核查、校准情况并存档。</w:t>
      </w:r>
    </w:p>
    <w:p w14:paraId="4E6DC2B0">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质量保证和质量控制</w:t>
      </w:r>
    </w:p>
    <w:p w14:paraId="3A54F93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a）校准曲线中间点浓度核查</w:t>
      </w:r>
    </w:p>
    <w:p w14:paraId="376B410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热学-光学衰减法每月至少核查1次校准曲线中间点浓度。使用标准溶液或标准膜核查校准曲线中间点浓度，测量3次中间点浓度，相对误差应在±10%范围内，否则应及时排查原因，重新测试至相对误差达到要求。</w:t>
      </w:r>
    </w:p>
    <w:p w14:paraId="7AC8EE6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b）采样流量核查</w:t>
      </w:r>
    </w:p>
    <w:p w14:paraId="37E9C2B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采样流量，使用经过计量检定合格的1级标准流量计测试仪器采样流量，实测流量与仪器设定流量的相对误差应在±5%范围内，且示值流量与实测流量的示值误差应在±2%范围内，否则应及时调整仪器采样流量。</w:t>
      </w:r>
    </w:p>
    <w:p w14:paraId="63012D6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c）温度测量示值核查</w:t>
      </w:r>
    </w:p>
    <w:p w14:paraId="2E98AA3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每月至少核查1次温度测量示值，使用经过计量检定合格的1级标准温度计测量环境温度，仪器显示的环境温度值与实测的环境温度值的误差应在±2℃范围内，否则应及时调整仪器环境温度示值。</w:t>
      </w:r>
    </w:p>
    <w:p w14:paraId="3773D6B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d）大气压测量示值核查</w:t>
      </w:r>
    </w:p>
    <w:p w14:paraId="7B87D82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每月至少核查1次大气压测量示值，使用经过计量检定合格的0.5级标准气压计测量环境大气压，仪器显示的环境大气压值与实测的环境大气压值的误差应在±1kPa范围内，否则应及时调整仪器环境大气压示值。</w:t>
      </w:r>
    </w:p>
    <w:p w14:paraId="19425E27">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e）仪器空白核查</w:t>
      </w:r>
    </w:p>
    <w:p w14:paraId="582A066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每月至少核查1次仪器空白，TC仪器空白应≤0.3µg，否则应及时排查原因，重新测试至仪器空白达到要求。每次重启系统后应核查仪器空白。</w:t>
      </w:r>
    </w:p>
    <w:p w14:paraId="0664333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f）校准曲线的建立</w:t>
      </w:r>
    </w:p>
    <w:p w14:paraId="2F7F153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热学-光学衰减法每半年至少建立1次校准曲线。仪器更换核心部件后，应重新建立校准曲线。校准曲线至少含6个校准点（包括零浓度），校准曲线线性相关系数应满足r≥0.995，斜率应满足0.9≤k≤1.1，截距应满足-1µg≤b≤1µg，否则应重新建立校准曲线。</w:t>
      </w:r>
    </w:p>
    <w:p w14:paraId="455E5CD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g）精密度核查</w:t>
      </w:r>
    </w:p>
    <w:p w14:paraId="086FE86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每季度至少核查1次精密度，对校准曲线中间点浓度（含碳量约10.0μg）的标准样品重复测量6次，计算相对标准偏差，相对标准偏差RSD应≤5%，否则应及时排查原因，重新测试至精密度达到要求。</w:t>
      </w:r>
    </w:p>
    <w:p w14:paraId="28FEE5D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h）正确度核查</w:t>
      </w:r>
    </w:p>
    <w:p w14:paraId="43F8C77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每季度至少使用有证标准物质核查1次正确度，重复测量3次，计算测定均值，3次实测均值与理论值的相对误差应在±10%范围内，否则应及时排查原因，重新测试至正确度达到要求。</w:t>
      </w:r>
    </w:p>
    <w:p w14:paraId="7376391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i）辅助气体流量核查</w:t>
      </w:r>
    </w:p>
    <w:p w14:paraId="6D46E5B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半年至少对热学-光学校正法的辅助气体通道流量单点核查1次，使用经过计量检定合格的1级标准流量计测试辅助气体流量，如实测流量与设定流量的相对误差超过±10%，应及时调整。每年多点核查辅助气体通道流量，至少含4个校准点（包括零点），每个点重复读取3次测量值，实测流量与设定流量的线性相关系数应满足r≥0.999，斜率应满足0.95≤k≤1.05，截距应满足-1ml/min≤b≤1ml/min，否则应及时调整辅助气体流量。</w:t>
      </w:r>
    </w:p>
    <w:p w14:paraId="580DF56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j）三峰测试</w:t>
      </w:r>
    </w:p>
    <w:p w14:paraId="6FC94C43">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每半年至少对热学-光学校正法三峰测试1次，无氧、有氧和内标三个阶段的CO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峰面积相对标准偏差应≤5%，否则应及时排查原因，至三峰测试达到要求。</w:t>
      </w:r>
    </w:p>
    <w:p w14:paraId="0F66C862">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k）数据一致性核查</w:t>
      </w:r>
    </w:p>
    <w:p w14:paraId="04FACCC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每半年至少核查1次数据一致性。不应采用模拟量传输等可能导致数据偏差的方式，数据采集仪记</w:t>
      </w:r>
    </w:p>
    <w:p w14:paraId="08078437">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录的数据与仪器显示和存储的数据应一致，否则应及时检查仪器和数据采集仪的参数设置等是否正常。每次更换仪器后，应核查数据一致性。</w:t>
      </w:r>
    </w:p>
    <w:p w14:paraId="512165E5">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l）计量溯源性要求</w:t>
      </w:r>
    </w:p>
    <w:p w14:paraId="6ADDAFA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计量器具（如流量计、温度计、气压计、湿度计等）应检定或校准合格，并在有效期内。标准溶液应使用有效期内的有证标准物质配制。</w:t>
      </w:r>
    </w:p>
    <w:p w14:paraId="67D7360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m）质控记录</w:t>
      </w:r>
    </w:p>
    <w:p w14:paraId="0122855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质控工作应填写记录表，记录表参见附录D。</w:t>
      </w:r>
    </w:p>
    <w:p w14:paraId="7D0769DC">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数据有效性判断</w:t>
      </w:r>
    </w:p>
    <w:p w14:paraId="1D922043">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数据有效性判断要求如下：</w:t>
      </w:r>
    </w:p>
    <w:p w14:paraId="562551C4">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a）仪器正常运行时获取的经审核符合质控要求的监测数据为有效数据，应全部参与统计；</w:t>
      </w:r>
    </w:p>
    <w:p w14:paraId="19968363">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b）核查、维护保养仪器或仪器出现故障等非正常监测期间的数据为无效数据；仪器启动至预热完成时段内的数据为无效数据；</w:t>
      </w:r>
    </w:p>
    <w:p w14:paraId="1DA9692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c）监测频次一般不低于每小时1组数据，低浓度环境条件下，如1h采样的监测结果低于方法检出限，则可延长采样时长；</w:t>
      </w:r>
    </w:p>
    <w:p w14:paraId="0C32A4F3">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d）低浓度环境条件下仪器正常运行出现的零值或负值为有效数据，应采用二分之一方法检出限作为修正后的值参与统计；在运行不稳定或其他监测质量不受控情况下出现的零值或负值为无效数据，不参与统计；</w:t>
      </w:r>
    </w:p>
    <w:p w14:paraId="6744D4F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e）对于缺失和判断为无效的数据均应注明原因，并保留原始记录；</w:t>
      </w:r>
    </w:p>
    <w:p w14:paraId="219B6D03">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f）与上一时刻有效数据相比，如OC、EC分割点延后超过50s，或OC与EC浓度比值变幅超过100%，则需对数据标记存疑，并进一步审核图谱判断数据有效性；</w:t>
      </w:r>
    </w:p>
    <w:p w14:paraId="286EF25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g）若OC、EC监测数据明显受碳酸盐的干扰（如沙尘天等），则该小时数据为无效数据；</w:t>
      </w:r>
    </w:p>
    <w:p w14:paraId="64A91B3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每月监测数据有效率为每月实际获得的有效数据量与每月应有数据量的比值，其结果应不低于75%；每月应有数据量为每月总小时数与监测指标数量的乘积，总小时数应扣除停电等不可抗力因素导致数据缺失的小时数。</w:t>
      </w:r>
    </w:p>
    <w:p w14:paraId="29BD2180">
      <w:pPr>
        <w:adjustRightInd w:val="0"/>
        <w:snapToGrid w:val="0"/>
        <w:spacing w:beforeLines="50" w:line="360" w:lineRule="auto"/>
        <w:ind w:firstLine="51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4.7应急管理</w:t>
      </w:r>
    </w:p>
    <w:p w14:paraId="1C0985B4">
      <w:pPr>
        <w:spacing w:line="360" w:lineRule="auto"/>
        <w:ind w:firstLine="420" w:firstLineChars="200"/>
        <w:rPr>
          <w:rFonts w:ascii="Times New Roman" w:hAnsi="Times New Roman" w:eastAsia="宋体" w:cs="Times New Roman"/>
          <w:color w:val="000000" w:themeColor="text1"/>
          <w:szCs w:val="21"/>
          <w:highlight w:val="none"/>
        </w:rPr>
      </w:pPr>
      <w:r>
        <w:rPr>
          <w:rFonts w:ascii="Times New Roman" w:hAnsi="Times New Roman" w:eastAsia="宋体" w:cs="Times New Roman"/>
          <w:color w:val="000000" w:themeColor="text1"/>
          <w:szCs w:val="21"/>
          <w:highlight w:val="none"/>
        </w:rPr>
        <w:t>出现监测数据异常、仪器故障或通讯故障，</w:t>
      </w:r>
      <w:r>
        <w:rPr>
          <w:rFonts w:hint="eastAsia" w:asciiTheme="minorEastAsia" w:hAnsiTheme="minorEastAsia" w:eastAsiaTheme="minorEastAsia" w:cstheme="minorEastAsia"/>
          <w:color w:val="000000" w:themeColor="text1"/>
          <w:sz w:val="21"/>
          <w:highlight w:val="none"/>
        </w:rPr>
        <w:t>应在</w:t>
      </w:r>
      <w:r>
        <w:rPr>
          <w:rFonts w:hint="eastAsia" w:asciiTheme="minorEastAsia" w:hAnsiTheme="minorEastAsia" w:eastAsiaTheme="minorEastAsia" w:cstheme="minorEastAsia"/>
          <w:color w:val="000000" w:themeColor="text1"/>
          <w:sz w:val="21"/>
          <w:highlight w:val="none"/>
          <w:lang w:val="en-US" w:eastAsia="zh-CN"/>
        </w:rPr>
        <w:t>2小时内响应，并通知采购人；</w:t>
      </w:r>
      <w:r>
        <w:rPr>
          <w:rFonts w:hint="eastAsia" w:asciiTheme="minorEastAsia" w:hAnsiTheme="minorEastAsia" w:eastAsiaTheme="minorEastAsia" w:cstheme="minorEastAsia"/>
          <w:color w:val="000000" w:themeColor="text1"/>
          <w:sz w:val="21"/>
          <w:highlight w:val="none"/>
        </w:rPr>
        <w:t>4小时内到达</w:t>
      </w:r>
      <w:r>
        <w:rPr>
          <w:rFonts w:hint="eastAsia" w:asciiTheme="minorEastAsia" w:hAnsiTheme="minorEastAsia" w:eastAsiaTheme="minorEastAsia" w:cstheme="minorEastAsia"/>
          <w:color w:val="000000" w:themeColor="text1"/>
          <w:sz w:val="21"/>
          <w:highlight w:val="none"/>
          <w:lang w:eastAsia="zh-CN"/>
        </w:rPr>
        <w:t>站点</w:t>
      </w:r>
      <w:r>
        <w:rPr>
          <w:rFonts w:hint="eastAsia" w:asciiTheme="minorEastAsia" w:hAnsiTheme="minorEastAsia" w:eastAsiaTheme="minorEastAsia" w:cstheme="minorEastAsia"/>
          <w:color w:val="000000" w:themeColor="text1"/>
          <w:sz w:val="21"/>
          <w:highlight w:val="none"/>
        </w:rPr>
        <w:t>处理故障并将信息反馈监测站；</w:t>
      </w:r>
      <w:r>
        <w:rPr>
          <w:rFonts w:ascii="Times New Roman" w:hAnsi="Times New Roman" w:eastAsia="宋体" w:cs="Times New Roman"/>
          <w:color w:val="000000" w:themeColor="text1"/>
          <w:szCs w:val="21"/>
          <w:highlight w:val="none"/>
        </w:rPr>
        <w:t>故障严重不能及时解决时，应关闭故障仪器的数据采集通道并报告监测站。如因自身技术能力不足无法修复仪器，需委托仪器生产厂商服务的，由运维单位负责联系设备厂家维修，并由运维单位提供备机，保障站点正常运行。</w:t>
      </w:r>
    </w:p>
    <w:p w14:paraId="79537AB6">
      <w:pPr>
        <w:adjustRightInd w:val="0"/>
        <w:snapToGrid w:val="0"/>
        <w:spacing w:beforeLines="50" w:line="360" w:lineRule="auto"/>
        <w:ind w:firstLine="51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4.8数据要求</w:t>
      </w:r>
    </w:p>
    <w:p w14:paraId="26454FAE">
      <w:pPr>
        <w:spacing w:line="360" w:lineRule="auto"/>
        <w:ind w:firstLine="420" w:firstLineChars="200"/>
        <w:rPr>
          <w:rFonts w:ascii="Times New Roman" w:hAnsi="Times New Roman" w:eastAsia="宋体" w:cs="Times New Roman"/>
          <w:b/>
          <w:bCs/>
          <w:color w:val="000000" w:themeColor="text1"/>
          <w:szCs w:val="21"/>
        </w:rPr>
      </w:pPr>
      <w:r>
        <w:rPr>
          <w:rFonts w:ascii="Times New Roman" w:hAnsi="Times New Roman" w:eastAsia="宋体" w:cs="Times New Roman"/>
          <w:color w:val="000000" w:themeColor="text1"/>
          <w:szCs w:val="21"/>
        </w:rPr>
        <w:t>各台仪器有效数据获取率要求见表2（停电、搬迁及不可抗力造成的无效数据，不计入获取率统计）。</w:t>
      </w:r>
    </w:p>
    <w:p w14:paraId="04F901A7">
      <w:pPr>
        <w:ind w:firstLine="482"/>
        <w:contextualSpacing/>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表2  仪器年度运行质量目标</w:t>
      </w:r>
    </w:p>
    <w:tbl>
      <w:tblPr>
        <w:tblStyle w:val="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2739"/>
        <w:gridCol w:w="1616"/>
        <w:gridCol w:w="1016"/>
      </w:tblGrid>
      <w:tr w14:paraId="23957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68C9AC4">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设备名称</w:t>
            </w:r>
          </w:p>
        </w:tc>
        <w:tc>
          <w:tcPr>
            <w:tcW w:w="0" w:type="auto"/>
            <w:vAlign w:val="center"/>
          </w:tcPr>
          <w:p w14:paraId="5518DBA1">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品牌型号</w:t>
            </w:r>
          </w:p>
        </w:tc>
        <w:tc>
          <w:tcPr>
            <w:tcW w:w="0" w:type="auto"/>
            <w:vAlign w:val="center"/>
          </w:tcPr>
          <w:p w14:paraId="278D0D4E">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有效数据获取率</w:t>
            </w:r>
          </w:p>
        </w:tc>
        <w:tc>
          <w:tcPr>
            <w:tcW w:w="0" w:type="auto"/>
            <w:vAlign w:val="center"/>
          </w:tcPr>
          <w:p w14:paraId="4AF609DF">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运行时间</w:t>
            </w:r>
          </w:p>
        </w:tc>
      </w:tr>
      <w:tr w14:paraId="6BD9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66EC2A2">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PM</w:t>
            </w:r>
            <w:r>
              <w:rPr>
                <w:rFonts w:ascii="Times New Roman" w:hAnsi="Times New Roman" w:eastAsia="宋体" w:cs="Times New Roman"/>
                <w:color w:val="000000" w:themeColor="text1"/>
                <w:kern w:val="0"/>
                <w:sz w:val="20"/>
                <w:szCs w:val="21"/>
                <w:vertAlign w:val="subscript"/>
              </w:rPr>
              <w:t>2.5</w:t>
            </w:r>
            <w:r>
              <w:rPr>
                <w:rFonts w:ascii="Times New Roman" w:hAnsi="Times New Roman" w:eastAsia="宋体" w:cs="Times New Roman"/>
                <w:color w:val="000000" w:themeColor="text1"/>
                <w:kern w:val="0"/>
                <w:sz w:val="20"/>
                <w:szCs w:val="21"/>
              </w:rPr>
              <w:t>在线分析仪</w:t>
            </w:r>
          </w:p>
        </w:tc>
        <w:tc>
          <w:tcPr>
            <w:tcW w:w="0" w:type="auto"/>
            <w:vAlign w:val="center"/>
          </w:tcPr>
          <w:p w14:paraId="0FD953F1">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赛默飞5030i</w:t>
            </w:r>
          </w:p>
        </w:tc>
        <w:tc>
          <w:tcPr>
            <w:tcW w:w="0" w:type="auto"/>
            <w:vAlign w:val="center"/>
          </w:tcPr>
          <w:p w14:paraId="6CB623E7">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90%</w:t>
            </w:r>
          </w:p>
        </w:tc>
        <w:tc>
          <w:tcPr>
            <w:tcW w:w="0" w:type="auto"/>
            <w:vAlign w:val="center"/>
          </w:tcPr>
          <w:p w14:paraId="06E8CF48">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全年</w:t>
            </w:r>
          </w:p>
        </w:tc>
      </w:tr>
      <w:tr w14:paraId="4A76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5E4B781">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在线离子色谱仪</w:t>
            </w:r>
          </w:p>
        </w:tc>
        <w:tc>
          <w:tcPr>
            <w:tcW w:w="0" w:type="auto"/>
            <w:vAlign w:val="center"/>
          </w:tcPr>
          <w:p w14:paraId="0AA4BDB4">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ThermoFisher URG9000D</w:t>
            </w:r>
          </w:p>
        </w:tc>
        <w:tc>
          <w:tcPr>
            <w:tcW w:w="0" w:type="auto"/>
            <w:vAlign w:val="center"/>
          </w:tcPr>
          <w:p w14:paraId="60EBFA05">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80%</w:t>
            </w:r>
          </w:p>
        </w:tc>
        <w:tc>
          <w:tcPr>
            <w:tcW w:w="0" w:type="auto"/>
            <w:vAlign w:val="center"/>
          </w:tcPr>
          <w:p w14:paraId="3CD7F1DC">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全年</w:t>
            </w:r>
          </w:p>
        </w:tc>
      </w:tr>
      <w:tr w14:paraId="2DA7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ED8BAF3">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在线无机元素分析仪</w:t>
            </w:r>
          </w:p>
        </w:tc>
        <w:tc>
          <w:tcPr>
            <w:tcW w:w="0" w:type="auto"/>
            <w:vAlign w:val="center"/>
          </w:tcPr>
          <w:p w14:paraId="38DAD543">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COOPERENVIRONMENTAL</w:t>
            </w:r>
          </w:p>
          <w:p w14:paraId="79109251">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CES Xact625</w:t>
            </w:r>
          </w:p>
        </w:tc>
        <w:tc>
          <w:tcPr>
            <w:tcW w:w="0" w:type="auto"/>
            <w:vAlign w:val="center"/>
          </w:tcPr>
          <w:p w14:paraId="42DD2ACE">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80%</w:t>
            </w:r>
          </w:p>
        </w:tc>
        <w:tc>
          <w:tcPr>
            <w:tcW w:w="0" w:type="auto"/>
            <w:vAlign w:val="center"/>
          </w:tcPr>
          <w:p w14:paraId="48D9C769">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全年</w:t>
            </w:r>
          </w:p>
        </w:tc>
      </w:tr>
      <w:tr w14:paraId="142F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4AF3A85">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在线碳组分分析仪</w:t>
            </w:r>
          </w:p>
        </w:tc>
        <w:tc>
          <w:tcPr>
            <w:tcW w:w="0" w:type="auto"/>
            <w:vAlign w:val="center"/>
          </w:tcPr>
          <w:p w14:paraId="7DBE3597">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MAGEE CASS</w:t>
            </w:r>
          </w:p>
        </w:tc>
        <w:tc>
          <w:tcPr>
            <w:tcW w:w="0" w:type="auto"/>
            <w:vAlign w:val="center"/>
          </w:tcPr>
          <w:p w14:paraId="2EF07B98">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90%</w:t>
            </w:r>
          </w:p>
        </w:tc>
        <w:tc>
          <w:tcPr>
            <w:tcW w:w="0" w:type="auto"/>
            <w:vAlign w:val="center"/>
          </w:tcPr>
          <w:p w14:paraId="2F4E30B2">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全年</w:t>
            </w:r>
          </w:p>
        </w:tc>
      </w:tr>
    </w:tbl>
    <w:p w14:paraId="28850146">
      <w:pPr>
        <w:adjustRightInd w:val="0"/>
        <w:snapToGrid w:val="0"/>
        <w:spacing w:beforeLines="50" w:line="360" w:lineRule="auto"/>
        <w:ind w:firstLine="51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4.10总结汇报</w:t>
      </w:r>
    </w:p>
    <w:p w14:paraId="2B678B9F">
      <w:pPr>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全年运行总结报告：运维满12个月时，提供一份全年运行总结报告（含整体运行状况、故障处理与原因分析、故障预防措施、异常监测数据分析等内容）。</w:t>
      </w:r>
    </w:p>
    <w:p w14:paraId="06E826ED">
      <w:pPr>
        <w:adjustRightInd w:val="0"/>
        <w:snapToGrid w:val="0"/>
        <w:spacing w:beforeLines="50" w:line="360" w:lineRule="auto"/>
        <w:ind w:firstLine="51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4.11其他：</w:t>
      </w:r>
    </w:p>
    <w:p w14:paraId="20ED1136">
      <w:pPr>
        <w:spacing w:line="360" w:lineRule="auto"/>
        <w:ind w:firstLine="315" w:firstLineChars="15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（1）配合中国环境监测总站、浙江省生态环境监测中心等上级领导部门进行气站质量保证和质量控制工作。</w:t>
      </w:r>
    </w:p>
    <w:p w14:paraId="6BD47224">
      <w:pPr>
        <w:spacing w:line="360" w:lineRule="auto"/>
        <w:ind w:firstLine="315" w:firstLineChars="15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（2）随时接受中国环境监测总站、浙江省生态环境监测中心等上级领导部门的工作考核及质量考核。</w:t>
      </w:r>
    </w:p>
    <w:p w14:paraId="623338E6">
      <w:pPr>
        <w:spacing w:beforeLines="50" w:line="360" w:lineRule="auto"/>
        <w:ind w:firstLine="413" w:firstLineChars="196"/>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五、投标方还应做到的其它工作</w:t>
      </w:r>
    </w:p>
    <w:p w14:paraId="68BBAB07">
      <w:pPr>
        <w:adjustRightInd w:val="0"/>
        <w:snapToGrid w:val="0"/>
        <w:spacing w:line="360" w:lineRule="auto"/>
        <w:ind w:firstLine="51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5.1 在运行维护及管理期间，中标人必须遵守国家的有关法律、法规及其他规定，本着为业主方负责的精神，依照规范，科学管理，使各监测监控系统运行达到国家及行业颁布的技术标准和业主方要求的考核指标要求；使空气自动监测系统运行真正发挥其效能和作用。</w:t>
      </w:r>
    </w:p>
    <w:p w14:paraId="6C43AE96">
      <w:pPr>
        <w:adjustRightInd w:val="0"/>
        <w:snapToGrid w:val="0"/>
        <w:spacing w:line="360" w:lineRule="auto"/>
        <w:ind w:firstLine="422" w:firstLineChars="200"/>
        <w:rPr>
          <w:rFonts w:ascii="Times New Roman" w:hAnsi="Times New Roman" w:eastAsia="宋体" w:cs="Times New Roman"/>
          <w:color w:val="000000" w:themeColor="text1"/>
          <w:szCs w:val="21"/>
        </w:rPr>
      </w:pPr>
      <w:r>
        <w:rPr>
          <w:rFonts w:ascii="Times New Roman" w:hAnsi="Times New Roman" w:eastAsia="宋体" w:cs="Times New Roman"/>
          <w:b/>
          <w:bCs/>
          <w:color w:val="000000" w:themeColor="text1"/>
          <w:szCs w:val="21"/>
        </w:rPr>
        <w:t>▲</w:t>
      </w:r>
      <w:r>
        <w:rPr>
          <w:rFonts w:ascii="Times New Roman" w:hAnsi="Times New Roman" w:eastAsia="宋体" w:cs="Times New Roman"/>
          <w:color w:val="000000" w:themeColor="text1"/>
          <w:szCs w:val="21"/>
        </w:rPr>
        <w:t>5.2 委托运行维护及管理的全部资产（包括全部产权和建筑物、设备、软件、配套设施、空气自动站和配套监控系统产生的各类数据信息及相关文档资料）属业主方所有。未经业主方同意，中标人不得以任何方式对各类财产进行出售、抵押或转移；同时，在委托运营及管理期间，中标人有责任保证上述全部资产的完整、安全并处于良好状态。</w:t>
      </w:r>
    </w:p>
    <w:p w14:paraId="43062EC6">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5.3 协助采购人做好固定资产的管理。</w:t>
      </w:r>
    </w:p>
    <w:p w14:paraId="013F81F7">
      <w:pPr>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5.4采购人要求的其它临时性任务应保质保量完成。</w:t>
      </w:r>
    </w:p>
    <w:p w14:paraId="10F1E98E">
      <w:pPr>
        <w:adjustRightInd w:val="0"/>
        <w:snapToGrid w:val="0"/>
        <w:spacing w:line="480" w:lineRule="exact"/>
        <w:ind w:firstLine="422" w:firstLineChars="200"/>
        <w:jc w:val="left"/>
        <w:rPr>
          <w:rFonts w:ascii="Times New Roman" w:hAnsi="Times New Roman" w:eastAsia="宋体" w:cs="Times New Roman"/>
          <w:b/>
          <w:color w:val="000000" w:themeColor="text1"/>
          <w:szCs w:val="21"/>
          <w:lang w:bidi="en-US"/>
        </w:rPr>
      </w:pPr>
      <w:r>
        <w:rPr>
          <w:rFonts w:ascii="Times New Roman" w:hAnsi="Times New Roman" w:eastAsia="宋体" w:cs="Times New Roman"/>
          <w:b/>
          <w:color w:val="000000" w:themeColor="text1"/>
          <w:szCs w:val="21"/>
        </w:rPr>
        <w:t>六、</w:t>
      </w:r>
      <w:r>
        <w:rPr>
          <w:rFonts w:ascii="Times New Roman" w:hAnsi="Times New Roman" w:eastAsia="宋体" w:cs="Times New Roman"/>
          <w:b/>
          <w:color w:val="000000" w:themeColor="text1"/>
          <w:szCs w:val="21"/>
          <w:lang w:bidi="en-US"/>
        </w:rPr>
        <w:t>数据归属及保密要求</w:t>
      </w:r>
    </w:p>
    <w:p w14:paraId="0C2AF427">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6.1本项目所形成的数据及报告归采购人所有。未经采购人授权，中标单位无权使用监测数据或将数据和报告发送给任何第三方。</w:t>
      </w:r>
    </w:p>
    <w:p w14:paraId="74443467">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6.2投标人应承担保密责任，在委托管理期间，对系统状况和数据严格保密，按照采购方的要求报告和传输监测数据。未经采购方同意，投标人不得以任何方式和渠道向外界传递任何与本项目有关的监测数据，不得利用本项目的任意资料对外开展技术交流、业务联系、数据交换等。投标人不能在境外使用、处理和存储该项目所包含的数据。</w:t>
      </w:r>
    </w:p>
    <w:p w14:paraId="4B945A5E">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6.3投标人在服务期间发生网络安全、人身安全、消防安全等重大问题的，应立即向相应驻市中心和采购方口头报告，随后进行书面报告。投标人的项目人员应与采购方签署年度网络安全、保密等协议，项目相关人员离职或调离，应该完成工作交接并留有记录，确保相关人员知晓网络安全管理规定和岗位网络安全责任。</w:t>
      </w:r>
    </w:p>
    <w:p w14:paraId="2F6ACA50">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6.4投标人应按照采购方的要求通过安全的方式按照指定的要求传输相关数据到采购方指定的平台，相关数据包括但是不限于以下数据：各类监测原始数据、重积分后数据、审核反演后数据以及各类图表等。未经采购方书面批准不得私自接入其他网络联通本项目网络。投标人应确保监测设备、数采平台、传输线路、监测数据等各个方面的网络信息安全。</w:t>
      </w:r>
    </w:p>
    <w:p w14:paraId="0B06D284">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6.5投标人须保证所提供产品（包括但不限于产品运行所需的操作系统、数据库软件、办公软件、杀毒软件、工业软件）具有合法的版权或授权。投标人所提供的产品，如在本项目范围内使用过程中出现版权或使用权纠纷，应由投标人负责，采购方不承担责任。</w:t>
      </w:r>
    </w:p>
    <w:p w14:paraId="356271AD">
      <w:pPr>
        <w:spacing w:beforeLines="50" w:line="360" w:lineRule="auto"/>
        <w:ind w:firstLine="310" w:firstLineChars="147"/>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七、运维考核办法</w:t>
      </w:r>
    </w:p>
    <w:p w14:paraId="6654261A">
      <w:pPr>
        <w:adjustRightInd w:val="0"/>
        <w:snapToGrid w:val="0"/>
        <w:spacing w:line="360" w:lineRule="auto"/>
        <w:ind w:firstLine="413" w:firstLineChars="196"/>
        <w:rPr>
          <w:rFonts w:ascii="Times New Roman" w:hAnsi="Times New Roman" w:eastAsia="宋体" w:cs="Times New Roman"/>
          <w:b/>
          <w:bCs/>
          <w:color w:val="000000" w:themeColor="text1"/>
          <w:szCs w:val="21"/>
        </w:rPr>
      </w:pPr>
      <w:r>
        <w:rPr>
          <w:rFonts w:ascii="Times New Roman" w:hAnsi="Times New Roman" w:eastAsia="宋体" w:cs="Times New Roman"/>
          <w:b/>
          <w:color w:val="000000" w:themeColor="text1"/>
          <w:szCs w:val="21"/>
        </w:rPr>
        <w:t>7.1</w:t>
      </w:r>
      <w:r>
        <w:rPr>
          <w:rFonts w:ascii="Times New Roman" w:hAnsi="Times New Roman" w:eastAsia="宋体" w:cs="Times New Roman"/>
          <w:b/>
          <w:bCs/>
          <w:color w:val="000000" w:themeColor="text1"/>
          <w:szCs w:val="21"/>
        </w:rPr>
        <w:t>管理方法与内容</w:t>
      </w:r>
    </w:p>
    <w:p w14:paraId="36B61336">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1）考核由采购人组织实施，采取不定期的方式；</w:t>
      </w:r>
    </w:p>
    <w:p w14:paraId="7E61AF80">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2）检查</w:t>
      </w:r>
      <w:r>
        <w:rPr>
          <w:rFonts w:ascii="Times New Roman" w:hAnsi="Times New Roman" w:eastAsia="宋体" w:cs="Times New Roman"/>
          <w:color w:val="000000" w:themeColor="text1"/>
          <w:szCs w:val="21"/>
        </w:rPr>
        <w:t>运维方</w:t>
      </w:r>
      <w:r>
        <w:rPr>
          <w:rFonts w:ascii="Times New Roman" w:hAnsi="Times New Roman" w:eastAsia="宋体" w:cs="Times New Roman"/>
          <w:bCs/>
          <w:color w:val="000000" w:themeColor="text1"/>
          <w:szCs w:val="21"/>
        </w:rPr>
        <w:t>各项工作是否按相关程序及监测技术规范执行；</w:t>
      </w:r>
    </w:p>
    <w:p w14:paraId="05D8F1F1">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3）不定期检查监测系统环境空气监测子站运行状况、仪器设备维护、维修和校准情况；</w:t>
      </w:r>
    </w:p>
    <w:p w14:paraId="045240EF">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4）不定期检查</w:t>
      </w:r>
      <w:r>
        <w:rPr>
          <w:rFonts w:ascii="Times New Roman" w:hAnsi="Times New Roman" w:eastAsia="宋体" w:cs="Times New Roman"/>
          <w:color w:val="000000" w:themeColor="text1"/>
          <w:szCs w:val="21"/>
        </w:rPr>
        <w:t>运维方</w:t>
      </w:r>
      <w:r>
        <w:rPr>
          <w:rFonts w:ascii="Times New Roman" w:hAnsi="Times New Roman" w:eastAsia="宋体" w:cs="Times New Roman"/>
          <w:bCs/>
          <w:color w:val="000000" w:themeColor="text1"/>
          <w:szCs w:val="21"/>
        </w:rPr>
        <w:t>的站点巡检记录、仪器质控记录、仪器自检记录、仪器维修、验收记录等；</w:t>
      </w:r>
    </w:p>
    <w:p w14:paraId="2CE3E342">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5）对</w:t>
      </w:r>
      <w:r>
        <w:rPr>
          <w:rFonts w:ascii="Times New Roman" w:hAnsi="Times New Roman" w:eastAsia="宋体" w:cs="Times New Roman"/>
          <w:color w:val="000000" w:themeColor="text1"/>
          <w:szCs w:val="21"/>
        </w:rPr>
        <w:t>运维方</w:t>
      </w:r>
      <w:r>
        <w:rPr>
          <w:rFonts w:ascii="Times New Roman" w:hAnsi="Times New Roman" w:eastAsia="宋体" w:cs="Times New Roman"/>
          <w:bCs/>
          <w:color w:val="000000" w:themeColor="text1"/>
          <w:szCs w:val="21"/>
        </w:rPr>
        <w:t>使用的校准仪器及标准物质进行检查；</w:t>
      </w:r>
    </w:p>
    <w:p w14:paraId="18C02CEC">
      <w:pPr>
        <w:adjustRightInd w:val="0"/>
        <w:snapToGrid w:val="0"/>
        <w:spacing w:line="360" w:lineRule="auto"/>
        <w:ind w:firstLine="411" w:firstLineChars="196"/>
        <w:rPr>
          <w:rFonts w:ascii="Times New Roman" w:hAnsi="Times New Roman" w:eastAsia="宋体" w:cs="Times New Roman"/>
          <w:color w:val="000000" w:themeColor="text1"/>
          <w:szCs w:val="21"/>
        </w:rPr>
      </w:pPr>
      <w:r>
        <w:rPr>
          <w:rFonts w:ascii="Times New Roman" w:hAnsi="Times New Roman" w:eastAsia="宋体" w:cs="Times New Roman"/>
          <w:bCs/>
          <w:color w:val="000000" w:themeColor="text1"/>
          <w:szCs w:val="21"/>
        </w:rPr>
        <w:t>6）审核</w:t>
      </w:r>
      <w:r>
        <w:rPr>
          <w:rFonts w:ascii="Times New Roman" w:hAnsi="Times New Roman" w:eastAsia="宋体" w:cs="Times New Roman"/>
          <w:color w:val="000000" w:themeColor="text1"/>
          <w:szCs w:val="21"/>
        </w:rPr>
        <w:t>运维方</w:t>
      </w:r>
      <w:r>
        <w:rPr>
          <w:rFonts w:ascii="Times New Roman" w:hAnsi="Times New Roman" w:eastAsia="宋体" w:cs="Times New Roman"/>
          <w:bCs/>
          <w:color w:val="000000" w:themeColor="text1"/>
          <w:szCs w:val="21"/>
        </w:rPr>
        <w:t>的质控报表，及时反馈质控结果。</w:t>
      </w:r>
    </w:p>
    <w:p w14:paraId="279A1458">
      <w:pPr>
        <w:adjustRightInd w:val="0"/>
        <w:snapToGrid w:val="0"/>
        <w:spacing w:line="360" w:lineRule="auto"/>
        <w:ind w:firstLine="413" w:firstLineChars="196"/>
        <w:rPr>
          <w:rFonts w:ascii="Times New Roman" w:hAnsi="Times New Roman" w:eastAsia="宋体" w:cs="Times New Roman"/>
          <w:b/>
          <w:bCs/>
          <w:color w:val="000000" w:themeColor="text1"/>
          <w:szCs w:val="21"/>
        </w:rPr>
      </w:pPr>
      <w:r>
        <w:rPr>
          <w:rFonts w:ascii="Times New Roman" w:hAnsi="Times New Roman" w:eastAsia="宋体" w:cs="Times New Roman"/>
          <w:b/>
          <w:color w:val="000000" w:themeColor="text1"/>
          <w:szCs w:val="21"/>
        </w:rPr>
        <w:t>7.2</w:t>
      </w:r>
      <w:r>
        <w:rPr>
          <w:rFonts w:ascii="Times New Roman" w:hAnsi="Times New Roman" w:eastAsia="宋体" w:cs="Times New Roman"/>
          <w:b/>
          <w:bCs/>
          <w:color w:val="000000" w:themeColor="text1"/>
          <w:szCs w:val="21"/>
        </w:rPr>
        <w:t>考评要求</w:t>
      </w:r>
    </w:p>
    <w:p w14:paraId="22165177">
      <w:pPr>
        <w:adjustRightInd w:val="0"/>
        <w:snapToGrid w:val="0"/>
        <w:spacing w:line="360" w:lineRule="auto"/>
        <w:ind w:firstLine="411" w:firstLineChars="196"/>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考评主要按照系统运行的数据有效率、日常运维情况、服务保障等情况进行考评。</w:t>
      </w:r>
    </w:p>
    <w:p w14:paraId="0C755A64">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1）</w:t>
      </w:r>
      <w:r>
        <w:rPr>
          <w:rFonts w:hint="eastAsia" w:ascii="Times New Roman" w:hAnsi="Times New Roman" w:eastAsia="宋体" w:cs="Times New Roman"/>
          <w:bCs/>
          <w:color w:val="000000" w:themeColor="text1"/>
          <w:szCs w:val="21"/>
          <w:lang w:eastAsia="zh-CN"/>
        </w:rPr>
        <w:t>每半</w:t>
      </w:r>
      <w:r>
        <w:rPr>
          <w:rFonts w:ascii="Times New Roman" w:hAnsi="Times New Roman" w:eastAsia="宋体" w:cs="Times New Roman"/>
          <w:bCs/>
          <w:color w:val="000000" w:themeColor="text1"/>
          <w:szCs w:val="21"/>
        </w:rPr>
        <w:t>年度运维得分按照附表1《</w:t>
      </w:r>
      <w:r>
        <w:rPr>
          <w:rFonts w:hint="eastAsia" w:ascii="Times New Roman" w:hAnsi="Times New Roman" w:eastAsia="宋体" w:cs="Times New Roman"/>
          <w:bCs/>
          <w:color w:val="000000" w:themeColor="text1"/>
          <w:szCs w:val="21"/>
        </w:rPr>
        <w:t>颗粒物组分监测自动站运行管理考核综合评议表</w:t>
      </w:r>
      <w:r>
        <w:rPr>
          <w:rFonts w:ascii="Times New Roman" w:hAnsi="Times New Roman" w:eastAsia="宋体" w:cs="Times New Roman"/>
          <w:bCs/>
          <w:color w:val="000000" w:themeColor="text1"/>
          <w:szCs w:val="21"/>
        </w:rPr>
        <w:t>》得分核算；</w:t>
      </w:r>
    </w:p>
    <w:p w14:paraId="4901FB61">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2）惩罚办法</w:t>
      </w:r>
    </w:p>
    <w:p w14:paraId="69E3FB5A">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一旦发现供应商有伪造监测数据或人为干扰采样行为，采购人有权终止合同，并按已支付费用的双倍进行经济处罚，同时向上级有关部门如实上报情况。</w:t>
      </w:r>
    </w:p>
    <w:p w14:paraId="104CFE62">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3）运维费支付</w:t>
      </w:r>
    </w:p>
    <w:p w14:paraId="295CC6F6">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按</w:t>
      </w:r>
      <w:r>
        <w:rPr>
          <w:rFonts w:hint="eastAsia" w:ascii="Times New Roman" w:hAnsi="Times New Roman" w:eastAsia="宋体" w:cs="Times New Roman"/>
          <w:bCs/>
          <w:color w:val="000000" w:themeColor="text1"/>
          <w:szCs w:val="21"/>
          <w:lang w:eastAsia="zh-CN"/>
        </w:rPr>
        <w:t>半</w:t>
      </w:r>
      <w:r>
        <w:rPr>
          <w:rFonts w:ascii="Times New Roman" w:hAnsi="Times New Roman" w:eastAsia="宋体" w:cs="Times New Roman"/>
          <w:bCs/>
          <w:color w:val="000000" w:themeColor="text1"/>
          <w:szCs w:val="21"/>
        </w:rPr>
        <w:t>年度进行考核，其中</w:t>
      </w:r>
    </w:p>
    <w:p w14:paraId="652D1535">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（1）考核结果在80分以上，全额支付供应商当</w:t>
      </w:r>
      <w:r>
        <w:rPr>
          <w:rFonts w:hint="eastAsia" w:ascii="Times New Roman" w:hAnsi="Times New Roman" w:eastAsia="宋体" w:cs="Times New Roman"/>
          <w:bCs/>
          <w:color w:val="000000" w:themeColor="text1"/>
          <w:szCs w:val="21"/>
          <w:lang w:eastAsia="zh-CN"/>
        </w:rPr>
        <w:t>期</w:t>
      </w:r>
      <w:r>
        <w:rPr>
          <w:rFonts w:ascii="Times New Roman" w:hAnsi="Times New Roman" w:eastAsia="宋体" w:cs="Times New Roman"/>
          <w:bCs/>
          <w:color w:val="000000" w:themeColor="text1"/>
          <w:szCs w:val="21"/>
        </w:rPr>
        <w:t>运维费；</w:t>
      </w:r>
    </w:p>
    <w:p w14:paraId="69D6C5E6">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（2）考核结果在70-80分之间，扣除供应商该站点当</w:t>
      </w:r>
      <w:r>
        <w:rPr>
          <w:rFonts w:hint="eastAsia" w:ascii="Times New Roman" w:hAnsi="Times New Roman" w:eastAsia="宋体" w:cs="Times New Roman"/>
          <w:bCs/>
          <w:color w:val="000000" w:themeColor="text1"/>
          <w:szCs w:val="21"/>
          <w:lang w:eastAsia="zh-CN"/>
        </w:rPr>
        <w:t>期</w:t>
      </w:r>
      <w:r>
        <w:rPr>
          <w:rFonts w:ascii="Times New Roman" w:hAnsi="Times New Roman" w:eastAsia="宋体" w:cs="Times New Roman"/>
          <w:bCs/>
          <w:color w:val="000000" w:themeColor="text1"/>
          <w:szCs w:val="21"/>
        </w:rPr>
        <w:t>运维费10%；</w:t>
      </w:r>
    </w:p>
    <w:p w14:paraId="7E69EE66">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（3）考核结果在60-70分之间，扣除供应商该站点当</w:t>
      </w:r>
      <w:r>
        <w:rPr>
          <w:rFonts w:hint="eastAsia" w:ascii="Times New Roman" w:hAnsi="Times New Roman" w:eastAsia="宋体" w:cs="Times New Roman"/>
          <w:bCs/>
          <w:color w:val="000000" w:themeColor="text1"/>
          <w:szCs w:val="21"/>
          <w:lang w:eastAsia="zh-CN"/>
        </w:rPr>
        <w:t>期</w:t>
      </w:r>
      <w:r>
        <w:rPr>
          <w:rFonts w:ascii="Times New Roman" w:hAnsi="Times New Roman" w:eastAsia="宋体" w:cs="Times New Roman"/>
          <w:bCs/>
          <w:color w:val="000000" w:themeColor="text1"/>
          <w:szCs w:val="21"/>
        </w:rPr>
        <w:t>运维费30%；</w:t>
      </w:r>
    </w:p>
    <w:p w14:paraId="35A2D145">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（4）考核结果在60分以下，扣除供应商该站点当</w:t>
      </w:r>
      <w:r>
        <w:rPr>
          <w:rFonts w:hint="eastAsia" w:ascii="Times New Roman" w:hAnsi="Times New Roman" w:eastAsia="宋体" w:cs="Times New Roman"/>
          <w:bCs/>
          <w:color w:val="000000" w:themeColor="text1"/>
          <w:szCs w:val="21"/>
          <w:lang w:eastAsia="zh-CN"/>
        </w:rPr>
        <w:t>期</w:t>
      </w:r>
      <w:r>
        <w:rPr>
          <w:rFonts w:ascii="Times New Roman" w:hAnsi="Times New Roman" w:eastAsia="宋体" w:cs="Times New Roman"/>
          <w:bCs/>
          <w:color w:val="000000" w:themeColor="text1"/>
          <w:szCs w:val="21"/>
        </w:rPr>
        <w:t>运维费50%。</w:t>
      </w:r>
    </w:p>
    <w:p w14:paraId="215739EA">
      <w:pPr>
        <w:adjustRightInd w:val="0"/>
        <w:snapToGrid w:val="0"/>
        <w:spacing w:line="360" w:lineRule="auto"/>
        <w:ind w:firstLine="413" w:firstLineChars="196"/>
        <w:rPr>
          <w:rFonts w:ascii="Times New Roman" w:hAnsi="Times New Roman" w:eastAsia="宋体" w:cs="Times New Roman"/>
          <w:bCs/>
          <w:color w:val="000000" w:themeColor="text1"/>
          <w:szCs w:val="21"/>
        </w:rPr>
      </w:pPr>
      <w:r>
        <w:rPr>
          <w:rFonts w:ascii="Times New Roman" w:hAnsi="Times New Roman" w:eastAsia="宋体" w:cs="Times New Roman"/>
          <w:b/>
          <w:color w:val="000000" w:themeColor="text1"/>
          <w:szCs w:val="21"/>
        </w:rPr>
        <w:t>7.3</w:t>
      </w:r>
      <w:r>
        <w:rPr>
          <w:rFonts w:ascii="Times New Roman" w:hAnsi="Times New Roman" w:eastAsia="宋体" w:cs="Times New Roman"/>
          <w:bCs/>
          <w:color w:val="000000" w:themeColor="text1"/>
          <w:szCs w:val="21"/>
        </w:rPr>
        <w:t>如因惩罚措施而解除合同后，原供应商需对所运维的站点按接手时的仪器配置品牌型号进行修复，要求不低于交接时仪器状况；</w:t>
      </w:r>
    </w:p>
    <w:p w14:paraId="642D99CF">
      <w:pPr>
        <w:adjustRightInd w:val="0"/>
        <w:snapToGrid w:val="0"/>
        <w:spacing w:line="360" w:lineRule="auto"/>
        <w:ind w:firstLine="413" w:firstLineChars="196"/>
        <w:rPr>
          <w:rFonts w:ascii="Times New Roman" w:hAnsi="Times New Roman" w:eastAsia="宋体" w:cs="Times New Roman"/>
          <w:color w:val="000000" w:themeColor="text1"/>
          <w:szCs w:val="21"/>
        </w:rPr>
      </w:pPr>
      <w:r>
        <w:rPr>
          <w:rFonts w:ascii="Times New Roman" w:hAnsi="Times New Roman" w:eastAsia="宋体" w:cs="Times New Roman"/>
          <w:b/>
          <w:bCs/>
          <w:color w:val="000000" w:themeColor="text1"/>
          <w:szCs w:val="21"/>
        </w:rPr>
        <w:t>7.4</w:t>
      </w:r>
      <w:r>
        <w:rPr>
          <w:rFonts w:ascii="Times New Roman" w:hAnsi="Times New Roman" w:eastAsia="宋体" w:cs="Times New Roman"/>
          <w:bCs/>
          <w:color w:val="000000" w:themeColor="text1"/>
          <w:szCs w:val="21"/>
        </w:rPr>
        <w:t>合同解除后对环境空气自动站进行资产后评估，若达不到7.3要求，新的托管方在修复并达到7.3考核要求时，所需费用由原中标方承担。</w:t>
      </w:r>
    </w:p>
    <w:p w14:paraId="5C51BAD6">
      <w:pPr>
        <w:adjustRightInd w:val="0"/>
        <w:snapToGrid w:val="0"/>
        <w:spacing w:line="360" w:lineRule="auto"/>
        <w:ind w:firstLine="310" w:firstLineChars="147"/>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八、交接方式</w:t>
      </w:r>
    </w:p>
    <w:p w14:paraId="4083CEFE">
      <w:pPr>
        <w:adjustRightInd w:val="0"/>
        <w:snapToGrid w:val="0"/>
        <w:spacing w:line="360" w:lineRule="auto"/>
        <w:ind w:firstLine="413" w:firstLineChars="196"/>
        <w:rPr>
          <w:rFonts w:ascii="Times New Roman" w:hAnsi="Times New Roman" w:eastAsia="宋体" w:cs="Times New Roman"/>
          <w:color w:val="000000" w:themeColor="text1"/>
          <w:szCs w:val="21"/>
        </w:rPr>
      </w:pPr>
      <w:r>
        <w:rPr>
          <w:rFonts w:ascii="Times New Roman" w:hAnsi="Times New Roman" w:eastAsia="宋体" w:cs="Times New Roman"/>
          <w:b/>
          <w:color w:val="000000" w:themeColor="text1"/>
          <w:szCs w:val="21"/>
        </w:rPr>
        <w:t>8.1</w:t>
      </w:r>
      <w:r>
        <w:rPr>
          <w:rFonts w:ascii="Times New Roman" w:hAnsi="Times New Roman" w:eastAsia="宋体" w:cs="Times New Roman"/>
          <w:color w:val="000000" w:themeColor="text1"/>
          <w:szCs w:val="21"/>
        </w:rPr>
        <w:t xml:space="preserve"> 业主方应在合同生效前向中标人提供环境空气自动监测系统的以下技术资料：</w:t>
      </w:r>
    </w:p>
    <w:p w14:paraId="46419BF3">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(1)《国家环境空气质量监测城市自动监测站运行管理暂行规定》；</w:t>
      </w:r>
    </w:p>
    <w:p w14:paraId="6D8514C4">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(2)系统仪器使用说明手册；</w:t>
      </w:r>
    </w:p>
    <w:p w14:paraId="38D81332">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(3)各仪器商、集成商联系方式。</w:t>
      </w:r>
    </w:p>
    <w:p w14:paraId="535FA402">
      <w:pPr>
        <w:adjustRightInd w:val="0"/>
        <w:snapToGrid w:val="0"/>
        <w:spacing w:line="360" w:lineRule="auto"/>
        <w:ind w:firstLine="413" w:firstLineChars="196"/>
        <w:rPr>
          <w:rFonts w:ascii="Times New Roman" w:hAnsi="Times New Roman" w:eastAsia="宋体" w:cs="Times New Roman"/>
          <w:color w:val="000000" w:themeColor="text1"/>
          <w:szCs w:val="21"/>
        </w:rPr>
      </w:pPr>
      <w:r>
        <w:rPr>
          <w:rFonts w:ascii="Times New Roman" w:hAnsi="Times New Roman" w:eastAsia="宋体" w:cs="Times New Roman"/>
          <w:b/>
          <w:color w:val="000000" w:themeColor="text1"/>
          <w:szCs w:val="21"/>
        </w:rPr>
        <w:t>8.2</w:t>
      </w:r>
      <w:r>
        <w:rPr>
          <w:rFonts w:ascii="Times New Roman" w:hAnsi="Times New Roman" w:eastAsia="宋体" w:cs="Times New Roman"/>
          <w:color w:val="000000" w:themeColor="text1"/>
          <w:szCs w:val="21"/>
        </w:rPr>
        <w:t xml:space="preserve"> 在合同生效前中标人应与业主方共同对环境空气自动监测系统的系统运行情况，仪器运行情况，数据采集情况进行实际考察，并且做好备案。</w:t>
      </w:r>
    </w:p>
    <w:p w14:paraId="66901354">
      <w:pPr>
        <w:adjustRightInd w:val="0"/>
        <w:snapToGrid w:val="0"/>
        <w:spacing w:line="360" w:lineRule="auto"/>
        <w:ind w:firstLine="310" w:firstLineChars="147"/>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九、付款方式</w:t>
      </w:r>
    </w:p>
    <w:p w14:paraId="325A4C99">
      <w:pPr>
        <w:adjustRightInd w:val="0"/>
        <w:snapToGrid w:val="0"/>
        <w:spacing w:line="360" w:lineRule="auto"/>
        <w:ind w:firstLine="413" w:firstLineChars="196"/>
        <w:rPr>
          <w:rFonts w:ascii="Times New Roman" w:hAnsi="Times New Roman" w:eastAsia="宋体" w:cs="Times New Roman"/>
          <w:color w:val="000000" w:themeColor="text1"/>
          <w:szCs w:val="21"/>
        </w:rPr>
      </w:pPr>
      <w:r>
        <w:rPr>
          <w:rFonts w:ascii="Times New Roman" w:hAnsi="Times New Roman" w:eastAsia="宋体" w:cs="Times New Roman"/>
          <w:b/>
          <w:color w:val="000000" w:themeColor="text1"/>
          <w:szCs w:val="21"/>
        </w:rPr>
        <w:t>9.1</w:t>
      </w:r>
      <w:r>
        <w:rPr>
          <w:rFonts w:ascii="Times New Roman" w:hAnsi="Times New Roman" w:eastAsia="宋体" w:cs="Times New Roman"/>
          <w:color w:val="000000" w:themeColor="text1"/>
          <w:szCs w:val="21"/>
        </w:rPr>
        <w:t>合同签订后7个工作日内，支付合同总价的70%作为预付款，服务期满并通过考核，支付合同总价剩余的30%，如有</w:t>
      </w:r>
      <w:r>
        <w:rPr>
          <w:rFonts w:hint="eastAsia" w:ascii="Times New Roman" w:hAnsi="Times New Roman" w:eastAsia="宋体" w:cs="Times New Roman"/>
          <w:color w:val="000000" w:themeColor="text1"/>
          <w:szCs w:val="21"/>
          <w:lang w:eastAsia="zh-CN"/>
        </w:rPr>
        <w:t>扣</w:t>
      </w:r>
      <w:r>
        <w:rPr>
          <w:rFonts w:ascii="Times New Roman" w:hAnsi="Times New Roman" w:eastAsia="宋体" w:cs="Times New Roman"/>
          <w:color w:val="000000" w:themeColor="text1"/>
          <w:szCs w:val="21"/>
        </w:rPr>
        <w:t>款，则在余款中扣除</w:t>
      </w:r>
      <w:r>
        <w:rPr>
          <w:rFonts w:hint="eastAsia" w:ascii="Times New Roman" w:hAnsi="Times New Roman" w:eastAsia="宋体" w:cs="Times New Roman"/>
          <w:color w:val="000000" w:themeColor="text1"/>
          <w:szCs w:val="21"/>
          <w:lang w:eastAsia="zh-CN"/>
        </w:rPr>
        <w:t>，如扣款金额大于余款，不足部分则由中标方补足</w:t>
      </w:r>
      <w:r>
        <w:rPr>
          <w:rFonts w:ascii="Times New Roman" w:hAnsi="Times New Roman" w:eastAsia="宋体" w:cs="Times New Roman"/>
          <w:color w:val="000000" w:themeColor="text1"/>
          <w:szCs w:val="21"/>
        </w:rPr>
        <w:t>。</w:t>
      </w:r>
    </w:p>
    <w:p w14:paraId="3F16DD5C">
      <w:pPr>
        <w:adjustRightInd w:val="0"/>
        <w:snapToGrid w:val="0"/>
        <w:spacing w:line="360" w:lineRule="auto"/>
        <w:ind w:firstLine="413" w:firstLineChars="196"/>
        <w:rPr>
          <w:rFonts w:ascii="Times New Roman" w:hAnsi="Times New Roman" w:eastAsia="宋体" w:cs="Times New Roman"/>
          <w:color w:val="000000" w:themeColor="text1"/>
          <w:szCs w:val="21"/>
          <w:lang w:val="en-GB"/>
        </w:rPr>
      </w:pPr>
      <w:r>
        <w:rPr>
          <w:rFonts w:ascii="Times New Roman" w:hAnsi="Times New Roman" w:eastAsia="宋体" w:cs="Times New Roman"/>
          <w:b/>
          <w:color w:val="000000" w:themeColor="text1"/>
          <w:szCs w:val="21"/>
        </w:rPr>
        <w:t>9</w:t>
      </w:r>
      <w:r>
        <w:rPr>
          <w:rFonts w:ascii="Times New Roman" w:hAnsi="Times New Roman" w:eastAsia="宋体" w:cs="Times New Roman"/>
          <w:b/>
          <w:color w:val="000000" w:themeColor="text1"/>
          <w:szCs w:val="21"/>
          <w:lang w:val="en-GB"/>
        </w:rPr>
        <w:t>.2</w:t>
      </w:r>
      <w:r>
        <w:rPr>
          <w:rFonts w:ascii="Times New Roman" w:hAnsi="Times New Roman" w:eastAsia="宋体" w:cs="Times New Roman"/>
          <w:color w:val="000000" w:themeColor="text1"/>
          <w:szCs w:val="21"/>
          <w:lang w:val="en-GB"/>
        </w:rPr>
        <w:t>付款按财政政策执行，因服务商未按合同履行维保任务或考核不合格以及不符合财政资金支付时间要求等原因造成不能及时付款的，采购方不承担责任。</w:t>
      </w:r>
    </w:p>
    <w:p w14:paraId="2DD75FC9">
      <w:pPr>
        <w:adjustRightInd w:val="0"/>
        <w:snapToGrid w:val="0"/>
        <w:spacing w:line="360" w:lineRule="auto"/>
        <w:ind w:firstLine="310" w:firstLineChars="147"/>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十、履约验收</w:t>
      </w:r>
    </w:p>
    <w:p w14:paraId="27329389">
      <w:pPr>
        <w:adjustRightInd w:val="0"/>
        <w:snapToGrid w:val="0"/>
        <w:spacing w:line="360" w:lineRule="auto"/>
        <w:ind w:firstLine="411" w:firstLineChars="196"/>
        <w:rPr>
          <w:rFonts w:ascii="Times New Roman" w:hAnsi="Times New Roman" w:eastAsia="宋体" w:cs="Times New Roman"/>
          <w:color w:val="000000" w:themeColor="text1"/>
          <w:szCs w:val="21"/>
          <w:lang w:val="en-GB"/>
        </w:rPr>
      </w:pPr>
      <w:r>
        <w:rPr>
          <w:rFonts w:ascii="Times New Roman" w:hAnsi="Times New Roman" w:eastAsia="宋体" w:cs="Times New Roman"/>
          <w:color w:val="000000" w:themeColor="text1"/>
          <w:szCs w:val="21"/>
          <w:lang w:val="en-GB"/>
        </w:rPr>
        <w:t>服务类项目，可以根据项目特点对服务期内的服务实施情况进行分期考核，结合考核情况和服务效果进行验收。</w:t>
      </w:r>
    </w:p>
    <w:p w14:paraId="0D86A2BE">
      <w:pPr>
        <w:ind w:firstLine="482"/>
        <w:jc w:val="center"/>
        <w:rPr>
          <w:rFonts w:ascii="Times New Roman" w:hAnsi="Times New Roman" w:eastAsia="宋体" w:cs="Times New Roman"/>
          <w:b/>
          <w:color w:val="000000" w:themeColor="text1"/>
          <w:szCs w:val="21"/>
        </w:rPr>
      </w:pPr>
    </w:p>
    <w:p w14:paraId="38259720">
      <w:pPr>
        <w:ind w:firstLine="482"/>
        <w:jc w:val="center"/>
        <w:rPr>
          <w:rFonts w:ascii="Times New Roman" w:hAnsi="Times New Roman" w:eastAsia="宋体" w:cs="Times New Roman"/>
          <w:b/>
          <w:color w:val="000000" w:themeColor="text1"/>
          <w:szCs w:val="21"/>
        </w:rPr>
      </w:pPr>
    </w:p>
    <w:p w14:paraId="71F163FF">
      <w:pPr>
        <w:ind w:firstLine="482"/>
        <w:jc w:val="center"/>
        <w:rPr>
          <w:rFonts w:ascii="Times New Roman" w:hAnsi="Times New Roman" w:eastAsia="宋体" w:cs="Times New Roman"/>
          <w:b/>
          <w:color w:val="000000" w:themeColor="text1"/>
          <w:szCs w:val="21"/>
        </w:rPr>
      </w:pPr>
    </w:p>
    <w:p w14:paraId="3E3DFD15">
      <w:pPr>
        <w:ind w:firstLine="482"/>
        <w:jc w:val="center"/>
        <w:rPr>
          <w:rFonts w:ascii="Times New Roman" w:hAnsi="Times New Roman" w:eastAsia="宋体" w:cs="Times New Roman"/>
          <w:b/>
          <w:color w:val="000000" w:themeColor="text1"/>
          <w:szCs w:val="21"/>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p>
    <w:p w14:paraId="30637823">
      <w:pPr>
        <w:ind w:firstLine="482"/>
        <w:jc w:val="left"/>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附表1</w:t>
      </w:r>
    </w:p>
    <w:p w14:paraId="156AE53E">
      <w:pPr>
        <w:ind w:firstLine="482"/>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颗粒物组分监测自动站运行管理考核综合评议表</w:t>
      </w:r>
    </w:p>
    <w:tbl>
      <w:tblPr>
        <w:tblStyle w:val="27"/>
        <w:tblW w:w="89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410"/>
        <w:gridCol w:w="5448"/>
        <w:gridCol w:w="668"/>
        <w:gridCol w:w="653"/>
      </w:tblGrid>
      <w:tr w14:paraId="16D72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5" w:type="dxa"/>
            <w:tcBorders>
              <w:top w:val="single" w:color="auto" w:sz="4" w:space="0"/>
              <w:left w:val="single" w:color="auto" w:sz="4" w:space="0"/>
              <w:bottom w:val="single" w:color="auto" w:sz="4" w:space="0"/>
              <w:right w:val="single" w:color="auto" w:sz="4" w:space="0"/>
            </w:tcBorders>
            <w:vAlign w:val="center"/>
          </w:tcPr>
          <w:p w14:paraId="785B6224">
            <w:pPr>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序号</w:t>
            </w:r>
          </w:p>
        </w:tc>
        <w:tc>
          <w:tcPr>
            <w:tcW w:w="1410" w:type="dxa"/>
            <w:tcBorders>
              <w:top w:val="single" w:color="auto" w:sz="4" w:space="0"/>
              <w:left w:val="single" w:color="auto" w:sz="4" w:space="0"/>
              <w:bottom w:val="single" w:color="auto" w:sz="4" w:space="0"/>
              <w:right w:val="single" w:color="auto" w:sz="4" w:space="0"/>
            </w:tcBorders>
            <w:vAlign w:val="center"/>
          </w:tcPr>
          <w:p w14:paraId="54B56DB8">
            <w:pPr>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检查项目</w:t>
            </w:r>
          </w:p>
        </w:tc>
        <w:tc>
          <w:tcPr>
            <w:tcW w:w="5448" w:type="dxa"/>
            <w:tcBorders>
              <w:top w:val="single" w:color="auto" w:sz="4" w:space="0"/>
              <w:left w:val="single" w:color="auto" w:sz="4" w:space="0"/>
              <w:bottom w:val="single" w:color="auto" w:sz="4" w:space="0"/>
              <w:right w:val="single" w:color="auto" w:sz="4" w:space="0"/>
            </w:tcBorders>
            <w:vAlign w:val="center"/>
          </w:tcPr>
          <w:p w14:paraId="14631A65">
            <w:pPr>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检查内容</w:t>
            </w:r>
          </w:p>
        </w:tc>
        <w:tc>
          <w:tcPr>
            <w:tcW w:w="668" w:type="dxa"/>
            <w:tcBorders>
              <w:top w:val="single" w:color="auto" w:sz="4" w:space="0"/>
              <w:left w:val="single" w:color="auto" w:sz="4" w:space="0"/>
              <w:bottom w:val="single" w:color="auto" w:sz="4" w:space="0"/>
              <w:right w:val="single" w:color="auto" w:sz="4" w:space="0"/>
            </w:tcBorders>
            <w:vAlign w:val="center"/>
          </w:tcPr>
          <w:p w14:paraId="426FB7E4">
            <w:pPr>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分值</w:t>
            </w:r>
          </w:p>
        </w:tc>
        <w:tc>
          <w:tcPr>
            <w:tcW w:w="653" w:type="dxa"/>
            <w:tcBorders>
              <w:top w:val="single" w:color="auto" w:sz="4" w:space="0"/>
              <w:left w:val="single" w:color="auto" w:sz="4" w:space="0"/>
              <w:bottom w:val="single" w:color="auto" w:sz="4" w:space="0"/>
              <w:right w:val="single" w:color="auto" w:sz="4" w:space="0"/>
            </w:tcBorders>
            <w:vAlign w:val="center"/>
          </w:tcPr>
          <w:p w14:paraId="7C3BAD66">
            <w:pPr>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评分</w:t>
            </w:r>
          </w:p>
        </w:tc>
      </w:tr>
      <w:tr w14:paraId="4F5F0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5" w:type="dxa"/>
            <w:vMerge w:val="restart"/>
            <w:tcBorders>
              <w:top w:val="single" w:color="auto" w:sz="4" w:space="0"/>
              <w:left w:val="single" w:color="auto" w:sz="4" w:space="0"/>
              <w:bottom w:val="single" w:color="auto" w:sz="4" w:space="0"/>
              <w:right w:val="single" w:color="auto" w:sz="4" w:space="0"/>
            </w:tcBorders>
            <w:vAlign w:val="center"/>
          </w:tcPr>
          <w:p w14:paraId="4605A0C2">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14:paraId="7502B813">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子站内环境</w:t>
            </w:r>
          </w:p>
        </w:tc>
        <w:tc>
          <w:tcPr>
            <w:tcW w:w="5448" w:type="dxa"/>
            <w:tcBorders>
              <w:top w:val="single" w:color="auto" w:sz="4" w:space="0"/>
              <w:left w:val="single" w:color="auto" w:sz="4" w:space="0"/>
              <w:bottom w:val="single" w:color="auto" w:sz="4" w:space="0"/>
              <w:right w:val="single" w:color="auto" w:sz="4" w:space="0"/>
            </w:tcBorders>
            <w:vAlign w:val="center"/>
          </w:tcPr>
          <w:p w14:paraId="6D59E94E">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物品堆放,室内环境是否整洁</w:t>
            </w:r>
          </w:p>
        </w:tc>
        <w:tc>
          <w:tcPr>
            <w:tcW w:w="668" w:type="dxa"/>
            <w:tcBorders>
              <w:top w:val="single" w:color="auto" w:sz="4" w:space="0"/>
              <w:left w:val="single" w:color="auto" w:sz="4" w:space="0"/>
              <w:bottom w:val="single" w:color="auto" w:sz="4" w:space="0"/>
              <w:right w:val="single" w:color="auto" w:sz="4" w:space="0"/>
            </w:tcBorders>
            <w:vAlign w:val="center"/>
          </w:tcPr>
          <w:p w14:paraId="286E1ABD">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653" w:type="dxa"/>
            <w:tcBorders>
              <w:top w:val="single" w:color="auto" w:sz="4" w:space="0"/>
              <w:left w:val="single" w:color="auto" w:sz="4" w:space="0"/>
              <w:bottom w:val="single" w:color="auto" w:sz="4" w:space="0"/>
              <w:right w:val="single" w:color="auto" w:sz="4" w:space="0"/>
            </w:tcBorders>
            <w:vAlign w:val="center"/>
          </w:tcPr>
          <w:p w14:paraId="0AED1B33">
            <w:pPr>
              <w:jc w:val="center"/>
              <w:rPr>
                <w:rFonts w:ascii="Times New Roman" w:hAnsi="Times New Roman" w:eastAsia="宋体" w:cs="Times New Roman"/>
                <w:color w:val="000000" w:themeColor="text1"/>
                <w:szCs w:val="21"/>
              </w:rPr>
            </w:pPr>
          </w:p>
        </w:tc>
      </w:tr>
      <w:tr w14:paraId="153FD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25" w:type="dxa"/>
            <w:vMerge w:val="continue"/>
            <w:tcBorders>
              <w:top w:val="single" w:color="auto" w:sz="4" w:space="0"/>
              <w:left w:val="single" w:color="auto" w:sz="4" w:space="0"/>
              <w:bottom w:val="single" w:color="auto" w:sz="4" w:space="0"/>
              <w:right w:val="single" w:color="auto" w:sz="4" w:space="0"/>
            </w:tcBorders>
            <w:vAlign w:val="center"/>
          </w:tcPr>
          <w:p w14:paraId="1B9058C7">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71C6F90D">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77C3A48E">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空调滤网是否清洁</w:t>
            </w:r>
          </w:p>
        </w:tc>
        <w:tc>
          <w:tcPr>
            <w:tcW w:w="668" w:type="dxa"/>
            <w:tcBorders>
              <w:top w:val="single" w:color="auto" w:sz="4" w:space="0"/>
              <w:left w:val="single" w:color="auto" w:sz="4" w:space="0"/>
              <w:bottom w:val="single" w:color="auto" w:sz="4" w:space="0"/>
              <w:right w:val="single" w:color="auto" w:sz="4" w:space="0"/>
            </w:tcBorders>
            <w:vAlign w:val="center"/>
          </w:tcPr>
          <w:p w14:paraId="047CBDCB">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653" w:type="dxa"/>
            <w:tcBorders>
              <w:top w:val="single" w:color="auto" w:sz="4" w:space="0"/>
              <w:left w:val="single" w:color="auto" w:sz="4" w:space="0"/>
              <w:bottom w:val="single" w:color="auto" w:sz="4" w:space="0"/>
              <w:right w:val="single" w:color="auto" w:sz="4" w:space="0"/>
            </w:tcBorders>
            <w:vAlign w:val="center"/>
          </w:tcPr>
          <w:p w14:paraId="34D48C7F">
            <w:pPr>
              <w:jc w:val="center"/>
              <w:rPr>
                <w:rFonts w:ascii="Times New Roman" w:hAnsi="Times New Roman" w:eastAsia="宋体" w:cs="Times New Roman"/>
                <w:color w:val="000000" w:themeColor="text1"/>
                <w:szCs w:val="21"/>
              </w:rPr>
            </w:pPr>
          </w:p>
        </w:tc>
      </w:tr>
      <w:tr w14:paraId="47F28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25" w:type="dxa"/>
            <w:vMerge w:val="continue"/>
            <w:tcBorders>
              <w:top w:val="single" w:color="auto" w:sz="4" w:space="0"/>
              <w:left w:val="single" w:color="auto" w:sz="4" w:space="0"/>
              <w:bottom w:val="single" w:color="auto" w:sz="4" w:space="0"/>
              <w:right w:val="single" w:color="auto" w:sz="4" w:space="0"/>
            </w:tcBorders>
            <w:vAlign w:val="center"/>
          </w:tcPr>
          <w:p w14:paraId="58F43F6B">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18555E85">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2B8F9B26">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仪器表面是否有积灰，风扇口是否有积灰</w:t>
            </w:r>
          </w:p>
        </w:tc>
        <w:tc>
          <w:tcPr>
            <w:tcW w:w="668" w:type="dxa"/>
            <w:tcBorders>
              <w:top w:val="single" w:color="auto" w:sz="4" w:space="0"/>
              <w:left w:val="single" w:color="auto" w:sz="4" w:space="0"/>
              <w:bottom w:val="single" w:color="auto" w:sz="4" w:space="0"/>
              <w:right w:val="single" w:color="auto" w:sz="4" w:space="0"/>
            </w:tcBorders>
            <w:vAlign w:val="center"/>
          </w:tcPr>
          <w:p w14:paraId="3D6E88A2">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653" w:type="dxa"/>
            <w:tcBorders>
              <w:top w:val="single" w:color="auto" w:sz="4" w:space="0"/>
              <w:left w:val="single" w:color="auto" w:sz="4" w:space="0"/>
              <w:bottom w:val="single" w:color="auto" w:sz="4" w:space="0"/>
              <w:right w:val="single" w:color="auto" w:sz="4" w:space="0"/>
            </w:tcBorders>
            <w:vAlign w:val="center"/>
          </w:tcPr>
          <w:p w14:paraId="07F0D1F8">
            <w:pPr>
              <w:jc w:val="center"/>
              <w:rPr>
                <w:rFonts w:ascii="Times New Roman" w:hAnsi="Times New Roman" w:eastAsia="宋体" w:cs="Times New Roman"/>
                <w:color w:val="000000" w:themeColor="text1"/>
                <w:szCs w:val="21"/>
              </w:rPr>
            </w:pPr>
          </w:p>
        </w:tc>
      </w:tr>
      <w:tr w14:paraId="26DCC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14:paraId="728301FC">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p>
        </w:tc>
        <w:tc>
          <w:tcPr>
            <w:tcW w:w="1410" w:type="dxa"/>
            <w:tcBorders>
              <w:top w:val="single" w:color="auto" w:sz="4" w:space="0"/>
              <w:left w:val="single" w:color="auto" w:sz="4" w:space="0"/>
              <w:bottom w:val="single" w:color="auto" w:sz="4" w:space="0"/>
              <w:right w:val="single" w:color="auto" w:sz="4" w:space="0"/>
            </w:tcBorders>
            <w:vAlign w:val="center"/>
          </w:tcPr>
          <w:p w14:paraId="113FE0C5">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子站外环境</w:t>
            </w:r>
          </w:p>
        </w:tc>
        <w:tc>
          <w:tcPr>
            <w:tcW w:w="5448" w:type="dxa"/>
            <w:tcBorders>
              <w:top w:val="single" w:color="auto" w:sz="4" w:space="0"/>
              <w:left w:val="single" w:color="auto" w:sz="4" w:space="0"/>
              <w:bottom w:val="single" w:color="auto" w:sz="4" w:space="0"/>
              <w:right w:val="single" w:color="auto" w:sz="4" w:space="0"/>
            </w:tcBorders>
            <w:vAlign w:val="center"/>
          </w:tcPr>
          <w:p w14:paraId="7DD12466">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子站和采样口周边环境是否整洁</w:t>
            </w:r>
          </w:p>
        </w:tc>
        <w:tc>
          <w:tcPr>
            <w:tcW w:w="668" w:type="dxa"/>
            <w:tcBorders>
              <w:top w:val="single" w:color="auto" w:sz="4" w:space="0"/>
              <w:left w:val="single" w:color="auto" w:sz="4" w:space="0"/>
              <w:bottom w:val="single" w:color="auto" w:sz="4" w:space="0"/>
              <w:right w:val="single" w:color="auto" w:sz="4" w:space="0"/>
            </w:tcBorders>
            <w:vAlign w:val="center"/>
          </w:tcPr>
          <w:p w14:paraId="1A3A1D65">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653" w:type="dxa"/>
            <w:tcBorders>
              <w:top w:val="single" w:color="auto" w:sz="4" w:space="0"/>
              <w:left w:val="single" w:color="auto" w:sz="4" w:space="0"/>
              <w:bottom w:val="single" w:color="auto" w:sz="4" w:space="0"/>
              <w:right w:val="single" w:color="auto" w:sz="4" w:space="0"/>
            </w:tcBorders>
            <w:vAlign w:val="center"/>
          </w:tcPr>
          <w:p w14:paraId="11776E45">
            <w:pPr>
              <w:jc w:val="center"/>
              <w:rPr>
                <w:rFonts w:ascii="Times New Roman" w:hAnsi="Times New Roman" w:eastAsia="宋体" w:cs="Times New Roman"/>
                <w:color w:val="000000" w:themeColor="text1"/>
                <w:szCs w:val="21"/>
              </w:rPr>
            </w:pPr>
          </w:p>
        </w:tc>
      </w:tr>
      <w:tr w14:paraId="36F6E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restart"/>
            <w:tcBorders>
              <w:top w:val="single" w:color="auto" w:sz="4" w:space="0"/>
              <w:left w:val="single" w:color="auto" w:sz="4" w:space="0"/>
              <w:bottom w:val="single" w:color="auto" w:sz="4" w:space="0"/>
              <w:right w:val="single" w:color="auto" w:sz="4" w:space="0"/>
            </w:tcBorders>
            <w:vAlign w:val="center"/>
          </w:tcPr>
          <w:p w14:paraId="05C61095">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14:paraId="66F22644">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采样系统</w:t>
            </w:r>
          </w:p>
        </w:tc>
        <w:tc>
          <w:tcPr>
            <w:tcW w:w="5448" w:type="dxa"/>
            <w:tcBorders>
              <w:top w:val="single" w:color="auto" w:sz="4" w:space="0"/>
              <w:left w:val="single" w:color="auto" w:sz="4" w:space="0"/>
              <w:bottom w:val="single" w:color="auto" w:sz="4" w:space="0"/>
              <w:right w:val="single" w:color="auto" w:sz="4" w:space="0"/>
            </w:tcBorders>
            <w:vAlign w:val="center"/>
          </w:tcPr>
          <w:p w14:paraId="3B75FC85">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切割器是否清洁</w:t>
            </w:r>
          </w:p>
        </w:tc>
        <w:tc>
          <w:tcPr>
            <w:tcW w:w="668" w:type="dxa"/>
            <w:tcBorders>
              <w:top w:val="single" w:color="auto" w:sz="4" w:space="0"/>
              <w:left w:val="single" w:color="auto" w:sz="4" w:space="0"/>
              <w:bottom w:val="single" w:color="auto" w:sz="4" w:space="0"/>
              <w:right w:val="single" w:color="auto" w:sz="4" w:space="0"/>
            </w:tcBorders>
            <w:vAlign w:val="center"/>
          </w:tcPr>
          <w:p w14:paraId="13A0F4AE">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653" w:type="dxa"/>
            <w:tcBorders>
              <w:top w:val="single" w:color="auto" w:sz="4" w:space="0"/>
              <w:left w:val="single" w:color="auto" w:sz="4" w:space="0"/>
              <w:bottom w:val="single" w:color="auto" w:sz="4" w:space="0"/>
              <w:right w:val="single" w:color="auto" w:sz="4" w:space="0"/>
            </w:tcBorders>
            <w:vAlign w:val="center"/>
          </w:tcPr>
          <w:p w14:paraId="1F2C0F6E">
            <w:pPr>
              <w:jc w:val="center"/>
              <w:rPr>
                <w:rFonts w:ascii="Times New Roman" w:hAnsi="Times New Roman" w:eastAsia="宋体" w:cs="Times New Roman"/>
                <w:color w:val="000000" w:themeColor="text1"/>
                <w:szCs w:val="21"/>
              </w:rPr>
            </w:pPr>
          </w:p>
        </w:tc>
      </w:tr>
      <w:tr w14:paraId="663D4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3B43D1D9">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799F78EB">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474242CD">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采样管是否清洁</w:t>
            </w:r>
          </w:p>
        </w:tc>
        <w:tc>
          <w:tcPr>
            <w:tcW w:w="668" w:type="dxa"/>
            <w:tcBorders>
              <w:top w:val="single" w:color="auto" w:sz="4" w:space="0"/>
              <w:left w:val="single" w:color="auto" w:sz="4" w:space="0"/>
              <w:bottom w:val="single" w:color="auto" w:sz="4" w:space="0"/>
              <w:right w:val="single" w:color="auto" w:sz="4" w:space="0"/>
            </w:tcBorders>
            <w:vAlign w:val="center"/>
          </w:tcPr>
          <w:p w14:paraId="509F0A7C">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653" w:type="dxa"/>
            <w:tcBorders>
              <w:top w:val="single" w:color="auto" w:sz="4" w:space="0"/>
              <w:left w:val="single" w:color="auto" w:sz="4" w:space="0"/>
              <w:bottom w:val="single" w:color="auto" w:sz="4" w:space="0"/>
              <w:right w:val="single" w:color="auto" w:sz="4" w:space="0"/>
            </w:tcBorders>
            <w:vAlign w:val="center"/>
          </w:tcPr>
          <w:p w14:paraId="38310E38">
            <w:pPr>
              <w:jc w:val="center"/>
              <w:rPr>
                <w:rFonts w:ascii="Times New Roman" w:hAnsi="Times New Roman" w:eastAsia="宋体" w:cs="Times New Roman"/>
                <w:color w:val="000000" w:themeColor="text1"/>
                <w:szCs w:val="21"/>
              </w:rPr>
            </w:pPr>
          </w:p>
        </w:tc>
      </w:tr>
      <w:tr w14:paraId="46D0F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restart"/>
            <w:tcBorders>
              <w:top w:val="single" w:color="auto" w:sz="4" w:space="0"/>
              <w:left w:val="single" w:color="auto" w:sz="4" w:space="0"/>
              <w:bottom w:val="single" w:color="auto" w:sz="4" w:space="0"/>
              <w:right w:val="single" w:color="auto" w:sz="4" w:space="0"/>
            </w:tcBorders>
            <w:vAlign w:val="center"/>
          </w:tcPr>
          <w:p w14:paraId="242A5A37">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14:paraId="030998FF">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监测档案</w:t>
            </w:r>
          </w:p>
        </w:tc>
        <w:tc>
          <w:tcPr>
            <w:tcW w:w="5448" w:type="dxa"/>
            <w:tcBorders>
              <w:top w:val="single" w:color="auto" w:sz="4" w:space="0"/>
              <w:left w:val="single" w:color="auto" w:sz="4" w:space="0"/>
              <w:bottom w:val="single" w:color="auto" w:sz="4" w:space="0"/>
              <w:right w:val="single" w:color="auto" w:sz="4" w:space="0"/>
            </w:tcBorders>
            <w:vAlign w:val="center"/>
          </w:tcPr>
          <w:p w14:paraId="0C4BBE29">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设备巡检维护记录是否完整</w:t>
            </w:r>
          </w:p>
        </w:tc>
        <w:tc>
          <w:tcPr>
            <w:tcW w:w="668" w:type="dxa"/>
            <w:tcBorders>
              <w:top w:val="single" w:color="auto" w:sz="4" w:space="0"/>
              <w:left w:val="single" w:color="auto" w:sz="4" w:space="0"/>
              <w:bottom w:val="single" w:color="auto" w:sz="4" w:space="0"/>
              <w:right w:val="single" w:color="auto" w:sz="4" w:space="0"/>
            </w:tcBorders>
            <w:vAlign w:val="center"/>
          </w:tcPr>
          <w:p w14:paraId="75C4BA4E">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p>
        </w:tc>
        <w:tc>
          <w:tcPr>
            <w:tcW w:w="653" w:type="dxa"/>
            <w:tcBorders>
              <w:top w:val="single" w:color="auto" w:sz="4" w:space="0"/>
              <w:left w:val="single" w:color="auto" w:sz="4" w:space="0"/>
              <w:bottom w:val="single" w:color="auto" w:sz="4" w:space="0"/>
              <w:right w:val="single" w:color="auto" w:sz="4" w:space="0"/>
            </w:tcBorders>
            <w:vAlign w:val="center"/>
          </w:tcPr>
          <w:p w14:paraId="088098FD">
            <w:pPr>
              <w:jc w:val="center"/>
              <w:rPr>
                <w:rFonts w:ascii="Times New Roman" w:hAnsi="Times New Roman" w:eastAsia="宋体" w:cs="Times New Roman"/>
                <w:color w:val="000000" w:themeColor="text1"/>
                <w:szCs w:val="21"/>
              </w:rPr>
            </w:pPr>
          </w:p>
        </w:tc>
      </w:tr>
      <w:tr w14:paraId="68416C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5" w:type="dxa"/>
            <w:vMerge w:val="continue"/>
            <w:tcBorders>
              <w:top w:val="single" w:color="auto" w:sz="4" w:space="0"/>
              <w:left w:val="single" w:color="auto" w:sz="4" w:space="0"/>
              <w:bottom w:val="single" w:color="auto" w:sz="4" w:space="0"/>
              <w:right w:val="single" w:color="auto" w:sz="4" w:space="0"/>
            </w:tcBorders>
            <w:vAlign w:val="center"/>
          </w:tcPr>
          <w:p w14:paraId="0A388301">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1278E01E">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6C5E2AB3">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颗粒物质控校准记录</w:t>
            </w:r>
          </w:p>
        </w:tc>
        <w:tc>
          <w:tcPr>
            <w:tcW w:w="668" w:type="dxa"/>
            <w:tcBorders>
              <w:top w:val="single" w:color="auto" w:sz="4" w:space="0"/>
              <w:left w:val="single" w:color="auto" w:sz="4" w:space="0"/>
              <w:bottom w:val="single" w:color="auto" w:sz="4" w:space="0"/>
              <w:right w:val="single" w:color="auto" w:sz="4" w:space="0"/>
            </w:tcBorders>
            <w:vAlign w:val="center"/>
          </w:tcPr>
          <w:p w14:paraId="3BFE5D2B">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653" w:type="dxa"/>
            <w:tcBorders>
              <w:top w:val="single" w:color="auto" w:sz="4" w:space="0"/>
              <w:left w:val="single" w:color="auto" w:sz="4" w:space="0"/>
              <w:bottom w:val="single" w:color="auto" w:sz="4" w:space="0"/>
              <w:right w:val="single" w:color="auto" w:sz="4" w:space="0"/>
            </w:tcBorders>
            <w:vAlign w:val="center"/>
          </w:tcPr>
          <w:p w14:paraId="7BD7BEBF">
            <w:pPr>
              <w:jc w:val="center"/>
              <w:rPr>
                <w:rFonts w:ascii="Times New Roman" w:hAnsi="Times New Roman" w:eastAsia="宋体" w:cs="Times New Roman"/>
                <w:color w:val="000000" w:themeColor="text1"/>
                <w:szCs w:val="21"/>
              </w:rPr>
            </w:pPr>
          </w:p>
        </w:tc>
      </w:tr>
      <w:tr w14:paraId="4F821C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340821B7">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02177841">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0610A3FC">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在线离子色谱仪质控校准记录</w:t>
            </w:r>
          </w:p>
        </w:tc>
        <w:tc>
          <w:tcPr>
            <w:tcW w:w="668" w:type="dxa"/>
            <w:tcBorders>
              <w:top w:val="single" w:color="auto" w:sz="4" w:space="0"/>
              <w:left w:val="single" w:color="auto" w:sz="4" w:space="0"/>
              <w:bottom w:val="single" w:color="auto" w:sz="4" w:space="0"/>
              <w:right w:val="single" w:color="auto" w:sz="4" w:space="0"/>
            </w:tcBorders>
            <w:vAlign w:val="center"/>
          </w:tcPr>
          <w:p w14:paraId="04CAD6A0">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1AD2AFDC">
            <w:pPr>
              <w:jc w:val="center"/>
              <w:rPr>
                <w:rFonts w:ascii="Times New Roman" w:hAnsi="Times New Roman" w:eastAsia="宋体" w:cs="Times New Roman"/>
                <w:color w:val="000000" w:themeColor="text1"/>
                <w:szCs w:val="21"/>
              </w:rPr>
            </w:pPr>
          </w:p>
        </w:tc>
      </w:tr>
      <w:tr w14:paraId="1F769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5E9A544E">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2B4A563A">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251AF2C7">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在线无机元素分析仪质控校准记录</w:t>
            </w:r>
          </w:p>
        </w:tc>
        <w:tc>
          <w:tcPr>
            <w:tcW w:w="668" w:type="dxa"/>
            <w:tcBorders>
              <w:top w:val="single" w:color="auto" w:sz="4" w:space="0"/>
              <w:left w:val="single" w:color="auto" w:sz="4" w:space="0"/>
              <w:bottom w:val="single" w:color="auto" w:sz="4" w:space="0"/>
              <w:right w:val="single" w:color="auto" w:sz="4" w:space="0"/>
            </w:tcBorders>
            <w:vAlign w:val="center"/>
          </w:tcPr>
          <w:p w14:paraId="1A4B5B23">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1E8C8D33">
            <w:pPr>
              <w:jc w:val="center"/>
              <w:rPr>
                <w:rFonts w:ascii="Times New Roman" w:hAnsi="Times New Roman" w:eastAsia="宋体" w:cs="Times New Roman"/>
                <w:color w:val="000000" w:themeColor="text1"/>
                <w:szCs w:val="21"/>
              </w:rPr>
            </w:pPr>
          </w:p>
        </w:tc>
      </w:tr>
      <w:tr w14:paraId="7B018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012D8D9D">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45807143">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1D01D489">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在线碳组分分析仪质控校准记录</w:t>
            </w:r>
          </w:p>
        </w:tc>
        <w:tc>
          <w:tcPr>
            <w:tcW w:w="668" w:type="dxa"/>
            <w:tcBorders>
              <w:top w:val="single" w:color="auto" w:sz="4" w:space="0"/>
              <w:left w:val="single" w:color="auto" w:sz="4" w:space="0"/>
              <w:bottom w:val="single" w:color="auto" w:sz="4" w:space="0"/>
              <w:right w:val="single" w:color="auto" w:sz="4" w:space="0"/>
            </w:tcBorders>
            <w:vAlign w:val="center"/>
          </w:tcPr>
          <w:p w14:paraId="0FB3313B">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66CEF994">
            <w:pPr>
              <w:jc w:val="center"/>
              <w:rPr>
                <w:rFonts w:ascii="Times New Roman" w:hAnsi="Times New Roman" w:eastAsia="宋体" w:cs="Times New Roman"/>
                <w:color w:val="000000" w:themeColor="text1"/>
                <w:szCs w:val="21"/>
              </w:rPr>
            </w:pPr>
          </w:p>
        </w:tc>
      </w:tr>
      <w:tr w14:paraId="6E336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52CC6D77">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780B8C8E">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5C47199A">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标气使用记录</w:t>
            </w:r>
          </w:p>
        </w:tc>
        <w:tc>
          <w:tcPr>
            <w:tcW w:w="668" w:type="dxa"/>
            <w:tcBorders>
              <w:top w:val="single" w:color="auto" w:sz="4" w:space="0"/>
              <w:left w:val="single" w:color="auto" w:sz="4" w:space="0"/>
              <w:bottom w:val="single" w:color="auto" w:sz="4" w:space="0"/>
              <w:right w:val="single" w:color="auto" w:sz="4" w:space="0"/>
            </w:tcBorders>
            <w:vAlign w:val="center"/>
          </w:tcPr>
          <w:p w14:paraId="4718C8F6">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p>
        </w:tc>
        <w:tc>
          <w:tcPr>
            <w:tcW w:w="653" w:type="dxa"/>
            <w:tcBorders>
              <w:top w:val="single" w:color="auto" w:sz="4" w:space="0"/>
              <w:left w:val="single" w:color="auto" w:sz="4" w:space="0"/>
              <w:bottom w:val="single" w:color="auto" w:sz="4" w:space="0"/>
              <w:right w:val="single" w:color="auto" w:sz="4" w:space="0"/>
            </w:tcBorders>
            <w:vAlign w:val="center"/>
          </w:tcPr>
          <w:p w14:paraId="20DC2808">
            <w:pPr>
              <w:jc w:val="center"/>
              <w:rPr>
                <w:rFonts w:ascii="Times New Roman" w:hAnsi="Times New Roman" w:eastAsia="宋体" w:cs="Times New Roman"/>
                <w:color w:val="000000" w:themeColor="text1"/>
                <w:szCs w:val="21"/>
              </w:rPr>
            </w:pPr>
          </w:p>
        </w:tc>
      </w:tr>
      <w:tr w14:paraId="57EA8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45C3A739">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5F5FD8DF">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481F9385">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设备维修记录</w:t>
            </w:r>
          </w:p>
        </w:tc>
        <w:tc>
          <w:tcPr>
            <w:tcW w:w="668" w:type="dxa"/>
            <w:tcBorders>
              <w:top w:val="single" w:color="auto" w:sz="4" w:space="0"/>
              <w:left w:val="single" w:color="auto" w:sz="4" w:space="0"/>
              <w:bottom w:val="single" w:color="auto" w:sz="4" w:space="0"/>
              <w:right w:val="single" w:color="auto" w:sz="4" w:space="0"/>
            </w:tcBorders>
            <w:vAlign w:val="center"/>
          </w:tcPr>
          <w:p w14:paraId="6178A842">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p>
        </w:tc>
        <w:tc>
          <w:tcPr>
            <w:tcW w:w="653" w:type="dxa"/>
            <w:tcBorders>
              <w:top w:val="single" w:color="auto" w:sz="4" w:space="0"/>
              <w:left w:val="single" w:color="auto" w:sz="4" w:space="0"/>
              <w:bottom w:val="single" w:color="auto" w:sz="4" w:space="0"/>
              <w:right w:val="single" w:color="auto" w:sz="4" w:space="0"/>
            </w:tcBorders>
            <w:vAlign w:val="center"/>
          </w:tcPr>
          <w:p w14:paraId="4B544981">
            <w:pPr>
              <w:jc w:val="center"/>
              <w:rPr>
                <w:rFonts w:ascii="Times New Roman" w:hAnsi="Times New Roman" w:eastAsia="宋体" w:cs="Times New Roman"/>
                <w:color w:val="000000" w:themeColor="text1"/>
                <w:szCs w:val="21"/>
              </w:rPr>
            </w:pPr>
          </w:p>
        </w:tc>
      </w:tr>
      <w:tr w14:paraId="6F7425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543F7697">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7373DA54">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0584293C">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耗品耗材更换记录</w:t>
            </w:r>
          </w:p>
        </w:tc>
        <w:tc>
          <w:tcPr>
            <w:tcW w:w="668" w:type="dxa"/>
            <w:tcBorders>
              <w:top w:val="single" w:color="auto" w:sz="4" w:space="0"/>
              <w:left w:val="single" w:color="auto" w:sz="4" w:space="0"/>
              <w:bottom w:val="single" w:color="auto" w:sz="4" w:space="0"/>
              <w:right w:val="single" w:color="auto" w:sz="4" w:space="0"/>
            </w:tcBorders>
            <w:vAlign w:val="center"/>
          </w:tcPr>
          <w:p w14:paraId="0C28D6C6">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p>
        </w:tc>
        <w:tc>
          <w:tcPr>
            <w:tcW w:w="653" w:type="dxa"/>
            <w:tcBorders>
              <w:top w:val="single" w:color="auto" w:sz="4" w:space="0"/>
              <w:left w:val="single" w:color="auto" w:sz="4" w:space="0"/>
              <w:bottom w:val="single" w:color="auto" w:sz="4" w:space="0"/>
              <w:right w:val="single" w:color="auto" w:sz="4" w:space="0"/>
            </w:tcBorders>
            <w:vAlign w:val="center"/>
          </w:tcPr>
          <w:p w14:paraId="3E3ECB36">
            <w:pPr>
              <w:jc w:val="center"/>
              <w:rPr>
                <w:rFonts w:ascii="Times New Roman" w:hAnsi="Times New Roman" w:eastAsia="宋体" w:cs="Times New Roman"/>
                <w:color w:val="000000" w:themeColor="text1"/>
                <w:szCs w:val="21"/>
              </w:rPr>
            </w:pPr>
          </w:p>
        </w:tc>
      </w:tr>
      <w:tr w14:paraId="118F6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05C7B78F">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3B128801">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7B661D49">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网络数据及设备运行情况巡查记录</w:t>
            </w:r>
          </w:p>
        </w:tc>
        <w:tc>
          <w:tcPr>
            <w:tcW w:w="668" w:type="dxa"/>
            <w:tcBorders>
              <w:top w:val="single" w:color="auto" w:sz="4" w:space="0"/>
              <w:left w:val="single" w:color="auto" w:sz="4" w:space="0"/>
              <w:bottom w:val="single" w:color="auto" w:sz="4" w:space="0"/>
              <w:right w:val="single" w:color="auto" w:sz="4" w:space="0"/>
            </w:tcBorders>
            <w:vAlign w:val="center"/>
          </w:tcPr>
          <w:p w14:paraId="3F463E99">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p>
        </w:tc>
        <w:tc>
          <w:tcPr>
            <w:tcW w:w="653" w:type="dxa"/>
            <w:tcBorders>
              <w:top w:val="single" w:color="auto" w:sz="4" w:space="0"/>
              <w:left w:val="single" w:color="auto" w:sz="4" w:space="0"/>
              <w:bottom w:val="single" w:color="auto" w:sz="4" w:space="0"/>
              <w:right w:val="single" w:color="auto" w:sz="4" w:space="0"/>
            </w:tcBorders>
            <w:vAlign w:val="center"/>
          </w:tcPr>
          <w:p w14:paraId="46256989">
            <w:pPr>
              <w:jc w:val="center"/>
              <w:rPr>
                <w:rFonts w:ascii="Times New Roman" w:hAnsi="Times New Roman" w:eastAsia="宋体" w:cs="Times New Roman"/>
                <w:color w:val="000000" w:themeColor="text1"/>
                <w:szCs w:val="21"/>
              </w:rPr>
            </w:pPr>
          </w:p>
        </w:tc>
      </w:tr>
      <w:tr w14:paraId="444FF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restart"/>
            <w:tcBorders>
              <w:top w:val="single" w:color="auto" w:sz="4" w:space="0"/>
              <w:left w:val="single" w:color="auto" w:sz="4" w:space="0"/>
              <w:bottom w:val="single" w:color="auto" w:sz="4" w:space="0"/>
              <w:right w:val="single" w:color="auto" w:sz="4" w:space="0"/>
            </w:tcBorders>
            <w:vAlign w:val="center"/>
          </w:tcPr>
          <w:p w14:paraId="15183ADC">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w:t>
            </w:r>
          </w:p>
        </w:tc>
        <w:tc>
          <w:tcPr>
            <w:tcW w:w="1410" w:type="dxa"/>
            <w:vMerge w:val="restart"/>
            <w:tcBorders>
              <w:top w:val="single" w:color="auto" w:sz="4" w:space="0"/>
              <w:left w:val="single" w:color="auto" w:sz="4" w:space="0"/>
              <w:bottom w:val="single" w:color="auto" w:sz="4" w:space="0"/>
              <w:right w:val="single" w:color="auto" w:sz="4" w:space="0"/>
            </w:tcBorders>
            <w:vAlign w:val="center"/>
          </w:tcPr>
          <w:p w14:paraId="3978BA2F">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总结报告</w:t>
            </w:r>
          </w:p>
        </w:tc>
        <w:tc>
          <w:tcPr>
            <w:tcW w:w="5448" w:type="dxa"/>
            <w:tcBorders>
              <w:top w:val="single" w:color="auto" w:sz="4" w:space="0"/>
              <w:left w:val="single" w:color="auto" w:sz="4" w:space="0"/>
              <w:bottom w:val="single" w:color="auto" w:sz="4" w:space="0"/>
              <w:right w:val="single" w:color="auto" w:sz="4" w:space="0"/>
            </w:tcBorders>
            <w:vAlign w:val="center"/>
          </w:tcPr>
          <w:p w14:paraId="02708160">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月工作报告</w:t>
            </w:r>
          </w:p>
        </w:tc>
        <w:tc>
          <w:tcPr>
            <w:tcW w:w="668" w:type="dxa"/>
            <w:tcBorders>
              <w:top w:val="single" w:color="auto" w:sz="4" w:space="0"/>
              <w:left w:val="single" w:color="auto" w:sz="4" w:space="0"/>
              <w:bottom w:val="single" w:color="auto" w:sz="4" w:space="0"/>
              <w:right w:val="single" w:color="auto" w:sz="4" w:space="0"/>
            </w:tcBorders>
            <w:vAlign w:val="center"/>
          </w:tcPr>
          <w:p w14:paraId="49018679">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5A25DE08">
            <w:pPr>
              <w:jc w:val="center"/>
              <w:rPr>
                <w:rFonts w:ascii="Times New Roman" w:hAnsi="Times New Roman" w:eastAsia="宋体" w:cs="Times New Roman"/>
                <w:color w:val="000000" w:themeColor="text1"/>
                <w:szCs w:val="21"/>
              </w:rPr>
            </w:pPr>
          </w:p>
        </w:tc>
      </w:tr>
      <w:tr w14:paraId="744BD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4C186F0C">
            <w:pPr>
              <w:jc w:val="center"/>
              <w:rPr>
                <w:rFonts w:ascii="Times New Roman" w:hAnsi="Times New Roman" w:eastAsia="宋体" w:cs="Times New Roman"/>
                <w:color w:val="000000" w:themeColor="text1"/>
                <w:szCs w:val="21"/>
              </w:rPr>
            </w:pPr>
          </w:p>
        </w:tc>
        <w:tc>
          <w:tcPr>
            <w:tcW w:w="1410" w:type="dxa"/>
            <w:vMerge w:val="continue"/>
            <w:tcBorders>
              <w:top w:val="single" w:color="auto" w:sz="4" w:space="0"/>
              <w:left w:val="single" w:color="auto" w:sz="4" w:space="0"/>
              <w:bottom w:val="single" w:color="auto" w:sz="4" w:space="0"/>
              <w:right w:val="single" w:color="auto" w:sz="4" w:space="0"/>
            </w:tcBorders>
            <w:vAlign w:val="center"/>
          </w:tcPr>
          <w:p w14:paraId="69E4C4DD">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046B8D0A">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总结报告</w:t>
            </w:r>
          </w:p>
        </w:tc>
        <w:tc>
          <w:tcPr>
            <w:tcW w:w="668" w:type="dxa"/>
            <w:tcBorders>
              <w:top w:val="single" w:color="auto" w:sz="4" w:space="0"/>
              <w:left w:val="single" w:color="auto" w:sz="4" w:space="0"/>
              <w:bottom w:val="single" w:color="auto" w:sz="4" w:space="0"/>
              <w:right w:val="single" w:color="auto" w:sz="4" w:space="0"/>
            </w:tcBorders>
            <w:vAlign w:val="center"/>
          </w:tcPr>
          <w:p w14:paraId="5562FC7F">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5E32D519">
            <w:pPr>
              <w:jc w:val="center"/>
              <w:rPr>
                <w:rFonts w:ascii="Times New Roman" w:hAnsi="Times New Roman" w:eastAsia="宋体" w:cs="Times New Roman"/>
                <w:color w:val="000000" w:themeColor="text1"/>
                <w:szCs w:val="21"/>
              </w:rPr>
            </w:pPr>
          </w:p>
        </w:tc>
      </w:tr>
      <w:tr w14:paraId="645370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14:paraId="701B09C3">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7</w:t>
            </w:r>
          </w:p>
        </w:tc>
        <w:tc>
          <w:tcPr>
            <w:tcW w:w="1410" w:type="dxa"/>
            <w:tcBorders>
              <w:top w:val="single" w:color="auto" w:sz="4" w:space="0"/>
              <w:left w:val="single" w:color="auto" w:sz="4" w:space="0"/>
              <w:bottom w:val="single" w:color="auto" w:sz="4" w:space="0"/>
              <w:right w:val="single" w:color="auto" w:sz="4" w:space="0"/>
            </w:tcBorders>
            <w:vAlign w:val="center"/>
          </w:tcPr>
          <w:p w14:paraId="73F9F818">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故障响应</w:t>
            </w:r>
          </w:p>
          <w:p w14:paraId="4AD3B326">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及其他</w:t>
            </w:r>
          </w:p>
        </w:tc>
        <w:tc>
          <w:tcPr>
            <w:tcW w:w="5448" w:type="dxa"/>
            <w:tcBorders>
              <w:top w:val="single" w:color="auto" w:sz="4" w:space="0"/>
              <w:left w:val="single" w:color="auto" w:sz="4" w:space="0"/>
              <w:bottom w:val="single" w:color="auto" w:sz="4" w:space="0"/>
              <w:right w:val="single" w:color="auto" w:sz="4" w:space="0"/>
            </w:tcBorders>
            <w:vAlign w:val="center"/>
          </w:tcPr>
          <w:p w14:paraId="5F74C6ED">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采用扣分制，每次未及时响应扣1分，工作不符合要求的酌情扣分，扣完为止</w:t>
            </w:r>
          </w:p>
        </w:tc>
        <w:tc>
          <w:tcPr>
            <w:tcW w:w="668" w:type="dxa"/>
            <w:tcBorders>
              <w:top w:val="single" w:color="auto" w:sz="4" w:space="0"/>
              <w:left w:val="single" w:color="auto" w:sz="4" w:space="0"/>
              <w:bottom w:val="single" w:color="auto" w:sz="4" w:space="0"/>
              <w:right w:val="single" w:color="auto" w:sz="4" w:space="0"/>
            </w:tcBorders>
            <w:vAlign w:val="center"/>
          </w:tcPr>
          <w:p w14:paraId="1AD5F12F">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8</w:t>
            </w:r>
          </w:p>
        </w:tc>
        <w:tc>
          <w:tcPr>
            <w:tcW w:w="653" w:type="dxa"/>
            <w:tcBorders>
              <w:top w:val="single" w:color="auto" w:sz="4" w:space="0"/>
              <w:left w:val="single" w:color="auto" w:sz="4" w:space="0"/>
              <w:bottom w:val="single" w:color="auto" w:sz="4" w:space="0"/>
              <w:right w:val="single" w:color="auto" w:sz="4" w:space="0"/>
            </w:tcBorders>
            <w:vAlign w:val="center"/>
          </w:tcPr>
          <w:p w14:paraId="37DC4C8D">
            <w:pPr>
              <w:jc w:val="center"/>
              <w:rPr>
                <w:rFonts w:ascii="Times New Roman" w:hAnsi="Times New Roman" w:eastAsia="宋体" w:cs="Times New Roman"/>
                <w:color w:val="000000" w:themeColor="text1"/>
                <w:szCs w:val="21"/>
              </w:rPr>
            </w:pPr>
          </w:p>
        </w:tc>
      </w:tr>
      <w:tr w14:paraId="38397E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restart"/>
            <w:tcBorders>
              <w:top w:val="single" w:color="auto" w:sz="4" w:space="0"/>
              <w:left w:val="single" w:color="auto" w:sz="4" w:space="0"/>
              <w:right w:val="single" w:color="auto" w:sz="4" w:space="0"/>
            </w:tcBorders>
            <w:vAlign w:val="center"/>
          </w:tcPr>
          <w:p w14:paraId="181DE624">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8</w:t>
            </w:r>
          </w:p>
        </w:tc>
        <w:tc>
          <w:tcPr>
            <w:tcW w:w="1410" w:type="dxa"/>
            <w:vMerge w:val="restart"/>
            <w:tcBorders>
              <w:top w:val="single" w:color="auto" w:sz="4" w:space="0"/>
              <w:left w:val="single" w:color="auto" w:sz="4" w:space="0"/>
              <w:right w:val="single" w:color="auto" w:sz="4" w:space="0"/>
            </w:tcBorders>
            <w:vAlign w:val="center"/>
          </w:tcPr>
          <w:p w14:paraId="7B5F2CA0">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有效天数</w:t>
            </w:r>
          </w:p>
        </w:tc>
        <w:tc>
          <w:tcPr>
            <w:tcW w:w="5448" w:type="dxa"/>
            <w:tcBorders>
              <w:top w:val="single" w:color="auto" w:sz="4" w:space="0"/>
              <w:left w:val="single" w:color="auto" w:sz="4" w:space="0"/>
              <w:bottom w:val="single" w:color="auto" w:sz="4" w:space="0"/>
              <w:right w:val="single" w:color="auto" w:sz="4" w:space="0"/>
            </w:tcBorders>
            <w:vAlign w:val="center"/>
          </w:tcPr>
          <w:p w14:paraId="60862A4F">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在线分析仪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年有效天数</w:t>
            </w:r>
            <w:r>
              <w:rPr>
                <w:rFonts w:hint="eastAsia" w:ascii="Times New Roman" w:hAnsi="Times New Roman" w:eastAsia="宋体" w:cs="Times New Roman"/>
                <w:color w:val="000000" w:themeColor="text1"/>
                <w:szCs w:val="21"/>
              </w:rPr>
              <w:t>(每天有效小时数不少于20小时，下同)</w:t>
            </w:r>
            <w:r>
              <w:rPr>
                <w:rFonts w:ascii="Times New Roman" w:hAnsi="Times New Roman" w:eastAsia="宋体" w:cs="Times New Roman"/>
                <w:color w:val="000000" w:themeColor="text1"/>
                <w:szCs w:val="21"/>
              </w:rPr>
              <w:t>不少于</w:t>
            </w:r>
            <w:r>
              <w:rPr>
                <w:rFonts w:hint="eastAsia" w:ascii="Times New Roman" w:hAnsi="Times New Roman" w:eastAsia="宋体" w:cs="Times New Roman"/>
                <w:color w:val="000000" w:themeColor="text1"/>
                <w:szCs w:val="21"/>
                <w:lang w:val="en-US" w:eastAsia="zh-CN"/>
              </w:rPr>
              <w:t>162</w:t>
            </w:r>
            <w:r>
              <w:rPr>
                <w:rFonts w:ascii="Times New Roman" w:hAnsi="Times New Roman" w:eastAsia="宋体" w:cs="Times New Roman"/>
                <w:color w:val="000000" w:themeColor="text1"/>
                <w:szCs w:val="21"/>
              </w:rPr>
              <w:t>天，得满分，少于</w:t>
            </w:r>
            <w:r>
              <w:rPr>
                <w:rFonts w:hint="eastAsia" w:ascii="Times New Roman" w:hAnsi="Times New Roman" w:eastAsia="宋体" w:cs="Times New Roman"/>
                <w:color w:val="000000" w:themeColor="text1"/>
                <w:szCs w:val="21"/>
                <w:lang w:val="en-US" w:eastAsia="zh-CN"/>
              </w:rPr>
              <w:t>162</w:t>
            </w:r>
            <w:r>
              <w:rPr>
                <w:rFonts w:ascii="Times New Roman" w:hAnsi="Times New Roman" w:eastAsia="宋体" w:cs="Times New Roman"/>
                <w:color w:val="000000" w:themeColor="text1"/>
                <w:szCs w:val="21"/>
              </w:rPr>
              <w:t>天每少1天扣0.25分，扣完为止</w:t>
            </w:r>
          </w:p>
        </w:tc>
        <w:tc>
          <w:tcPr>
            <w:tcW w:w="668" w:type="dxa"/>
            <w:tcBorders>
              <w:top w:val="single" w:color="auto" w:sz="4" w:space="0"/>
              <w:left w:val="single" w:color="auto" w:sz="4" w:space="0"/>
              <w:bottom w:val="single" w:color="auto" w:sz="4" w:space="0"/>
              <w:right w:val="single" w:color="auto" w:sz="4" w:space="0"/>
            </w:tcBorders>
            <w:vAlign w:val="center"/>
          </w:tcPr>
          <w:p w14:paraId="088ABF5F">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653" w:type="dxa"/>
            <w:tcBorders>
              <w:top w:val="single" w:color="auto" w:sz="4" w:space="0"/>
              <w:left w:val="single" w:color="auto" w:sz="4" w:space="0"/>
              <w:bottom w:val="single" w:color="auto" w:sz="4" w:space="0"/>
              <w:right w:val="single" w:color="auto" w:sz="4" w:space="0"/>
            </w:tcBorders>
            <w:vAlign w:val="center"/>
          </w:tcPr>
          <w:p w14:paraId="1288FFB5">
            <w:pPr>
              <w:jc w:val="center"/>
              <w:rPr>
                <w:rFonts w:ascii="Times New Roman" w:hAnsi="Times New Roman" w:eastAsia="宋体" w:cs="Times New Roman"/>
                <w:color w:val="000000" w:themeColor="text1"/>
                <w:szCs w:val="21"/>
              </w:rPr>
            </w:pPr>
          </w:p>
        </w:tc>
      </w:tr>
      <w:tr w14:paraId="7BC5C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right w:val="single" w:color="auto" w:sz="4" w:space="0"/>
            </w:tcBorders>
            <w:vAlign w:val="center"/>
          </w:tcPr>
          <w:p w14:paraId="2F5F6302">
            <w:pPr>
              <w:jc w:val="center"/>
              <w:rPr>
                <w:rFonts w:ascii="Times New Roman" w:hAnsi="Times New Roman" w:eastAsia="宋体" w:cs="Times New Roman"/>
                <w:color w:val="000000" w:themeColor="text1"/>
                <w:szCs w:val="21"/>
              </w:rPr>
            </w:pPr>
          </w:p>
        </w:tc>
        <w:tc>
          <w:tcPr>
            <w:tcW w:w="1410" w:type="dxa"/>
            <w:vMerge w:val="continue"/>
            <w:tcBorders>
              <w:left w:val="single" w:color="auto" w:sz="4" w:space="0"/>
              <w:right w:val="single" w:color="auto" w:sz="4" w:space="0"/>
            </w:tcBorders>
            <w:vAlign w:val="center"/>
          </w:tcPr>
          <w:p w14:paraId="3E63E42A">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092297E7">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在线离子色谱仪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年有效天数不少于</w:t>
            </w:r>
            <w:r>
              <w:rPr>
                <w:rFonts w:hint="eastAsia" w:ascii="Times New Roman" w:hAnsi="Times New Roman" w:eastAsia="宋体" w:cs="Times New Roman"/>
                <w:color w:val="000000" w:themeColor="text1"/>
                <w:szCs w:val="21"/>
                <w:lang w:val="en-US" w:eastAsia="zh-CN"/>
              </w:rPr>
              <w:t>144</w:t>
            </w:r>
            <w:r>
              <w:rPr>
                <w:rFonts w:ascii="Times New Roman" w:hAnsi="Times New Roman" w:eastAsia="宋体" w:cs="Times New Roman"/>
                <w:color w:val="000000" w:themeColor="text1"/>
                <w:szCs w:val="21"/>
              </w:rPr>
              <w:t>天，得满分，少于</w:t>
            </w:r>
            <w:r>
              <w:rPr>
                <w:rFonts w:hint="eastAsia" w:ascii="Times New Roman" w:hAnsi="Times New Roman" w:eastAsia="宋体" w:cs="Times New Roman"/>
                <w:color w:val="000000" w:themeColor="text1"/>
                <w:szCs w:val="21"/>
                <w:lang w:val="en-US" w:eastAsia="zh-CN"/>
              </w:rPr>
              <w:t>144</w:t>
            </w:r>
            <w:r>
              <w:rPr>
                <w:rFonts w:ascii="Times New Roman" w:hAnsi="Times New Roman" w:eastAsia="宋体" w:cs="Times New Roman"/>
                <w:color w:val="000000" w:themeColor="text1"/>
                <w:szCs w:val="21"/>
              </w:rPr>
              <w:t>天每少1天扣0.25分，扣完为止</w:t>
            </w:r>
          </w:p>
        </w:tc>
        <w:tc>
          <w:tcPr>
            <w:tcW w:w="668" w:type="dxa"/>
            <w:tcBorders>
              <w:top w:val="single" w:color="auto" w:sz="4" w:space="0"/>
              <w:left w:val="single" w:color="auto" w:sz="4" w:space="0"/>
              <w:bottom w:val="single" w:color="auto" w:sz="4" w:space="0"/>
              <w:right w:val="single" w:color="auto" w:sz="4" w:space="0"/>
            </w:tcBorders>
            <w:vAlign w:val="center"/>
          </w:tcPr>
          <w:p w14:paraId="06C4C5E6">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3A2C24E9">
            <w:pPr>
              <w:jc w:val="center"/>
              <w:rPr>
                <w:rFonts w:ascii="Times New Roman" w:hAnsi="Times New Roman" w:eastAsia="宋体" w:cs="Times New Roman"/>
                <w:color w:val="000000" w:themeColor="text1"/>
                <w:szCs w:val="21"/>
              </w:rPr>
            </w:pPr>
          </w:p>
        </w:tc>
      </w:tr>
      <w:tr w14:paraId="2346E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right w:val="single" w:color="auto" w:sz="4" w:space="0"/>
            </w:tcBorders>
            <w:vAlign w:val="center"/>
          </w:tcPr>
          <w:p w14:paraId="6000A8BC">
            <w:pPr>
              <w:jc w:val="center"/>
              <w:rPr>
                <w:rFonts w:ascii="Times New Roman" w:hAnsi="Times New Roman" w:eastAsia="宋体" w:cs="Times New Roman"/>
                <w:color w:val="000000" w:themeColor="text1"/>
                <w:szCs w:val="21"/>
              </w:rPr>
            </w:pPr>
          </w:p>
        </w:tc>
        <w:tc>
          <w:tcPr>
            <w:tcW w:w="1410" w:type="dxa"/>
            <w:vMerge w:val="continue"/>
            <w:tcBorders>
              <w:left w:val="single" w:color="auto" w:sz="4" w:space="0"/>
              <w:right w:val="single" w:color="auto" w:sz="4" w:space="0"/>
            </w:tcBorders>
            <w:vAlign w:val="center"/>
          </w:tcPr>
          <w:p w14:paraId="3F2912EE">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0626D878">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在线无机元素分析</w:t>
            </w:r>
            <w:r>
              <w:rPr>
                <w:rFonts w:hint="eastAsia" w:ascii="Times New Roman" w:hAnsi="Times New Roman" w:eastAsia="宋体" w:cs="Times New Roman"/>
                <w:color w:val="000000" w:themeColor="text1"/>
                <w:szCs w:val="21"/>
                <w:lang w:eastAsia="zh-CN"/>
              </w:rPr>
              <w:t>仪半</w:t>
            </w:r>
            <w:r>
              <w:rPr>
                <w:rFonts w:ascii="Times New Roman" w:hAnsi="Times New Roman" w:eastAsia="宋体" w:cs="Times New Roman"/>
                <w:color w:val="000000" w:themeColor="text1"/>
                <w:szCs w:val="21"/>
              </w:rPr>
              <w:t>年有效天数不少于</w:t>
            </w:r>
            <w:r>
              <w:rPr>
                <w:rFonts w:hint="eastAsia" w:ascii="Times New Roman" w:hAnsi="Times New Roman" w:eastAsia="宋体" w:cs="Times New Roman"/>
                <w:color w:val="000000" w:themeColor="text1"/>
                <w:szCs w:val="21"/>
                <w:lang w:val="en-US" w:eastAsia="zh-CN"/>
              </w:rPr>
              <w:t>144</w:t>
            </w:r>
            <w:r>
              <w:rPr>
                <w:rFonts w:ascii="Times New Roman" w:hAnsi="Times New Roman" w:eastAsia="宋体" w:cs="Times New Roman"/>
                <w:color w:val="000000" w:themeColor="text1"/>
                <w:szCs w:val="21"/>
              </w:rPr>
              <w:t>天，得满分，少于</w:t>
            </w:r>
            <w:r>
              <w:rPr>
                <w:rFonts w:hint="eastAsia" w:ascii="Times New Roman" w:hAnsi="Times New Roman" w:eastAsia="宋体" w:cs="Times New Roman"/>
                <w:color w:val="000000" w:themeColor="text1"/>
                <w:szCs w:val="21"/>
                <w:lang w:val="en-US" w:eastAsia="zh-CN"/>
              </w:rPr>
              <w:t>144</w:t>
            </w:r>
            <w:r>
              <w:rPr>
                <w:rFonts w:ascii="Times New Roman" w:hAnsi="Times New Roman" w:eastAsia="宋体" w:cs="Times New Roman"/>
                <w:color w:val="000000" w:themeColor="text1"/>
                <w:szCs w:val="21"/>
              </w:rPr>
              <w:t>天每少1天扣0.25分，扣完为止</w:t>
            </w:r>
          </w:p>
        </w:tc>
        <w:tc>
          <w:tcPr>
            <w:tcW w:w="668" w:type="dxa"/>
            <w:tcBorders>
              <w:top w:val="single" w:color="auto" w:sz="4" w:space="0"/>
              <w:left w:val="single" w:color="auto" w:sz="4" w:space="0"/>
              <w:bottom w:val="single" w:color="auto" w:sz="4" w:space="0"/>
              <w:right w:val="single" w:color="auto" w:sz="4" w:space="0"/>
            </w:tcBorders>
            <w:vAlign w:val="center"/>
          </w:tcPr>
          <w:p w14:paraId="3B31ACC7">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29782579">
            <w:pPr>
              <w:jc w:val="center"/>
              <w:rPr>
                <w:rFonts w:ascii="Times New Roman" w:hAnsi="Times New Roman" w:eastAsia="宋体" w:cs="Times New Roman"/>
                <w:color w:val="000000" w:themeColor="text1"/>
                <w:szCs w:val="21"/>
              </w:rPr>
            </w:pPr>
          </w:p>
        </w:tc>
      </w:tr>
      <w:tr w14:paraId="43C78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bottom w:val="single" w:color="auto" w:sz="4" w:space="0"/>
              <w:right w:val="single" w:color="auto" w:sz="4" w:space="0"/>
            </w:tcBorders>
            <w:vAlign w:val="center"/>
          </w:tcPr>
          <w:p w14:paraId="5F8446C1">
            <w:pPr>
              <w:jc w:val="center"/>
              <w:rPr>
                <w:rFonts w:ascii="Times New Roman" w:hAnsi="Times New Roman" w:eastAsia="宋体" w:cs="Times New Roman"/>
                <w:color w:val="000000" w:themeColor="text1"/>
                <w:szCs w:val="21"/>
              </w:rPr>
            </w:pPr>
          </w:p>
        </w:tc>
        <w:tc>
          <w:tcPr>
            <w:tcW w:w="1410" w:type="dxa"/>
            <w:vMerge w:val="continue"/>
            <w:tcBorders>
              <w:left w:val="single" w:color="auto" w:sz="4" w:space="0"/>
              <w:bottom w:val="single" w:color="auto" w:sz="4" w:space="0"/>
              <w:right w:val="single" w:color="auto" w:sz="4" w:space="0"/>
            </w:tcBorders>
            <w:vAlign w:val="center"/>
          </w:tcPr>
          <w:p w14:paraId="32130FE6">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4AA91759">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在线碳组分分析仪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年有效天数不少于</w:t>
            </w:r>
            <w:r>
              <w:rPr>
                <w:rFonts w:hint="eastAsia" w:ascii="Times New Roman" w:hAnsi="Times New Roman" w:eastAsia="宋体" w:cs="Times New Roman"/>
                <w:color w:val="000000" w:themeColor="text1"/>
                <w:szCs w:val="21"/>
                <w:lang w:val="en-US" w:eastAsia="zh-CN"/>
              </w:rPr>
              <w:t>162</w:t>
            </w:r>
            <w:r>
              <w:rPr>
                <w:rFonts w:ascii="Times New Roman" w:hAnsi="Times New Roman" w:eastAsia="宋体" w:cs="Times New Roman"/>
                <w:color w:val="000000" w:themeColor="text1"/>
                <w:szCs w:val="21"/>
              </w:rPr>
              <w:t>天，得满分，少于</w:t>
            </w:r>
            <w:r>
              <w:rPr>
                <w:rFonts w:hint="eastAsia" w:ascii="Times New Roman" w:hAnsi="Times New Roman" w:eastAsia="宋体" w:cs="Times New Roman"/>
                <w:color w:val="000000" w:themeColor="text1"/>
                <w:szCs w:val="21"/>
                <w:lang w:val="en-US" w:eastAsia="zh-CN"/>
              </w:rPr>
              <w:t>162</w:t>
            </w:r>
            <w:r>
              <w:rPr>
                <w:rFonts w:ascii="Times New Roman" w:hAnsi="Times New Roman" w:eastAsia="宋体" w:cs="Times New Roman"/>
                <w:color w:val="000000" w:themeColor="text1"/>
                <w:szCs w:val="21"/>
              </w:rPr>
              <w:t>天每少1天扣0.25分，扣完为止</w:t>
            </w:r>
          </w:p>
        </w:tc>
        <w:tc>
          <w:tcPr>
            <w:tcW w:w="668" w:type="dxa"/>
            <w:tcBorders>
              <w:top w:val="single" w:color="auto" w:sz="4" w:space="0"/>
              <w:left w:val="single" w:color="auto" w:sz="4" w:space="0"/>
              <w:bottom w:val="single" w:color="auto" w:sz="4" w:space="0"/>
              <w:right w:val="single" w:color="auto" w:sz="4" w:space="0"/>
            </w:tcBorders>
            <w:vAlign w:val="center"/>
          </w:tcPr>
          <w:p w14:paraId="704E77A8">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30E51E3E">
            <w:pPr>
              <w:jc w:val="center"/>
              <w:rPr>
                <w:rFonts w:ascii="Times New Roman" w:hAnsi="Times New Roman" w:eastAsia="宋体" w:cs="Times New Roman"/>
                <w:color w:val="000000" w:themeColor="text1"/>
                <w:szCs w:val="21"/>
              </w:rPr>
            </w:pPr>
          </w:p>
        </w:tc>
      </w:tr>
      <w:tr w14:paraId="2D670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restart"/>
            <w:tcBorders>
              <w:top w:val="single" w:color="auto" w:sz="4" w:space="0"/>
              <w:left w:val="single" w:color="auto" w:sz="4" w:space="0"/>
              <w:right w:val="single" w:color="auto" w:sz="4" w:space="0"/>
            </w:tcBorders>
            <w:vAlign w:val="center"/>
          </w:tcPr>
          <w:p w14:paraId="551609E8">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9</w:t>
            </w:r>
          </w:p>
        </w:tc>
        <w:tc>
          <w:tcPr>
            <w:tcW w:w="1410" w:type="dxa"/>
            <w:vMerge w:val="restart"/>
            <w:tcBorders>
              <w:top w:val="single" w:color="auto" w:sz="4" w:space="0"/>
              <w:left w:val="single" w:color="auto" w:sz="4" w:space="0"/>
              <w:right w:val="single" w:color="auto" w:sz="4" w:space="0"/>
            </w:tcBorders>
            <w:vAlign w:val="center"/>
          </w:tcPr>
          <w:p w14:paraId="29BF689E">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有效数据</w:t>
            </w:r>
          </w:p>
        </w:tc>
        <w:tc>
          <w:tcPr>
            <w:tcW w:w="5448" w:type="dxa"/>
            <w:tcBorders>
              <w:top w:val="single" w:color="auto" w:sz="4" w:space="0"/>
              <w:left w:val="single" w:color="auto" w:sz="4" w:space="0"/>
              <w:bottom w:val="single" w:color="auto" w:sz="4" w:space="0"/>
              <w:right w:val="single" w:color="auto" w:sz="4" w:space="0"/>
            </w:tcBorders>
            <w:vAlign w:val="center"/>
          </w:tcPr>
          <w:p w14:paraId="0FD39FA7">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在线分析仪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年有效数据获取率不低于90%，得满分，低于90%每少1%扣0.5分，扣完为止</w:t>
            </w:r>
          </w:p>
        </w:tc>
        <w:tc>
          <w:tcPr>
            <w:tcW w:w="668" w:type="dxa"/>
            <w:tcBorders>
              <w:top w:val="single" w:color="auto" w:sz="4" w:space="0"/>
              <w:left w:val="single" w:color="auto" w:sz="4" w:space="0"/>
              <w:bottom w:val="single" w:color="auto" w:sz="4" w:space="0"/>
              <w:right w:val="single" w:color="auto" w:sz="4" w:space="0"/>
            </w:tcBorders>
            <w:vAlign w:val="center"/>
          </w:tcPr>
          <w:p w14:paraId="61C156D4">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653" w:type="dxa"/>
            <w:tcBorders>
              <w:top w:val="single" w:color="auto" w:sz="4" w:space="0"/>
              <w:left w:val="single" w:color="auto" w:sz="4" w:space="0"/>
              <w:bottom w:val="single" w:color="auto" w:sz="4" w:space="0"/>
              <w:right w:val="single" w:color="auto" w:sz="4" w:space="0"/>
            </w:tcBorders>
            <w:vAlign w:val="center"/>
          </w:tcPr>
          <w:p w14:paraId="3553AB77">
            <w:pPr>
              <w:jc w:val="center"/>
              <w:rPr>
                <w:rFonts w:ascii="Times New Roman" w:hAnsi="Times New Roman" w:eastAsia="宋体" w:cs="Times New Roman"/>
                <w:color w:val="000000" w:themeColor="text1"/>
                <w:szCs w:val="21"/>
              </w:rPr>
            </w:pPr>
          </w:p>
        </w:tc>
      </w:tr>
      <w:tr w14:paraId="4D547C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right w:val="single" w:color="auto" w:sz="4" w:space="0"/>
            </w:tcBorders>
            <w:vAlign w:val="center"/>
          </w:tcPr>
          <w:p w14:paraId="142D6924">
            <w:pPr>
              <w:jc w:val="center"/>
              <w:rPr>
                <w:rFonts w:ascii="Times New Roman" w:hAnsi="Times New Roman" w:eastAsia="宋体" w:cs="Times New Roman"/>
                <w:color w:val="000000" w:themeColor="text1"/>
                <w:szCs w:val="21"/>
              </w:rPr>
            </w:pPr>
          </w:p>
        </w:tc>
        <w:tc>
          <w:tcPr>
            <w:tcW w:w="1410" w:type="dxa"/>
            <w:vMerge w:val="continue"/>
            <w:tcBorders>
              <w:left w:val="single" w:color="auto" w:sz="4" w:space="0"/>
              <w:right w:val="single" w:color="auto" w:sz="4" w:space="0"/>
            </w:tcBorders>
            <w:vAlign w:val="center"/>
          </w:tcPr>
          <w:p w14:paraId="3ADED259">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748B180D">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在线离子色谱仪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年有效数据获取率不低于80%，得满分，低于80%每少1%扣0.5分，扣完为止</w:t>
            </w:r>
          </w:p>
        </w:tc>
        <w:tc>
          <w:tcPr>
            <w:tcW w:w="668" w:type="dxa"/>
            <w:tcBorders>
              <w:top w:val="single" w:color="auto" w:sz="4" w:space="0"/>
              <w:left w:val="single" w:color="auto" w:sz="4" w:space="0"/>
              <w:bottom w:val="single" w:color="auto" w:sz="4" w:space="0"/>
              <w:right w:val="single" w:color="auto" w:sz="4" w:space="0"/>
            </w:tcBorders>
            <w:vAlign w:val="center"/>
          </w:tcPr>
          <w:p w14:paraId="237C6999">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1036D422">
            <w:pPr>
              <w:jc w:val="center"/>
              <w:rPr>
                <w:rFonts w:ascii="Times New Roman" w:hAnsi="Times New Roman" w:eastAsia="宋体" w:cs="Times New Roman"/>
                <w:color w:val="000000" w:themeColor="text1"/>
                <w:szCs w:val="21"/>
              </w:rPr>
            </w:pPr>
          </w:p>
        </w:tc>
      </w:tr>
      <w:tr w14:paraId="064C8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right w:val="single" w:color="auto" w:sz="4" w:space="0"/>
            </w:tcBorders>
            <w:vAlign w:val="center"/>
          </w:tcPr>
          <w:p w14:paraId="258E2E45">
            <w:pPr>
              <w:jc w:val="center"/>
              <w:rPr>
                <w:rFonts w:ascii="Times New Roman" w:hAnsi="Times New Roman" w:eastAsia="宋体" w:cs="Times New Roman"/>
                <w:color w:val="000000" w:themeColor="text1"/>
                <w:szCs w:val="21"/>
              </w:rPr>
            </w:pPr>
          </w:p>
        </w:tc>
        <w:tc>
          <w:tcPr>
            <w:tcW w:w="1410" w:type="dxa"/>
            <w:vMerge w:val="continue"/>
            <w:tcBorders>
              <w:left w:val="single" w:color="auto" w:sz="4" w:space="0"/>
              <w:right w:val="single" w:color="auto" w:sz="4" w:space="0"/>
            </w:tcBorders>
            <w:vAlign w:val="center"/>
          </w:tcPr>
          <w:p w14:paraId="5303D7EC">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5D9AEDF1">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在线无机元素分析仪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年有效数据获取率不低于80%，得满分，低于80%每少1%扣0.5分，扣完为止</w:t>
            </w:r>
          </w:p>
        </w:tc>
        <w:tc>
          <w:tcPr>
            <w:tcW w:w="668" w:type="dxa"/>
            <w:tcBorders>
              <w:top w:val="single" w:color="auto" w:sz="4" w:space="0"/>
              <w:left w:val="single" w:color="auto" w:sz="4" w:space="0"/>
              <w:bottom w:val="single" w:color="auto" w:sz="4" w:space="0"/>
              <w:right w:val="single" w:color="auto" w:sz="4" w:space="0"/>
            </w:tcBorders>
            <w:vAlign w:val="center"/>
          </w:tcPr>
          <w:p w14:paraId="79B29056">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42C12737">
            <w:pPr>
              <w:jc w:val="center"/>
              <w:rPr>
                <w:rFonts w:ascii="Times New Roman" w:hAnsi="Times New Roman" w:eastAsia="宋体" w:cs="Times New Roman"/>
                <w:color w:val="000000" w:themeColor="text1"/>
                <w:szCs w:val="21"/>
              </w:rPr>
            </w:pPr>
          </w:p>
        </w:tc>
      </w:tr>
      <w:tr w14:paraId="190CD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bottom w:val="single" w:color="auto" w:sz="4" w:space="0"/>
              <w:right w:val="single" w:color="auto" w:sz="4" w:space="0"/>
            </w:tcBorders>
            <w:vAlign w:val="center"/>
          </w:tcPr>
          <w:p w14:paraId="15F400E2">
            <w:pPr>
              <w:jc w:val="center"/>
              <w:rPr>
                <w:rFonts w:ascii="Times New Roman" w:hAnsi="Times New Roman" w:eastAsia="宋体" w:cs="Times New Roman"/>
                <w:color w:val="000000" w:themeColor="text1"/>
                <w:szCs w:val="21"/>
              </w:rPr>
            </w:pPr>
          </w:p>
        </w:tc>
        <w:tc>
          <w:tcPr>
            <w:tcW w:w="1410" w:type="dxa"/>
            <w:vMerge w:val="continue"/>
            <w:tcBorders>
              <w:left w:val="single" w:color="auto" w:sz="4" w:space="0"/>
              <w:bottom w:val="single" w:color="auto" w:sz="4" w:space="0"/>
              <w:right w:val="single" w:color="auto" w:sz="4" w:space="0"/>
            </w:tcBorders>
            <w:vAlign w:val="center"/>
          </w:tcPr>
          <w:p w14:paraId="21872483">
            <w:pPr>
              <w:jc w:val="center"/>
              <w:rPr>
                <w:rFonts w:ascii="Times New Roman" w:hAnsi="Times New Roman" w:eastAsia="宋体" w:cs="Times New Roman"/>
                <w:color w:val="000000" w:themeColor="text1"/>
                <w:szCs w:val="21"/>
              </w:rPr>
            </w:pPr>
          </w:p>
        </w:tc>
        <w:tc>
          <w:tcPr>
            <w:tcW w:w="5448" w:type="dxa"/>
            <w:tcBorders>
              <w:top w:val="single" w:color="auto" w:sz="4" w:space="0"/>
              <w:left w:val="single" w:color="auto" w:sz="4" w:space="0"/>
              <w:bottom w:val="single" w:color="auto" w:sz="4" w:space="0"/>
              <w:right w:val="single" w:color="auto" w:sz="4" w:space="0"/>
            </w:tcBorders>
            <w:vAlign w:val="center"/>
          </w:tcPr>
          <w:p w14:paraId="3E611D89">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在线碳组分分析仪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年有效数据获取率不低于90%，得满分，低于90%每少1%扣0.5分，扣完为止</w:t>
            </w:r>
          </w:p>
        </w:tc>
        <w:tc>
          <w:tcPr>
            <w:tcW w:w="668" w:type="dxa"/>
            <w:tcBorders>
              <w:top w:val="single" w:color="auto" w:sz="4" w:space="0"/>
              <w:left w:val="single" w:color="auto" w:sz="4" w:space="0"/>
              <w:bottom w:val="single" w:color="auto" w:sz="4" w:space="0"/>
              <w:right w:val="single" w:color="auto" w:sz="4" w:space="0"/>
            </w:tcBorders>
            <w:vAlign w:val="center"/>
          </w:tcPr>
          <w:p w14:paraId="3B17BF20">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653" w:type="dxa"/>
            <w:tcBorders>
              <w:top w:val="single" w:color="auto" w:sz="4" w:space="0"/>
              <w:left w:val="single" w:color="auto" w:sz="4" w:space="0"/>
              <w:bottom w:val="single" w:color="auto" w:sz="4" w:space="0"/>
              <w:right w:val="single" w:color="auto" w:sz="4" w:space="0"/>
            </w:tcBorders>
            <w:vAlign w:val="center"/>
          </w:tcPr>
          <w:p w14:paraId="44EDDA24">
            <w:pPr>
              <w:jc w:val="center"/>
              <w:rPr>
                <w:rFonts w:ascii="Times New Roman" w:hAnsi="Times New Roman" w:eastAsia="宋体" w:cs="Times New Roman"/>
                <w:color w:val="000000" w:themeColor="text1"/>
                <w:szCs w:val="21"/>
              </w:rPr>
            </w:pPr>
          </w:p>
        </w:tc>
      </w:tr>
      <w:tr w14:paraId="7F1E96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35" w:type="dxa"/>
            <w:gridSpan w:val="2"/>
            <w:tcBorders>
              <w:top w:val="single" w:color="auto" w:sz="4" w:space="0"/>
              <w:left w:val="single" w:color="auto" w:sz="4" w:space="0"/>
              <w:bottom w:val="single" w:color="auto" w:sz="4" w:space="0"/>
              <w:right w:val="single" w:color="auto" w:sz="4" w:space="0"/>
            </w:tcBorders>
            <w:vAlign w:val="center"/>
          </w:tcPr>
          <w:p w14:paraId="5F6D3642">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备注</w:t>
            </w:r>
          </w:p>
        </w:tc>
        <w:tc>
          <w:tcPr>
            <w:tcW w:w="6769" w:type="dxa"/>
            <w:gridSpan w:val="3"/>
            <w:tcBorders>
              <w:top w:val="single" w:color="auto" w:sz="4" w:space="0"/>
              <w:left w:val="single" w:color="auto" w:sz="4" w:space="0"/>
              <w:bottom w:val="single" w:color="auto" w:sz="4" w:space="0"/>
              <w:right w:val="single" w:color="auto" w:sz="4" w:space="0"/>
            </w:tcBorders>
            <w:vAlign w:val="center"/>
          </w:tcPr>
          <w:p w14:paraId="62ED8B5A">
            <w:pPr>
              <w:rPr>
                <w:rFonts w:ascii="Times New Roman" w:hAnsi="Times New Roman" w:eastAsia="宋体" w:cs="Times New Roman"/>
                <w:color w:val="000000" w:themeColor="text1"/>
                <w:szCs w:val="21"/>
              </w:rPr>
            </w:pPr>
          </w:p>
        </w:tc>
      </w:tr>
    </w:tbl>
    <w:p w14:paraId="6DFC347A">
      <w:pPr>
        <w:spacing w:line="360" w:lineRule="auto"/>
        <w:jc w:val="left"/>
        <w:rPr>
          <w:rFonts w:ascii="Times New Roman" w:hAnsi="Times New Roman" w:eastAsia="宋体" w:cs="Times New Roman"/>
          <w:b/>
          <w:bCs/>
          <w:color w:val="000000" w:themeColor="text1"/>
          <w:sz w:val="24"/>
          <w:szCs w:val="21"/>
        </w:rPr>
      </w:pPr>
      <w:r>
        <w:rPr>
          <w:rFonts w:ascii="Times New Roman" w:hAnsi="Times New Roman" w:eastAsia="宋体" w:cs="Times New Roman"/>
          <w:b/>
          <w:bCs/>
          <w:color w:val="000000" w:themeColor="text1"/>
          <w:sz w:val="24"/>
          <w:szCs w:val="21"/>
        </w:rPr>
        <w:t>标项二：舟山生态大楼颗粒物组分站、光化学站</w:t>
      </w:r>
      <w:r>
        <w:rPr>
          <w:rFonts w:hint="eastAsia" w:ascii="Times New Roman" w:hAnsi="Times New Roman" w:eastAsia="宋体" w:cs="Times New Roman"/>
          <w:b/>
          <w:bCs/>
          <w:color w:val="000000" w:themeColor="text1"/>
          <w:sz w:val="24"/>
          <w:szCs w:val="21"/>
          <w:lang w:val="en-US" w:eastAsia="zh-CN"/>
        </w:rPr>
        <w:t>2025年度</w:t>
      </w:r>
      <w:r>
        <w:rPr>
          <w:rFonts w:ascii="Times New Roman" w:hAnsi="Times New Roman" w:eastAsia="宋体" w:cs="Times New Roman"/>
          <w:b/>
          <w:bCs/>
          <w:color w:val="000000" w:themeColor="text1"/>
          <w:sz w:val="24"/>
          <w:szCs w:val="21"/>
        </w:rPr>
        <w:t>质控巡检项目</w:t>
      </w:r>
    </w:p>
    <w:p w14:paraId="1DD3D19B">
      <w:pPr>
        <w:spacing w:line="360" w:lineRule="auto"/>
        <w:jc w:val="left"/>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kern w:val="44"/>
          <w:szCs w:val="21"/>
        </w:rPr>
        <w:t>一、项目概述</w:t>
      </w:r>
    </w:p>
    <w:p w14:paraId="531F0C74">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为提升舟山市颗粒物和光化学监测网中环境空气自动监测系统的运行质量，提高自动监测数据的准确性、连续性、可比性和可靠性，本项目委托第三方技术机构对舟山市生态大楼颗粒物和光化学监测站开展质控检查工作，保障监测运行质量。项目预算10万元。</w:t>
      </w:r>
    </w:p>
    <w:p w14:paraId="6A1752A2">
      <w:pPr>
        <w:spacing w:line="360" w:lineRule="auto"/>
        <w:jc w:val="left"/>
        <w:rPr>
          <w:rFonts w:ascii="Times New Roman" w:hAnsi="Times New Roman" w:eastAsia="宋体" w:cs="Times New Roman"/>
          <w:b/>
          <w:bCs/>
          <w:color w:val="000000" w:themeColor="text1"/>
          <w:kern w:val="44"/>
          <w:szCs w:val="21"/>
        </w:rPr>
      </w:pPr>
      <w:r>
        <w:rPr>
          <w:rFonts w:ascii="Times New Roman" w:hAnsi="Times New Roman" w:eastAsia="宋体" w:cs="Times New Roman"/>
          <w:b/>
          <w:bCs/>
          <w:color w:val="000000" w:themeColor="text1"/>
          <w:kern w:val="44"/>
          <w:szCs w:val="21"/>
        </w:rPr>
        <w:t>二、项目内容</w:t>
      </w:r>
    </w:p>
    <w:p w14:paraId="25C3CA8E">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舟山市生态大楼颗粒物组分站包含4台颗粒物仪器：PM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颗粒物分析仪、颗粒物在线离子色谱仪、OC/EC分析仪和大气颗粒物重金属仪，光化学站包含</w:t>
      </w:r>
      <w:r>
        <w:rPr>
          <w:rFonts w:hint="eastAsia" w:ascii="Times New Roman" w:hAnsi="Times New Roman" w:eastAsia="宋体" w:cs="Times New Roman"/>
          <w:color w:val="000000" w:themeColor="text1"/>
          <w:szCs w:val="21"/>
        </w:rPr>
        <w:t>8</w:t>
      </w:r>
      <w:r>
        <w:rPr>
          <w:rFonts w:ascii="Times New Roman" w:hAnsi="Times New Roman" w:eastAsia="宋体" w:cs="Times New Roman"/>
          <w:color w:val="000000" w:themeColor="text1"/>
          <w:szCs w:val="21"/>
        </w:rPr>
        <w:t>台空气自动监测仪器：空气质量常规六参数分析仪、甲烷非甲烷总烃分析仪和VOCs在线分析仪。根据采购方需求，项目服务期间选择适当时间，对颗粒物站及光化学站进行一年2次常规巡检和1次现场质控检查，每次检查结束后完成现场检查报告（内容包括半年度及年度检查报告汇总、运维单位工作评价等）。</w:t>
      </w:r>
    </w:p>
    <w:p w14:paraId="08872213">
      <w:pPr>
        <w:spacing w:line="360" w:lineRule="auto"/>
        <w:jc w:val="left"/>
        <w:rPr>
          <w:rFonts w:ascii="Times New Roman" w:hAnsi="Times New Roman" w:eastAsia="宋体" w:cs="Times New Roman"/>
          <w:b/>
          <w:bCs/>
          <w:color w:val="000000" w:themeColor="text1"/>
          <w:kern w:val="44"/>
          <w:szCs w:val="21"/>
        </w:rPr>
      </w:pPr>
      <w:r>
        <w:rPr>
          <w:rFonts w:ascii="Times New Roman" w:hAnsi="Times New Roman" w:eastAsia="宋体" w:cs="Times New Roman"/>
          <w:b/>
          <w:bCs/>
          <w:color w:val="000000" w:themeColor="text1"/>
          <w:kern w:val="44"/>
          <w:szCs w:val="21"/>
        </w:rPr>
        <w:t>三、服务期限</w:t>
      </w:r>
    </w:p>
    <w:p w14:paraId="43602204">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服务期限：202</w:t>
      </w:r>
      <w:r>
        <w:rPr>
          <w:rFonts w:hint="eastAsia" w:ascii="Times New Roman" w:hAnsi="Times New Roman" w:eastAsia="宋体" w:cs="Times New Roman"/>
          <w:color w:val="000000" w:themeColor="text1"/>
          <w:szCs w:val="21"/>
        </w:rPr>
        <w:t>5</w:t>
      </w:r>
      <w:r>
        <w:rPr>
          <w:rFonts w:ascii="Times New Roman" w:hAnsi="Times New Roman" w:eastAsia="宋体" w:cs="Times New Roman"/>
          <w:color w:val="000000" w:themeColor="text1"/>
          <w:szCs w:val="21"/>
        </w:rPr>
        <w:t>年8月1日至202</w:t>
      </w:r>
      <w:r>
        <w:rPr>
          <w:rFonts w:hint="eastAsia" w:ascii="Times New Roman" w:hAnsi="Times New Roman" w:eastAsia="宋体" w:cs="Times New Roman"/>
          <w:color w:val="000000" w:themeColor="text1"/>
          <w:szCs w:val="21"/>
        </w:rPr>
        <w:t>6</w:t>
      </w:r>
      <w:r>
        <w:rPr>
          <w:rFonts w:ascii="Times New Roman" w:hAnsi="Times New Roman" w:eastAsia="宋体" w:cs="Times New Roman"/>
          <w:color w:val="000000" w:themeColor="text1"/>
          <w:szCs w:val="21"/>
        </w:rPr>
        <w:t>年7月31日止。</w:t>
      </w:r>
    </w:p>
    <w:p w14:paraId="0786AD33">
      <w:pPr>
        <w:spacing w:line="360" w:lineRule="auto"/>
        <w:jc w:val="left"/>
        <w:rPr>
          <w:rFonts w:ascii="Times New Roman" w:hAnsi="Times New Roman" w:eastAsia="宋体" w:cs="Times New Roman"/>
          <w:b/>
          <w:bCs/>
          <w:color w:val="000000" w:themeColor="text1"/>
          <w:kern w:val="44"/>
          <w:szCs w:val="21"/>
        </w:rPr>
      </w:pPr>
      <w:r>
        <w:rPr>
          <w:rFonts w:ascii="Times New Roman" w:hAnsi="Times New Roman" w:eastAsia="宋体" w:cs="Times New Roman"/>
          <w:b/>
          <w:bCs/>
          <w:color w:val="000000" w:themeColor="text1"/>
          <w:kern w:val="44"/>
          <w:szCs w:val="21"/>
        </w:rPr>
        <w:t>四、技术要求</w:t>
      </w:r>
    </w:p>
    <w:p w14:paraId="48946C16">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本项目工作开展需符合《环境空气质量监测技术规范》、《环境空气气态污染物（SO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、NO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、O</w:t>
      </w:r>
      <w:r>
        <w:rPr>
          <w:rFonts w:ascii="Times New Roman" w:hAnsi="Times New Roman" w:eastAsia="宋体" w:cs="Times New Roman"/>
          <w:color w:val="000000" w:themeColor="text1"/>
          <w:szCs w:val="21"/>
          <w:vertAlign w:val="subscript"/>
        </w:rPr>
        <w:t>3</w:t>
      </w:r>
      <w:r>
        <w:rPr>
          <w:rFonts w:ascii="Times New Roman" w:hAnsi="Times New Roman" w:eastAsia="宋体" w:cs="Times New Roman"/>
          <w:color w:val="000000" w:themeColor="text1"/>
          <w:szCs w:val="21"/>
        </w:rPr>
        <w:t>、CO）连续自动监测系统运行与质控技术规范》（HJ818-2018）、《环境空气颗粒物（PM</w:t>
      </w:r>
      <w:r>
        <w:rPr>
          <w:rFonts w:ascii="Times New Roman" w:hAnsi="Times New Roman" w:eastAsia="宋体" w:cs="Times New Roman"/>
          <w:color w:val="000000" w:themeColor="text1"/>
          <w:szCs w:val="21"/>
          <w:vertAlign w:val="subscript"/>
        </w:rPr>
        <w:t>10</w:t>
      </w:r>
      <w:r>
        <w:rPr>
          <w:rFonts w:ascii="Times New Roman" w:hAnsi="Times New Roman" w:eastAsia="宋体" w:cs="Times New Roman"/>
          <w:color w:val="000000" w:themeColor="text1"/>
          <w:szCs w:val="21"/>
        </w:rPr>
        <w:t>和PM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连续自动监测系统运行和质控技术规范》（HJ817-2018）、《国家环境空气监测网环境空气挥发性有机物连续自动监测质量控制技术规定(试行)》、《环境空气非甲烷总烃连续自动监测技术规定（试行）》、《环境空气颗粒物（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）中水溶性离子连续自动监测技术规范》（HJ 1328—2023）、《环境空气颗粒物（PM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）中无机元素连续自动监测技术规范》（HJ 1329—2023）、《环境空气颗粒物（PM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）中有机碳和元素碳连续自动监测技术规范》（HJ 1327—2023）、《浙江省环境空气质量自动监测系统运行管理细则》和《浙江省生态环境监测中心关于加强全省环境空气自动监测系统相关工作的通知》等相关技术规范和管理细则要求。</w:t>
      </w:r>
    </w:p>
    <w:p w14:paraId="453A3F69">
      <w:pPr>
        <w:widowControl/>
        <w:spacing w:line="360" w:lineRule="auto"/>
        <w:ind w:firstLine="420" w:firstLineChars="200"/>
        <w:rPr>
          <w:rFonts w:ascii="Times New Roman" w:hAnsi="Times New Roman" w:eastAsia="宋体" w:cs="Times New Roman"/>
          <w:color w:val="000000" w:themeColor="text1"/>
          <w:kern w:val="1"/>
          <w:szCs w:val="21"/>
        </w:rPr>
      </w:pPr>
      <w:r>
        <w:rPr>
          <w:rFonts w:ascii="Times New Roman" w:hAnsi="Times New Roman" w:eastAsia="宋体" w:cs="Times New Roman"/>
          <w:color w:val="000000" w:themeColor="text1"/>
          <w:szCs w:val="21"/>
        </w:rPr>
        <w:t>巡检内容：</w:t>
      </w:r>
      <w:r>
        <w:rPr>
          <w:rFonts w:ascii="Times New Roman" w:hAnsi="Times New Roman" w:eastAsia="宋体" w:cs="Times New Roman"/>
          <w:color w:val="000000" w:themeColor="text1"/>
          <w:kern w:val="1"/>
          <w:szCs w:val="21"/>
        </w:rPr>
        <w:t>站房及辅助设备巡查、监测系统巡查及运维情况巡查，确保所有环境空气自动监测站流量计、臭氧光度计、校准仪、</w:t>
      </w:r>
      <w:r>
        <w:rPr>
          <w:rFonts w:ascii="Times New Roman" w:hAnsi="Times New Roman" w:eastAsia="宋体" w:cs="Times New Roman"/>
          <w:color w:val="000000" w:themeColor="text1"/>
          <w:szCs w:val="21"/>
        </w:rPr>
        <w:t>SO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、CO、O</w:t>
      </w:r>
      <w:r>
        <w:rPr>
          <w:rFonts w:ascii="Times New Roman" w:hAnsi="Times New Roman" w:eastAsia="宋体" w:cs="Times New Roman"/>
          <w:color w:val="000000" w:themeColor="text1"/>
          <w:szCs w:val="21"/>
          <w:vertAlign w:val="subscript"/>
        </w:rPr>
        <w:t>3</w:t>
      </w:r>
      <w:r>
        <w:rPr>
          <w:rFonts w:ascii="Times New Roman" w:hAnsi="Times New Roman" w:eastAsia="宋体" w:cs="Times New Roman"/>
          <w:color w:val="000000" w:themeColor="text1"/>
          <w:szCs w:val="21"/>
        </w:rPr>
        <w:t>、NO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、NMHC、VOCs等气态仪器、</w:t>
      </w:r>
      <w:r>
        <w:rPr>
          <w:rFonts w:ascii="Times New Roman" w:hAnsi="Times New Roman" w:eastAsia="宋体" w:cs="Times New Roman"/>
          <w:color w:val="000000" w:themeColor="text1"/>
          <w:kern w:val="1"/>
          <w:szCs w:val="21"/>
        </w:rPr>
        <w:t>颗粒物在线监测设备等各项监测仪器正常稳定运行并与相关生态环境部门正常联网，且符合浙江省相关技术规范和管理细则要求，各类记录齐全，包括：每周巡查结果记录表、仪器设备维护记录表、备件耗材更换记录表、故障处理申报表、质控检查结果记录表、异常情况登记表等。</w:t>
      </w:r>
    </w:p>
    <w:p w14:paraId="4FE1AE72">
      <w:pPr>
        <w:widowControl/>
        <w:spacing w:line="360" w:lineRule="auto"/>
        <w:ind w:firstLine="420" w:firstLineChars="200"/>
        <w:rPr>
          <w:rFonts w:ascii="Times New Roman" w:hAnsi="Times New Roman" w:eastAsia="宋体" w:cs="Times New Roman"/>
          <w:color w:val="000000" w:themeColor="text1"/>
          <w:kern w:val="1"/>
          <w:szCs w:val="21"/>
        </w:rPr>
      </w:pPr>
      <w:r>
        <w:rPr>
          <w:rFonts w:ascii="Times New Roman" w:hAnsi="Times New Roman" w:eastAsia="宋体" w:cs="Times New Roman"/>
          <w:color w:val="000000" w:themeColor="text1"/>
          <w:szCs w:val="21"/>
        </w:rPr>
        <w:t>质控内容：</w:t>
      </w:r>
      <w:r>
        <w:rPr>
          <w:rFonts w:ascii="Times New Roman" w:hAnsi="Times New Roman" w:eastAsia="宋体" w:cs="Times New Roman"/>
          <w:color w:val="000000" w:themeColor="text1"/>
          <w:kern w:val="1"/>
          <w:szCs w:val="21"/>
        </w:rPr>
        <w:t>对环境空气自动监测站各项监测仪器进行现场质控考核及考核报告，其中</w:t>
      </w:r>
      <w:r>
        <w:rPr>
          <w:rFonts w:ascii="Times New Roman" w:hAnsi="Times New Roman" w:eastAsia="宋体" w:cs="Times New Roman"/>
          <w:color w:val="000000" w:themeColor="text1"/>
          <w:szCs w:val="21"/>
        </w:rPr>
        <w:t>流量计、臭氧光度计、校准仪等，与相关标准进行比对追溯校验，SO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、CO、O</w:t>
      </w:r>
      <w:r>
        <w:rPr>
          <w:rFonts w:ascii="Times New Roman" w:hAnsi="Times New Roman" w:eastAsia="宋体" w:cs="Times New Roman"/>
          <w:color w:val="000000" w:themeColor="text1"/>
          <w:szCs w:val="21"/>
          <w:vertAlign w:val="subscript"/>
        </w:rPr>
        <w:t>3</w:t>
      </w:r>
      <w:r>
        <w:rPr>
          <w:rFonts w:ascii="Times New Roman" w:hAnsi="Times New Roman" w:eastAsia="宋体" w:cs="Times New Roman"/>
          <w:color w:val="000000" w:themeColor="text1"/>
          <w:szCs w:val="21"/>
        </w:rPr>
        <w:t>、NO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、NMHC、VOCs、颗粒物在线离子色谱仪、OC/EC分析仪等仪器采取盲样考核，根据考核结果出具考核报告。</w:t>
      </w:r>
      <w:r>
        <w:rPr>
          <w:rFonts w:ascii="Times New Roman" w:hAnsi="Times New Roman" w:eastAsia="宋体" w:cs="Times New Roman"/>
          <w:color w:val="000000" w:themeColor="text1"/>
          <w:kern w:val="1"/>
          <w:szCs w:val="21"/>
        </w:rPr>
        <w:t>现场质控考核应符合国家、浙江省相关技术规定。</w:t>
      </w:r>
    </w:p>
    <w:p w14:paraId="1AFA368F">
      <w:pPr>
        <w:widowControl/>
        <w:spacing w:line="360" w:lineRule="auto"/>
        <w:ind w:firstLine="420" w:firstLineChars="200"/>
        <w:rPr>
          <w:rFonts w:ascii="Times New Roman" w:hAnsi="Times New Roman" w:eastAsia="宋体" w:cs="Times New Roman"/>
          <w:color w:val="000000" w:themeColor="text1"/>
          <w:kern w:val="1"/>
          <w:szCs w:val="21"/>
        </w:rPr>
      </w:pPr>
      <w:r>
        <w:rPr>
          <w:rFonts w:ascii="Times New Roman" w:hAnsi="Times New Roman" w:eastAsia="宋体" w:cs="Times New Roman"/>
          <w:bCs/>
          <w:color w:val="000000" w:themeColor="text1"/>
          <w:kern w:val="1"/>
          <w:szCs w:val="21"/>
        </w:rPr>
        <w:t>人员要求：</w:t>
      </w:r>
      <w:r>
        <w:rPr>
          <w:rFonts w:ascii="Times New Roman" w:hAnsi="Times New Roman" w:eastAsia="宋体" w:cs="Times New Roman"/>
          <w:color w:val="000000" w:themeColor="text1"/>
          <w:kern w:val="1"/>
          <w:szCs w:val="21"/>
        </w:rPr>
        <w:t>根据要求，供应商至少配备2名专业技术人员。</w:t>
      </w:r>
    </w:p>
    <w:p w14:paraId="747C9B07">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bCs/>
          <w:color w:val="000000" w:themeColor="text1"/>
          <w:kern w:val="1"/>
          <w:szCs w:val="21"/>
        </w:rPr>
        <w:t>核查报告：在巡检作业结束后</w:t>
      </w:r>
      <w:r>
        <w:rPr>
          <w:rFonts w:hint="eastAsia" w:ascii="Times New Roman" w:hAnsi="Times New Roman" w:eastAsia="宋体" w:cs="Times New Roman"/>
          <w:bCs/>
          <w:color w:val="000000" w:themeColor="text1"/>
          <w:kern w:val="1"/>
          <w:szCs w:val="21"/>
          <w:lang w:val="en-US" w:eastAsia="zh-CN"/>
        </w:rPr>
        <w:t>1</w:t>
      </w:r>
      <w:r>
        <w:rPr>
          <w:rFonts w:ascii="Times New Roman" w:hAnsi="Times New Roman" w:eastAsia="宋体" w:cs="Times New Roman"/>
          <w:bCs/>
          <w:color w:val="000000" w:themeColor="text1"/>
          <w:kern w:val="1"/>
          <w:szCs w:val="21"/>
        </w:rPr>
        <w:t>个月内，服务方需提供巡检报告及改善建议，并视巡</w:t>
      </w:r>
      <w:r>
        <w:rPr>
          <w:rFonts w:ascii="Times New Roman" w:hAnsi="Times New Roman" w:eastAsia="宋体" w:cs="Times New Roman"/>
          <w:color w:val="000000" w:themeColor="text1"/>
          <w:kern w:val="0"/>
          <w:szCs w:val="21"/>
        </w:rPr>
        <w:t>检情况协助采购方进行故障排除。</w:t>
      </w:r>
    </w:p>
    <w:p w14:paraId="6AF2BAB9">
      <w:pPr>
        <w:spacing w:line="360" w:lineRule="auto"/>
        <w:jc w:val="left"/>
        <w:rPr>
          <w:rFonts w:ascii="Times New Roman" w:hAnsi="Times New Roman" w:eastAsia="宋体" w:cs="Times New Roman"/>
          <w:b/>
          <w:bCs/>
          <w:color w:val="000000" w:themeColor="text1"/>
          <w:kern w:val="44"/>
          <w:szCs w:val="21"/>
        </w:rPr>
      </w:pPr>
      <w:r>
        <w:rPr>
          <w:rFonts w:ascii="Times New Roman" w:hAnsi="Times New Roman" w:eastAsia="宋体" w:cs="Times New Roman"/>
          <w:b/>
          <w:bCs/>
          <w:color w:val="000000" w:themeColor="text1"/>
          <w:kern w:val="44"/>
          <w:szCs w:val="21"/>
        </w:rPr>
        <w:t>五、考核与惩罚办法</w:t>
      </w:r>
    </w:p>
    <w:p w14:paraId="46B58F2F">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kern w:val="1"/>
          <w:szCs w:val="21"/>
        </w:rPr>
        <w:t>服务</w:t>
      </w:r>
      <w:r>
        <w:rPr>
          <w:rFonts w:ascii="Times New Roman" w:hAnsi="Times New Roman" w:eastAsia="宋体" w:cs="Times New Roman"/>
          <w:color w:val="000000" w:themeColor="text1"/>
          <w:szCs w:val="21"/>
        </w:rPr>
        <w:t>结束后，由采购人对中标方开展工作验收考核，就巡检报告的质量及时效性进行评分，考核80分为合格，小于80分为不合格。考核评议表见附表2。</w:t>
      </w:r>
    </w:p>
    <w:p w14:paraId="474571B6">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1、一旦发现</w:t>
      </w:r>
      <w:r>
        <w:rPr>
          <w:rFonts w:ascii="Times New Roman" w:hAnsi="Times New Roman" w:eastAsia="宋体" w:cs="Times New Roman"/>
          <w:color w:val="000000" w:themeColor="text1"/>
          <w:kern w:val="1"/>
          <w:szCs w:val="21"/>
        </w:rPr>
        <w:t>服务</w:t>
      </w:r>
      <w:r>
        <w:rPr>
          <w:rFonts w:ascii="Times New Roman" w:hAnsi="Times New Roman" w:eastAsia="宋体" w:cs="Times New Roman"/>
          <w:color w:val="000000" w:themeColor="text1"/>
          <w:szCs w:val="21"/>
        </w:rPr>
        <w:t>过程中的数据和报告等公开发表或提供给第三方，业主方有权终止合同，并按已支付费用的双倍进行经济处罚。</w:t>
      </w:r>
    </w:p>
    <w:p w14:paraId="7CFA0718">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2、按一年对现场检查的质量及时效性进行考核，其中</w:t>
      </w:r>
    </w:p>
    <w:p w14:paraId="6BB2225D">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（1）考核结果在80分以上，全额支付当年度费用；</w:t>
      </w:r>
    </w:p>
    <w:p w14:paraId="0F6FE35E">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（2）考核结果在70分-79分（含），扣除当年度费用的10%；</w:t>
      </w:r>
    </w:p>
    <w:p w14:paraId="394A5A65">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（3）考核结果在60分-69分（含），扣除当年度费用的30%；</w:t>
      </w:r>
    </w:p>
    <w:p w14:paraId="115E5264">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（4）考核结果在60分以下，扣除当年度费用的50%。</w:t>
      </w:r>
    </w:p>
    <w:p w14:paraId="49E047D8">
      <w:pPr>
        <w:spacing w:line="360" w:lineRule="auto"/>
        <w:jc w:val="left"/>
        <w:rPr>
          <w:rFonts w:ascii="Times New Roman" w:hAnsi="Times New Roman" w:eastAsia="宋体" w:cs="Times New Roman"/>
          <w:b/>
          <w:bCs/>
          <w:color w:val="000000" w:themeColor="text1"/>
          <w:kern w:val="44"/>
          <w:szCs w:val="21"/>
        </w:rPr>
      </w:pPr>
      <w:r>
        <w:rPr>
          <w:rFonts w:ascii="Times New Roman" w:hAnsi="Times New Roman" w:eastAsia="宋体" w:cs="Times New Roman"/>
          <w:b/>
          <w:bCs/>
          <w:color w:val="000000" w:themeColor="text1"/>
          <w:kern w:val="44"/>
          <w:szCs w:val="21"/>
        </w:rPr>
        <w:t>六、付款方式</w:t>
      </w:r>
    </w:p>
    <w:p w14:paraId="6B9E2CE5">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1、合同签订后7个工作日内，支付合同总价的70%作为预付款，服务期满并通过考核，支付合同总价剩余的30%，如有罚款，则在余款中扣除</w:t>
      </w:r>
      <w:r>
        <w:rPr>
          <w:rFonts w:hint="eastAsia" w:ascii="Times New Roman" w:hAnsi="Times New Roman" w:eastAsia="宋体" w:cs="Times New Roman"/>
          <w:color w:val="000000" w:themeColor="text1"/>
          <w:szCs w:val="21"/>
          <w:lang w:eastAsia="zh-CN"/>
        </w:rPr>
        <w:t>，如扣款金额大于余款，不足部分则由中标方补足</w:t>
      </w:r>
      <w:r>
        <w:rPr>
          <w:rFonts w:ascii="Times New Roman" w:hAnsi="Times New Roman" w:eastAsia="宋体" w:cs="Times New Roman"/>
          <w:color w:val="000000" w:themeColor="text1"/>
          <w:szCs w:val="21"/>
        </w:rPr>
        <w:t>。</w:t>
      </w:r>
    </w:p>
    <w:p w14:paraId="6A41E447">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2、付款按财政政策执行，因服务商未按合同履行任务或考核不合格以及不符合财政资金支付时间要求等原因造成不能及时付款的，采购方不承担责任。</w:t>
      </w:r>
    </w:p>
    <w:p w14:paraId="045DC45B">
      <w:pPr>
        <w:spacing w:line="360" w:lineRule="auto"/>
        <w:jc w:val="left"/>
        <w:rPr>
          <w:rFonts w:ascii="Times New Roman" w:hAnsi="Times New Roman" w:eastAsia="宋体" w:cs="Times New Roman"/>
          <w:b/>
          <w:bCs/>
          <w:color w:val="000000" w:themeColor="text1"/>
          <w:kern w:val="44"/>
          <w:szCs w:val="21"/>
        </w:rPr>
      </w:pPr>
      <w:r>
        <w:rPr>
          <w:rFonts w:ascii="Times New Roman" w:hAnsi="Times New Roman" w:eastAsia="宋体" w:cs="Times New Roman"/>
          <w:b/>
          <w:bCs/>
          <w:color w:val="000000" w:themeColor="text1"/>
          <w:kern w:val="44"/>
          <w:szCs w:val="21"/>
        </w:rPr>
        <w:t>七、履约验收</w:t>
      </w:r>
    </w:p>
    <w:p w14:paraId="0E167516">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由招标方组织有关人员进行考核，结合考核情况和服务效果进行验收。</w:t>
      </w:r>
    </w:p>
    <w:p w14:paraId="39885FEC">
      <w:pPr>
        <w:widowControl/>
        <w:jc w:val="left"/>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br w:type="page"/>
      </w:r>
    </w:p>
    <w:p w14:paraId="301B573A">
      <w:pPr>
        <w:spacing w:before="156" w:after="156"/>
        <w:ind w:firstLine="48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附表2</w:t>
      </w:r>
    </w:p>
    <w:p w14:paraId="61057B39">
      <w:pPr>
        <w:spacing w:before="156" w:after="156"/>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舟山市生态大楼站颗粒物组分、光化学仪器质控巡检项目考核评议表</w:t>
      </w:r>
    </w:p>
    <w:tbl>
      <w:tblPr>
        <w:tblStyle w:val="27"/>
        <w:tblW w:w="84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18"/>
        <w:gridCol w:w="4415"/>
        <w:gridCol w:w="868"/>
        <w:gridCol w:w="993"/>
      </w:tblGrid>
      <w:tr w14:paraId="56EAF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30B85BC3">
            <w:pPr>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序号</w:t>
            </w:r>
          </w:p>
        </w:tc>
        <w:tc>
          <w:tcPr>
            <w:tcW w:w="1418" w:type="dxa"/>
            <w:tcBorders>
              <w:top w:val="single" w:color="auto" w:sz="4" w:space="0"/>
              <w:left w:val="nil"/>
              <w:bottom w:val="single" w:color="auto" w:sz="4" w:space="0"/>
              <w:right w:val="single" w:color="auto" w:sz="4" w:space="0"/>
            </w:tcBorders>
            <w:vAlign w:val="center"/>
          </w:tcPr>
          <w:p w14:paraId="7B769247">
            <w:pP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检查项目</w:t>
            </w:r>
          </w:p>
        </w:tc>
        <w:tc>
          <w:tcPr>
            <w:tcW w:w="4415" w:type="dxa"/>
            <w:tcBorders>
              <w:top w:val="single" w:color="auto" w:sz="4" w:space="0"/>
              <w:left w:val="nil"/>
              <w:bottom w:val="single" w:color="auto" w:sz="4" w:space="0"/>
              <w:right w:val="single" w:color="auto" w:sz="4" w:space="0"/>
            </w:tcBorders>
            <w:vAlign w:val="center"/>
          </w:tcPr>
          <w:p w14:paraId="4866432F">
            <w:pP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检查内容</w:t>
            </w:r>
          </w:p>
        </w:tc>
        <w:tc>
          <w:tcPr>
            <w:tcW w:w="868" w:type="dxa"/>
            <w:tcBorders>
              <w:top w:val="single" w:color="auto" w:sz="4" w:space="0"/>
              <w:left w:val="nil"/>
              <w:bottom w:val="single" w:color="auto" w:sz="4" w:space="0"/>
              <w:right w:val="single" w:color="auto" w:sz="4" w:space="0"/>
            </w:tcBorders>
            <w:vAlign w:val="center"/>
          </w:tcPr>
          <w:p w14:paraId="436452BD">
            <w:pPr>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分值</w:t>
            </w:r>
          </w:p>
        </w:tc>
        <w:tc>
          <w:tcPr>
            <w:tcW w:w="993" w:type="dxa"/>
            <w:tcBorders>
              <w:top w:val="single" w:color="auto" w:sz="4" w:space="0"/>
              <w:left w:val="nil"/>
              <w:bottom w:val="single" w:color="auto" w:sz="4" w:space="0"/>
              <w:right w:val="single" w:color="auto" w:sz="4" w:space="0"/>
            </w:tcBorders>
            <w:vAlign w:val="center"/>
          </w:tcPr>
          <w:p w14:paraId="0DC54D02">
            <w:pP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评分</w:t>
            </w:r>
          </w:p>
        </w:tc>
      </w:tr>
      <w:tr w14:paraId="7348CB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77" w:type="dxa"/>
            <w:tcBorders>
              <w:top w:val="nil"/>
              <w:left w:val="single" w:color="auto" w:sz="4" w:space="0"/>
              <w:bottom w:val="single" w:color="auto" w:sz="4" w:space="0"/>
              <w:right w:val="single" w:color="auto" w:sz="4" w:space="0"/>
            </w:tcBorders>
            <w:vAlign w:val="center"/>
          </w:tcPr>
          <w:p w14:paraId="2F1D6BDD">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w:t>
            </w:r>
          </w:p>
        </w:tc>
        <w:tc>
          <w:tcPr>
            <w:tcW w:w="1418" w:type="dxa"/>
            <w:tcBorders>
              <w:top w:val="nil"/>
              <w:left w:val="nil"/>
              <w:bottom w:val="single" w:color="auto" w:sz="4" w:space="0"/>
              <w:right w:val="single" w:color="auto" w:sz="4" w:space="0"/>
            </w:tcBorders>
            <w:vAlign w:val="center"/>
          </w:tcPr>
          <w:p w14:paraId="154611BF">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检查全面性</w:t>
            </w:r>
          </w:p>
        </w:tc>
        <w:tc>
          <w:tcPr>
            <w:tcW w:w="4415" w:type="dxa"/>
            <w:tcBorders>
              <w:top w:val="single" w:color="auto" w:sz="4" w:space="0"/>
              <w:left w:val="nil"/>
              <w:bottom w:val="single" w:color="auto" w:sz="4" w:space="0"/>
              <w:right w:val="single" w:color="auto" w:sz="4" w:space="0"/>
            </w:tcBorders>
            <w:vAlign w:val="center"/>
          </w:tcPr>
          <w:p w14:paraId="64B04130">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现场检查是否涵盖招标要求内容，少一个指标扣2分，扣完为止。</w:t>
            </w:r>
          </w:p>
        </w:tc>
        <w:tc>
          <w:tcPr>
            <w:tcW w:w="868" w:type="dxa"/>
            <w:tcBorders>
              <w:top w:val="single" w:color="auto" w:sz="4" w:space="0"/>
              <w:left w:val="nil"/>
              <w:bottom w:val="single" w:color="auto" w:sz="4" w:space="0"/>
              <w:right w:val="single" w:color="auto" w:sz="4" w:space="0"/>
            </w:tcBorders>
            <w:vAlign w:val="center"/>
          </w:tcPr>
          <w:p w14:paraId="03E648E9">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30</w:t>
            </w:r>
          </w:p>
        </w:tc>
        <w:tc>
          <w:tcPr>
            <w:tcW w:w="993" w:type="dxa"/>
            <w:tcBorders>
              <w:top w:val="single" w:color="auto" w:sz="4" w:space="0"/>
              <w:left w:val="nil"/>
              <w:bottom w:val="single" w:color="auto" w:sz="4" w:space="0"/>
              <w:right w:val="single" w:color="auto" w:sz="4" w:space="0"/>
            </w:tcBorders>
            <w:vAlign w:val="center"/>
          </w:tcPr>
          <w:p w14:paraId="76CFFE25">
            <w:pPr>
              <w:rPr>
                <w:rFonts w:ascii="Times New Roman" w:hAnsi="Times New Roman" w:eastAsia="宋体" w:cs="Times New Roman"/>
                <w:color w:val="000000" w:themeColor="text1"/>
                <w:szCs w:val="21"/>
              </w:rPr>
            </w:pPr>
          </w:p>
        </w:tc>
      </w:tr>
      <w:tr w14:paraId="4B9F61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E284C2A">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p>
        </w:tc>
        <w:tc>
          <w:tcPr>
            <w:tcW w:w="1418" w:type="dxa"/>
            <w:tcBorders>
              <w:top w:val="single" w:color="auto" w:sz="4" w:space="0"/>
              <w:left w:val="nil"/>
              <w:bottom w:val="single" w:color="auto" w:sz="4" w:space="0"/>
              <w:right w:val="single" w:color="auto" w:sz="4" w:space="0"/>
            </w:tcBorders>
            <w:vAlign w:val="center"/>
          </w:tcPr>
          <w:p w14:paraId="11C50A3F">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检查规范性</w:t>
            </w:r>
          </w:p>
        </w:tc>
        <w:tc>
          <w:tcPr>
            <w:tcW w:w="4415" w:type="dxa"/>
            <w:tcBorders>
              <w:top w:val="single" w:color="auto" w:sz="4" w:space="0"/>
              <w:left w:val="nil"/>
              <w:bottom w:val="single" w:color="auto" w:sz="4" w:space="0"/>
              <w:right w:val="single" w:color="auto" w:sz="4" w:space="0"/>
            </w:tcBorders>
            <w:vAlign w:val="center"/>
          </w:tcPr>
          <w:p w14:paraId="6113F949">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现场检查方法和仪器是否符合规范要求，不符合一项扣2分，扣完为止。</w:t>
            </w:r>
          </w:p>
        </w:tc>
        <w:tc>
          <w:tcPr>
            <w:tcW w:w="868" w:type="dxa"/>
            <w:tcBorders>
              <w:top w:val="single" w:color="auto" w:sz="4" w:space="0"/>
              <w:left w:val="nil"/>
              <w:bottom w:val="single" w:color="auto" w:sz="4" w:space="0"/>
              <w:right w:val="single" w:color="auto" w:sz="4" w:space="0"/>
            </w:tcBorders>
            <w:vAlign w:val="center"/>
          </w:tcPr>
          <w:p w14:paraId="563067B6">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30</w:t>
            </w:r>
          </w:p>
        </w:tc>
        <w:tc>
          <w:tcPr>
            <w:tcW w:w="993" w:type="dxa"/>
            <w:tcBorders>
              <w:top w:val="single" w:color="auto" w:sz="4" w:space="0"/>
              <w:left w:val="nil"/>
              <w:bottom w:val="single" w:color="auto" w:sz="4" w:space="0"/>
              <w:right w:val="single" w:color="auto" w:sz="4" w:space="0"/>
            </w:tcBorders>
            <w:vAlign w:val="center"/>
          </w:tcPr>
          <w:p w14:paraId="7E74520B">
            <w:pPr>
              <w:rPr>
                <w:rFonts w:ascii="Times New Roman" w:hAnsi="Times New Roman" w:eastAsia="宋体" w:cs="Times New Roman"/>
                <w:color w:val="000000" w:themeColor="text1"/>
                <w:szCs w:val="21"/>
              </w:rPr>
            </w:pPr>
          </w:p>
        </w:tc>
      </w:tr>
      <w:tr w14:paraId="2D3F1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4C5DE22">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1418" w:type="dxa"/>
            <w:tcBorders>
              <w:top w:val="single" w:color="auto" w:sz="4" w:space="0"/>
              <w:left w:val="nil"/>
              <w:bottom w:val="single" w:color="auto" w:sz="4" w:space="0"/>
              <w:right w:val="single" w:color="auto" w:sz="4" w:space="0"/>
            </w:tcBorders>
            <w:vAlign w:val="center"/>
          </w:tcPr>
          <w:p w14:paraId="7E413E1A">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检查公正性</w:t>
            </w:r>
          </w:p>
        </w:tc>
        <w:tc>
          <w:tcPr>
            <w:tcW w:w="4415" w:type="dxa"/>
            <w:tcBorders>
              <w:top w:val="single" w:color="auto" w:sz="4" w:space="0"/>
              <w:left w:val="nil"/>
              <w:bottom w:val="single" w:color="auto" w:sz="4" w:space="0"/>
              <w:right w:val="single" w:color="auto" w:sz="4" w:space="0"/>
            </w:tcBorders>
            <w:vAlign w:val="center"/>
          </w:tcPr>
          <w:p w14:paraId="171931F5">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检查工作是否公平公正，有数据不真实的，徇私舞弊一处扣除5分，扣完为止。</w:t>
            </w:r>
          </w:p>
        </w:tc>
        <w:tc>
          <w:tcPr>
            <w:tcW w:w="868" w:type="dxa"/>
            <w:tcBorders>
              <w:top w:val="single" w:color="auto" w:sz="4" w:space="0"/>
              <w:left w:val="nil"/>
              <w:bottom w:val="single" w:color="auto" w:sz="4" w:space="0"/>
              <w:right w:val="single" w:color="auto" w:sz="4" w:space="0"/>
            </w:tcBorders>
            <w:vAlign w:val="center"/>
          </w:tcPr>
          <w:p w14:paraId="55E216B8">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10</w:t>
            </w:r>
          </w:p>
        </w:tc>
        <w:tc>
          <w:tcPr>
            <w:tcW w:w="993" w:type="dxa"/>
            <w:tcBorders>
              <w:top w:val="single" w:color="auto" w:sz="4" w:space="0"/>
              <w:left w:val="nil"/>
              <w:bottom w:val="single" w:color="auto" w:sz="4" w:space="0"/>
              <w:right w:val="single" w:color="auto" w:sz="4" w:space="0"/>
            </w:tcBorders>
            <w:vAlign w:val="center"/>
          </w:tcPr>
          <w:p w14:paraId="1957EFB0">
            <w:pPr>
              <w:rPr>
                <w:rFonts w:ascii="Times New Roman" w:hAnsi="Times New Roman" w:eastAsia="宋体" w:cs="Times New Roman"/>
                <w:color w:val="000000" w:themeColor="text1"/>
                <w:szCs w:val="21"/>
              </w:rPr>
            </w:pPr>
          </w:p>
        </w:tc>
      </w:tr>
      <w:tr w14:paraId="631DC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77" w:type="dxa"/>
            <w:tcBorders>
              <w:top w:val="nil"/>
              <w:left w:val="single" w:color="auto" w:sz="4" w:space="0"/>
              <w:bottom w:val="single" w:color="auto" w:sz="4" w:space="0"/>
              <w:right w:val="single" w:color="auto" w:sz="4" w:space="0"/>
            </w:tcBorders>
            <w:vAlign w:val="center"/>
          </w:tcPr>
          <w:p w14:paraId="0055E23A">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4</w:t>
            </w:r>
          </w:p>
        </w:tc>
        <w:tc>
          <w:tcPr>
            <w:tcW w:w="1418" w:type="dxa"/>
            <w:tcBorders>
              <w:top w:val="nil"/>
              <w:left w:val="nil"/>
              <w:bottom w:val="single" w:color="auto" w:sz="4" w:space="0"/>
              <w:right w:val="single" w:color="auto" w:sz="4" w:space="0"/>
            </w:tcBorders>
            <w:vAlign w:val="center"/>
          </w:tcPr>
          <w:p w14:paraId="4E829D1C">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报告及时性</w:t>
            </w:r>
          </w:p>
        </w:tc>
        <w:tc>
          <w:tcPr>
            <w:tcW w:w="4415" w:type="dxa"/>
            <w:tcBorders>
              <w:top w:val="single" w:color="auto" w:sz="4" w:space="0"/>
              <w:left w:val="nil"/>
              <w:bottom w:val="single" w:color="auto" w:sz="4" w:space="0"/>
              <w:right w:val="single" w:color="auto" w:sz="4" w:space="0"/>
            </w:tcBorders>
            <w:vAlign w:val="center"/>
          </w:tcPr>
          <w:p w14:paraId="118A757F">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根据检查报告要求，未经采购方同意延迟提交的，延迟扣10分。</w:t>
            </w:r>
          </w:p>
        </w:tc>
        <w:tc>
          <w:tcPr>
            <w:tcW w:w="868" w:type="dxa"/>
            <w:tcBorders>
              <w:top w:val="single" w:color="auto" w:sz="4" w:space="0"/>
              <w:left w:val="nil"/>
              <w:bottom w:val="single" w:color="auto" w:sz="4" w:space="0"/>
              <w:right w:val="single" w:color="auto" w:sz="4" w:space="0"/>
            </w:tcBorders>
            <w:vAlign w:val="center"/>
          </w:tcPr>
          <w:p w14:paraId="5261332F">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10</w:t>
            </w:r>
          </w:p>
        </w:tc>
        <w:tc>
          <w:tcPr>
            <w:tcW w:w="993" w:type="dxa"/>
            <w:tcBorders>
              <w:top w:val="single" w:color="auto" w:sz="4" w:space="0"/>
              <w:left w:val="nil"/>
              <w:bottom w:val="single" w:color="auto" w:sz="4" w:space="0"/>
              <w:right w:val="single" w:color="auto" w:sz="4" w:space="0"/>
            </w:tcBorders>
            <w:vAlign w:val="center"/>
          </w:tcPr>
          <w:p w14:paraId="315E684F">
            <w:pPr>
              <w:rPr>
                <w:rFonts w:ascii="Times New Roman" w:hAnsi="Times New Roman" w:eastAsia="宋体" w:cs="Times New Roman"/>
                <w:color w:val="000000" w:themeColor="text1"/>
                <w:szCs w:val="21"/>
              </w:rPr>
            </w:pPr>
          </w:p>
        </w:tc>
      </w:tr>
      <w:tr w14:paraId="64926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FFB8C4E">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1418" w:type="dxa"/>
            <w:tcBorders>
              <w:top w:val="single" w:color="auto" w:sz="4" w:space="0"/>
              <w:left w:val="nil"/>
              <w:bottom w:val="single" w:color="auto" w:sz="4" w:space="0"/>
              <w:right w:val="single" w:color="auto" w:sz="4" w:space="0"/>
            </w:tcBorders>
            <w:vAlign w:val="center"/>
          </w:tcPr>
          <w:p w14:paraId="255BFACE">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报告质量</w:t>
            </w:r>
          </w:p>
        </w:tc>
        <w:tc>
          <w:tcPr>
            <w:tcW w:w="4415" w:type="dxa"/>
            <w:tcBorders>
              <w:top w:val="single" w:color="auto" w:sz="4" w:space="0"/>
              <w:left w:val="nil"/>
              <w:bottom w:val="single" w:color="auto" w:sz="4" w:space="0"/>
              <w:right w:val="single" w:color="auto" w:sz="4" w:space="0"/>
            </w:tcBorders>
            <w:vAlign w:val="center"/>
          </w:tcPr>
          <w:p w14:paraId="05F284C2">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供应商未认真履行合同要求，经采购方综合评估，提交的报告质量低劣，结论明显错误，每项扣5分，扣完为止。</w:t>
            </w:r>
          </w:p>
        </w:tc>
        <w:tc>
          <w:tcPr>
            <w:tcW w:w="868" w:type="dxa"/>
            <w:tcBorders>
              <w:top w:val="single" w:color="auto" w:sz="4" w:space="0"/>
              <w:left w:val="nil"/>
              <w:bottom w:val="single" w:color="auto" w:sz="4" w:space="0"/>
              <w:right w:val="single" w:color="auto" w:sz="4" w:space="0"/>
            </w:tcBorders>
            <w:vAlign w:val="center"/>
          </w:tcPr>
          <w:p w14:paraId="5BD410BD">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20</w:t>
            </w:r>
          </w:p>
        </w:tc>
        <w:tc>
          <w:tcPr>
            <w:tcW w:w="993" w:type="dxa"/>
            <w:tcBorders>
              <w:top w:val="single" w:color="auto" w:sz="4" w:space="0"/>
              <w:left w:val="nil"/>
              <w:bottom w:val="single" w:color="auto" w:sz="4" w:space="0"/>
              <w:right w:val="single" w:color="auto" w:sz="4" w:space="0"/>
            </w:tcBorders>
            <w:vAlign w:val="center"/>
          </w:tcPr>
          <w:p w14:paraId="504F239A">
            <w:pPr>
              <w:rPr>
                <w:rFonts w:ascii="Times New Roman" w:hAnsi="Times New Roman" w:eastAsia="宋体" w:cs="Times New Roman"/>
                <w:color w:val="000000" w:themeColor="text1"/>
                <w:szCs w:val="21"/>
              </w:rPr>
            </w:pPr>
          </w:p>
        </w:tc>
      </w:tr>
      <w:tr w14:paraId="320B9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95" w:type="dxa"/>
            <w:gridSpan w:val="2"/>
            <w:tcBorders>
              <w:top w:val="single" w:color="auto" w:sz="4" w:space="0"/>
              <w:left w:val="single" w:color="auto" w:sz="4" w:space="0"/>
              <w:bottom w:val="single" w:color="auto" w:sz="4" w:space="0"/>
              <w:right w:val="single" w:color="auto" w:sz="4" w:space="0"/>
            </w:tcBorders>
            <w:vAlign w:val="center"/>
          </w:tcPr>
          <w:p w14:paraId="4582C2C3">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备注</w:t>
            </w:r>
          </w:p>
        </w:tc>
        <w:tc>
          <w:tcPr>
            <w:tcW w:w="6276" w:type="dxa"/>
            <w:gridSpan w:val="3"/>
            <w:tcBorders>
              <w:top w:val="single" w:color="auto" w:sz="4" w:space="0"/>
              <w:left w:val="nil"/>
              <w:bottom w:val="single" w:color="auto" w:sz="4" w:space="0"/>
              <w:right w:val="single" w:color="auto" w:sz="4" w:space="0"/>
            </w:tcBorders>
            <w:vAlign w:val="center"/>
          </w:tcPr>
          <w:p w14:paraId="61FFF859">
            <w:pPr>
              <w:jc w:val="center"/>
              <w:rPr>
                <w:rFonts w:ascii="Times New Roman" w:hAnsi="Times New Roman" w:eastAsia="宋体" w:cs="Times New Roman"/>
                <w:color w:val="000000" w:themeColor="text1"/>
                <w:szCs w:val="21"/>
              </w:rPr>
            </w:pPr>
          </w:p>
        </w:tc>
      </w:tr>
    </w:tbl>
    <w:p w14:paraId="5F637C24">
      <w:pPr>
        <w:widowControl/>
        <w:jc w:val="left"/>
        <w:rPr>
          <w:rFonts w:ascii="Times New Roman" w:hAnsi="Times New Roman" w:eastAsia="宋体" w:cs="Times New Roman"/>
          <w:b/>
          <w:bCs/>
          <w:color w:val="000000" w:themeColor="text1"/>
          <w:szCs w:val="21"/>
        </w:rPr>
      </w:pPr>
    </w:p>
    <w:p w14:paraId="05F3C67B">
      <w:pPr>
        <w:pStyle w:val="2"/>
        <w:rPr>
          <w:rFonts w:ascii="Times New Roman" w:hAnsi="Times New Roman" w:eastAsia="宋体" w:cs="Times New Roman"/>
          <w:b/>
          <w:bCs/>
          <w:color w:val="000000" w:themeColor="text1"/>
          <w:szCs w:val="21"/>
        </w:rPr>
      </w:pPr>
    </w:p>
    <w:p w14:paraId="7AE87E28">
      <w:pPr>
        <w:rPr>
          <w:rFonts w:ascii="Times New Roman" w:hAnsi="Times New Roman" w:eastAsia="宋体" w:cs="Times New Roman"/>
          <w:b/>
          <w:bCs/>
          <w:color w:val="000000" w:themeColor="text1"/>
          <w:szCs w:val="21"/>
        </w:rPr>
      </w:pPr>
    </w:p>
    <w:p w14:paraId="6E34E93C">
      <w:pPr>
        <w:pStyle w:val="2"/>
        <w:rPr>
          <w:rFonts w:ascii="Times New Roman" w:hAnsi="Times New Roman" w:eastAsia="宋体" w:cs="Times New Roman"/>
          <w:b/>
          <w:bCs/>
          <w:color w:val="000000" w:themeColor="text1"/>
          <w:szCs w:val="21"/>
        </w:rPr>
      </w:pPr>
    </w:p>
    <w:p w14:paraId="44E243D5">
      <w:pPr>
        <w:rPr>
          <w:rFonts w:ascii="Times New Roman" w:hAnsi="Times New Roman" w:eastAsia="宋体" w:cs="Times New Roman"/>
          <w:b/>
          <w:bCs/>
          <w:color w:val="000000" w:themeColor="text1"/>
          <w:szCs w:val="21"/>
        </w:rPr>
      </w:pPr>
    </w:p>
    <w:p w14:paraId="09161398">
      <w:pPr>
        <w:pStyle w:val="2"/>
        <w:rPr>
          <w:rFonts w:ascii="Times New Roman" w:hAnsi="Times New Roman" w:eastAsia="宋体" w:cs="Times New Roman"/>
          <w:b/>
          <w:bCs/>
          <w:color w:val="000000" w:themeColor="text1"/>
          <w:szCs w:val="21"/>
        </w:rPr>
      </w:pPr>
    </w:p>
    <w:p w14:paraId="0FBE6F16">
      <w:pPr>
        <w:rPr>
          <w:rFonts w:ascii="Times New Roman" w:hAnsi="Times New Roman" w:eastAsia="宋体" w:cs="Times New Roman"/>
          <w:b/>
          <w:bCs/>
          <w:color w:val="000000" w:themeColor="text1"/>
          <w:szCs w:val="21"/>
        </w:rPr>
      </w:pPr>
    </w:p>
    <w:p w14:paraId="0CA14326">
      <w:pPr>
        <w:pStyle w:val="2"/>
        <w:rPr>
          <w:rFonts w:ascii="Times New Roman" w:hAnsi="Times New Roman" w:eastAsia="宋体" w:cs="Times New Roman"/>
          <w:b/>
          <w:bCs/>
          <w:color w:val="000000" w:themeColor="text1"/>
          <w:szCs w:val="21"/>
        </w:rPr>
      </w:pPr>
    </w:p>
    <w:p w14:paraId="1ADF4E3A">
      <w:pPr>
        <w:rPr>
          <w:rFonts w:ascii="Times New Roman" w:hAnsi="Times New Roman" w:eastAsia="宋体" w:cs="Times New Roman"/>
          <w:b/>
          <w:bCs/>
          <w:color w:val="000000" w:themeColor="text1"/>
          <w:szCs w:val="21"/>
        </w:rPr>
      </w:pPr>
    </w:p>
    <w:p w14:paraId="07DEE56F">
      <w:pPr>
        <w:pStyle w:val="2"/>
        <w:rPr>
          <w:rFonts w:ascii="Times New Roman" w:hAnsi="Times New Roman" w:eastAsia="宋体" w:cs="Times New Roman"/>
          <w:b/>
          <w:bCs/>
          <w:color w:val="000000" w:themeColor="text1"/>
          <w:szCs w:val="21"/>
        </w:rPr>
      </w:pPr>
    </w:p>
    <w:p w14:paraId="156899DF">
      <w:pPr>
        <w:rPr>
          <w:rFonts w:ascii="Times New Roman" w:hAnsi="Times New Roman" w:eastAsia="宋体" w:cs="Times New Roman"/>
          <w:b/>
          <w:bCs/>
          <w:color w:val="000000" w:themeColor="text1"/>
          <w:szCs w:val="21"/>
        </w:rPr>
      </w:pPr>
    </w:p>
    <w:p w14:paraId="69B941B5">
      <w:pPr>
        <w:pStyle w:val="2"/>
        <w:rPr>
          <w:rFonts w:ascii="Times New Roman" w:hAnsi="Times New Roman" w:eastAsia="宋体" w:cs="Times New Roman"/>
          <w:b/>
          <w:bCs/>
          <w:color w:val="000000" w:themeColor="text1"/>
          <w:szCs w:val="21"/>
        </w:rPr>
      </w:pPr>
    </w:p>
    <w:p w14:paraId="255A2F1E">
      <w:pPr>
        <w:rPr>
          <w:rFonts w:ascii="Times New Roman" w:hAnsi="Times New Roman" w:eastAsia="宋体" w:cs="Times New Roman"/>
          <w:b/>
          <w:bCs/>
          <w:color w:val="000000" w:themeColor="text1"/>
          <w:szCs w:val="21"/>
        </w:rPr>
      </w:pPr>
    </w:p>
    <w:p w14:paraId="66FF3FF1">
      <w:pPr>
        <w:pStyle w:val="2"/>
        <w:rPr>
          <w:color w:val="000000" w:themeColor="text1"/>
        </w:rPr>
      </w:pPr>
    </w:p>
    <w:p w14:paraId="5F215CBF">
      <w:pPr>
        <w:pStyle w:val="21"/>
        <w:rPr>
          <w:color w:val="000000" w:themeColor="text1"/>
        </w:rPr>
      </w:pPr>
    </w:p>
    <w:p w14:paraId="6AA46B85">
      <w:pPr>
        <w:spacing w:line="360" w:lineRule="auto"/>
        <w:jc w:val="center"/>
        <w:rPr>
          <w:rFonts w:ascii="Times New Roman" w:hAnsi="Times New Roman" w:cs="Times New Roman"/>
          <w:b/>
          <w:bCs/>
          <w:color w:val="000000" w:themeColor="text1"/>
          <w:spacing w:val="12"/>
          <w:sz w:val="40"/>
          <w:szCs w:val="40"/>
        </w:rPr>
      </w:pPr>
      <w:r>
        <w:rPr>
          <w:rFonts w:ascii="Times New Roman" w:hAnsi="Times New Roman" w:cs="Times New Roman"/>
          <w:b/>
          <w:bCs/>
          <w:color w:val="000000" w:themeColor="text1"/>
          <w:sz w:val="30"/>
          <w:szCs w:val="30"/>
        </w:rPr>
        <w:t>第三章供应商须知</w:t>
      </w:r>
    </w:p>
    <w:p w14:paraId="6F4BB3AC">
      <w:pPr>
        <w:spacing w:line="360" w:lineRule="auto"/>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前附表</w:t>
      </w:r>
    </w:p>
    <w:tbl>
      <w:tblPr>
        <w:tblStyle w:val="27"/>
        <w:tblW w:w="929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0"/>
        <w:gridCol w:w="1435"/>
        <w:gridCol w:w="3586"/>
        <w:gridCol w:w="1134"/>
        <w:gridCol w:w="19"/>
        <w:gridCol w:w="2555"/>
      </w:tblGrid>
      <w:tr w14:paraId="21B9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blCellSpacing w:w="7" w:type="dxa"/>
          <w:jc w:val="center"/>
        </w:trPr>
        <w:tc>
          <w:tcPr>
            <w:tcW w:w="549" w:type="dxa"/>
            <w:shd w:val="clear" w:color="auto" w:fill="E0E0E0"/>
            <w:vAlign w:val="center"/>
          </w:tcPr>
          <w:p w14:paraId="3981AE53">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序号</w:t>
            </w:r>
          </w:p>
        </w:tc>
        <w:tc>
          <w:tcPr>
            <w:tcW w:w="8708" w:type="dxa"/>
            <w:gridSpan w:val="5"/>
            <w:shd w:val="clear" w:color="auto" w:fill="E0E0E0"/>
            <w:vAlign w:val="center"/>
          </w:tcPr>
          <w:p w14:paraId="1A0B2F7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内容说明及要求</w:t>
            </w:r>
          </w:p>
        </w:tc>
      </w:tr>
      <w:tr w14:paraId="0790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2A4DD4E4">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w:t>
            </w:r>
          </w:p>
        </w:tc>
        <w:tc>
          <w:tcPr>
            <w:tcW w:w="1421" w:type="dxa"/>
            <w:shd w:val="clear" w:color="auto" w:fill="E0E0E0"/>
            <w:vAlign w:val="center"/>
          </w:tcPr>
          <w:p w14:paraId="3F9463CB">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项目名称</w:t>
            </w:r>
          </w:p>
        </w:tc>
        <w:tc>
          <w:tcPr>
            <w:tcW w:w="3572" w:type="dxa"/>
            <w:shd w:val="clear" w:color="auto" w:fill="FFFFFF"/>
            <w:vAlign w:val="center"/>
          </w:tcPr>
          <w:p w14:paraId="51913771">
            <w:pPr>
              <w:spacing w:before="100" w:beforeAutospacing="1" w:after="100" w:afterAutospacing="1" w:line="360" w:lineRule="exact"/>
              <w:rPr>
                <w:rFonts w:hint="eastAsia" w:ascii="Times New Roman" w:hAnsi="Times New Roman" w:eastAsia="宋体" w:cs="Times New Roman"/>
                <w:color w:val="000000" w:themeColor="text1"/>
                <w:kern w:val="0"/>
                <w:lang w:eastAsia="zh-CN"/>
              </w:rPr>
            </w:pPr>
            <w:r>
              <w:rPr>
                <w:rFonts w:hint="eastAsia" w:ascii="Times New Roman" w:hAnsi="Times New Roman" w:cs="Times New Roman"/>
                <w:color w:val="000000" w:themeColor="text1"/>
                <w:shd w:val="clear" w:color="auto" w:fill="FFFFFF"/>
                <w:lang w:eastAsia="zh-CN"/>
              </w:rPr>
              <w:t>2025年度舟山生态大楼颗粒物组分站运维及颗粒物组分站、光化学站质控巡检项目</w:t>
            </w:r>
          </w:p>
        </w:tc>
        <w:tc>
          <w:tcPr>
            <w:tcW w:w="1120" w:type="dxa"/>
            <w:shd w:val="clear" w:color="auto" w:fill="E0E0E0"/>
            <w:vAlign w:val="center"/>
          </w:tcPr>
          <w:p w14:paraId="44BFFBA5">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采购编号</w:t>
            </w:r>
          </w:p>
        </w:tc>
        <w:tc>
          <w:tcPr>
            <w:tcW w:w="2553" w:type="dxa"/>
            <w:gridSpan w:val="2"/>
            <w:shd w:val="clear" w:color="auto" w:fill="FFFFFF"/>
            <w:vAlign w:val="center"/>
          </w:tcPr>
          <w:p w14:paraId="0E58B444">
            <w:pPr>
              <w:spacing w:before="100" w:beforeAutospacing="1" w:after="100" w:afterAutospacing="1" w:line="360" w:lineRule="exact"/>
              <w:rPr>
                <w:rFonts w:hint="eastAsia" w:ascii="Times New Roman" w:hAnsi="Times New Roman" w:eastAsia="宋体" w:cs="Times New Roman"/>
                <w:color w:val="000000" w:themeColor="text1"/>
                <w:lang w:eastAsia="zh-CN"/>
              </w:rPr>
            </w:pPr>
            <w:r>
              <w:rPr>
                <w:rFonts w:hint="eastAsia" w:ascii="Times New Roman" w:hAnsi="Times New Roman" w:cs="Times New Roman"/>
                <w:color w:val="000000" w:themeColor="text1"/>
                <w:lang w:eastAsia="zh-CN"/>
              </w:rPr>
              <w:t>ZHCG2025-16</w:t>
            </w:r>
          </w:p>
        </w:tc>
      </w:tr>
      <w:tr w14:paraId="2473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7D5767A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c>
          <w:tcPr>
            <w:tcW w:w="1421" w:type="dxa"/>
            <w:shd w:val="clear" w:color="auto" w:fill="E0E0E0"/>
            <w:vAlign w:val="center"/>
          </w:tcPr>
          <w:p w14:paraId="694CCE9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采购内容</w:t>
            </w:r>
          </w:p>
        </w:tc>
        <w:tc>
          <w:tcPr>
            <w:tcW w:w="3572" w:type="dxa"/>
            <w:shd w:val="clear" w:color="auto" w:fill="FFFFFF"/>
            <w:vAlign w:val="center"/>
          </w:tcPr>
          <w:p w14:paraId="258745DB">
            <w:pPr>
              <w:spacing w:before="100" w:beforeAutospacing="1" w:after="100" w:afterAutospacing="1" w:line="360" w:lineRule="exact"/>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详见第二章采购需求</w:t>
            </w:r>
          </w:p>
        </w:tc>
        <w:tc>
          <w:tcPr>
            <w:tcW w:w="1139" w:type="dxa"/>
            <w:gridSpan w:val="2"/>
            <w:shd w:val="clear" w:color="auto" w:fill="FFFFFF"/>
            <w:vAlign w:val="center"/>
          </w:tcPr>
          <w:p w14:paraId="26E0229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资金来源</w:t>
            </w:r>
          </w:p>
        </w:tc>
        <w:tc>
          <w:tcPr>
            <w:tcW w:w="2534" w:type="dxa"/>
            <w:shd w:val="clear" w:color="auto" w:fill="FFFFFF"/>
            <w:vAlign w:val="center"/>
          </w:tcPr>
          <w:p w14:paraId="098EC28B">
            <w:pPr>
              <w:spacing w:before="100" w:beforeAutospacing="1" w:after="100" w:afterAutospacing="1" w:line="360" w:lineRule="exact"/>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财政性资金</w:t>
            </w:r>
          </w:p>
        </w:tc>
      </w:tr>
      <w:tr w14:paraId="496E5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21FE7F84">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3</w:t>
            </w:r>
          </w:p>
        </w:tc>
        <w:tc>
          <w:tcPr>
            <w:tcW w:w="1421" w:type="dxa"/>
            <w:shd w:val="clear" w:color="auto" w:fill="E0E0E0"/>
            <w:vAlign w:val="center"/>
          </w:tcPr>
          <w:p w14:paraId="6E339449">
            <w:pPr>
              <w:spacing w:before="100" w:beforeAutospacing="1" w:after="100" w:afterAutospacing="1" w:line="360" w:lineRule="exact"/>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项目预算</w:t>
            </w:r>
          </w:p>
        </w:tc>
        <w:tc>
          <w:tcPr>
            <w:tcW w:w="7273" w:type="dxa"/>
            <w:gridSpan w:val="4"/>
            <w:shd w:val="clear" w:color="auto" w:fill="FFFFFF"/>
            <w:vAlign w:val="center"/>
          </w:tcPr>
          <w:p w14:paraId="234BC988">
            <w:pPr>
              <w:spacing w:before="100" w:beforeAutospacing="1" w:after="100" w:afterAutospacing="1" w:line="360" w:lineRule="exact"/>
              <w:rPr>
                <w:rFonts w:ascii="Times New Roman" w:hAnsi="Times New Roman" w:cs="Times New Roman"/>
                <w:color w:val="000000" w:themeColor="text1"/>
                <w:kern w:val="0"/>
                <w:highlight w:val="none"/>
              </w:rPr>
            </w:pPr>
            <w:r>
              <w:rPr>
                <w:rFonts w:hint="eastAsia" w:ascii="Times New Roman" w:hAnsi="Times New Roman" w:cs="Times New Roman"/>
                <w:color w:val="000000" w:themeColor="text1"/>
                <w:sz w:val="21"/>
                <w:szCs w:val="21"/>
                <w:highlight w:val="none"/>
              </w:rPr>
              <w:t>标项1：</w:t>
            </w:r>
            <w:r>
              <w:rPr>
                <w:rFonts w:hint="eastAsia" w:ascii="Times New Roman" w:hAnsi="Times New Roman" w:cs="Times New Roman"/>
                <w:color w:val="000000" w:themeColor="text1"/>
                <w:sz w:val="21"/>
                <w:szCs w:val="21"/>
                <w:highlight w:val="none"/>
                <w:lang w:val="en-US" w:eastAsia="zh-CN"/>
              </w:rPr>
              <w:t>68万元</w:t>
            </w:r>
            <w:r>
              <w:rPr>
                <w:rFonts w:hint="eastAsia" w:ascii="Times New Roman" w:hAnsi="Times New Roman" w:cs="Times New Roman"/>
                <w:color w:val="000000" w:themeColor="text1"/>
                <w:sz w:val="21"/>
                <w:szCs w:val="21"/>
                <w:highlight w:val="none"/>
              </w:rPr>
              <w:t>，标项2：</w:t>
            </w:r>
            <w:r>
              <w:rPr>
                <w:rFonts w:hint="eastAsia" w:ascii="Times New Roman" w:hAnsi="Times New Roman" w:cs="Times New Roman"/>
                <w:color w:val="000000" w:themeColor="text1"/>
                <w:sz w:val="21"/>
                <w:szCs w:val="21"/>
                <w:highlight w:val="none"/>
                <w:lang w:val="en-US" w:eastAsia="zh-CN"/>
              </w:rPr>
              <w:t>10万元。</w:t>
            </w:r>
            <w:r>
              <w:rPr>
                <w:rFonts w:hint="eastAsia" w:ascii="Times New Roman" w:hAnsi="Times New Roman" w:cs="Times New Roman"/>
                <w:color w:val="000000" w:themeColor="text1"/>
                <w:sz w:val="21"/>
                <w:szCs w:val="21"/>
                <w:highlight w:val="none"/>
              </w:rPr>
              <w:t> </w:t>
            </w:r>
          </w:p>
        </w:tc>
      </w:tr>
      <w:tr w14:paraId="0762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3" w:hRule="atLeast"/>
          <w:tblCellSpacing w:w="7" w:type="dxa"/>
          <w:jc w:val="center"/>
        </w:trPr>
        <w:tc>
          <w:tcPr>
            <w:tcW w:w="549" w:type="dxa"/>
            <w:shd w:val="clear" w:color="auto" w:fill="E0E0E0"/>
            <w:vAlign w:val="center"/>
          </w:tcPr>
          <w:p w14:paraId="22B56FE2">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4</w:t>
            </w:r>
          </w:p>
        </w:tc>
        <w:tc>
          <w:tcPr>
            <w:tcW w:w="1421" w:type="dxa"/>
            <w:shd w:val="clear" w:color="auto" w:fill="E0E0E0"/>
            <w:vAlign w:val="center"/>
          </w:tcPr>
          <w:p w14:paraId="4726638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踏勘现场</w:t>
            </w:r>
          </w:p>
        </w:tc>
        <w:tc>
          <w:tcPr>
            <w:tcW w:w="7273" w:type="dxa"/>
            <w:gridSpan w:val="4"/>
            <w:shd w:val="clear" w:color="auto" w:fill="FFFFFF"/>
            <w:vAlign w:val="center"/>
          </w:tcPr>
          <w:p w14:paraId="5CBCF1B2">
            <w:pPr>
              <w:spacing w:before="100" w:beforeAutospacing="1" w:after="100" w:afterAutospacing="1" w:line="360" w:lineRule="exact"/>
              <w:jc w:val="left"/>
              <w:rPr>
                <w:rFonts w:ascii="Times New Roman" w:hAnsi="Times New Roman" w:cs="Times New Roman"/>
                <w:bCs/>
                <w:color w:val="000000" w:themeColor="text1"/>
              </w:rPr>
            </w:pPr>
            <w:r>
              <w:rPr>
                <w:rFonts w:ascii="Times New Roman" w:hAnsi="Times New Roman" w:cs="Times New Roman"/>
                <w:bCs/>
                <w:color w:val="000000" w:themeColor="text1"/>
              </w:rPr>
              <w:t>代理机构不组织踏勘，如供应商需进行现场踏勘的，须跟采购人进行协商。但供应商不得因此使采购人承担有关责任和蒙受损失，投标人应承担踏勘现场的责任和风险。</w:t>
            </w:r>
          </w:p>
        </w:tc>
      </w:tr>
      <w:tr w14:paraId="4742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06D16E7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5</w:t>
            </w:r>
          </w:p>
        </w:tc>
        <w:tc>
          <w:tcPr>
            <w:tcW w:w="1421" w:type="dxa"/>
            <w:shd w:val="clear" w:color="auto" w:fill="E0E0E0"/>
            <w:vAlign w:val="center"/>
          </w:tcPr>
          <w:p w14:paraId="1DDBF674">
            <w:pPr>
              <w:spacing w:before="100" w:beforeAutospacing="1" w:after="100" w:afterAutospacing="1" w:line="360" w:lineRule="exact"/>
              <w:jc w:val="center"/>
              <w:rPr>
                <w:rFonts w:ascii="Times New Roman" w:hAnsi="Times New Roman" w:cs="Times New Roman"/>
                <w:color w:val="000000" w:themeColor="text1"/>
              </w:rPr>
            </w:pPr>
            <w:r>
              <w:rPr>
                <w:rFonts w:ascii="Times New Roman" w:hAnsi="Times New Roman" w:cs="Times New Roman"/>
                <w:b/>
                <w:color w:val="000000" w:themeColor="text1"/>
              </w:rPr>
              <w:t>服务期限</w:t>
            </w:r>
          </w:p>
        </w:tc>
        <w:tc>
          <w:tcPr>
            <w:tcW w:w="7273" w:type="dxa"/>
            <w:gridSpan w:val="4"/>
            <w:shd w:val="clear" w:color="auto" w:fill="FFFFFF"/>
            <w:vAlign w:val="center"/>
          </w:tcPr>
          <w:p w14:paraId="7E817C23">
            <w:pPr>
              <w:spacing w:before="100" w:beforeAutospacing="1" w:after="100" w:afterAutospacing="1" w:line="240" w:lineRule="auto"/>
              <w:jc w:val="left"/>
              <w:rPr>
                <w:rFonts w:ascii="Times New Roman" w:hAnsi="Times New Roman" w:cs="Times New Roman"/>
                <w:bCs/>
                <w:color w:val="000000" w:themeColor="text1"/>
              </w:rPr>
            </w:pPr>
            <w:r>
              <w:rPr>
                <w:rFonts w:hint="default" w:ascii="Times New Roman" w:hAnsi="Times New Roman" w:cs="Times New Roman"/>
                <w:b/>
                <w:bCs w:val="0"/>
                <w:color w:val="000000" w:themeColor="text1"/>
                <w:sz w:val="21"/>
                <w:szCs w:val="21"/>
                <w:highlight w:val="none"/>
              </w:rPr>
              <w:t>标项 1</w:t>
            </w:r>
            <w:r>
              <w:rPr>
                <w:rFonts w:hint="eastAsia" w:ascii="Times New Roman" w:hAnsi="Times New Roman" w:cs="Times New Roman"/>
                <w:b/>
                <w:bCs w:val="0"/>
                <w:color w:val="000000" w:themeColor="text1"/>
                <w:sz w:val="21"/>
                <w:szCs w:val="21"/>
                <w:highlight w:val="none"/>
                <w:lang w:eastAsia="zh-CN"/>
              </w:rPr>
              <w:t>、</w:t>
            </w:r>
            <w:r>
              <w:rPr>
                <w:rFonts w:hint="default" w:ascii="Times New Roman" w:hAnsi="Times New Roman" w:cs="Times New Roman"/>
                <w:b/>
                <w:bCs w:val="0"/>
                <w:color w:val="000000" w:themeColor="text1"/>
                <w:sz w:val="21"/>
                <w:szCs w:val="21"/>
                <w:highlight w:val="none"/>
              </w:rPr>
              <w:t xml:space="preserve">标项 </w:t>
            </w:r>
            <w:r>
              <w:rPr>
                <w:rFonts w:hint="default" w:ascii="Times New Roman" w:hAnsi="Times New Roman" w:cs="Times New Roman"/>
                <w:b/>
                <w:bCs w:val="0"/>
                <w:color w:val="000000" w:themeColor="text1"/>
                <w:sz w:val="21"/>
                <w:szCs w:val="21"/>
                <w:highlight w:val="none"/>
                <w:lang w:val="en-US" w:eastAsia="zh-CN"/>
              </w:rPr>
              <w:t>2</w:t>
            </w:r>
            <w:r>
              <w:rPr>
                <w:rFonts w:hint="default" w:ascii="Times New Roman" w:hAnsi="Times New Roman" w:cs="Times New Roman"/>
                <w:b/>
                <w:bCs w:val="0"/>
                <w:color w:val="000000" w:themeColor="text1"/>
                <w:sz w:val="21"/>
                <w:szCs w:val="21"/>
                <w:highlight w:val="none"/>
                <w:lang w:eastAsia="zh-CN"/>
              </w:rPr>
              <w:t>：</w:t>
            </w:r>
            <w:r>
              <w:rPr>
                <w:rFonts w:hint="eastAsia" w:ascii="Times New Roman" w:hAnsi="Times New Roman" w:cs="Times New Roman"/>
                <w:bCs/>
                <w:color w:val="000000" w:themeColor="text1"/>
                <w:szCs w:val="21"/>
                <w:lang w:eastAsia="zh-CN"/>
              </w:rPr>
              <w:t>2025年8月1日至2026年7月31日，为期12个月。</w:t>
            </w:r>
          </w:p>
        </w:tc>
      </w:tr>
      <w:tr w14:paraId="4ACF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714E417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6</w:t>
            </w:r>
          </w:p>
        </w:tc>
        <w:tc>
          <w:tcPr>
            <w:tcW w:w="1421" w:type="dxa"/>
            <w:shd w:val="clear" w:color="auto" w:fill="E0E0E0"/>
            <w:vAlign w:val="center"/>
          </w:tcPr>
          <w:p w14:paraId="2A5DB8E4">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投标有效期</w:t>
            </w:r>
          </w:p>
        </w:tc>
        <w:tc>
          <w:tcPr>
            <w:tcW w:w="7273" w:type="dxa"/>
            <w:gridSpan w:val="4"/>
            <w:shd w:val="clear" w:color="auto" w:fill="FFFFFF"/>
            <w:vAlign w:val="center"/>
          </w:tcPr>
          <w:p w14:paraId="0C79C728">
            <w:pPr>
              <w:spacing w:before="100" w:beforeAutospacing="1" w:after="100" w:afterAutospacing="1" w:line="360" w:lineRule="exact"/>
              <w:rPr>
                <w:rFonts w:ascii="Times New Roman" w:hAnsi="Times New Roman" w:cs="Times New Roman"/>
                <w:color w:val="000000" w:themeColor="text1"/>
              </w:rPr>
            </w:pPr>
            <w:r>
              <w:rPr>
                <w:rFonts w:ascii="Times New Roman" w:hAnsi="Times New Roman" w:cs="Times New Roman"/>
                <w:color w:val="000000" w:themeColor="text1"/>
              </w:rPr>
              <w:t>90日历天。（从开标截止之日起）。</w:t>
            </w:r>
          </w:p>
        </w:tc>
      </w:tr>
      <w:tr w14:paraId="1DE7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blCellSpacing w:w="7" w:type="dxa"/>
          <w:jc w:val="center"/>
        </w:trPr>
        <w:tc>
          <w:tcPr>
            <w:tcW w:w="549" w:type="dxa"/>
            <w:shd w:val="clear" w:color="auto" w:fill="E0E0E0"/>
            <w:vAlign w:val="center"/>
          </w:tcPr>
          <w:p w14:paraId="37149FC8">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7</w:t>
            </w:r>
          </w:p>
        </w:tc>
        <w:tc>
          <w:tcPr>
            <w:tcW w:w="1421" w:type="dxa"/>
            <w:shd w:val="clear" w:color="auto" w:fill="E0E0E0"/>
            <w:vAlign w:val="center"/>
          </w:tcPr>
          <w:p w14:paraId="56EA9DB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评标办法</w:t>
            </w:r>
          </w:p>
        </w:tc>
        <w:tc>
          <w:tcPr>
            <w:tcW w:w="7273" w:type="dxa"/>
            <w:gridSpan w:val="4"/>
            <w:shd w:val="clear" w:color="auto" w:fill="FFFFFF"/>
            <w:vAlign w:val="center"/>
          </w:tcPr>
          <w:p w14:paraId="0973870C">
            <w:pPr>
              <w:spacing w:before="100" w:beforeAutospacing="1" w:after="100" w:afterAutospacing="1" w:line="360" w:lineRule="exact"/>
              <w:rPr>
                <w:rFonts w:ascii="Times New Roman" w:hAnsi="Times New Roman" w:cs="Times New Roman"/>
                <w:color w:val="000000" w:themeColor="text1"/>
              </w:rPr>
            </w:pPr>
            <w:r>
              <w:rPr>
                <w:rFonts w:ascii="Times New Roman" w:hAnsi="Times New Roman" w:cs="Times New Roman"/>
                <w:color w:val="000000" w:themeColor="text1"/>
              </w:rPr>
              <w:t>综合评分法</w:t>
            </w:r>
          </w:p>
        </w:tc>
      </w:tr>
      <w:tr w14:paraId="3666A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blCellSpacing w:w="7" w:type="dxa"/>
          <w:jc w:val="center"/>
        </w:trPr>
        <w:tc>
          <w:tcPr>
            <w:tcW w:w="549" w:type="dxa"/>
            <w:shd w:val="clear" w:color="auto" w:fill="E0E0E0"/>
            <w:vAlign w:val="center"/>
          </w:tcPr>
          <w:p w14:paraId="1A77090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8</w:t>
            </w:r>
          </w:p>
        </w:tc>
        <w:tc>
          <w:tcPr>
            <w:tcW w:w="1421" w:type="dxa"/>
            <w:shd w:val="clear" w:color="auto" w:fill="E0E0E0"/>
            <w:vAlign w:val="center"/>
          </w:tcPr>
          <w:p w14:paraId="702D136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签订合同</w:t>
            </w:r>
          </w:p>
        </w:tc>
        <w:tc>
          <w:tcPr>
            <w:tcW w:w="7273" w:type="dxa"/>
            <w:gridSpan w:val="4"/>
            <w:shd w:val="clear" w:color="auto" w:fill="FFFFFF"/>
            <w:vAlign w:val="center"/>
          </w:tcPr>
          <w:p w14:paraId="1DE5891A">
            <w:pPr>
              <w:spacing w:before="100" w:beforeAutospacing="1" w:after="100" w:afterAutospacing="1" w:line="360" w:lineRule="exact"/>
              <w:jc w:val="left"/>
              <w:rPr>
                <w:rFonts w:ascii="Times New Roman" w:hAnsi="Times New Roman" w:cs="Times New Roman"/>
                <w:color w:val="000000" w:themeColor="text1"/>
              </w:rPr>
            </w:pPr>
            <w:r>
              <w:rPr>
                <w:rFonts w:ascii="Times New Roman" w:hAnsi="Times New Roman" w:cs="Times New Roman"/>
                <w:color w:val="000000" w:themeColor="text1"/>
              </w:rPr>
              <w:t>中标通知书发出后</w:t>
            </w:r>
            <w:r>
              <w:rPr>
                <w:rFonts w:ascii="Times New Roman" w:hAnsi="Times New Roman" w:cs="Times New Roman"/>
                <w:color w:val="000000" w:themeColor="text1"/>
                <w:u w:val="single"/>
              </w:rPr>
              <w:t xml:space="preserve"> 30 </w:t>
            </w:r>
            <w:r>
              <w:rPr>
                <w:rFonts w:ascii="Times New Roman" w:hAnsi="Times New Roman" w:cs="Times New Roman"/>
                <w:color w:val="000000" w:themeColor="text1"/>
              </w:rPr>
              <w:t>天内。</w:t>
            </w:r>
          </w:p>
        </w:tc>
      </w:tr>
      <w:tr w14:paraId="277A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4" w:hRule="atLeast"/>
          <w:tblCellSpacing w:w="7" w:type="dxa"/>
          <w:jc w:val="center"/>
        </w:trPr>
        <w:tc>
          <w:tcPr>
            <w:tcW w:w="549" w:type="dxa"/>
            <w:shd w:val="clear" w:color="auto" w:fill="E0E0E0"/>
            <w:vAlign w:val="center"/>
          </w:tcPr>
          <w:p w14:paraId="55E3B1FA">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9</w:t>
            </w:r>
          </w:p>
        </w:tc>
        <w:tc>
          <w:tcPr>
            <w:tcW w:w="1421" w:type="dxa"/>
            <w:shd w:val="clear" w:color="auto" w:fill="E0E0E0"/>
            <w:vAlign w:val="center"/>
          </w:tcPr>
          <w:p w14:paraId="2D986069">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资金结算</w:t>
            </w:r>
          </w:p>
        </w:tc>
        <w:tc>
          <w:tcPr>
            <w:tcW w:w="7273" w:type="dxa"/>
            <w:gridSpan w:val="4"/>
            <w:shd w:val="clear" w:color="auto" w:fill="FFFFFF"/>
            <w:vAlign w:val="center"/>
          </w:tcPr>
          <w:p w14:paraId="010CDCC5">
            <w:pPr>
              <w:adjustRightInd w:val="0"/>
              <w:snapToGrid w:val="0"/>
              <w:spacing w:line="360" w:lineRule="auto"/>
              <w:ind w:firstLine="0" w:firstLineChars="0"/>
              <w:rPr>
                <w:rFonts w:ascii="Times New Roman" w:hAnsi="Times New Roman" w:eastAsia="宋体" w:cs="Times New Roman"/>
                <w:color w:val="000000" w:themeColor="text1"/>
                <w:szCs w:val="21"/>
              </w:rPr>
            </w:pPr>
            <w:r>
              <w:rPr>
                <w:rFonts w:ascii="Times New Roman" w:hAnsi="Times New Roman" w:eastAsia="宋体" w:cs="Times New Roman"/>
                <w:b/>
                <w:color w:val="000000" w:themeColor="text1"/>
                <w:szCs w:val="21"/>
              </w:rPr>
              <w:t>1</w:t>
            </w:r>
            <w:r>
              <w:rPr>
                <w:rFonts w:hint="eastAsia" w:ascii="Times New Roman" w:hAnsi="Times New Roman" w:cs="Times New Roman"/>
                <w:b/>
                <w:color w:val="000000" w:themeColor="text1"/>
                <w:szCs w:val="21"/>
                <w:lang w:val="en-US" w:eastAsia="zh-CN"/>
              </w:rPr>
              <w:t>.</w:t>
            </w:r>
            <w:r>
              <w:rPr>
                <w:rFonts w:ascii="Times New Roman" w:hAnsi="Times New Roman" w:eastAsia="宋体" w:cs="Times New Roman"/>
                <w:color w:val="000000" w:themeColor="text1"/>
                <w:szCs w:val="21"/>
              </w:rPr>
              <w:t>合同签订后7个工作日内，支付合同总价的70%作为预付款，服务期满并通过考核，支付合同总价剩余的30%，如有</w:t>
            </w:r>
            <w:r>
              <w:rPr>
                <w:rFonts w:hint="eastAsia" w:ascii="Times New Roman" w:hAnsi="Times New Roman" w:eastAsia="宋体" w:cs="Times New Roman"/>
                <w:color w:val="000000" w:themeColor="text1"/>
                <w:szCs w:val="21"/>
                <w:lang w:eastAsia="zh-CN"/>
              </w:rPr>
              <w:t>扣</w:t>
            </w:r>
            <w:r>
              <w:rPr>
                <w:rFonts w:ascii="Times New Roman" w:hAnsi="Times New Roman" w:eastAsia="宋体" w:cs="Times New Roman"/>
                <w:color w:val="000000" w:themeColor="text1"/>
                <w:szCs w:val="21"/>
              </w:rPr>
              <w:t>款，则在余款中扣除</w:t>
            </w:r>
            <w:r>
              <w:rPr>
                <w:rFonts w:hint="eastAsia" w:ascii="Times New Roman" w:hAnsi="Times New Roman" w:eastAsia="宋体" w:cs="Times New Roman"/>
                <w:color w:val="000000" w:themeColor="text1"/>
                <w:szCs w:val="21"/>
                <w:lang w:eastAsia="zh-CN"/>
              </w:rPr>
              <w:t>，如扣款金额大于余款，不足部分则由中标方补足</w:t>
            </w:r>
            <w:r>
              <w:rPr>
                <w:rFonts w:ascii="Times New Roman" w:hAnsi="Times New Roman" w:eastAsia="宋体" w:cs="Times New Roman"/>
                <w:color w:val="000000" w:themeColor="text1"/>
                <w:szCs w:val="21"/>
              </w:rPr>
              <w:t>。</w:t>
            </w:r>
          </w:p>
          <w:p w14:paraId="4A08B40D">
            <w:pPr>
              <w:widowControl/>
              <w:numPr>
                <w:ilvl w:val="-1"/>
                <w:numId w:val="0"/>
              </w:numPr>
              <w:adjustRightInd w:val="0"/>
              <w:snapToGrid w:val="0"/>
              <w:spacing w:line="360" w:lineRule="auto"/>
              <w:ind w:firstLine="0" w:firstLineChars="0"/>
              <w:jc w:val="left"/>
              <w:rPr>
                <w:rFonts w:hint="default"/>
                <w:color w:val="000000" w:themeColor="text1"/>
                <w:highlight w:val="yellow"/>
                <w:lang w:val="en-US" w:eastAsia="zh-CN"/>
              </w:rPr>
            </w:pPr>
            <w:r>
              <w:rPr>
                <w:rFonts w:ascii="Times New Roman" w:hAnsi="Times New Roman" w:eastAsia="宋体" w:cs="Times New Roman"/>
                <w:b/>
                <w:color w:val="000000" w:themeColor="text1"/>
                <w:szCs w:val="21"/>
                <w:lang w:val="en-GB"/>
              </w:rPr>
              <w:t>2</w:t>
            </w:r>
            <w:r>
              <w:rPr>
                <w:rFonts w:hint="eastAsia" w:ascii="Times New Roman" w:hAnsi="Times New Roman" w:cs="Times New Roman"/>
                <w:b/>
                <w:color w:val="000000" w:themeColor="text1"/>
                <w:szCs w:val="21"/>
                <w:lang w:val="en-US" w:eastAsia="zh-CN"/>
              </w:rPr>
              <w:t>.</w:t>
            </w:r>
            <w:r>
              <w:rPr>
                <w:rFonts w:ascii="Times New Roman" w:hAnsi="Times New Roman" w:eastAsia="宋体" w:cs="Times New Roman"/>
                <w:color w:val="000000" w:themeColor="text1"/>
                <w:szCs w:val="21"/>
                <w:lang w:val="en-GB"/>
              </w:rPr>
              <w:t>付款按财政政策执行，因服务商未按合同履行维保任务或考核不合格以及不符合财政资金支付时间要求等原因造成不能及时付款的，采购方不承担责任。</w:t>
            </w:r>
          </w:p>
        </w:tc>
      </w:tr>
      <w:tr w14:paraId="2A78D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blCellSpacing w:w="7" w:type="dxa"/>
          <w:jc w:val="center"/>
        </w:trPr>
        <w:tc>
          <w:tcPr>
            <w:tcW w:w="549" w:type="dxa"/>
            <w:shd w:val="clear" w:color="auto" w:fill="E0E0E0"/>
            <w:vAlign w:val="center"/>
          </w:tcPr>
          <w:p w14:paraId="617C143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1421" w:type="dxa"/>
            <w:shd w:val="clear" w:color="auto" w:fill="E0E0E0"/>
            <w:vAlign w:val="center"/>
          </w:tcPr>
          <w:p w14:paraId="5B7A7D75">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投标报价</w:t>
            </w:r>
          </w:p>
          <w:p w14:paraId="131B864A">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与费用</w:t>
            </w:r>
          </w:p>
        </w:tc>
        <w:tc>
          <w:tcPr>
            <w:tcW w:w="7273" w:type="dxa"/>
            <w:gridSpan w:val="4"/>
            <w:shd w:val="clear" w:color="auto" w:fill="FFFFFF"/>
            <w:vAlign w:val="center"/>
          </w:tcPr>
          <w:p w14:paraId="13B9C107">
            <w:pPr>
              <w:widowControl/>
              <w:spacing w:line="360" w:lineRule="auto"/>
              <w:jc w:val="left"/>
              <w:rPr>
                <w:color w:val="000000" w:themeColor="text1"/>
              </w:rPr>
            </w:pPr>
            <w:r>
              <w:rPr>
                <w:color w:val="000000" w:themeColor="text1"/>
              </w:rPr>
              <w:t>1、本项目投标应以人民币报价；是履行合同的最终价格，</w:t>
            </w:r>
            <w:r>
              <w:rPr>
                <w:b/>
                <w:bCs/>
                <w:color w:val="000000" w:themeColor="text1"/>
              </w:rPr>
              <w:t>包括完成本项目服务工作所需的人力物力成本、管理费、</w:t>
            </w:r>
            <w:r>
              <w:rPr>
                <w:rFonts w:hint="eastAsia"/>
                <w:b/>
                <w:bCs/>
                <w:color w:val="000000" w:themeColor="text1"/>
              </w:rPr>
              <w:t>代理服务费、</w:t>
            </w:r>
            <w:r>
              <w:rPr>
                <w:b/>
                <w:bCs/>
                <w:color w:val="000000" w:themeColor="text1"/>
              </w:rPr>
              <w:t>其他费用、利润、税金等</w:t>
            </w:r>
            <w:r>
              <w:rPr>
                <w:color w:val="000000" w:themeColor="text1"/>
              </w:rPr>
              <w:t>政策性文件规定及合同包含的所有风险、责任等各项全部费用；</w:t>
            </w:r>
          </w:p>
          <w:p w14:paraId="4E377197">
            <w:pPr>
              <w:widowControl/>
              <w:spacing w:line="360" w:lineRule="auto"/>
              <w:jc w:val="left"/>
              <w:rPr>
                <w:rFonts w:ascii="Times New Roman" w:hAnsi="Times New Roman" w:cs="Times New Roman"/>
                <w:color w:val="000000" w:themeColor="text1"/>
              </w:rPr>
            </w:pPr>
            <w:r>
              <w:rPr>
                <w:rFonts w:hint="eastAsia"/>
                <w:color w:val="000000" w:themeColor="text1"/>
              </w:rPr>
              <w:t>2、</w:t>
            </w:r>
            <w:r>
              <w:rPr>
                <w:color w:val="000000" w:themeColor="text1"/>
              </w:rPr>
              <w:t>不论投标结果如何，供应商均应自行承担所有与投标有关的全部费用。不论投标结果如何，投标人均应自行承担所有与投标有关的全部费用。</w:t>
            </w:r>
          </w:p>
        </w:tc>
      </w:tr>
      <w:tr w14:paraId="41EB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blCellSpacing w:w="7" w:type="dxa"/>
          <w:jc w:val="center"/>
        </w:trPr>
        <w:tc>
          <w:tcPr>
            <w:tcW w:w="549" w:type="dxa"/>
            <w:shd w:val="clear" w:color="auto" w:fill="E0E0E0"/>
            <w:vAlign w:val="center"/>
          </w:tcPr>
          <w:p w14:paraId="14F76394">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1421" w:type="dxa"/>
            <w:shd w:val="clear" w:color="auto" w:fill="E0E0E0"/>
            <w:vAlign w:val="center"/>
          </w:tcPr>
          <w:p w14:paraId="3316B228">
            <w:pPr>
              <w:spacing w:line="360"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采购代理</w:t>
            </w:r>
          </w:p>
          <w:p w14:paraId="371C6CBC">
            <w:pPr>
              <w:spacing w:line="360" w:lineRule="auto"/>
              <w:jc w:val="center"/>
              <w:rPr>
                <w:rFonts w:ascii="Times New Roman" w:hAnsi="Times New Roman" w:cs="Times New Roman"/>
                <w:b/>
                <w:color w:val="000000" w:themeColor="text1"/>
                <w:highlight w:val="none"/>
              </w:rPr>
            </w:pPr>
            <w:r>
              <w:rPr>
                <w:rFonts w:ascii="Times New Roman" w:hAnsi="Times New Roman" w:cs="Times New Roman"/>
                <w:b/>
                <w:color w:val="000000" w:themeColor="text1"/>
                <w:highlight w:val="none"/>
              </w:rPr>
              <w:t>服务费</w:t>
            </w:r>
          </w:p>
        </w:tc>
        <w:tc>
          <w:tcPr>
            <w:tcW w:w="7273" w:type="dxa"/>
            <w:gridSpan w:val="4"/>
            <w:shd w:val="clear" w:color="auto" w:fill="FFFFFF"/>
            <w:vAlign w:val="center"/>
          </w:tcPr>
          <w:p w14:paraId="789CD182">
            <w:pPr>
              <w:spacing w:line="360" w:lineRule="auto"/>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1、本项目的采购代理费由</w:t>
            </w:r>
            <w:r>
              <w:rPr>
                <w:rFonts w:ascii="Times New Roman" w:hAnsi="Times New Roman" w:cs="Times New Roman"/>
                <w:b/>
                <w:bCs/>
                <w:color w:val="000000" w:themeColor="text1"/>
                <w:highlight w:val="yellow"/>
              </w:rPr>
              <w:t>中标供应商</w:t>
            </w:r>
            <w:r>
              <w:rPr>
                <w:rFonts w:ascii="Times New Roman" w:hAnsi="Times New Roman" w:cs="Times New Roman"/>
                <w:color w:val="000000" w:themeColor="text1"/>
                <w:highlight w:val="yellow"/>
              </w:rPr>
              <w:t>承担支付，</w:t>
            </w:r>
            <w:r>
              <w:rPr>
                <w:rFonts w:hint="eastAsia" w:ascii="Times New Roman" w:hAnsi="Times New Roman" w:cs="Times New Roman"/>
                <w:color w:val="000000" w:themeColor="text1"/>
                <w:highlight w:val="yellow"/>
              </w:rPr>
              <w:t>标项一：代理费</w:t>
            </w:r>
            <w:r>
              <w:rPr>
                <w:rFonts w:ascii="Times New Roman" w:hAnsi="Times New Roman" w:cs="Times New Roman"/>
                <w:color w:val="000000" w:themeColor="text1"/>
                <w:highlight w:val="yellow"/>
              </w:rPr>
              <w:t>为</w:t>
            </w:r>
            <w:r>
              <w:rPr>
                <w:rFonts w:hint="eastAsia" w:ascii="Times New Roman" w:hAnsi="Times New Roman" w:cs="Times New Roman"/>
                <w:b/>
                <w:bCs/>
                <w:color w:val="000000" w:themeColor="text1"/>
                <w:highlight w:val="yellow"/>
                <w:lang w:val="en-US" w:eastAsia="zh-CN"/>
              </w:rPr>
              <w:t>7000</w:t>
            </w:r>
            <w:r>
              <w:rPr>
                <w:rFonts w:ascii="Times New Roman" w:hAnsi="Times New Roman" w:cs="Times New Roman"/>
                <w:b/>
                <w:bCs/>
                <w:color w:val="000000" w:themeColor="text1"/>
                <w:highlight w:val="yellow"/>
              </w:rPr>
              <w:t>元</w:t>
            </w:r>
            <w:r>
              <w:rPr>
                <w:rFonts w:ascii="Times New Roman" w:hAnsi="Times New Roman" w:cs="Times New Roman"/>
                <w:color w:val="000000" w:themeColor="text1"/>
                <w:highlight w:val="yellow"/>
              </w:rPr>
              <w:t>，</w:t>
            </w:r>
            <w:r>
              <w:rPr>
                <w:rFonts w:hint="eastAsia" w:ascii="Times New Roman" w:hAnsi="Times New Roman" w:cs="Times New Roman"/>
                <w:color w:val="000000" w:themeColor="text1"/>
                <w:highlight w:val="yellow"/>
              </w:rPr>
              <w:t>标项二：代理费</w:t>
            </w:r>
            <w:r>
              <w:rPr>
                <w:rFonts w:ascii="Times New Roman" w:hAnsi="Times New Roman" w:cs="Times New Roman"/>
                <w:color w:val="000000" w:themeColor="text1"/>
                <w:highlight w:val="yellow"/>
              </w:rPr>
              <w:t>为</w:t>
            </w:r>
            <w:r>
              <w:rPr>
                <w:rFonts w:hint="eastAsia" w:ascii="Times New Roman" w:hAnsi="Times New Roman" w:cs="Times New Roman"/>
                <w:b/>
                <w:bCs/>
                <w:color w:val="000000" w:themeColor="text1"/>
                <w:highlight w:val="yellow"/>
                <w:lang w:val="en-US" w:eastAsia="zh-CN"/>
              </w:rPr>
              <w:t>10</w:t>
            </w:r>
            <w:r>
              <w:rPr>
                <w:rFonts w:ascii="Times New Roman" w:hAnsi="Times New Roman" w:cs="Times New Roman"/>
                <w:b/>
                <w:bCs/>
                <w:color w:val="000000" w:themeColor="text1"/>
                <w:highlight w:val="yellow"/>
              </w:rPr>
              <w:t>00元。</w:t>
            </w:r>
          </w:p>
          <w:p w14:paraId="5966AE82">
            <w:pPr>
              <w:snapToGrid w:val="0"/>
              <w:spacing w:line="360" w:lineRule="auto"/>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2、</w:t>
            </w:r>
            <w:r>
              <w:rPr>
                <w:rFonts w:ascii="Times New Roman" w:hAnsi="Times New Roman" w:cs="Times New Roman"/>
                <w:b/>
                <w:bCs/>
                <w:color w:val="000000" w:themeColor="text1"/>
                <w:highlight w:val="yellow"/>
              </w:rPr>
              <w:t>采购代理费由中标人支付，中标人在领取中标通知书时一次性付清</w:t>
            </w:r>
            <w:r>
              <w:rPr>
                <w:rFonts w:ascii="Times New Roman" w:hAnsi="Times New Roman" w:cs="Times New Roman"/>
                <w:color w:val="000000" w:themeColor="text1"/>
                <w:highlight w:val="yellow"/>
              </w:rPr>
              <w:t>。</w:t>
            </w:r>
          </w:p>
          <w:p w14:paraId="76306470">
            <w:pPr>
              <w:pStyle w:val="2"/>
              <w:rPr>
                <w:rFonts w:ascii="Times New Roman" w:hAnsi="Times New Roman" w:cs="Times New Roman"/>
                <w:color w:val="000000" w:themeColor="text1"/>
                <w:sz w:val="21"/>
                <w:szCs w:val="21"/>
                <w:highlight w:val="yellow"/>
              </w:rPr>
            </w:pPr>
            <w:r>
              <w:rPr>
                <w:rFonts w:ascii="Times New Roman" w:hAnsi="Times New Roman" w:cs="Times New Roman"/>
                <w:color w:val="000000" w:themeColor="text1"/>
                <w:sz w:val="21"/>
                <w:szCs w:val="21"/>
                <w:highlight w:val="yellow"/>
              </w:rPr>
              <w:t>收款账号：</w:t>
            </w:r>
          </w:p>
          <w:p w14:paraId="02B27F73">
            <w:pPr>
              <w:pStyle w:val="25"/>
              <w:ind w:firstLine="210"/>
              <w:rPr>
                <w:color w:val="000000" w:themeColor="text1"/>
                <w:highlight w:val="yellow"/>
              </w:rPr>
            </w:pPr>
            <w:r>
              <w:rPr>
                <w:color w:val="000000" w:themeColor="text1"/>
                <w:highlight w:val="yellow"/>
              </w:rPr>
              <w:t>收款单位（户名）：浙江自贸区中昊工程管理有限公司</w:t>
            </w:r>
          </w:p>
          <w:p w14:paraId="51E51AB3">
            <w:pPr>
              <w:pStyle w:val="25"/>
              <w:ind w:firstLine="210"/>
              <w:rPr>
                <w:color w:val="000000" w:themeColor="text1"/>
                <w:highlight w:val="yellow"/>
              </w:rPr>
            </w:pPr>
            <w:r>
              <w:rPr>
                <w:color w:val="000000" w:themeColor="text1"/>
                <w:highlight w:val="yellow"/>
              </w:rPr>
              <w:t>开户银行：建行舟山定海支行</w:t>
            </w:r>
          </w:p>
          <w:p w14:paraId="42B8A913">
            <w:pPr>
              <w:pStyle w:val="25"/>
              <w:ind w:firstLine="210"/>
              <w:rPr>
                <w:color w:val="000000" w:themeColor="text1"/>
                <w:highlight w:val="none"/>
              </w:rPr>
            </w:pPr>
            <w:r>
              <w:rPr>
                <w:color w:val="000000" w:themeColor="text1"/>
                <w:highlight w:val="yellow"/>
              </w:rPr>
              <w:t>银行账号：33001706235050001511</w:t>
            </w:r>
          </w:p>
        </w:tc>
      </w:tr>
      <w:tr w14:paraId="1271A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7" w:hRule="atLeast"/>
          <w:tblCellSpacing w:w="7" w:type="dxa"/>
          <w:jc w:val="center"/>
        </w:trPr>
        <w:tc>
          <w:tcPr>
            <w:tcW w:w="549" w:type="dxa"/>
            <w:shd w:val="clear" w:color="auto" w:fill="E0E0E0"/>
            <w:vAlign w:val="center"/>
          </w:tcPr>
          <w:p w14:paraId="0E6EF0E7">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11</w:t>
            </w:r>
          </w:p>
        </w:tc>
        <w:tc>
          <w:tcPr>
            <w:tcW w:w="1421" w:type="dxa"/>
            <w:shd w:val="clear" w:color="auto" w:fill="E0E0E0"/>
            <w:vAlign w:val="center"/>
          </w:tcPr>
          <w:p w14:paraId="7C02D9C8">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履约保证金</w:t>
            </w:r>
          </w:p>
        </w:tc>
        <w:tc>
          <w:tcPr>
            <w:tcW w:w="7273" w:type="dxa"/>
            <w:gridSpan w:val="4"/>
            <w:shd w:val="clear" w:color="auto" w:fill="FFFFFF"/>
            <w:vAlign w:val="center"/>
          </w:tcPr>
          <w:p w14:paraId="0DA1E83E">
            <w:pPr>
              <w:spacing w:line="360" w:lineRule="auto"/>
              <w:rPr>
                <w:rFonts w:ascii="Times New Roman" w:hAnsi="Times New Roman" w:cs="Times New Roman"/>
                <w:color w:val="000000" w:themeColor="text1"/>
                <w:szCs w:val="24"/>
              </w:rPr>
            </w:pPr>
            <w:r>
              <w:rPr>
                <w:rFonts w:hint="eastAsia" w:ascii="Times New Roman" w:hAnsi="Times New Roman" w:cs="Times New Roman"/>
                <w:color w:val="000000" w:themeColor="text1"/>
                <w:szCs w:val="24"/>
              </w:rPr>
              <w:t>/</w:t>
            </w:r>
          </w:p>
        </w:tc>
      </w:tr>
      <w:tr w14:paraId="5F7D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blCellSpacing w:w="7" w:type="dxa"/>
          <w:jc w:val="center"/>
        </w:trPr>
        <w:tc>
          <w:tcPr>
            <w:tcW w:w="549" w:type="dxa"/>
            <w:shd w:val="clear" w:color="auto" w:fill="E0E0E0"/>
            <w:vAlign w:val="center"/>
          </w:tcPr>
          <w:p w14:paraId="13A90EE1">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12</w:t>
            </w:r>
          </w:p>
        </w:tc>
        <w:tc>
          <w:tcPr>
            <w:tcW w:w="1421" w:type="dxa"/>
            <w:shd w:val="clear" w:color="auto" w:fill="E0E0E0"/>
            <w:vAlign w:val="center"/>
          </w:tcPr>
          <w:p w14:paraId="76E8FCE6">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2C086773">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的组成</w:t>
            </w:r>
          </w:p>
        </w:tc>
        <w:tc>
          <w:tcPr>
            <w:tcW w:w="7273" w:type="dxa"/>
            <w:gridSpan w:val="4"/>
            <w:shd w:val="clear" w:color="auto" w:fill="FFFFFF"/>
            <w:vAlign w:val="center"/>
          </w:tcPr>
          <w:p w14:paraId="51B90266">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本项目实行电子投标。</w:t>
            </w:r>
          </w:p>
          <w:p w14:paraId="67A45182">
            <w:pPr>
              <w:pStyle w:val="2"/>
              <w:spacing w:after="0" w:line="360" w:lineRule="exact"/>
              <w:rPr>
                <w:rFonts w:ascii="Times New Roman" w:hAnsi="Times New Roman" w:cs="Times New Roman"/>
                <w:color w:val="000000" w:themeColor="text1"/>
                <w:kern w:val="2"/>
                <w:sz w:val="21"/>
                <w:szCs w:val="21"/>
              </w:rPr>
            </w:pPr>
            <w:r>
              <w:rPr>
                <w:rFonts w:ascii="Times New Roman" w:hAnsi="Times New Roman" w:cs="Times New Roman"/>
                <w:color w:val="000000" w:themeColor="text1"/>
                <w:sz w:val="21"/>
              </w:rPr>
              <w:t>投标文件由资格响应文件、商务及技术响应文件、报价文件三部份组成。</w:t>
            </w:r>
          </w:p>
        </w:tc>
      </w:tr>
      <w:tr w14:paraId="239C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34" w:hRule="atLeast"/>
          <w:tblCellSpacing w:w="7" w:type="dxa"/>
          <w:jc w:val="center"/>
        </w:trPr>
        <w:tc>
          <w:tcPr>
            <w:tcW w:w="549" w:type="dxa"/>
            <w:shd w:val="clear" w:color="auto" w:fill="E0E0E0"/>
            <w:vAlign w:val="center"/>
          </w:tcPr>
          <w:p w14:paraId="5EA49150">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13</w:t>
            </w:r>
          </w:p>
        </w:tc>
        <w:tc>
          <w:tcPr>
            <w:tcW w:w="1421" w:type="dxa"/>
            <w:shd w:val="clear" w:color="auto" w:fill="E0E0E0"/>
            <w:vAlign w:val="center"/>
          </w:tcPr>
          <w:p w14:paraId="1DD3649A">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68D0CE8D">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的递交</w:t>
            </w:r>
          </w:p>
        </w:tc>
        <w:tc>
          <w:tcPr>
            <w:tcW w:w="7273" w:type="dxa"/>
            <w:gridSpan w:val="4"/>
            <w:shd w:val="clear" w:color="auto" w:fill="FFFFFF"/>
            <w:vAlign w:val="center"/>
          </w:tcPr>
          <w:p w14:paraId="6A52511E">
            <w:pPr>
              <w:ind w:firstLine="420" w:firstLineChars="200"/>
              <w:rPr>
                <w:rFonts w:ascii="Times New Roman" w:hAnsi="Times New Roman"/>
                <w:color w:val="000000" w:themeColor="text1"/>
              </w:rPr>
            </w:pPr>
            <w:r>
              <w:rPr>
                <w:rFonts w:ascii="Times New Roman" w:hAnsi="Times New Roman"/>
                <w:color w:val="000000" w:themeColor="text1"/>
              </w:rPr>
              <w:t>根据《浙江省政府采购项目电子交易管理暂行办法》第二十条规定，本次投标允许投标人递交电子备份投标文件</w:t>
            </w:r>
            <w:r>
              <w:rPr>
                <w:rFonts w:ascii="Times New Roman" w:hAnsi="Times New Roman"/>
                <w:b/>
                <w:bCs/>
                <w:color w:val="000000" w:themeColor="text1"/>
              </w:rPr>
              <w:t>（后缀名为.bfbs）</w:t>
            </w:r>
            <w:r>
              <w:rPr>
                <w:rFonts w:ascii="Times New Roman" w:hAnsi="Times New Roman"/>
                <w:color w:val="000000" w:themeColor="text1"/>
              </w:rPr>
              <w:t>，但不强制要求提交，未提供造成项目开评标活动无法进行下去的，投标无效，相关风险由投标人自行承担。</w:t>
            </w:r>
          </w:p>
          <w:p w14:paraId="2FC1DDD4">
            <w:pPr>
              <w:rPr>
                <w:rFonts w:ascii="Times New Roman" w:hAnsi="Times New Roman"/>
                <w:color w:val="000000" w:themeColor="text1"/>
              </w:rPr>
            </w:pPr>
            <w:r>
              <w:rPr>
                <w:rFonts w:ascii="Times New Roman" w:hAnsi="Times New Roman"/>
                <w:color w:val="000000" w:themeColor="text1"/>
              </w:rPr>
              <w:t>1、在开标截止时间前须在政采云系统里上传加密的电子版投标文件。</w:t>
            </w:r>
          </w:p>
          <w:p w14:paraId="5E99472C">
            <w:pPr>
              <w:rPr>
                <w:rFonts w:ascii="Times New Roman" w:hAnsi="Times New Roman"/>
                <w:color w:val="000000" w:themeColor="text1"/>
                <w:shd w:val="clear" w:color="auto" w:fill="FFFFFF"/>
              </w:rPr>
            </w:pPr>
            <w:r>
              <w:rPr>
                <w:rFonts w:ascii="Times New Roman" w:hAnsi="Times New Roman"/>
                <w:color w:val="000000" w:themeColor="text1"/>
              </w:rPr>
              <w:t>2、</w:t>
            </w:r>
            <w:r>
              <w:rPr>
                <w:rFonts w:ascii="Times New Roman" w:hAnsi="Times New Roman"/>
                <w:color w:val="000000" w:themeColor="text1"/>
                <w:shd w:val="clear" w:color="auto" w:fill="FFFFFF"/>
              </w:rPr>
              <w:t>备份投标文件递交的方式为：</w:t>
            </w:r>
            <w:r>
              <w:rPr>
                <w:rFonts w:ascii="Times New Roman" w:hAnsi="Times New Roman"/>
                <w:b/>
                <w:bCs/>
                <w:color w:val="000000" w:themeColor="text1"/>
                <w:shd w:val="clear" w:color="auto" w:fill="FFFFFF"/>
              </w:rPr>
              <w:t>邮寄或</w:t>
            </w:r>
            <w:r>
              <w:rPr>
                <w:rFonts w:hint="eastAsia" w:ascii="Times New Roman" w:hAnsi="Times New Roman"/>
                <w:b/>
                <w:bCs/>
                <w:color w:val="000000" w:themeColor="text1"/>
                <w:shd w:val="clear" w:color="auto" w:fill="FFFFFF"/>
              </w:rPr>
              <w:t>邮箱（</w:t>
            </w:r>
            <w:r>
              <w:rPr>
                <w:rFonts w:ascii="Times New Roman" w:hAnsi="Times New Roman"/>
                <w:b/>
                <w:bCs/>
                <w:color w:val="000000" w:themeColor="text1"/>
                <w:shd w:val="clear" w:color="auto" w:fill="FFFFFF"/>
              </w:rPr>
              <w:t>备份文件</w:t>
            </w:r>
            <w:r>
              <w:rPr>
                <w:rFonts w:hint="eastAsia" w:ascii="Times New Roman" w:hAnsi="Times New Roman"/>
                <w:b/>
                <w:bCs/>
                <w:color w:val="000000" w:themeColor="text1"/>
                <w:shd w:val="clear" w:color="auto" w:fill="FFFFFF"/>
              </w:rPr>
              <w:t>的</w:t>
            </w:r>
            <w:r>
              <w:rPr>
                <w:rFonts w:ascii="Times New Roman" w:hAnsi="Times New Roman"/>
                <w:b/>
                <w:bCs/>
                <w:color w:val="000000" w:themeColor="text1"/>
                <w:shd w:val="clear" w:color="auto" w:fill="FFFFFF"/>
              </w:rPr>
              <w:t>后缀名为.bfbs</w:t>
            </w:r>
            <w:r>
              <w:rPr>
                <w:rFonts w:hint="eastAsia" w:ascii="Times New Roman" w:hAnsi="Times New Roman"/>
                <w:b/>
                <w:bCs/>
                <w:color w:val="000000" w:themeColor="text1"/>
                <w:shd w:val="clear" w:color="auto" w:fill="FFFFFF"/>
              </w:rPr>
              <w:t>）</w:t>
            </w:r>
            <w:r>
              <w:rPr>
                <w:rFonts w:ascii="Times New Roman" w:hAnsi="Times New Roman"/>
                <w:color w:val="000000" w:themeColor="text1"/>
                <w:shd w:val="clear" w:color="auto" w:fill="FFFFFF"/>
              </w:rPr>
              <w:t>。</w:t>
            </w:r>
          </w:p>
          <w:p w14:paraId="7738E48D">
            <w:pPr>
              <w:snapToGrid w:val="0"/>
              <w:rPr>
                <w:rFonts w:ascii="Times New Roman" w:hAnsi="Times New Roman"/>
                <w:b/>
                <w:bCs/>
                <w:color w:val="000000" w:themeColor="text1"/>
              </w:rPr>
            </w:pPr>
            <w:r>
              <w:rPr>
                <w:rFonts w:hint="eastAsia" w:ascii="Times New Roman" w:hAnsi="Times New Roman"/>
                <w:b/>
                <w:bCs/>
                <w:color w:val="000000" w:themeColor="text1"/>
              </w:rPr>
              <w:t>2.1邮寄</w:t>
            </w:r>
            <w:r>
              <w:rPr>
                <w:rFonts w:ascii="Times New Roman" w:hAnsi="Times New Roman"/>
                <w:b/>
                <w:bCs/>
                <w:color w:val="000000" w:themeColor="text1"/>
              </w:rPr>
              <w:t>地址：舟山市定海区临城街道百川道9号910（科创园区）</w:t>
            </w:r>
          </w:p>
          <w:p w14:paraId="5ED14EC2">
            <w:pPr>
              <w:snapToGrid w:val="0"/>
              <w:rPr>
                <w:rFonts w:ascii="Times New Roman" w:hAnsi="Times New Roman"/>
                <w:b/>
                <w:bCs/>
                <w:color w:val="000000" w:themeColor="text1"/>
              </w:rPr>
            </w:pPr>
            <w:r>
              <w:rPr>
                <w:rFonts w:ascii="Times New Roman" w:hAnsi="Times New Roman"/>
                <w:b/>
                <w:bCs/>
                <w:color w:val="000000" w:themeColor="text1"/>
              </w:rPr>
              <w:t>收件人：</w:t>
            </w:r>
            <w:r>
              <w:rPr>
                <w:rFonts w:hint="eastAsia" w:ascii="Times New Roman" w:hAnsi="Times New Roman"/>
                <w:b/>
                <w:bCs/>
                <w:color w:val="000000" w:themeColor="text1"/>
              </w:rPr>
              <w:t>张璐</w:t>
            </w:r>
            <w:r>
              <w:rPr>
                <w:rFonts w:ascii="Times New Roman" w:hAnsi="Times New Roman"/>
                <w:b/>
                <w:bCs/>
                <w:color w:val="000000" w:themeColor="text1"/>
              </w:rPr>
              <w:t>，电话：0580-2119100</w:t>
            </w:r>
          </w:p>
          <w:p w14:paraId="10A48BE5">
            <w:pPr>
              <w:snapToGrid w:val="0"/>
              <w:rPr>
                <w:rFonts w:ascii="Times New Roman" w:hAnsi="Times New Roman"/>
                <w:b/>
                <w:bCs/>
                <w:color w:val="000000" w:themeColor="text1"/>
              </w:rPr>
            </w:pPr>
            <w:r>
              <w:rPr>
                <w:rFonts w:hint="eastAsia" w:ascii="Times New Roman" w:hAnsi="Times New Roman"/>
                <w:b/>
                <w:bCs/>
                <w:color w:val="000000" w:themeColor="text1"/>
              </w:rPr>
              <w:t>2.2邮箱:41688047@qq.com</w:t>
            </w:r>
          </w:p>
          <w:p w14:paraId="1CADFF37">
            <w:pPr>
              <w:pStyle w:val="25"/>
              <w:ind w:firstLine="210"/>
              <w:rPr>
                <w:color w:val="000000" w:themeColor="text1"/>
              </w:rPr>
            </w:pPr>
            <w:r>
              <w:rPr>
                <w:color w:val="000000" w:themeColor="text1"/>
              </w:rPr>
              <w:t>采用邮箱送达备份文件的，投标人将备份文件压缩加密后发至邮箱，当解密发生失败时，代理公司将通过电话获取文件密码。</w:t>
            </w:r>
          </w:p>
          <w:p w14:paraId="23F27745">
            <w:pPr>
              <w:rPr>
                <w:rFonts w:ascii="Times New Roman" w:hAnsi="Times New Roman"/>
                <w:color w:val="000000" w:themeColor="text1"/>
              </w:rPr>
            </w:pPr>
            <w:r>
              <w:rPr>
                <w:rFonts w:ascii="Times New Roman" w:hAnsi="Times New Roman"/>
                <w:color w:val="000000" w:themeColor="text1"/>
              </w:rPr>
              <w:t>3、备份投标文件，介质可以是U盘或DVD光盘，只允许存储一个文件。</w:t>
            </w:r>
          </w:p>
          <w:p w14:paraId="3551B445">
            <w:pPr>
              <w:rPr>
                <w:rFonts w:ascii="Times New Roman" w:hAnsi="Times New Roman"/>
                <w:color w:val="000000" w:themeColor="text1"/>
              </w:rPr>
            </w:pPr>
            <w:r>
              <w:rPr>
                <w:rFonts w:ascii="Times New Roman" w:hAnsi="Times New Roman"/>
                <w:color w:val="000000" w:themeColor="text1"/>
              </w:rPr>
              <w:t>4、当发生投标人未按时解密时，代理机构将启用已提交的备份投标文件。</w:t>
            </w:r>
          </w:p>
          <w:p w14:paraId="5A58ACC5">
            <w:pPr>
              <w:rPr>
                <w:rFonts w:ascii="Times New Roman" w:hAnsi="Times New Roman"/>
                <w:color w:val="000000" w:themeColor="text1"/>
              </w:rPr>
            </w:pPr>
            <w:r>
              <w:rPr>
                <w:rFonts w:ascii="Times New Roman" w:hAnsi="Times New Roman"/>
                <w:color w:val="000000" w:themeColor="text1"/>
              </w:rPr>
              <w:t>5、以下情形视为</w:t>
            </w:r>
            <w:r>
              <w:rPr>
                <w:rFonts w:ascii="Times New Roman" w:hAnsi="Times New Roman"/>
                <w:b/>
                <w:bCs/>
                <w:color w:val="000000" w:themeColor="text1"/>
              </w:rPr>
              <w:t>未提交有效投标文件</w:t>
            </w:r>
            <w:r>
              <w:rPr>
                <w:rFonts w:ascii="Times New Roman" w:hAnsi="Times New Roman"/>
                <w:color w:val="000000" w:themeColor="text1"/>
              </w:rPr>
              <w:t>：</w:t>
            </w:r>
          </w:p>
          <w:p w14:paraId="01251646">
            <w:pPr>
              <w:rPr>
                <w:rFonts w:ascii="Times New Roman" w:hAnsi="Times New Roman"/>
                <w:color w:val="000000" w:themeColor="text1"/>
              </w:rPr>
            </w:pPr>
            <w:r>
              <w:rPr>
                <w:rFonts w:ascii="Times New Roman" w:hAnsi="Times New Roman"/>
                <w:color w:val="000000" w:themeColor="text1"/>
              </w:rPr>
              <w:t>5.1仅提交备份投标文件的；</w:t>
            </w:r>
          </w:p>
          <w:p w14:paraId="1623585E">
            <w:pPr>
              <w:rPr>
                <w:rFonts w:ascii="Times New Roman" w:hAnsi="Times New Roman"/>
                <w:color w:val="000000" w:themeColor="text1"/>
              </w:rPr>
            </w:pPr>
            <w:r>
              <w:rPr>
                <w:rFonts w:ascii="Times New Roman" w:hAnsi="Times New Roman"/>
                <w:color w:val="000000" w:themeColor="text1"/>
              </w:rPr>
              <w:t>5.2投标人未按时解密，且提交备份投标文件无效的；</w:t>
            </w:r>
          </w:p>
          <w:p w14:paraId="377D8EF8">
            <w:pPr>
              <w:rPr>
                <w:rFonts w:ascii="Times New Roman" w:hAnsi="Times New Roman"/>
                <w:color w:val="000000" w:themeColor="text1"/>
              </w:rPr>
            </w:pPr>
            <w:r>
              <w:rPr>
                <w:rFonts w:ascii="Times New Roman" w:hAnsi="Times New Roman"/>
                <w:color w:val="000000" w:themeColor="text1"/>
              </w:rPr>
              <w:t>5.3投标人未按时解密，且提交的备份投标文件不明确，存在一个或一个以上备选（替代）备份投标文件。</w:t>
            </w:r>
          </w:p>
          <w:p w14:paraId="57FA68F3">
            <w:pPr>
              <w:rPr>
                <w:rFonts w:ascii="Times New Roman" w:hAnsi="Times New Roman"/>
                <w:color w:val="000000" w:themeColor="text1"/>
              </w:rPr>
            </w:pPr>
            <w:r>
              <w:rPr>
                <w:rFonts w:ascii="Times New Roman" w:hAnsi="Times New Roman"/>
                <w:color w:val="000000" w:themeColor="text1"/>
              </w:rPr>
              <w:t>6、投标人递交备份投标文件时，如出现下列情况之一的，</w:t>
            </w:r>
            <w:r>
              <w:rPr>
                <w:rFonts w:ascii="Times New Roman" w:hAnsi="Times New Roman"/>
                <w:b/>
                <w:bCs/>
                <w:color w:val="000000" w:themeColor="text1"/>
              </w:rPr>
              <w:t>将被拒收</w:t>
            </w:r>
            <w:r>
              <w:rPr>
                <w:rFonts w:hint="eastAsia" w:ascii="Times New Roman" w:hAnsi="Times New Roman"/>
                <w:b/>
                <w:bCs/>
                <w:color w:val="000000" w:themeColor="text1"/>
              </w:rPr>
              <w:t>（此条款仅针对邮寄的备份文件）</w:t>
            </w:r>
            <w:r>
              <w:rPr>
                <w:rFonts w:ascii="Times New Roman" w:hAnsi="Times New Roman"/>
                <w:b/>
                <w:bCs/>
                <w:color w:val="000000" w:themeColor="text1"/>
              </w:rPr>
              <w:t>：</w:t>
            </w:r>
          </w:p>
          <w:p w14:paraId="6362F8D0">
            <w:pPr>
              <w:rPr>
                <w:rFonts w:ascii="Times New Roman" w:hAnsi="Times New Roman"/>
                <w:color w:val="000000" w:themeColor="text1"/>
              </w:rPr>
            </w:pPr>
            <w:r>
              <w:rPr>
                <w:rFonts w:ascii="Times New Roman" w:hAnsi="Times New Roman"/>
                <w:color w:val="000000" w:themeColor="text1"/>
              </w:rPr>
              <w:t>6.1未按规定密封或标记的投标文件；</w:t>
            </w:r>
          </w:p>
          <w:p w14:paraId="5E5F048C">
            <w:pPr>
              <w:rPr>
                <w:rFonts w:ascii="Times New Roman" w:hAnsi="Times New Roman"/>
                <w:color w:val="000000" w:themeColor="text1"/>
              </w:rPr>
            </w:pPr>
            <w:r>
              <w:rPr>
                <w:rFonts w:ascii="Times New Roman" w:hAnsi="Times New Roman"/>
                <w:color w:val="000000" w:themeColor="text1"/>
              </w:rPr>
              <w:t>6.2由于包装不妥，在送交途中严重损坏的；</w:t>
            </w:r>
          </w:p>
          <w:p w14:paraId="1A96CE49">
            <w:pPr>
              <w:spacing w:line="360" w:lineRule="exact"/>
              <w:rPr>
                <w:rFonts w:ascii="Times New Roman" w:hAnsi="Times New Roman" w:cs="Times New Roman"/>
                <w:color w:val="000000" w:themeColor="text1"/>
                <w:szCs w:val="24"/>
              </w:rPr>
            </w:pPr>
            <w:r>
              <w:rPr>
                <w:rFonts w:ascii="Times New Roman" w:hAnsi="Times New Roman"/>
                <w:color w:val="000000" w:themeColor="text1"/>
              </w:rPr>
              <w:t>6.3超过规定时间送达的。</w:t>
            </w:r>
          </w:p>
        </w:tc>
      </w:tr>
      <w:tr w14:paraId="525E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7" w:hRule="atLeast"/>
          <w:tblCellSpacing w:w="7" w:type="dxa"/>
          <w:jc w:val="center"/>
        </w:trPr>
        <w:tc>
          <w:tcPr>
            <w:tcW w:w="549" w:type="dxa"/>
            <w:shd w:val="clear" w:color="auto" w:fill="E0E0E0"/>
            <w:vAlign w:val="center"/>
          </w:tcPr>
          <w:p w14:paraId="76E7E3C8">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14</w:t>
            </w:r>
          </w:p>
        </w:tc>
        <w:tc>
          <w:tcPr>
            <w:tcW w:w="1421" w:type="dxa"/>
            <w:shd w:val="clear" w:color="auto" w:fill="E0E0E0"/>
            <w:vAlign w:val="center"/>
          </w:tcPr>
          <w:p w14:paraId="459A205C">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投标文件</w:t>
            </w:r>
          </w:p>
          <w:p w14:paraId="307A7018">
            <w:pPr>
              <w:spacing w:line="276" w:lineRule="auto"/>
              <w:jc w:val="center"/>
              <w:rPr>
                <w:rFonts w:ascii="Times New Roman" w:hAnsi="Times New Roman" w:cs="Times New Roman"/>
                <w:b/>
                <w:color w:val="000000" w:themeColor="text1"/>
              </w:rPr>
            </w:pPr>
            <w:r>
              <w:rPr>
                <w:rFonts w:ascii="Times New Roman" w:hAnsi="Times New Roman" w:cs="Times New Roman"/>
                <w:b/>
                <w:color w:val="000000" w:themeColor="text1"/>
              </w:rPr>
              <w:t>的密封要求</w:t>
            </w:r>
          </w:p>
        </w:tc>
        <w:tc>
          <w:tcPr>
            <w:tcW w:w="7273" w:type="dxa"/>
            <w:gridSpan w:val="4"/>
            <w:shd w:val="clear" w:color="auto" w:fill="FFFFFF"/>
            <w:vAlign w:val="center"/>
          </w:tcPr>
          <w:p w14:paraId="2BDBDF00">
            <w:pPr>
              <w:spacing w:line="360" w:lineRule="exact"/>
              <w:rPr>
                <w:rFonts w:ascii="Times New Roman" w:hAnsi="Times New Roman" w:cs="Times New Roman"/>
                <w:color w:val="000000" w:themeColor="text1"/>
              </w:rPr>
            </w:pPr>
            <w:r>
              <w:rPr>
                <w:rFonts w:ascii="Times New Roman" w:hAnsi="Times New Roman" w:cs="Times New Roman"/>
                <w:color w:val="000000" w:themeColor="text1"/>
              </w:rPr>
              <w:t>1、供应商线上制作投标文件并采用CA数字证书进行电子签章及加密。</w:t>
            </w:r>
          </w:p>
          <w:p w14:paraId="0D2DA40A">
            <w:pPr>
              <w:spacing w:line="360" w:lineRule="exact"/>
              <w:rPr>
                <w:rFonts w:ascii="Times New Roman" w:hAnsi="Times New Roman" w:cs="Times New Roman"/>
                <w:color w:val="000000" w:themeColor="text1"/>
                <w:szCs w:val="24"/>
              </w:rPr>
            </w:pPr>
            <w:r>
              <w:rPr>
                <w:rFonts w:ascii="Times New Roman" w:hAnsi="Times New Roman" w:cs="Times New Roman"/>
                <w:color w:val="000000" w:themeColor="text1"/>
              </w:rPr>
              <w:t>2、供应商邮寄或现场递交的备份投标文件应密封封装，注明投标人名称、项目名称并封口处加盖公章。</w:t>
            </w:r>
          </w:p>
        </w:tc>
      </w:tr>
      <w:tr w14:paraId="20F99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7" w:hRule="atLeast"/>
          <w:tblCellSpacing w:w="7" w:type="dxa"/>
          <w:jc w:val="center"/>
        </w:trPr>
        <w:tc>
          <w:tcPr>
            <w:tcW w:w="549" w:type="dxa"/>
            <w:shd w:val="clear" w:color="auto" w:fill="E0E0E0"/>
            <w:vAlign w:val="center"/>
          </w:tcPr>
          <w:p w14:paraId="598A23CF">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15</w:t>
            </w:r>
          </w:p>
        </w:tc>
        <w:tc>
          <w:tcPr>
            <w:tcW w:w="1421" w:type="dxa"/>
            <w:shd w:val="clear" w:color="auto" w:fill="E0E0E0"/>
            <w:vAlign w:val="center"/>
          </w:tcPr>
          <w:p w14:paraId="1AC0133C">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投标文件提交/开标截止时间</w:t>
            </w:r>
          </w:p>
        </w:tc>
        <w:tc>
          <w:tcPr>
            <w:tcW w:w="7273" w:type="dxa"/>
            <w:gridSpan w:val="4"/>
            <w:shd w:val="clear" w:color="auto" w:fill="FFFFFF"/>
            <w:vAlign w:val="center"/>
          </w:tcPr>
          <w:p w14:paraId="49FE96E5">
            <w:pPr>
              <w:spacing w:line="360" w:lineRule="exact"/>
              <w:rPr>
                <w:rFonts w:hint="eastAsia" w:ascii="Times New Roman" w:hAnsi="Times New Roman" w:eastAsia="宋体" w:cs="Times New Roman"/>
                <w:color w:val="000000" w:themeColor="text1"/>
                <w:lang w:eastAsia="zh-CN"/>
              </w:rPr>
            </w:pPr>
            <w:r>
              <w:rPr>
                <w:rFonts w:hint="eastAsia" w:ascii="Times New Roman" w:hAnsi="Times New Roman" w:cs="Times New Roman"/>
                <w:color w:val="000000" w:themeColor="text1"/>
                <w:highlight w:val="none"/>
                <w:lang w:eastAsia="zh-CN"/>
              </w:rPr>
              <w:t> </w:t>
            </w:r>
            <w:r>
              <w:rPr>
                <w:rFonts w:hint="eastAsia" w:ascii="Times New Roman" w:hAnsi="Times New Roman" w:cs="Times New Roman"/>
                <w:color w:val="000000" w:themeColor="text1"/>
                <w:highlight w:val="yellow"/>
                <w:lang w:eastAsia="zh-CN"/>
              </w:rPr>
              <w:t>202</w:t>
            </w:r>
            <w:r>
              <w:rPr>
                <w:rFonts w:hint="eastAsia" w:ascii="Times New Roman" w:hAnsi="Times New Roman" w:cs="Times New Roman"/>
                <w:color w:val="000000" w:themeColor="text1"/>
                <w:highlight w:val="yellow"/>
                <w:lang w:val="en-US" w:eastAsia="zh-CN"/>
              </w:rPr>
              <w:t>5</w:t>
            </w:r>
            <w:r>
              <w:rPr>
                <w:rFonts w:hint="eastAsia" w:ascii="Times New Roman" w:hAnsi="Times New Roman" w:cs="Times New Roman"/>
                <w:color w:val="000000" w:themeColor="text1"/>
                <w:highlight w:val="yellow"/>
                <w:lang w:eastAsia="zh-CN"/>
              </w:rPr>
              <w:t>年</w:t>
            </w:r>
            <w:r>
              <w:rPr>
                <w:rFonts w:hint="eastAsia" w:ascii="Times New Roman" w:hAnsi="Times New Roman" w:cs="Times New Roman"/>
                <w:color w:val="000000" w:themeColor="text1"/>
                <w:highlight w:val="yellow"/>
                <w:lang w:val="en-US" w:eastAsia="zh-CN"/>
              </w:rPr>
              <w:t xml:space="preserve"> </w:t>
            </w:r>
            <w:r>
              <w:rPr>
                <w:rFonts w:hint="eastAsia" w:ascii="Times New Roman" w:hAnsi="Times New Roman" w:cs="Times New Roman"/>
                <w:color w:val="000000" w:themeColor="text1"/>
                <w:highlight w:val="yellow"/>
                <w:lang w:eastAsia="zh-CN"/>
              </w:rPr>
              <w:t>月</w:t>
            </w:r>
            <w:r>
              <w:rPr>
                <w:rFonts w:hint="eastAsia" w:ascii="Times New Roman" w:hAnsi="Times New Roman" w:cs="Times New Roman"/>
                <w:color w:val="000000" w:themeColor="text1"/>
                <w:highlight w:val="yellow"/>
                <w:lang w:val="en-US" w:eastAsia="zh-CN"/>
              </w:rPr>
              <w:t xml:space="preserve"> </w:t>
            </w:r>
            <w:r>
              <w:rPr>
                <w:rFonts w:hint="eastAsia" w:ascii="Times New Roman" w:hAnsi="Times New Roman" w:cs="Times New Roman"/>
                <w:color w:val="000000" w:themeColor="text1"/>
                <w:highlight w:val="yellow"/>
                <w:lang w:eastAsia="zh-CN"/>
              </w:rPr>
              <w:t>日 14:30</w:t>
            </w:r>
          </w:p>
        </w:tc>
      </w:tr>
      <w:tr w14:paraId="56F3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87" w:hRule="atLeast"/>
          <w:tblCellSpacing w:w="7" w:type="dxa"/>
          <w:jc w:val="center"/>
        </w:trPr>
        <w:tc>
          <w:tcPr>
            <w:tcW w:w="549" w:type="dxa"/>
            <w:shd w:val="clear" w:color="auto" w:fill="E0E0E0"/>
            <w:vAlign w:val="center"/>
          </w:tcPr>
          <w:p w14:paraId="6C30FAC6">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16</w:t>
            </w:r>
          </w:p>
        </w:tc>
        <w:tc>
          <w:tcPr>
            <w:tcW w:w="1421" w:type="dxa"/>
            <w:shd w:val="clear" w:color="auto" w:fill="E0E0E0"/>
            <w:vAlign w:val="center"/>
          </w:tcPr>
          <w:p w14:paraId="04C5C2C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供应商注册</w:t>
            </w:r>
          </w:p>
        </w:tc>
        <w:tc>
          <w:tcPr>
            <w:tcW w:w="7273" w:type="dxa"/>
            <w:gridSpan w:val="4"/>
            <w:shd w:val="clear" w:color="auto" w:fill="FFFFFF"/>
            <w:vAlign w:val="center"/>
          </w:tcPr>
          <w:p w14:paraId="4FBFEAAF">
            <w:pPr>
              <w:spacing w:line="360" w:lineRule="exact"/>
              <w:ind w:firstLine="420"/>
              <w:jc w:val="left"/>
              <w:rPr>
                <w:rFonts w:ascii="Times New Roman" w:hAnsi="Times New Roman" w:cs="Times New Roman"/>
                <w:bCs/>
                <w:snapToGrid w:val="0"/>
                <w:color w:val="000000" w:themeColor="text1"/>
                <w:kern w:val="0"/>
              </w:rPr>
            </w:pPr>
            <w:r>
              <w:rPr>
                <w:rFonts w:ascii="Times New Roman" w:hAnsi="Times New Roman" w:cs="Times New Roman"/>
                <w:bCs/>
                <w:snapToGrid w:val="0"/>
                <w:color w:val="000000" w:themeColor="text1"/>
                <w:kern w:val="0"/>
              </w:rPr>
              <w:t>各供应商须在投标截止时间前根据浙江省财政厅《关于开展政府采购投标人网上注册登记和诚信管理工作的通知》（浙财采监【2010】8号文）的要求，通过浙江政府采购网申请注册加入政府采购供应商库。以免影响享受相关政策优惠及成交后的款项支付。</w:t>
            </w:r>
          </w:p>
          <w:p w14:paraId="48C0636F">
            <w:pPr>
              <w:spacing w:line="360" w:lineRule="exact"/>
              <w:ind w:firstLine="420"/>
              <w:jc w:val="left"/>
              <w:rPr>
                <w:rFonts w:ascii="Times New Roman" w:hAnsi="Times New Roman" w:cs="Times New Roman"/>
                <w:color w:val="000000" w:themeColor="text1"/>
              </w:rPr>
            </w:pPr>
            <w:r>
              <w:rPr>
                <w:rFonts w:ascii="Times New Roman" w:hAnsi="Times New Roman" w:cs="Times New Roman"/>
                <w:bCs/>
                <w:snapToGrid w:val="0"/>
                <w:color w:val="000000" w:themeColor="text1"/>
                <w:kern w:val="0"/>
              </w:rPr>
              <w:t>供应商在申请注册前，请认真阅读，学习《中华人民共和国政府采购法》和《浙江省政府采购供应商注册及诚信管理暂行办法》等相关法规规定。</w:t>
            </w:r>
          </w:p>
        </w:tc>
      </w:tr>
      <w:tr w14:paraId="58F8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75" w:hRule="atLeast"/>
          <w:tblCellSpacing w:w="7" w:type="dxa"/>
          <w:jc w:val="center"/>
        </w:trPr>
        <w:tc>
          <w:tcPr>
            <w:tcW w:w="549" w:type="dxa"/>
            <w:shd w:val="clear" w:color="auto" w:fill="E0E0E0"/>
            <w:vAlign w:val="center"/>
          </w:tcPr>
          <w:p w14:paraId="0C98A148">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17</w:t>
            </w:r>
          </w:p>
        </w:tc>
        <w:tc>
          <w:tcPr>
            <w:tcW w:w="1421" w:type="dxa"/>
            <w:shd w:val="clear" w:color="auto" w:fill="E0E0E0"/>
            <w:vAlign w:val="center"/>
          </w:tcPr>
          <w:p w14:paraId="2F89419D">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不良信用记录查询</w:t>
            </w:r>
          </w:p>
        </w:tc>
        <w:tc>
          <w:tcPr>
            <w:tcW w:w="7273" w:type="dxa"/>
            <w:gridSpan w:val="4"/>
            <w:shd w:val="clear" w:color="auto" w:fill="FFFFFF"/>
            <w:vAlign w:val="center"/>
          </w:tcPr>
          <w:p w14:paraId="3316B41C">
            <w:pPr>
              <w:spacing w:line="360" w:lineRule="exact"/>
              <w:rPr>
                <w:color w:val="000000" w:themeColor="text1"/>
              </w:rPr>
            </w:pPr>
            <w:r>
              <w:rPr>
                <w:rFonts w:hint="eastAsia"/>
                <w:color w:val="000000" w:themeColor="text1"/>
              </w:rPr>
              <w:t>根据财库〔2016〕125号《关于在政府采购活动中查询及使用信用记录有关问题的通知》要求，采购代理机构将对供应商信用记录进行查询并甄别。</w:t>
            </w:r>
          </w:p>
          <w:p w14:paraId="26704CC4">
            <w:pPr>
              <w:spacing w:line="360" w:lineRule="exact"/>
              <w:rPr>
                <w:color w:val="000000" w:themeColor="text1"/>
              </w:rPr>
            </w:pPr>
            <w:r>
              <w:rPr>
                <w:rFonts w:hint="eastAsia"/>
                <w:color w:val="000000" w:themeColor="text1"/>
              </w:rPr>
              <w:t>（1）信用信息查询的截止时点：投标应截止日；</w:t>
            </w:r>
          </w:p>
          <w:p w14:paraId="224F2CA1">
            <w:pPr>
              <w:spacing w:line="360" w:lineRule="exact"/>
              <w:rPr>
                <w:color w:val="000000" w:themeColor="text1"/>
              </w:rPr>
            </w:pPr>
            <w:r>
              <w:rPr>
                <w:rFonts w:hint="eastAsia"/>
                <w:color w:val="000000" w:themeColor="text1"/>
              </w:rPr>
              <w:t>（2）查询渠道：“信用中国”（www.creditchina.gov.cn）、“中国政府采购网”（www.ccgp.gov.cn）；</w:t>
            </w:r>
          </w:p>
          <w:p w14:paraId="47F0067D">
            <w:pPr>
              <w:spacing w:line="360" w:lineRule="exact"/>
              <w:rPr>
                <w:color w:val="000000" w:themeColor="text1"/>
              </w:rPr>
            </w:pPr>
            <w:r>
              <w:rPr>
                <w:rFonts w:hint="eastAsia"/>
                <w:color w:val="000000" w:themeColor="text1"/>
              </w:rPr>
              <w:t>（3）信用信息查询记录和证据留存具体方式：采购代理机构将查询网页打印并保存；</w:t>
            </w:r>
          </w:p>
          <w:p w14:paraId="10E1946C">
            <w:pPr>
              <w:spacing w:line="360" w:lineRule="exact"/>
              <w:rPr>
                <w:color w:val="000000" w:themeColor="text1"/>
              </w:rPr>
            </w:pPr>
            <w:r>
              <w:rPr>
                <w:rFonts w:hint="eastAsia"/>
                <w:color w:val="000000" w:themeColor="text1"/>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31F5DFF2">
            <w:pPr>
              <w:spacing w:line="360" w:lineRule="exact"/>
              <w:rPr>
                <w:color w:val="000000" w:themeColor="text1"/>
              </w:rPr>
            </w:pPr>
            <w:r>
              <w:rPr>
                <w:rFonts w:hint="eastAsia"/>
                <w:color w:val="000000" w:themeColor="text1"/>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480B2BD8">
            <w:pPr>
              <w:spacing w:line="360" w:lineRule="exact"/>
              <w:rPr>
                <w:rFonts w:ascii="Times New Roman" w:hAnsi="Times New Roman" w:cs="Times New Roman"/>
                <w:color w:val="000000" w:themeColor="text1"/>
                <w:szCs w:val="24"/>
              </w:rPr>
            </w:pPr>
            <w:r>
              <w:rPr>
                <w:rFonts w:hint="eastAsia"/>
                <w:color w:val="000000" w:themeColor="text1"/>
              </w:rPr>
              <w:t>（6）若联合体成员存在不良信用记录的，视同联合体存在不良信用记录。</w:t>
            </w:r>
          </w:p>
        </w:tc>
      </w:tr>
      <w:tr w14:paraId="321E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tblCellSpacing w:w="7" w:type="dxa"/>
          <w:jc w:val="center"/>
        </w:trPr>
        <w:tc>
          <w:tcPr>
            <w:tcW w:w="549" w:type="dxa"/>
            <w:shd w:val="clear" w:color="auto" w:fill="E0E0E0"/>
            <w:vAlign w:val="center"/>
          </w:tcPr>
          <w:p w14:paraId="572B1E4F">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18</w:t>
            </w:r>
          </w:p>
        </w:tc>
        <w:tc>
          <w:tcPr>
            <w:tcW w:w="1421" w:type="dxa"/>
            <w:shd w:val="clear" w:color="auto" w:fill="E0E0E0"/>
            <w:vAlign w:val="center"/>
          </w:tcPr>
          <w:p w14:paraId="35E3A49F">
            <w:pPr>
              <w:snapToGrid w:val="0"/>
              <w:spacing w:line="360" w:lineRule="auto"/>
              <w:ind w:firstLine="422" w:firstLineChars="200"/>
              <w:rPr>
                <w:rFonts w:ascii="宋体" w:cs="Times New Roman"/>
                <w:b/>
                <w:color w:val="000000" w:themeColor="text1"/>
              </w:rPr>
            </w:pPr>
            <w:r>
              <w:rPr>
                <w:rFonts w:hint="eastAsia" w:ascii="宋体" w:hAnsi="宋体"/>
                <w:b/>
                <w:color w:val="000000" w:themeColor="text1"/>
              </w:rPr>
              <w:t>分包</w:t>
            </w:r>
          </w:p>
        </w:tc>
        <w:tc>
          <w:tcPr>
            <w:tcW w:w="7273" w:type="dxa"/>
            <w:gridSpan w:val="4"/>
            <w:shd w:val="clear" w:color="auto" w:fill="FFFFFF"/>
            <w:vAlign w:val="center"/>
          </w:tcPr>
          <w:p w14:paraId="44348A04">
            <w:pPr>
              <w:spacing w:line="360" w:lineRule="auto"/>
              <w:rPr>
                <w:rFonts w:ascii="宋体" w:hAnsi="宋体" w:cs="宋体"/>
                <w:color w:val="000000" w:themeColor="text1"/>
              </w:rPr>
            </w:pPr>
            <w:r>
              <w:rPr>
                <w:rFonts w:hint="eastAsia" w:ascii="宋体" w:hAnsi="宋体" w:cs="宋体"/>
                <w:color w:val="000000" w:themeColor="text1"/>
                <w:kern w:val="0"/>
              </w:rPr>
              <w:sym w:font="Wingdings" w:char="00A8"/>
            </w:r>
            <w:r>
              <w:rPr>
                <w:rFonts w:hint="eastAsia" w:ascii="宋体" w:hAnsi="宋体" w:cs="宋体"/>
                <w:color w:val="000000" w:themeColor="text1"/>
                <w:kern w:val="0"/>
              </w:rPr>
              <w:t>A</w:t>
            </w:r>
            <w:r>
              <w:rPr>
                <w:rFonts w:hint="eastAsia" w:ascii="宋体" w:hAnsi="宋体" w:cs="宋体"/>
                <w:color w:val="000000" w:themeColor="text1"/>
              </w:rPr>
              <w:t>同意将非主体、非关键性的工作分包。</w:t>
            </w:r>
          </w:p>
          <w:p w14:paraId="7C2643C5">
            <w:pPr>
              <w:spacing w:line="360" w:lineRule="auto"/>
              <w:rPr>
                <w:rFonts w:cs="Times New Roman"/>
                <w:color w:val="000000" w:themeColor="text1"/>
                <w:szCs w:val="24"/>
              </w:rPr>
            </w:pPr>
            <w:r>
              <w:rPr>
                <w:rFonts w:hint="eastAsia" w:ascii="宋体" w:hAnsi="宋体" w:cs="宋体"/>
                <w:color w:val="000000" w:themeColor="text1"/>
                <w:kern w:val="0"/>
              </w:rPr>
              <w:sym w:font="Wingdings" w:char="00FE"/>
            </w:r>
            <w:r>
              <w:rPr>
                <w:rFonts w:hint="eastAsia" w:ascii="宋体" w:hAnsi="宋体" w:cs="宋体"/>
                <w:b/>
                <w:bCs/>
                <w:color w:val="000000" w:themeColor="text1"/>
                <w:kern w:val="0"/>
              </w:rPr>
              <w:t xml:space="preserve"> B</w:t>
            </w:r>
            <w:r>
              <w:rPr>
                <w:rFonts w:hint="eastAsia" w:ascii="宋体" w:hAnsi="宋体" w:cs="宋体"/>
                <w:b/>
                <w:bCs/>
                <w:color w:val="000000" w:themeColor="text1"/>
              </w:rPr>
              <w:t>不同意分包</w:t>
            </w:r>
            <w:r>
              <w:rPr>
                <w:rFonts w:hint="eastAsia" w:ascii="宋体" w:hAnsi="宋体" w:cs="宋体"/>
                <w:color w:val="000000" w:themeColor="text1"/>
              </w:rPr>
              <w:t>。</w:t>
            </w:r>
          </w:p>
        </w:tc>
      </w:tr>
      <w:tr w14:paraId="6C139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3" w:hRule="atLeast"/>
          <w:tblCellSpacing w:w="7" w:type="dxa"/>
          <w:jc w:val="center"/>
        </w:trPr>
        <w:tc>
          <w:tcPr>
            <w:tcW w:w="549" w:type="dxa"/>
            <w:shd w:val="clear" w:color="auto" w:fill="E0E0E0"/>
            <w:vAlign w:val="center"/>
          </w:tcPr>
          <w:p w14:paraId="6BAAF5C0">
            <w:pPr>
              <w:spacing w:before="100" w:beforeAutospacing="1" w:after="100" w:afterAutospacing="1" w:line="360" w:lineRule="exact"/>
              <w:jc w:val="center"/>
              <w:rPr>
                <w:rFonts w:ascii="Times New Roman" w:hAnsi="Times New Roman" w:cs="Times New Roman"/>
                <w:b/>
                <w:color w:val="000000" w:themeColor="text1"/>
              </w:rPr>
            </w:pPr>
            <w:r>
              <w:rPr>
                <w:rFonts w:ascii="Times New Roman" w:hAnsi="Times New Roman" w:cs="Times New Roman"/>
                <w:b/>
                <w:color w:val="000000" w:themeColor="text1"/>
              </w:rPr>
              <w:t>19</w:t>
            </w:r>
          </w:p>
        </w:tc>
        <w:tc>
          <w:tcPr>
            <w:tcW w:w="1421" w:type="dxa"/>
            <w:shd w:val="clear" w:color="auto" w:fill="E0E0E0"/>
            <w:vAlign w:val="center"/>
          </w:tcPr>
          <w:p w14:paraId="555461DB">
            <w:pPr>
              <w:snapToGrid w:val="0"/>
              <w:spacing w:line="360" w:lineRule="auto"/>
              <w:jc w:val="center"/>
              <w:rPr>
                <w:rFonts w:ascii="Times New Roman" w:hAnsi="Times New Roman" w:cs="Times New Roman"/>
                <w:b/>
                <w:color w:val="000000" w:themeColor="text1"/>
              </w:rPr>
            </w:pPr>
            <w:r>
              <w:rPr>
                <w:rFonts w:hint="eastAsia" w:ascii="宋体" w:hAnsi="宋体"/>
                <w:b/>
                <w:color w:val="000000" w:themeColor="text1"/>
              </w:rPr>
              <w:t>开标前答疑会或现场考察</w:t>
            </w:r>
          </w:p>
        </w:tc>
        <w:tc>
          <w:tcPr>
            <w:tcW w:w="7273" w:type="dxa"/>
            <w:gridSpan w:val="4"/>
            <w:shd w:val="clear" w:color="auto" w:fill="FFFFFF"/>
            <w:vAlign w:val="center"/>
          </w:tcPr>
          <w:p w14:paraId="78D18EF8">
            <w:pPr>
              <w:spacing w:line="360" w:lineRule="auto"/>
              <w:rPr>
                <w:rFonts w:ascii="宋体" w:hAnsi="宋体" w:cs="宋体"/>
                <w:b/>
                <w:bCs/>
                <w:color w:val="000000" w:themeColor="text1"/>
              </w:rPr>
            </w:pPr>
            <w:r>
              <w:rPr>
                <w:rFonts w:hint="eastAsia" w:ascii="宋体" w:hAnsi="宋体" w:cs="宋体"/>
                <w:b/>
                <w:bCs/>
                <w:color w:val="000000" w:themeColor="text1"/>
                <w:kern w:val="0"/>
              </w:rPr>
              <w:sym w:font="Wingdings" w:char="F0FE"/>
            </w:r>
            <w:r>
              <w:rPr>
                <w:rFonts w:hint="eastAsia" w:ascii="宋体" w:hAnsi="宋体" w:cs="宋体"/>
                <w:b/>
                <w:bCs/>
                <w:color w:val="000000" w:themeColor="text1"/>
                <w:kern w:val="0"/>
              </w:rPr>
              <w:t>A</w:t>
            </w:r>
            <w:r>
              <w:rPr>
                <w:rFonts w:hint="eastAsia" w:ascii="宋体" w:hAnsi="宋体" w:cs="宋体"/>
                <w:b/>
                <w:bCs/>
                <w:color w:val="000000" w:themeColor="text1"/>
              </w:rPr>
              <w:t>不组织。</w:t>
            </w:r>
          </w:p>
          <w:p w14:paraId="7E364E8F">
            <w:pPr>
              <w:spacing w:line="360" w:lineRule="auto"/>
              <w:rPr>
                <w:rFonts w:ascii="Times New Roman" w:hAnsi="Times New Roman" w:cs="Times New Roman"/>
                <w:color w:val="000000" w:themeColor="text1"/>
                <w:szCs w:val="24"/>
              </w:rPr>
            </w:pPr>
            <w:r>
              <w:rPr>
                <w:rFonts w:hint="eastAsia" w:ascii="宋体" w:hAnsi="宋体" w:cs="宋体"/>
                <w:color w:val="000000" w:themeColor="text1"/>
                <w:kern w:val="0"/>
              </w:rPr>
              <w:t>☐B组织，</w:t>
            </w:r>
            <w:r>
              <w:rPr>
                <w:rFonts w:hint="eastAsia" w:ascii="宋体" w:hAnsi="宋体" w:cs="宋体"/>
                <w:color w:val="000000" w:themeColor="text1"/>
              </w:rPr>
              <w:t>时间：,地点：，联系人：，联系方式：。</w:t>
            </w:r>
          </w:p>
        </w:tc>
      </w:tr>
      <w:tr w14:paraId="290D8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94" w:hRule="atLeast"/>
          <w:tblCellSpacing w:w="7" w:type="dxa"/>
          <w:jc w:val="center"/>
        </w:trPr>
        <w:tc>
          <w:tcPr>
            <w:tcW w:w="549" w:type="dxa"/>
            <w:shd w:val="clear" w:color="auto" w:fill="E0E0E0"/>
            <w:vAlign w:val="center"/>
          </w:tcPr>
          <w:p w14:paraId="08C7D448">
            <w:pPr>
              <w:spacing w:before="100" w:beforeAutospacing="1" w:after="100" w:afterAutospacing="1" w:line="360" w:lineRule="exact"/>
              <w:jc w:val="center"/>
              <w:rPr>
                <w:rFonts w:hint="eastAsia" w:ascii="Times New Roman" w:hAnsi="Times New Roman" w:eastAsia="宋体" w:cs="Times New Roman"/>
                <w:b/>
                <w:color w:val="000000" w:themeColor="text1"/>
                <w:lang w:eastAsia="zh-CN"/>
              </w:rPr>
            </w:pPr>
            <w:r>
              <w:rPr>
                <w:rFonts w:hint="eastAsia" w:ascii="Times New Roman" w:hAnsi="Times New Roman" w:cs="Times New Roman"/>
                <w:b/>
                <w:color w:val="000000" w:themeColor="text1"/>
              </w:rPr>
              <w:t>2</w:t>
            </w:r>
            <w:r>
              <w:rPr>
                <w:rFonts w:hint="eastAsia" w:ascii="Times New Roman" w:hAnsi="Times New Roman" w:cs="Times New Roman"/>
                <w:b/>
                <w:color w:val="000000" w:themeColor="text1"/>
                <w:lang w:val="en-US" w:eastAsia="zh-CN"/>
              </w:rPr>
              <w:t>0</w:t>
            </w:r>
          </w:p>
        </w:tc>
        <w:tc>
          <w:tcPr>
            <w:tcW w:w="1421" w:type="dxa"/>
            <w:shd w:val="clear" w:color="auto" w:fill="E0E0E0"/>
            <w:vAlign w:val="center"/>
          </w:tcPr>
          <w:p w14:paraId="4BE1545B">
            <w:pPr>
              <w:adjustRightInd w:val="0"/>
              <w:snapToGrid w:val="0"/>
              <w:jc w:val="center"/>
              <w:rPr>
                <w:rFonts w:ascii="宋体" w:hAnsi="宋体" w:cs="宋体"/>
                <w:b/>
                <w:color w:val="000000" w:themeColor="text1"/>
                <w:kern w:val="0"/>
                <w:highlight w:val="yellow"/>
              </w:rPr>
            </w:pPr>
            <w:r>
              <w:rPr>
                <w:rFonts w:hint="eastAsia" w:ascii="宋体" w:hAnsi="宋体"/>
                <w:b/>
                <w:color w:val="000000" w:themeColor="text1"/>
              </w:rPr>
              <w:t>项目属性与核心产品</w:t>
            </w:r>
          </w:p>
        </w:tc>
        <w:tc>
          <w:tcPr>
            <w:tcW w:w="7273" w:type="dxa"/>
            <w:gridSpan w:val="4"/>
            <w:shd w:val="clear" w:color="auto" w:fill="FFFFFF"/>
            <w:vAlign w:val="center"/>
          </w:tcPr>
          <w:p w14:paraId="34AEAA75">
            <w:pPr>
              <w:rPr>
                <w:rFonts w:ascii="宋体" w:hAnsi="宋体" w:cs="宋体"/>
                <w:color w:val="000000" w:themeColor="text1"/>
              </w:rPr>
            </w:pPr>
            <w:r>
              <w:rPr>
                <w:rFonts w:ascii="Wingdings" w:hAnsi="Wingdings" w:cs="宋体"/>
                <w:b/>
                <w:bCs/>
                <w:color w:val="000000" w:themeColor="text1"/>
                <w:kern w:val="0"/>
              </w:rPr>
              <w:sym w:font="Wingdings" w:char="00A8"/>
            </w:r>
            <w:r>
              <w:rPr>
                <w:rFonts w:hint="eastAsia" w:ascii="宋体" w:hAnsi="宋体" w:cs="宋体"/>
                <w:b/>
                <w:bCs/>
                <w:color w:val="000000" w:themeColor="text1"/>
                <w:kern w:val="0"/>
              </w:rPr>
              <w:t>A</w:t>
            </w:r>
            <w:r>
              <w:rPr>
                <w:rFonts w:hint="eastAsia" w:ascii="宋体" w:hAnsi="宋体" w:cs="宋体"/>
                <w:b/>
                <w:bCs/>
                <w:color w:val="000000" w:themeColor="text1"/>
              </w:rPr>
              <w:t>货物类，</w:t>
            </w:r>
            <w:r>
              <w:rPr>
                <w:rFonts w:hint="eastAsia" w:ascii="宋体" w:hAnsi="宋体" w:cs="宋体"/>
                <w:color w:val="000000" w:themeColor="text1"/>
              </w:rPr>
              <w:t>单一产品或</w:t>
            </w:r>
            <w:r>
              <w:rPr>
                <w:rFonts w:hint="eastAsia" w:ascii="宋体" w:hAnsi="宋体" w:cs="宋体"/>
                <w:color w:val="000000" w:themeColor="text1"/>
                <w:kern w:val="0"/>
              </w:rPr>
              <w:t>核心产品为</w:t>
            </w:r>
            <w:r>
              <w:rPr>
                <w:rFonts w:hint="eastAsia" w:ascii="宋体" w:hAnsi="宋体" w:cs="宋体"/>
                <w:color w:val="000000" w:themeColor="text1"/>
              </w:rPr>
              <w:t>：。</w:t>
            </w:r>
          </w:p>
          <w:p w14:paraId="72374EE4">
            <w:pPr>
              <w:rPr>
                <w:rFonts w:ascii="宋体" w:hAnsi="宋体" w:cs="宋体"/>
                <w:color w:val="000000" w:themeColor="text1"/>
                <w:highlight w:val="yellow"/>
              </w:rPr>
            </w:pPr>
            <w:r>
              <w:rPr>
                <w:rFonts w:hint="eastAsia" w:ascii="宋体" w:hAnsi="宋体" w:cs="宋体"/>
                <w:color w:val="000000" w:themeColor="text1"/>
              </w:rPr>
              <w:sym w:font="Wingdings" w:char="00FE"/>
            </w:r>
            <w:r>
              <w:rPr>
                <w:rFonts w:hint="eastAsia" w:ascii="宋体" w:hAnsi="宋体" w:cs="宋体"/>
                <w:color w:val="000000" w:themeColor="text1"/>
              </w:rPr>
              <w:t>B服务类。</w:t>
            </w:r>
          </w:p>
        </w:tc>
      </w:tr>
      <w:tr w14:paraId="0A49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95" w:hRule="atLeast"/>
          <w:tblCellSpacing w:w="7" w:type="dxa"/>
          <w:jc w:val="center"/>
        </w:trPr>
        <w:tc>
          <w:tcPr>
            <w:tcW w:w="549" w:type="dxa"/>
            <w:shd w:val="clear" w:color="auto" w:fill="E0E0E0"/>
            <w:vAlign w:val="center"/>
          </w:tcPr>
          <w:p w14:paraId="02F8704A">
            <w:pPr>
              <w:spacing w:before="100" w:beforeAutospacing="1" w:after="100" w:afterAutospacing="1" w:line="360" w:lineRule="exact"/>
              <w:jc w:val="center"/>
              <w:rPr>
                <w:rFonts w:hint="eastAsia" w:ascii="Times New Roman" w:hAnsi="Times New Roman" w:eastAsia="宋体" w:cs="Times New Roman"/>
                <w:b/>
                <w:color w:val="000000" w:themeColor="text1"/>
                <w:lang w:eastAsia="zh-CN"/>
              </w:rPr>
            </w:pPr>
            <w:r>
              <w:rPr>
                <w:rFonts w:hint="eastAsia" w:ascii="Times New Roman" w:hAnsi="Times New Roman" w:cs="Times New Roman"/>
                <w:b/>
                <w:color w:val="000000" w:themeColor="text1"/>
              </w:rPr>
              <w:t>2</w:t>
            </w:r>
            <w:r>
              <w:rPr>
                <w:rFonts w:hint="eastAsia" w:ascii="Times New Roman" w:hAnsi="Times New Roman" w:cs="Times New Roman"/>
                <w:b/>
                <w:color w:val="000000" w:themeColor="text1"/>
                <w:lang w:val="en-US" w:eastAsia="zh-CN"/>
              </w:rPr>
              <w:t>1</w:t>
            </w:r>
          </w:p>
        </w:tc>
        <w:tc>
          <w:tcPr>
            <w:tcW w:w="1421" w:type="dxa"/>
            <w:shd w:val="clear" w:color="auto" w:fill="E0E0E0"/>
            <w:vAlign w:val="center"/>
          </w:tcPr>
          <w:p w14:paraId="716DA252">
            <w:pPr>
              <w:jc w:val="center"/>
              <w:rPr>
                <w:rFonts w:ascii="宋体" w:hAnsi="宋体" w:cs="宋体"/>
                <w:b/>
                <w:color w:val="000000" w:themeColor="text1"/>
                <w:kern w:val="0"/>
              </w:rPr>
            </w:pPr>
            <w:r>
              <w:rPr>
                <w:rFonts w:hint="eastAsia" w:ascii="宋体" w:hAnsi="宋体"/>
                <w:b/>
                <w:color w:val="000000" w:themeColor="text1"/>
              </w:rPr>
              <w:t>采购标的对应的中小企业划分标准所属行业</w:t>
            </w:r>
          </w:p>
        </w:tc>
        <w:tc>
          <w:tcPr>
            <w:tcW w:w="7273" w:type="dxa"/>
            <w:gridSpan w:val="4"/>
            <w:shd w:val="clear" w:color="auto" w:fill="FFFFFF"/>
            <w:vAlign w:val="center"/>
          </w:tcPr>
          <w:p w14:paraId="277B470B">
            <w:pPr>
              <w:adjustRightInd w:val="0"/>
              <w:snapToGrid w:val="0"/>
              <w:jc w:val="left"/>
              <w:rPr>
                <w:color w:val="000000" w:themeColor="text1"/>
              </w:rPr>
            </w:pPr>
            <w:r>
              <w:rPr>
                <w:rFonts w:hint="eastAsia"/>
                <w:color w:val="000000" w:themeColor="text1"/>
              </w:rPr>
              <w:t>所属行业：其他未列明行业</w:t>
            </w:r>
          </w:p>
          <w:tbl>
            <w:tblPr>
              <w:tblStyle w:val="27"/>
              <w:tblW w:w="6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87"/>
              <w:gridCol w:w="1593"/>
              <w:gridCol w:w="1256"/>
              <w:gridCol w:w="1310"/>
            </w:tblGrid>
            <w:tr w14:paraId="6680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4" w:type="dxa"/>
                  <w:vAlign w:val="center"/>
                </w:tcPr>
                <w:p w14:paraId="5D17BF14">
                  <w:pPr>
                    <w:widowControl/>
                    <w:wordWrap w:val="0"/>
                    <w:spacing w:line="360" w:lineRule="atLeast"/>
                    <w:jc w:val="center"/>
                    <w:textAlignment w:val="center"/>
                    <w:rPr>
                      <w:color w:val="000000" w:themeColor="text1"/>
                    </w:rPr>
                  </w:pPr>
                  <w:r>
                    <w:rPr>
                      <w:rFonts w:ascii="Arial" w:hAnsi="Arial" w:cs="Arial"/>
                      <w:b/>
                      <w:bCs/>
                      <w:color w:val="000000" w:themeColor="text1"/>
                      <w:kern w:val="0"/>
                      <w:sz w:val="18"/>
                      <w:szCs w:val="18"/>
                    </w:rPr>
                    <w:t>指标名称</w:t>
                  </w:r>
                </w:p>
              </w:tc>
              <w:tc>
                <w:tcPr>
                  <w:tcW w:w="787" w:type="dxa"/>
                  <w:vAlign w:val="center"/>
                </w:tcPr>
                <w:p w14:paraId="0D9D5F90">
                  <w:pPr>
                    <w:widowControl/>
                    <w:wordWrap w:val="0"/>
                    <w:spacing w:line="360" w:lineRule="atLeast"/>
                    <w:jc w:val="center"/>
                    <w:textAlignment w:val="center"/>
                    <w:rPr>
                      <w:rFonts w:ascii="Arial" w:hAnsi="Arial" w:cs="Arial"/>
                      <w:b/>
                      <w:bCs/>
                      <w:color w:val="000000" w:themeColor="text1"/>
                      <w:kern w:val="0"/>
                      <w:sz w:val="18"/>
                      <w:szCs w:val="18"/>
                    </w:rPr>
                  </w:pPr>
                  <w:r>
                    <w:rPr>
                      <w:rFonts w:ascii="Arial" w:hAnsi="Arial" w:cs="Arial"/>
                      <w:b/>
                      <w:bCs/>
                      <w:color w:val="000000" w:themeColor="text1"/>
                      <w:kern w:val="0"/>
                      <w:sz w:val="18"/>
                      <w:szCs w:val="18"/>
                    </w:rPr>
                    <w:t>计量</w:t>
                  </w:r>
                </w:p>
                <w:p w14:paraId="0514C472">
                  <w:pPr>
                    <w:widowControl/>
                    <w:wordWrap w:val="0"/>
                    <w:spacing w:line="360" w:lineRule="atLeast"/>
                    <w:jc w:val="center"/>
                    <w:textAlignment w:val="center"/>
                    <w:rPr>
                      <w:color w:val="000000" w:themeColor="text1"/>
                    </w:rPr>
                  </w:pPr>
                  <w:r>
                    <w:rPr>
                      <w:rFonts w:ascii="Arial" w:hAnsi="Arial" w:cs="Arial"/>
                      <w:b/>
                      <w:bCs/>
                      <w:color w:val="000000" w:themeColor="text1"/>
                      <w:kern w:val="0"/>
                      <w:sz w:val="18"/>
                      <w:szCs w:val="18"/>
                    </w:rPr>
                    <w:t>单位</w:t>
                  </w:r>
                </w:p>
              </w:tc>
              <w:tc>
                <w:tcPr>
                  <w:tcW w:w="1593" w:type="dxa"/>
                  <w:vAlign w:val="center"/>
                </w:tcPr>
                <w:p w14:paraId="247404E4">
                  <w:pPr>
                    <w:widowControl/>
                    <w:wordWrap w:val="0"/>
                    <w:spacing w:line="360" w:lineRule="atLeast"/>
                    <w:jc w:val="center"/>
                    <w:textAlignment w:val="center"/>
                    <w:rPr>
                      <w:color w:val="000000" w:themeColor="text1"/>
                    </w:rPr>
                  </w:pPr>
                  <w:r>
                    <w:rPr>
                      <w:rFonts w:ascii="Arial" w:hAnsi="Arial" w:cs="Arial"/>
                      <w:b/>
                      <w:bCs/>
                      <w:color w:val="000000" w:themeColor="text1"/>
                      <w:kern w:val="0"/>
                      <w:sz w:val="18"/>
                      <w:szCs w:val="18"/>
                    </w:rPr>
                    <w:t>中型</w:t>
                  </w:r>
                </w:p>
              </w:tc>
              <w:tc>
                <w:tcPr>
                  <w:tcW w:w="1256" w:type="dxa"/>
                  <w:vAlign w:val="center"/>
                </w:tcPr>
                <w:p w14:paraId="6211AC11">
                  <w:pPr>
                    <w:widowControl/>
                    <w:wordWrap w:val="0"/>
                    <w:spacing w:line="360" w:lineRule="atLeast"/>
                    <w:jc w:val="center"/>
                    <w:textAlignment w:val="center"/>
                    <w:rPr>
                      <w:color w:val="000000" w:themeColor="text1"/>
                    </w:rPr>
                  </w:pPr>
                  <w:r>
                    <w:rPr>
                      <w:rFonts w:ascii="Arial" w:hAnsi="Arial" w:cs="Arial"/>
                      <w:b/>
                      <w:bCs/>
                      <w:color w:val="000000" w:themeColor="text1"/>
                      <w:kern w:val="0"/>
                      <w:sz w:val="18"/>
                      <w:szCs w:val="18"/>
                    </w:rPr>
                    <w:t>小型</w:t>
                  </w:r>
                </w:p>
              </w:tc>
              <w:tc>
                <w:tcPr>
                  <w:tcW w:w="1310" w:type="dxa"/>
                  <w:vAlign w:val="center"/>
                </w:tcPr>
                <w:p w14:paraId="470EA4F0">
                  <w:pPr>
                    <w:widowControl/>
                    <w:wordWrap w:val="0"/>
                    <w:spacing w:line="360" w:lineRule="atLeast"/>
                    <w:jc w:val="center"/>
                    <w:textAlignment w:val="center"/>
                    <w:rPr>
                      <w:color w:val="000000" w:themeColor="text1"/>
                    </w:rPr>
                  </w:pPr>
                  <w:r>
                    <w:rPr>
                      <w:rFonts w:ascii="Arial" w:hAnsi="Arial" w:cs="Arial"/>
                      <w:b/>
                      <w:bCs/>
                      <w:color w:val="000000" w:themeColor="text1"/>
                      <w:kern w:val="0"/>
                      <w:sz w:val="18"/>
                      <w:szCs w:val="18"/>
                    </w:rPr>
                    <w:t>微型</w:t>
                  </w:r>
                </w:p>
              </w:tc>
            </w:tr>
            <w:tr w14:paraId="0C95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34" w:type="dxa"/>
                  <w:vAlign w:val="center"/>
                </w:tcPr>
                <w:p w14:paraId="2A68379B">
                  <w:pPr>
                    <w:widowControl/>
                    <w:wordWrap w:val="0"/>
                    <w:spacing w:line="360" w:lineRule="atLeast"/>
                    <w:jc w:val="center"/>
                    <w:textAlignment w:val="center"/>
                    <w:rPr>
                      <w:color w:val="000000" w:themeColor="text1"/>
                    </w:rPr>
                  </w:pPr>
                  <w:r>
                    <w:rPr>
                      <w:rFonts w:ascii="Arial" w:hAnsi="Arial" w:cs="Arial"/>
                      <w:color w:val="000000" w:themeColor="text1"/>
                      <w:kern w:val="0"/>
                      <w:sz w:val="18"/>
                      <w:szCs w:val="18"/>
                    </w:rPr>
                    <w:t>从业人员(X)</w:t>
                  </w:r>
                </w:p>
              </w:tc>
              <w:tc>
                <w:tcPr>
                  <w:tcW w:w="787" w:type="dxa"/>
                  <w:vAlign w:val="center"/>
                </w:tcPr>
                <w:p w14:paraId="72C814E9">
                  <w:pPr>
                    <w:widowControl/>
                    <w:wordWrap w:val="0"/>
                    <w:spacing w:line="360" w:lineRule="atLeast"/>
                    <w:jc w:val="center"/>
                    <w:textAlignment w:val="center"/>
                    <w:rPr>
                      <w:color w:val="000000" w:themeColor="text1"/>
                    </w:rPr>
                  </w:pPr>
                  <w:r>
                    <w:rPr>
                      <w:rFonts w:ascii="Arial" w:hAnsi="Arial" w:cs="Arial"/>
                      <w:color w:val="000000" w:themeColor="text1"/>
                      <w:kern w:val="0"/>
                      <w:sz w:val="18"/>
                      <w:szCs w:val="18"/>
                    </w:rPr>
                    <w:t>人</w:t>
                  </w:r>
                </w:p>
              </w:tc>
              <w:tc>
                <w:tcPr>
                  <w:tcW w:w="1593" w:type="dxa"/>
                  <w:vAlign w:val="center"/>
                </w:tcPr>
                <w:p w14:paraId="66CAE2B2">
                  <w:pPr>
                    <w:pStyle w:val="22"/>
                    <w:widowControl/>
                    <w:wordWrap w:val="0"/>
                    <w:spacing w:before="0" w:beforeAutospacing="0" w:after="0" w:afterAutospacing="0" w:line="360" w:lineRule="atLeast"/>
                    <w:jc w:val="center"/>
                    <w:rPr>
                      <w:color w:val="000000" w:themeColor="text1"/>
                    </w:rPr>
                  </w:pPr>
                  <w:r>
                    <w:rPr>
                      <w:rFonts w:ascii="Arial" w:hAnsi="Arial" w:cs="Arial"/>
                      <w:color w:val="000000" w:themeColor="text1"/>
                      <w:sz w:val="18"/>
                      <w:szCs w:val="18"/>
                    </w:rPr>
                    <w:t>100≤X&lt;300</w:t>
                  </w:r>
                </w:p>
              </w:tc>
              <w:tc>
                <w:tcPr>
                  <w:tcW w:w="1256" w:type="dxa"/>
                  <w:vAlign w:val="center"/>
                </w:tcPr>
                <w:p w14:paraId="2B9538CE">
                  <w:pPr>
                    <w:pStyle w:val="22"/>
                    <w:widowControl/>
                    <w:wordWrap w:val="0"/>
                    <w:spacing w:before="0" w:beforeAutospacing="0" w:after="0" w:afterAutospacing="0" w:line="360" w:lineRule="atLeast"/>
                    <w:jc w:val="center"/>
                    <w:rPr>
                      <w:color w:val="000000" w:themeColor="text1"/>
                    </w:rPr>
                  </w:pPr>
                  <w:r>
                    <w:rPr>
                      <w:rFonts w:ascii="Arial" w:hAnsi="Arial" w:cs="Arial"/>
                      <w:color w:val="000000" w:themeColor="text1"/>
                      <w:sz w:val="18"/>
                      <w:szCs w:val="18"/>
                    </w:rPr>
                    <w:t>10≤X&lt;100</w:t>
                  </w:r>
                </w:p>
              </w:tc>
              <w:tc>
                <w:tcPr>
                  <w:tcW w:w="1310" w:type="dxa"/>
                  <w:vAlign w:val="center"/>
                </w:tcPr>
                <w:p w14:paraId="058E02C0">
                  <w:pPr>
                    <w:pStyle w:val="22"/>
                    <w:widowControl/>
                    <w:wordWrap w:val="0"/>
                    <w:spacing w:before="0" w:beforeAutospacing="0" w:after="0" w:afterAutospacing="0" w:line="360" w:lineRule="atLeast"/>
                    <w:jc w:val="center"/>
                    <w:rPr>
                      <w:color w:val="000000" w:themeColor="text1"/>
                    </w:rPr>
                  </w:pPr>
                  <w:r>
                    <w:rPr>
                      <w:rFonts w:ascii="Arial" w:hAnsi="Arial" w:cs="Arial"/>
                      <w:color w:val="000000" w:themeColor="text1"/>
                      <w:sz w:val="18"/>
                      <w:szCs w:val="18"/>
                    </w:rPr>
                    <w:t>X&lt;10</w:t>
                  </w:r>
                </w:p>
              </w:tc>
            </w:tr>
          </w:tbl>
          <w:p w14:paraId="17A2FBCB">
            <w:pPr>
              <w:pStyle w:val="13"/>
              <w:ind w:firstLine="301"/>
              <w:rPr>
                <w:rFonts w:ascii="宋体" w:hAnsi="宋体" w:cs="宋体"/>
                <w:color w:val="000000" w:themeColor="text1"/>
                <w:sz w:val="21"/>
                <w:szCs w:val="21"/>
              </w:rPr>
            </w:pPr>
          </w:p>
        </w:tc>
      </w:tr>
    </w:tbl>
    <w:p w14:paraId="72EEFFCB">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一、总则</w:t>
      </w:r>
    </w:p>
    <w:p w14:paraId="5A53EEC7">
      <w:pPr>
        <w:pStyle w:val="59"/>
        <w:snapToGrid w:val="0"/>
        <w:spacing w:beforeLines="0" w:afterLines="0" w:line="360" w:lineRule="auto"/>
        <w:ind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（一）适用范围</w:t>
      </w:r>
    </w:p>
    <w:p w14:paraId="3C65444B">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本采购文件适用于</w:t>
      </w:r>
      <w:r>
        <w:rPr>
          <w:rFonts w:hint="eastAsia" w:ascii="Times New Roman" w:hAnsi="Times New Roman" w:cs="Times New Roman"/>
          <w:color w:val="000000" w:themeColor="text1"/>
          <w:lang w:eastAsia="zh-CN"/>
        </w:rPr>
        <w:t>2025年度舟山生态大楼颗粒物组分站运维及颗粒物组分站、光化学站质控巡检项目</w:t>
      </w:r>
      <w:r>
        <w:rPr>
          <w:rFonts w:ascii="Times New Roman" w:hAnsi="Times New Roman" w:cs="Times New Roman"/>
          <w:color w:val="000000" w:themeColor="text1"/>
        </w:rPr>
        <w:t>的招标、投标、评标、定标、验收、合同履约、付款等行为（法律、法规另有规定的，从其规定）。</w:t>
      </w:r>
    </w:p>
    <w:p w14:paraId="5E96B95C">
      <w:pPr>
        <w:pStyle w:val="59"/>
        <w:snapToGrid w:val="0"/>
        <w:spacing w:beforeLines="0" w:afterLines="0" w:line="360" w:lineRule="auto"/>
        <w:ind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（二）定义</w:t>
      </w:r>
    </w:p>
    <w:p w14:paraId="692EDA32">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1.招标采购单位系指组织本次招标的代理机构和采购单位（“采购人”）。</w:t>
      </w:r>
    </w:p>
    <w:p w14:paraId="0959F3E7">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2.“投标人</w:t>
      </w:r>
      <w:r>
        <w:rPr>
          <w:rFonts w:hint="eastAsia" w:ascii="Times New Roman" w:hAnsi="Times New Roman" w:cs="Times New Roman"/>
          <w:color w:val="000000" w:themeColor="text1"/>
        </w:rPr>
        <w:t>、供应商</w:t>
      </w:r>
      <w:r>
        <w:rPr>
          <w:rFonts w:ascii="Times New Roman" w:hAnsi="Times New Roman" w:cs="Times New Roman"/>
          <w:color w:val="000000" w:themeColor="text1"/>
        </w:rPr>
        <w:t>”系指向采购人提交投标响应文件的单位或个人。</w:t>
      </w:r>
    </w:p>
    <w:p w14:paraId="5A5E949F">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3.“产品”系指供方按采购文件规定，须向采购人提供的一切设备、保险、税金、备品备件、工具、手册及其它有关技术资料和材料。</w:t>
      </w:r>
    </w:p>
    <w:p w14:paraId="65729494">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4.“服务”系指采购文件规定投标人须承担的安装、调试、技术协助、校准、培训、技术指导以及其他类似的义务。</w:t>
      </w:r>
    </w:p>
    <w:p w14:paraId="536A0132">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5.“项目”系指投标人按采购文件规定向采购人提供的产品和服务。</w:t>
      </w:r>
    </w:p>
    <w:p w14:paraId="269255AE">
      <w:pPr>
        <w:spacing w:line="360" w:lineRule="auto"/>
        <w:ind w:right="3"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6.“中标人”是指经审查通过，并经公示无异议的投标人。</w:t>
      </w:r>
    </w:p>
    <w:p w14:paraId="1976933A">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7.“书面形式”包括信函、传真、电报、电子文档等。</w:t>
      </w:r>
    </w:p>
    <w:p w14:paraId="4F9DA1F3">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8.</w:t>
      </w:r>
      <w:r>
        <w:rPr>
          <w:rFonts w:ascii="Times New Roman" w:hAnsi="Times New Roman" w:cs="Times New Roman"/>
          <w:b/>
          <w:bCs/>
          <w:color w:val="000000" w:themeColor="text1"/>
        </w:rPr>
        <w:t xml:space="preserve"> “▲”系指实质性要求条款，未响应的作无效标处理。</w:t>
      </w:r>
    </w:p>
    <w:p w14:paraId="2F00A696">
      <w:pPr>
        <w:snapToGrid w:val="0"/>
        <w:spacing w:line="360" w:lineRule="auto"/>
        <w:ind w:firstLine="422" w:firstLineChars="200"/>
        <w:contextualSpacing/>
        <w:jc w:val="left"/>
        <w:outlineLvl w:val="1"/>
        <w:rPr>
          <w:rFonts w:ascii="Times New Roman" w:hAnsi="Times New Roman" w:cs="Times New Roman"/>
          <w:b/>
          <w:bCs/>
          <w:color w:val="000000" w:themeColor="text1"/>
        </w:rPr>
      </w:pPr>
      <w:r>
        <w:rPr>
          <w:rFonts w:ascii="Times New Roman" w:hAnsi="Times New Roman" w:cs="Times New Roman"/>
          <w:b/>
          <w:bCs/>
          <w:color w:val="000000" w:themeColor="text1"/>
        </w:rPr>
        <w:t>（三）采购方式</w:t>
      </w:r>
    </w:p>
    <w:p w14:paraId="24AB35DE">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本次采购采用公开采购方式进行。</w:t>
      </w:r>
    </w:p>
    <w:p w14:paraId="2CD32CB6">
      <w:pPr>
        <w:pStyle w:val="59"/>
        <w:snapToGrid w:val="0"/>
        <w:spacing w:beforeLines="0" w:afterLines="0" w:line="360" w:lineRule="auto"/>
        <w:ind w:left="0" w:leftChars="0" w:firstLine="211" w:firstLineChars="1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（四）采购预算</w:t>
      </w:r>
    </w:p>
    <w:p w14:paraId="3C474AE7">
      <w:pPr>
        <w:pStyle w:val="25"/>
        <w:ind w:firstLineChars="200"/>
        <w:rPr>
          <w:rFonts w:ascii="宋体" w:hAnsi="宋体"/>
          <w:color w:val="000000" w:themeColor="text1"/>
          <w:highlight w:val="none"/>
        </w:rPr>
      </w:pPr>
      <w:r>
        <w:rPr>
          <w:rFonts w:hint="eastAsia" w:ascii="宋体" w:hAnsi="宋体"/>
          <w:color w:val="000000" w:themeColor="text1"/>
          <w:highlight w:val="none"/>
        </w:rPr>
        <w:t>本次采购以最高限价</w:t>
      </w:r>
      <w:r>
        <w:rPr>
          <w:rFonts w:hint="eastAsia" w:ascii="宋体" w:hAnsi="宋体"/>
          <w:b/>
          <w:color w:val="000000" w:themeColor="text1"/>
          <w:highlight w:val="none"/>
        </w:rPr>
        <w:t>标项一：</w:t>
      </w:r>
      <w:r>
        <w:rPr>
          <w:rFonts w:hint="eastAsia" w:ascii="宋体" w:hAnsi="宋体"/>
          <w:b/>
          <w:color w:val="000000" w:themeColor="text1"/>
          <w:highlight w:val="none"/>
          <w:lang w:val="en-US" w:eastAsia="zh-CN"/>
        </w:rPr>
        <w:t>68万元</w:t>
      </w:r>
      <w:r>
        <w:rPr>
          <w:rFonts w:hint="eastAsia" w:ascii="宋体" w:hAnsi="宋体"/>
          <w:b/>
          <w:color w:val="000000" w:themeColor="text1"/>
          <w:highlight w:val="none"/>
        </w:rPr>
        <w:t>，标项二：</w:t>
      </w:r>
      <w:r>
        <w:rPr>
          <w:rFonts w:hint="eastAsia" w:ascii="宋体" w:hAnsi="宋体"/>
          <w:b/>
          <w:color w:val="000000" w:themeColor="text1"/>
          <w:highlight w:val="none"/>
          <w:lang w:val="en-US" w:eastAsia="zh-CN"/>
        </w:rPr>
        <w:t>10</w:t>
      </w:r>
      <w:r>
        <w:rPr>
          <w:rFonts w:hint="eastAsia"/>
          <w:b/>
          <w:color w:val="000000" w:themeColor="text1"/>
          <w:highlight w:val="none"/>
        </w:rPr>
        <w:t>万元</w:t>
      </w:r>
      <w:r>
        <w:rPr>
          <w:rFonts w:hint="eastAsia" w:ascii="宋体" w:hAnsi="宋体"/>
          <w:bCs/>
          <w:color w:val="000000" w:themeColor="text1"/>
          <w:highlight w:val="none"/>
        </w:rPr>
        <w:t>作为上</w:t>
      </w:r>
      <w:r>
        <w:rPr>
          <w:rFonts w:hint="eastAsia" w:ascii="宋体" w:hAnsi="宋体"/>
          <w:color w:val="000000" w:themeColor="text1"/>
          <w:highlight w:val="none"/>
        </w:rPr>
        <w:t>限价</w:t>
      </w:r>
      <w:r>
        <w:rPr>
          <w:rFonts w:ascii="宋体" w:hAnsi="宋体"/>
          <w:color w:val="000000" w:themeColor="text1"/>
          <w:highlight w:val="none"/>
        </w:rPr>
        <w:t>。</w:t>
      </w:r>
    </w:p>
    <w:p w14:paraId="07D4BFCC">
      <w:pPr>
        <w:pStyle w:val="2"/>
        <w:numPr>
          <w:ilvl w:val="0"/>
          <w:numId w:val="5"/>
        </w:numPr>
        <w:snapToGrid w:val="0"/>
        <w:spacing w:line="360" w:lineRule="auto"/>
        <w:ind w:firstLine="422" w:firstLineChars="200"/>
        <w:contextualSpacing/>
        <w:rPr>
          <w:rFonts w:ascii="Times New Roman" w:hAnsi="Times New Roman" w:cs="Times New Roman"/>
          <w:b/>
          <w:bCs/>
          <w:color w:val="000000" w:themeColor="text1"/>
          <w:sz w:val="21"/>
          <w:szCs w:val="21"/>
          <w:highlight w:val="none"/>
        </w:rPr>
      </w:pPr>
      <w:r>
        <w:rPr>
          <w:rFonts w:ascii="Times New Roman" w:hAnsi="Times New Roman" w:cs="Times New Roman"/>
          <w:b/>
          <w:bCs/>
          <w:color w:val="000000" w:themeColor="text1"/>
          <w:sz w:val="21"/>
          <w:szCs w:val="21"/>
          <w:highlight w:val="none"/>
        </w:rPr>
        <w:t>费用</w:t>
      </w:r>
    </w:p>
    <w:p w14:paraId="5A40B843">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不论采购结果如何，投标人均应自行承担所有与投标有关的全部费用（采购文件另有规定除外）。</w:t>
      </w:r>
    </w:p>
    <w:p w14:paraId="103342FB">
      <w:pPr>
        <w:pStyle w:val="59"/>
        <w:numPr>
          <w:ilvl w:val="255"/>
          <w:numId w:val="0"/>
        </w:numPr>
        <w:snapToGrid w:val="0"/>
        <w:spacing w:beforeLines="0" w:afterLines="0" w:line="360" w:lineRule="auto"/>
        <w:ind w:firstLine="211" w:firstLineChars="100"/>
        <w:contextualSpacing/>
        <w:rPr>
          <w:rFonts w:ascii="Times New Roman" w:hAnsi="Times New Roman" w:eastAsia="宋体" w:cs="Times New Roman"/>
          <w:b/>
          <w:bCs/>
          <w:color w:val="000000" w:themeColor="text1"/>
          <w:sz w:val="21"/>
          <w:szCs w:val="21"/>
          <w:highlight w:val="none"/>
        </w:rPr>
      </w:pPr>
      <w:r>
        <w:rPr>
          <w:rFonts w:hint="eastAsia" w:ascii="Times New Roman" w:hAnsi="Times New Roman" w:eastAsia="宋体" w:cs="Times New Roman"/>
          <w:b/>
          <w:bCs/>
          <w:color w:val="000000" w:themeColor="text1"/>
          <w:sz w:val="21"/>
          <w:szCs w:val="21"/>
          <w:highlight w:val="none"/>
        </w:rPr>
        <w:t>（六）</w:t>
      </w:r>
      <w:r>
        <w:rPr>
          <w:rFonts w:ascii="Times New Roman" w:hAnsi="Times New Roman" w:eastAsia="宋体" w:cs="Times New Roman"/>
          <w:b/>
          <w:bCs/>
          <w:color w:val="000000" w:themeColor="text1"/>
          <w:sz w:val="21"/>
          <w:szCs w:val="21"/>
          <w:highlight w:val="none"/>
        </w:rPr>
        <w:t>联合体投标</w:t>
      </w:r>
    </w:p>
    <w:p w14:paraId="745EB2EE">
      <w:pPr>
        <w:snapToGrid w:val="0"/>
        <w:spacing w:line="360" w:lineRule="auto"/>
        <w:ind w:right="-506" w:rightChars="-241" w:firstLine="420" w:firstLineChars="200"/>
        <w:contextualSpacing/>
        <w:jc w:val="left"/>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本项目不接受联合体投标。</w:t>
      </w:r>
    </w:p>
    <w:p w14:paraId="66141945">
      <w:pPr>
        <w:pStyle w:val="59"/>
        <w:numPr>
          <w:ilvl w:val="255"/>
          <w:numId w:val="0"/>
        </w:numPr>
        <w:snapToGrid w:val="0"/>
        <w:spacing w:beforeLines="0" w:afterLines="0" w:line="360" w:lineRule="auto"/>
        <w:ind w:firstLine="211" w:firstLineChars="100"/>
        <w:contextualSpacing/>
        <w:rPr>
          <w:rFonts w:ascii="Times New Roman" w:hAnsi="Times New Roman" w:eastAsia="宋体" w:cs="Times New Roman"/>
          <w:b/>
          <w:bCs/>
          <w:color w:val="000000" w:themeColor="text1"/>
          <w:sz w:val="21"/>
          <w:szCs w:val="21"/>
          <w:highlight w:val="none"/>
        </w:rPr>
      </w:pPr>
      <w:r>
        <w:rPr>
          <w:rFonts w:hint="eastAsia" w:ascii="Times New Roman" w:hAnsi="Times New Roman" w:eastAsia="宋体" w:cs="Times New Roman"/>
          <w:b/>
          <w:bCs/>
          <w:color w:val="000000" w:themeColor="text1"/>
          <w:sz w:val="21"/>
          <w:szCs w:val="21"/>
          <w:highlight w:val="none"/>
        </w:rPr>
        <w:t>（七）</w:t>
      </w:r>
      <w:r>
        <w:rPr>
          <w:rFonts w:ascii="Times New Roman" w:hAnsi="Times New Roman" w:eastAsia="宋体" w:cs="Times New Roman"/>
          <w:b/>
          <w:bCs/>
          <w:color w:val="000000" w:themeColor="text1"/>
          <w:sz w:val="21"/>
          <w:szCs w:val="21"/>
          <w:highlight w:val="none"/>
        </w:rPr>
        <w:t>转包与分包</w:t>
      </w:r>
    </w:p>
    <w:p w14:paraId="6C55F06B">
      <w:pPr>
        <w:snapToGrid w:val="0"/>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1.本项目不允许转包。</w:t>
      </w:r>
    </w:p>
    <w:p w14:paraId="58168147">
      <w:pPr>
        <w:pStyle w:val="2"/>
        <w:spacing w:after="0" w:line="360" w:lineRule="auto"/>
        <w:ind w:firstLine="420" w:firstLineChars="200"/>
        <w:contextualSpacing/>
        <w:rPr>
          <w:rFonts w:ascii="Times New Roman" w:hAnsi="Times New Roman" w:cs="Times New Roman"/>
          <w:color w:val="000000" w:themeColor="text1"/>
          <w:kern w:val="2"/>
          <w:sz w:val="21"/>
          <w:szCs w:val="21"/>
          <w:highlight w:val="none"/>
        </w:rPr>
      </w:pPr>
      <w:r>
        <w:rPr>
          <w:rFonts w:ascii="Times New Roman" w:hAnsi="Times New Roman" w:cs="Times New Roman"/>
          <w:color w:val="000000" w:themeColor="text1"/>
          <w:kern w:val="2"/>
          <w:sz w:val="21"/>
          <w:szCs w:val="21"/>
          <w:highlight w:val="none"/>
        </w:rPr>
        <w:t>2.本项目不允许</w:t>
      </w:r>
      <w:r>
        <w:rPr>
          <w:rFonts w:hint="default" w:ascii="Times New Roman" w:hAnsi="Times New Roman" w:cs="Times New Roman"/>
          <w:color w:val="000000" w:themeColor="text1"/>
          <w:kern w:val="2"/>
          <w:sz w:val="21"/>
          <w:szCs w:val="21"/>
          <w:highlight w:val="none"/>
          <w:lang w:val="en-US" w:eastAsia="zh-CN"/>
        </w:rPr>
        <w:t>分</w:t>
      </w:r>
      <w:r>
        <w:rPr>
          <w:rFonts w:ascii="Times New Roman" w:hAnsi="Times New Roman" w:cs="Times New Roman"/>
          <w:color w:val="000000" w:themeColor="text1"/>
          <w:kern w:val="2"/>
          <w:sz w:val="21"/>
          <w:szCs w:val="21"/>
          <w:highlight w:val="none"/>
        </w:rPr>
        <w:t>包。</w:t>
      </w:r>
    </w:p>
    <w:p w14:paraId="6A61ECF1">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（八）踏勘现场和投标费用</w:t>
      </w:r>
    </w:p>
    <w:p w14:paraId="7BECAC4D">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1．投标人可以对项目实施现场及周围环境进行踏勘，以便获取有关编制投标文件和签署合同所涉及现场的资料。投标人应承担踏勘现场所发生的自身费用。</w:t>
      </w:r>
    </w:p>
    <w:p w14:paraId="36754637">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2．招标人向投标人提供的有关现场的数据和资料，是招标人现有的能被投标人利用的资料，招标人对投标人做出的任何推论、理解和结论不负责任。</w:t>
      </w:r>
    </w:p>
    <w:p w14:paraId="078D94E8">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3．经招标人允许，投标人可为踏勘目的进入招标人的项目现场，但投标人不得因此使招标人承担有关的责任和蒙受损失。投标人应承担踏勘现场的责任和风险。</w:t>
      </w:r>
    </w:p>
    <w:p w14:paraId="4FAB0EC5">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4．无论投标结果如何，投标人自行承担其所有与参加投标有关的全部费用。投标文件一律不退还。</w:t>
      </w:r>
    </w:p>
    <w:p w14:paraId="3BB72B32">
      <w:pPr>
        <w:pStyle w:val="59"/>
        <w:snapToGrid w:val="0"/>
        <w:spacing w:beforeLines="0" w:afterLines="0" w:line="360" w:lineRule="auto"/>
        <w:ind w:left="416" w:left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▲（九）特别说明：</w:t>
      </w:r>
    </w:p>
    <w:p w14:paraId="50E96E7A">
      <w:pPr>
        <w:pStyle w:val="2"/>
        <w:spacing w:after="0" w:line="360" w:lineRule="auto"/>
        <w:ind w:firstLine="480"/>
        <w:contextualSpacing/>
        <w:rPr>
          <w:rFonts w:ascii="Times New Roman" w:hAnsi="Times New Roman" w:cs="Times New Roman"/>
          <w:color w:val="000000" w:themeColor="text1"/>
        </w:rPr>
      </w:pPr>
      <w:r>
        <w:rPr>
          <w:rFonts w:ascii="Times New Roman" w:hAnsi="Times New Roman" w:cs="Times New Roman"/>
          <w:snapToGrid w:val="0"/>
          <w:color w:val="000000" w:themeColor="text1"/>
          <w:sz w:val="21"/>
          <w:szCs w:val="21"/>
        </w:rPr>
        <w:t>1.对投标人的限制</w:t>
      </w:r>
    </w:p>
    <w:p w14:paraId="6DD50A22">
      <w:pPr>
        <w:snapToGrid w:val="0"/>
        <w:spacing w:line="360" w:lineRule="auto"/>
        <w:ind w:firstLine="422" w:firstLineChars="200"/>
        <w:contextualSpacing/>
        <w:jc w:val="left"/>
        <w:rPr>
          <w:rFonts w:ascii="Times New Roman" w:hAnsi="Times New Roman" w:cs="Times New Roman"/>
          <w:b/>
          <w:bCs/>
          <w:color w:val="000000" w:themeColor="text1"/>
        </w:rPr>
      </w:pPr>
      <w:r>
        <w:rPr>
          <w:rFonts w:ascii="Times New Roman" w:hAnsi="Times New Roman" w:cs="Times New Roman"/>
          <w:b/>
          <w:bCs/>
          <w:snapToGrid w:val="0"/>
          <w:color w:val="000000" w:themeColor="text1"/>
          <w:kern w:val="0"/>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436D8E82">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2.投标人投标所使用的资格、信誉、荣誉、业绩与企业认证必须为本法人所拥有。投标人投标所使用的采购项目实施人员必须为本法人员工（或必须为本法人或控股公司正式员工）。</w:t>
      </w:r>
    </w:p>
    <w:p w14:paraId="72122B16">
      <w:pPr>
        <w:snapToGrid w:val="0"/>
        <w:spacing w:line="360" w:lineRule="auto"/>
        <w:ind w:right="-506" w:rightChars="-241"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3.投标人应仔细阅读采购文件的所有内容，按照采购文件的要求提交投标响应文件，并对所提供的全部资料的真实性承担法律责任。</w:t>
      </w:r>
    </w:p>
    <w:p w14:paraId="0E17520F">
      <w:pPr>
        <w:pStyle w:val="59"/>
        <w:snapToGrid w:val="0"/>
        <w:spacing w:beforeLines="0" w:afterLines="0" w:line="360" w:lineRule="auto"/>
        <w:ind w:left="416" w:leftChars="198"/>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（十）质疑和投诉</w:t>
      </w:r>
    </w:p>
    <w:p w14:paraId="2A5F9768">
      <w:pPr>
        <w:pStyle w:val="59"/>
        <w:snapToGrid w:val="0"/>
        <w:spacing w:beforeLines="0" w:afterLines="0" w:line="360" w:lineRule="auto"/>
        <w:ind w:firstLine="413" w:firstLineChars="196"/>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1、质疑</w:t>
      </w:r>
    </w:p>
    <w:p w14:paraId="49D1076E">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1.1</w:t>
      </w:r>
      <w:r>
        <w:rPr>
          <w:rFonts w:ascii="Times New Roman" w:hAnsi="Times New Roman" w:cs="Times New Roman"/>
          <w:color w:val="000000" w:themeColor="text1"/>
          <w:kern w:val="0"/>
        </w:rPr>
        <w:t>根据财政部94号令（《政府采购质疑和投诉办法》）的规定，</w:t>
      </w:r>
      <w:r>
        <w:rPr>
          <w:rFonts w:ascii="Times New Roman" w:hAnsi="Times New Roman" w:cs="Times New Roman"/>
          <w:color w:val="000000" w:themeColor="text1"/>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00699964">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（1）投标人如认为招标公告信息使自身的合法权益受到损害的，应于自招标公告期限届满之日起七个工作日内以书面形式向招标代理机构提出质疑；</w:t>
      </w:r>
    </w:p>
    <w:p w14:paraId="72E53B9A">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（2）投标人如认为采购文件使自身的合法权益受到损害的，应按投标人须知前附表中质疑一栏中规定时间内提出要求；</w:t>
      </w:r>
    </w:p>
    <w:p w14:paraId="54E4C2D3">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（3）对采购过程提出质疑的，为各采购程序环节结束之日；</w:t>
      </w:r>
    </w:p>
    <w:p w14:paraId="26A350CB">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（4）投标人如认为招标过程和中标结果使自身的合法权益受到损害的，应于中标结果公告期限届满之日起七个工作日内以书面形式向招标代理机构一次性提出针对同一采购程序环节的质疑。</w:t>
      </w:r>
    </w:p>
    <w:p w14:paraId="4868FF85">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1.2提出质疑的投标人（以下简称质疑投标人）应当是参与所质疑项目采购活动的投标人。</w:t>
      </w:r>
    </w:p>
    <w:p w14:paraId="26799B07">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1.3投标人为自然人的，应当由本人签字；投标人为法人或者其他组织的，应当由法定代表人、主要负责人，并加盖公章。</w:t>
      </w:r>
    </w:p>
    <w:p w14:paraId="1077026F">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17EF148E">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以联合体形式参加政府采购活动的，其投诉应当由组成联合体的所有投标人共同提出。</w:t>
      </w:r>
    </w:p>
    <w:p w14:paraId="58B69869">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1.4投标人提交的质疑书需一式三份，质疑书至少应包括下列主要内容：</w:t>
      </w:r>
    </w:p>
    <w:p w14:paraId="2BAD1682">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（一）投标人的姓名或者名称、地址、邮编、联系人及联系电话；</w:t>
      </w:r>
    </w:p>
    <w:p w14:paraId="526AF3AE">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（二）质疑项目的名称、编号；</w:t>
      </w:r>
    </w:p>
    <w:p w14:paraId="4BD8DD2A">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（三）具体、明确的质疑事项和与质疑事项相关的请求；</w:t>
      </w:r>
    </w:p>
    <w:p w14:paraId="599774D0">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（四）事实依据；</w:t>
      </w:r>
    </w:p>
    <w:p w14:paraId="742DFCBF">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（五）必要的法律依据；</w:t>
      </w:r>
    </w:p>
    <w:p w14:paraId="71052EAC">
      <w:pPr>
        <w:spacing w:line="360" w:lineRule="auto"/>
        <w:ind w:firstLine="420"/>
        <w:contextualSpacing/>
        <w:rPr>
          <w:rFonts w:ascii="Times New Roman" w:hAnsi="Times New Roman" w:cs="Times New Roman"/>
          <w:color w:val="000000" w:themeColor="text1"/>
        </w:rPr>
      </w:pPr>
      <w:r>
        <w:rPr>
          <w:rFonts w:ascii="Times New Roman" w:hAnsi="Times New Roman" w:cs="Times New Roman"/>
          <w:color w:val="000000" w:themeColor="text1"/>
        </w:rPr>
        <w:t>（六）提出质疑的日期。</w:t>
      </w:r>
    </w:p>
    <w:p w14:paraId="7E669D61">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1.5</w:t>
      </w:r>
      <w:r>
        <w:rPr>
          <w:rFonts w:ascii="Times New Roman" w:hAnsi="Times New Roman" w:cs="Times New Roman"/>
          <w:color w:val="000000" w:themeColor="text1"/>
          <w:shd w:val="clear" w:color="auto" w:fill="FFFFFF"/>
        </w:rPr>
        <w:t>采购人、采购代理机构不得拒收质疑投标人在法定质疑期内发出的质疑函，应当在收到质疑函后7个工作日内作出答复，质疑答复的内容不得涉及商业秘密，并以书面形式通知质疑投标人和其他有关投标人。</w:t>
      </w:r>
    </w:p>
    <w:p w14:paraId="05A9AEE9">
      <w:pPr>
        <w:pStyle w:val="59"/>
        <w:snapToGrid w:val="0"/>
        <w:spacing w:beforeLines="0" w:afterLines="0" w:line="360" w:lineRule="auto"/>
        <w:ind w:left="0" w:leftChars="0" w:firstLine="0" w:firstLineChars="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2、投诉</w:t>
      </w:r>
    </w:p>
    <w:p w14:paraId="0EC29052">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2.1质疑投标人对采购人、采购代理机构的答复不满意，或者采购人、采购代理机构未在规定时间内作出答复的，可以在答复期满后15个工作日内向</w:t>
      </w:r>
      <w:r>
        <w:rPr>
          <w:rFonts w:ascii="Times New Roman" w:hAnsi="Times New Roman" w:cs="Times New Roman"/>
          <w:color w:val="000000" w:themeColor="text1"/>
          <w:kern w:val="0"/>
        </w:rPr>
        <w:t>《政府采购质疑和投诉办法》</w:t>
      </w:r>
      <w:r>
        <w:rPr>
          <w:rFonts w:ascii="Times New Roman" w:hAnsi="Times New Roman" w:cs="Times New Roman"/>
          <w:color w:val="000000" w:themeColor="text1"/>
          <w:shd w:val="clear" w:color="auto" w:fill="FFFFFF"/>
        </w:rPr>
        <w:t>第六条规定的财政部门提起投诉。</w:t>
      </w:r>
    </w:p>
    <w:p w14:paraId="4B0E6216">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2.2投标人投诉的事项不得超出已质疑事项的范围，但基于质疑答复内容提出的投诉事项除外。</w:t>
      </w:r>
    </w:p>
    <w:p w14:paraId="0BAA74BD">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2.3投诉人提起投诉应当符合下列条件：</w:t>
      </w:r>
    </w:p>
    <w:p w14:paraId="5CAA31BF">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（一）提起投诉前已依法进行质疑；</w:t>
      </w:r>
    </w:p>
    <w:p w14:paraId="631FB60C">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（二）投诉书内容符合本办法的规定；</w:t>
      </w:r>
    </w:p>
    <w:p w14:paraId="49CDD004">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（三）在投诉有效期限内提起投诉；</w:t>
      </w:r>
    </w:p>
    <w:p w14:paraId="6A06832B">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（四）同一投诉事项未经财政部门投诉处理；</w:t>
      </w:r>
    </w:p>
    <w:p w14:paraId="2970E45D">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（五）财政部规定的其他条件。</w:t>
      </w:r>
    </w:p>
    <w:p w14:paraId="1CD39EEA">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2.4投诉人在全国范围12个月内三次以上投诉查无实据的，由财政部门列入不良行为记录名单。</w:t>
      </w:r>
    </w:p>
    <w:p w14:paraId="2D24B11B">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2.5投诉人有下列行为之一的，属于虚假、恶意投诉，由财政部门列入不良行为记录名单，禁止其1至3年内参加政府采购活动：</w:t>
      </w:r>
    </w:p>
    <w:p w14:paraId="2110471B">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（一）捏造事实；</w:t>
      </w:r>
    </w:p>
    <w:p w14:paraId="4848A5C1">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（二）提供虚假材料；</w:t>
      </w:r>
    </w:p>
    <w:p w14:paraId="23074F75">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（三）以非法手段取得证明材料。证据来源的合法性存在明显疑问，投诉人无法证明其取得方式合法的，视为以非法手段取得证明材料。</w:t>
      </w:r>
    </w:p>
    <w:p w14:paraId="7D1E6040">
      <w:pPr>
        <w:spacing w:line="360" w:lineRule="auto"/>
        <w:ind w:firstLine="420"/>
        <w:contextual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2.6</w:t>
      </w:r>
      <w:r>
        <w:rPr>
          <w:rFonts w:ascii="Times New Roman" w:hAnsi="Times New Roman" w:cs="Times New Roman"/>
          <w:color w:val="000000" w:themeColor="text1"/>
          <w:kern w:val="0"/>
        </w:rPr>
        <w:t>政府采购投标人质疑函范本，详见格式。</w:t>
      </w:r>
    </w:p>
    <w:p w14:paraId="611381DC">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二、采购文件</w:t>
      </w:r>
    </w:p>
    <w:p w14:paraId="41BBC40B">
      <w:pPr>
        <w:spacing w:line="360" w:lineRule="auto"/>
        <w:ind w:right="-241"/>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（一）采购文件的构成。本采购文件由以下部份组成：</w:t>
      </w:r>
    </w:p>
    <w:p w14:paraId="32D94607">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第一章采购公告</w:t>
      </w:r>
    </w:p>
    <w:p w14:paraId="7E03E45A">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第二章采购需求</w:t>
      </w:r>
    </w:p>
    <w:p w14:paraId="40925F3F">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第三章投标人须知</w:t>
      </w:r>
    </w:p>
    <w:p w14:paraId="76C01415">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第四章评标办法及标准</w:t>
      </w:r>
    </w:p>
    <w:p w14:paraId="40383F40">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第五章合同主要条款</w:t>
      </w:r>
    </w:p>
    <w:p w14:paraId="496FCF68">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第六章投标文件相关格式</w:t>
      </w:r>
    </w:p>
    <w:p w14:paraId="54DE3392">
      <w:pPr>
        <w:spacing w:line="360" w:lineRule="auto"/>
        <w:ind w:right="-238"/>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（二）投标人的风险</w:t>
      </w:r>
    </w:p>
    <w:p w14:paraId="6A590B73">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投标人没有按照采购文件要求提供全部资料，或者投标人没有对采购文件在各方面作出实质性响应是投标人的风险，责任自负。</w:t>
      </w:r>
    </w:p>
    <w:p w14:paraId="41CE9EA0">
      <w:pPr>
        <w:spacing w:line="360" w:lineRule="auto"/>
        <w:ind w:right="-238"/>
        <w:contextualSpacing/>
        <w:jc w:val="left"/>
        <w:rPr>
          <w:rFonts w:ascii="Times New Roman" w:hAnsi="Times New Roman" w:cs="Times New Roman"/>
          <w:b/>
          <w:bCs/>
          <w:color w:val="000000" w:themeColor="text1"/>
        </w:rPr>
      </w:pPr>
      <w:r>
        <w:rPr>
          <w:rFonts w:ascii="Times New Roman" w:hAnsi="Times New Roman" w:cs="Times New Roman"/>
          <w:b/>
          <w:bCs/>
          <w:color w:val="000000" w:themeColor="text1"/>
        </w:rPr>
        <w:t>（三）采购文件的澄清与修改</w:t>
      </w:r>
    </w:p>
    <w:p w14:paraId="038E10F4">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1、投标人应认真阅读本采购文件，发现其中有误或有要求不合理的，投标人须在采购公告期限届满之日起7个工作日内，以书面形式一次性向采购人和采购代理机构提出。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444F33EE">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F0A5418">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3、采购文件澄清、答复、修改、补充的内容为采购文件的组成部分。当采购文件与采购文件的答复、澄清、修改、补充通知就同一内容的表述不一致时，以最后发出的变更公告为准。</w:t>
      </w:r>
    </w:p>
    <w:p w14:paraId="575F7C0B">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4、采购文件的澄清、答复、修改或补充都应该通过本代理机构以法定形式发布。</w:t>
      </w:r>
    </w:p>
    <w:p w14:paraId="220E41FE">
      <w:pPr>
        <w:pStyle w:val="59"/>
        <w:snapToGrid w:val="0"/>
        <w:spacing w:before="159" w:after="159" w:line="360" w:lineRule="auto"/>
        <w:ind w:right="-506" w:rightChars="-241"/>
        <w:jc w:val="center"/>
        <w:rPr>
          <w:rFonts w:hAnsi="宋体" w:eastAsia="宋体"/>
          <w:b/>
          <w:color w:val="000000" w:themeColor="text1"/>
          <w:sz w:val="28"/>
          <w:szCs w:val="28"/>
        </w:rPr>
      </w:pPr>
      <w:r>
        <w:rPr>
          <w:rFonts w:hint="eastAsia" w:hAnsi="宋体" w:eastAsia="宋体"/>
          <w:b/>
          <w:color w:val="000000" w:themeColor="text1"/>
          <w:sz w:val="28"/>
          <w:szCs w:val="28"/>
        </w:rPr>
        <w:t>三、投标文件的编制</w:t>
      </w:r>
    </w:p>
    <w:p w14:paraId="12871347">
      <w:pPr>
        <w:snapToGrid w:val="0"/>
        <w:spacing w:line="360" w:lineRule="auto"/>
        <w:ind w:right="55" w:firstLine="472" w:firstLineChars="196"/>
        <w:jc w:val="left"/>
        <w:outlineLvl w:val="0"/>
        <w:rPr>
          <w:rFonts w:ascii="宋体"/>
          <w:b/>
          <w:color w:val="000000" w:themeColor="text1"/>
          <w:sz w:val="24"/>
        </w:rPr>
      </w:pPr>
      <w:r>
        <w:rPr>
          <w:rFonts w:hint="eastAsia" w:ascii="宋体"/>
          <w:b/>
          <w:color w:val="000000" w:themeColor="text1"/>
          <w:sz w:val="24"/>
        </w:rPr>
        <w:t>（</w:t>
      </w:r>
      <w:r>
        <w:rPr>
          <w:rFonts w:hint="eastAsia" w:ascii="宋体" w:hAnsi="宋体"/>
          <w:b/>
          <w:color w:val="000000" w:themeColor="text1"/>
        </w:rPr>
        <w:t>一）投标文件的组成</w:t>
      </w:r>
    </w:p>
    <w:p w14:paraId="509E1A29">
      <w:pPr>
        <w:snapToGrid w:val="0"/>
        <w:spacing w:line="360" w:lineRule="auto"/>
        <w:ind w:right="55" w:firstLine="411" w:firstLineChars="196"/>
        <w:jc w:val="left"/>
        <w:outlineLvl w:val="0"/>
        <w:rPr>
          <w:rFonts w:ascii="Times New Roman" w:hAnsi="Times New Roman"/>
          <w:color w:val="000000" w:themeColor="text1"/>
        </w:rPr>
      </w:pPr>
      <w:r>
        <w:rPr>
          <w:rFonts w:hint="eastAsia" w:ascii="Times New Roman" w:hAnsi="Times New Roman"/>
          <w:color w:val="000000" w:themeColor="text1"/>
        </w:rPr>
        <w:t>投标文件由资格响应文件、商务及技术响应文件、报价文件三部份组成。</w:t>
      </w:r>
      <w:r>
        <w:rPr>
          <w:rFonts w:hint="eastAsia" w:ascii="Times New Roman" w:hAnsi="Times New Roman"/>
          <w:color w:val="000000" w:themeColor="text1"/>
          <w:u w:val="single"/>
        </w:rPr>
        <w:t>电子投标文件中所须加盖公章部分均采用CA签章</w:t>
      </w:r>
      <w:r>
        <w:rPr>
          <w:rFonts w:hint="eastAsia" w:ascii="Times New Roman" w:hAnsi="Times New Roman"/>
          <w:color w:val="000000" w:themeColor="text1"/>
        </w:rPr>
        <w:t>。（投标文件的组成和格式见本采购文件第六章）</w:t>
      </w:r>
    </w:p>
    <w:p w14:paraId="52709A79">
      <w:pPr>
        <w:snapToGrid w:val="0"/>
        <w:spacing w:line="360" w:lineRule="auto"/>
        <w:ind w:right="55" w:firstLine="413" w:firstLineChars="196"/>
        <w:jc w:val="left"/>
        <w:outlineLvl w:val="0"/>
        <w:rPr>
          <w:rFonts w:ascii="宋体" w:hAnsi="宋体"/>
          <w:b/>
          <w:color w:val="000000" w:themeColor="text1"/>
        </w:rPr>
      </w:pPr>
      <w:r>
        <w:rPr>
          <w:rFonts w:hint="eastAsia" w:ascii="宋体" w:hAnsi="宋体"/>
          <w:b/>
          <w:color w:val="000000" w:themeColor="text1"/>
        </w:rPr>
        <w:t>（二）投标文件的编制</w:t>
      </w:r>
    </w:p>
    <w:p w14:paraId="3E6B7CCC">
      <w:pPr>
        <w:snapToGrid w:val="0"/>
        <w:spacing w:line="360" w:lineRule="auto"/>
        <w:ind w:right="55" w:firstLine="411" w:firstLineChars="196"/>
        <w:jc w:val="left"/>
        <w:outlineLvl w:val="0"/>
        <w:rPr>
          <w:rFonts w:ascii="Times New Roman" w:hAnsi="Times New Roman"/>
          <w:color w:val="000000" w:themeColor="text1"/>
        </w:rPr>
      </w:pPr>
      <w:r>
        <w:rPr>
          <w:rFonts w:hint="eastAsia" w:ascii="Times New Roman" w:hAnsi="Times New Roman"/>
          <w:color w:val="000000" w:themeColor="text1"/>
        </w:rPr>
        <w:t>投标人应根据“政采云供应商项目采购-电子交易操作指南”及本采购文件规定的格式和顺序编制电子投标文件并进行关联定位。</w:t>
      </w:r>
    </w:p>
    <w:p w14:paraId="5C0321B6">
      <w:pPr>
        <w:snapToGrid w:val="0"/>
        <w:spacing w:line="360" w:lineRule="auto"/>
        <w:ind w:right="55" w:firstLine="411" w:firstLineChars="196"/>
        <w:jc w:val="left"/>
        <w:outlineLvl w:val="0"/>
        <w:rPr>
          <w:rFonts w:ascii="宋体"/>
          <w:b/>
          <w:color w:val="000000" w:themeColor="text1"/>
          <w:sz w:val="24"/>
        </w:rPr>
      </w:pPr>
      <w:r>
        <w:rPr>
          <w:rFonts w:hint="eastAsia" w:ascii="宋体" w:hAnsi="宋体"/>
          <w:color w:val="000000" w:themeColor="text1"/>
        </w:rPr>
        <w:t>（三）</w:t>
      </w:r>
      <w:r>
        <w:rPr>
          <w:rFonts w:hint="eastAsia" w:ascii="宋体" w:hAnsi="宋体"/>
          <w:b/>
          <w:color w:val="000000" w:themeColor="text1"/>
        </w:rPr>
        <w:t>投标文件的语言及计量</w:t>
      </w:r>
    </w:p>
    <w:p w14:paraId="60A069DF">
      <w:pPr>
        <w:snapToGrid w:val="0"/>
        <w:spacing w:line="360" w:lineRule="auto"/>
        <w:ind w:firstLine="420" w:firstLineChars="200"/>
        <w:jc w:val="left"/>
        <w:rPr>
          <w:rFonts w:ascii="宋体" w:cs="宋体"/>
          <w:color w:val="000000" w:themeColor="text1"/>
        </w:rPr>
      </w:pPr>
      <w:r>
        <w:rPr>
          <w:rFonts w:ascii="宋体" w:hAnsi="宋体" w:cs="宋体"/>
          <w:color w:val="000000" w:themeColor="text1"/>
        </w:rPr>
        <w:t>1.</w:t>
      </w:r>
      <w:r>
        <w:rPr>
          <w:rFonts w:hint="eastAsia" w:ascii="宋体" w:hAnsi="宋体" w:cs="宋体"/>
          <w:color w:val="000000" w:themeColor="text1"/>
        </w:rPr>
        <w:t>投标文件以及投标人与采购人就有关投标事宜的所有来往函电，均应以中文汉语书写。除签名、盖章、专用名称等特殊情形外，以中文汉语以外的文字表述的投标文件视同未提供。</w:t>
      </w:r>
    </w:p>
    <w:p w14:paraId="136615C0">
      <w:pPr>
        <w:snapToGrid w:val="0"/>
        <w:spacing w:line="360" w:lineRule="auto"/>
        <w:ind w:firstLine="420" w:firstLineChars="200"/>
        <w:jc w:val="left"/>
        <w:rPr>
          <w:rFonts w:ascii="宋体" w:cs="宋体"/>
          <w:color w:val="000000" w:themeColor="text1"/>
        </w:rPr>
      </w:pPr>
      <w:r>
        <w:rPr>
          <w:rFonts w:ascii="宋体" w:hAnsi="宋体" w:cs="宋体"/>
          <w:color w:val="000000" w:themeColor="text1"/>
        </w:rPr>
        <w:t>2.</w:t>
      </w:r>
      <w:r>
        <w:rPr>
          <w:rFonts w:hint="eastAsia" w:ascii="宋体" w:hAnsi="宋体" w:cs="宋体"/>
          <w:color w:val="000000" w:themeColor="text1"/>
        </w:rPr>
        <w:t>投标计量单位，采购文件已有明确规定的，使用采购文件规定的计量单位；采购文件没有规定的，应采用中华人民共和国法定计量单位（货币单位：人民币元），否则视同未响应。</w:t>
      </w:r>
    </w:p>
    <w:p w14:paraId="2A122E86">
      <w:pPr>
        <w:tabs>
          <w:tab w:val="left" w:pos="0"/>
        </w:tabs>
        <w:spacing w:line="360" w:lineRule="auto"/>
        <w:ind w:firstLine="422" w:firstLineChars="200"/>
        <w:rPr>
          <w:rFonts w:ascii="宋体"/>
          <w:b/>
          <w:color w:val="000000" w:themeColor="text1"/>
        </w:rPr>
      </w:pPr>
      <w:r>
        <w:rPr>
          <w:rFonts w:hint="eastAsia" w:ascii="宋体" w:hAnsi="宋体"/>
          <w:b/>
          <w:color w:val="000000" w:themeColor="text1"/>
        </w:rPr>
        <w:t>（四）响应报价</w:t>
      </w:r>
    </w:p>
    <w:p w14:paraId="01F66C26">
      <w:pPr>
        <w:pStyle w:val="9"/>
        <w:numPr>
          <w:ilvl w:val="0"/>
          <w:numId w:val="0"/>
        </w:numPr>
        <w:tabs>
          <w:tab w:val="left" w:pos="720"/>
          <w:tab w:val="clear" w:pos="360"/>
        </w:tabs>
        <w:snapToGrid w:val="0"/>
        <w:spacing w:line="360" w:lineRule="auto"/>
        <w:ind w:firstLine="420" w:firstLineChars="200"/>
        <w:rPr>
          <w:rFonts w:ascii="宋体" w:cs="宋体"/>
          <w:color w:val="000000" w:themeColor="text1"/>
        </w:rPr>
      </w:pPr>
      <w:r>
        <w:rPr>
          <w:rFonts w:ascii="宋体" w:hAnsi="宋体" w:cs="宋体"/>
          <w:color w:val="000000" w:themeColor="text1"/>
        </w:rPr>
        <w:t xml:space="preserve">1. </w:t>
      </w:r>
      <w:r>
        <w:rPr>
          <w:rFonts w:hint="eastAsia" w:ascii="宋体" w:hAnsi="宋体" w:cs="宋体"/>
          <w:color w:val="000000" w:themeColor="text1"/>
        </w:rPr>
        <w:t>投标报价应以人民币报价，投标人报价应是</w:t>
      </w:r>
      <w:r>
        <w:rPr>
          <w:b/>
          <w:bCs/>
          <w:color w:val="000000" w:themeColor="text1"/>
        </w:rPr>
        <w:t>包括完成本项目服务工作所需的人力物力成本、管理费、</w:t>
      </w:r>
      <w:r>
        <w:rPr>
          <w:rFonts w:hint="eastAsia"/>
          <w:b/>
          <w:bCs/>
          <w:color w:val="000000" w:themeColor="text1"/>
        </w:rPr>
        <w:t>代理服务费、</w:t>
      </w:r>
      <w:r>
        <w:rPr>
          <w:b/>
          <w:bCs/>
          <w:color w:val="000000" w:themeColor="text1"/>
        </w:rPr>
        <w:t>其他费用、利润、税金等</w:t>
      </w:r>
      <w:r>
        <w:rPr>
          <w:color w:val="000000" w:themeColor="text1"/>
        </w:rPr>
        <w:t>政策性文件规定及合同包含的所有风险、责任等各项全部费用</w:t>
      </w:r>
      <w:r>
        <w:rPr>
          <w:rFonts w:hint="eastAsia" w:ascii="宋体" w:hAnsi="宋体" w:cs="宋体"/>
          <w:color w:val="000000" w:themeColor="text1"/>
        </w:rPr>
        <w:t>。</w:t>
      </w:r>
    </w:p>
    <w:p w14:paraId="2B4A904B">
      <w:pPr>
        <w:spacing w:line="360" w:lineRule="auto"/>
        <w:ind w:firstLine="420"/>
        <w:rPr>
          <w:rFonts w:ascii="宋体"/>
          <w:color w:val="000000" w:themeColor="text1"/>
        </w:rPr>
      </w:pPr>
      <w:r>
        <w:rPr>
          <w:rFonts w:ascii="宋体" w:hAnsi="宋体" w:cs="宋体"/>
          <w:color w:val="000000" w:themeColor="text1"/>
        </w:rPr>
        <w:t>2.</w:t>
      </w:r>
      <w:r>
        <w:rPr>
          <w:rFonts w:hint="eastAsia" w:ascii="宋体" w:hAnsi="宋体" w:cs="宋体"/>
          <w:color w:val="000000" w:themeColor="text1"/>
        </w:rPr>
        <w:t>投标文件针对同一内容只允许有一个报价，有选择的或有条件的报价将不予接受。</w:t>
      </w:r>
    </w:p>
    <w:p w14:paraId="2C5A3EDE">
      <w:pPr>
        <w:snapToGrid w:val="0"/>
        <w:spacing w:line="360" w:lineRule="auto"/>
        <w:ind w:firstLine="413" w:firstLineChars="196"/>
        <w:jc w:val="left"/>
        <w:outlineLvl w:val="0"/>
        <w:rPr>
          <w:rFonts w:ascii="宋体"/>
          <w:b/>
          <w:color w:val="000000" w:themeColor="text1"/>
        </w:rPr>
      </w:pPr>
      <w:r>
        <w:rPr>
          <w:rFonts w:hint="eastAsia" w:ascii="宋体" w:hAnsi="宋体"/>
          <w:b/>
          <w:color w:val="000000" w:themeColor="text1"/>
        </w:rPr>
        <w:t>（五）投标文件的有效期</w:t>
      </w:r>
    </w:p>
    <w:p w14:paraId="55408331">
      <w:pPr>
        <w:pStyle w:val="9"/>
        <w:numPr>
          <w:ilvl w:val="0"/>
          <w:numId w:val="0"/>
        </w:numPr>
        <w:tabs>
          <w:tab w:val="left" w:pos="454"/>
          <w:tab w:val="left" w:pos="720"/>
          <w:tab w:val="left" w:pos="900"/>
        </w:tabs>
        <w:snapToGrid w:val="0"/>
        <w:spacing w:line="360" w:lineRule="auto"/>
        <w:ind w:right="-506" w:rightChars="-241" w:firstLine="420" w:firstLineChars="200"/>
        <w:rPr>
          <w:rFonts w:ascii="宋体"/>
          <w:color w:val="000000" w:themeColor="text1"/>
        </w:rPr>
      </w:pPr>
      <w:r>
        <w:rPr>
          <w:rFonts w:ascii="宋体" w:hAnsi="宋体"/>
          <w:color w:val="000000" w:themeColor="text1"/>
        </w:rPr>
        <w:t>1.</w:t>
      </w:r>
      <w:r>
        <w:rPr>
          <w:rFonts w:hint="eastAsia" w:ascii="宋体" w:hAnsi="宋体"/>
          <w:color w:val="000000" w:themeColor="text1"/>
        </w:rPr>
        <w:t>自投标截止日起</w:t>
      </w:r>
      <w:r>
        <w:rPr>
          <w:rFonts w:ascii="宋体" w:hAnsi="宋体"/>
          <w:b/>
          <w:color w:val="000000" w:themeColor="text1"/>
          <w:u w:val="single"/>
        </w:rPr>
        <w:t xml:space="preserve">90 </w:t>
      </w:r>
      <w:r>
        <w:rPr>
          <w:rFonts w:hint="eastAsia" w:ascii="宋体" w:hAnsi="宋体"/>
          <w:b/>
          <w:color w:val="000000" w:themeColor="text1"/>
        </w:rPr>
        <w:t>天</w:t>
      </w:r>
      <w:r>
        <w:rPr>
          <w:rFonts w:hint="eastAsia" w:ascii="宋体" w:hAnsi="宋体"/>
          <w:color w:val="000000" w:themeColor="text1"/>
        </w:rPr>
        <w:t>投标文件应保持有效。有效期不足的投标文件将被拒绝。</w:t>
      </w:r>
    </w:p>
    <w:p w14:paraId="3D8C1DAE">
      <w:pPr>
        <w:snapToGrid w:val="0"/>
        <w:spacing w:line="360" w:lineRule="auto"/>
        <w:ind w:right="-86" w:rightChars="-41" w:firstLine="420" w:firstLineChars="200"/>
        <w:jc w:val="left"/>
        <w:outlineLvl w:val="0"/>
        <w:rPr>
          <w:rFonts w:ascii="宋体"/>
          <w:color w:val="000000" w:themeColor="text1"/>
        </w:rPr>
      </w:pPr>
      <w:r>
        <w:rPr>
          <w:rFonts w:ascii="宋体" w:hAnsi="宋体"/>
          <w:color w:val="000000" w:themeColor="text1"/>
        </w:rPr>
        <w:t>2.</w:t>
      </w:r>
      <w:r>
        <w:rPr>
          <w:rFonts w:hint="eastAsia" w:ascii="宋体" w:hAnsi="宋体"/>
          <w:color w:val="000000" w:themeColor="text1"/>
        </w:rPr>
        <w:t>在特殊情况下，采购人可与投标人协商延长投标书的有效期，这种要求和答复均以书面形式进行。</w:t>
      </w:r>
    </w:p>
    <w:p w14:paraId="53E4921E">
      <w:pPr>
        <w:snapToGrid w:val="0"/>
        <w:spacing w:line="360" w:lineRule="auto"/>
        <w:ind w:right="55" w:firstLine="420" w:firstLineChars="200"/>
        <w:jc w:val="left"/>
        <w:outlineLvl w:val="0"/>
        <w:rPr>
          <w:rFonts w:ascii="宋体"/>
          <w:color w:val="000000" w:themeColor="text1"/>
        </w:rPr>
      </w:pPr>
      <w:r>
        <w:rPr>
          <w:rFonts w:ascii="宋体" w:hAnsi="宋体"/>
          <w:color w:val="000000" w:themeColor="text1"/>
        </w:rPr>
        <w:t>3.</w:t>
      </w:r>
      <w:r>
        <w:rPr>
          <w:rFonts w:hint="eastAsia" w:ascii="宋体" w:hAnsi="宋体"/>
          <w:color w:val="000000" w:themeColor="text1"/>
        </w:rPr>
        <w:t>中标人的投标文件自开标之日起至合同履行完毕止均应保持有效。</w:t>
      </w:r>
    </w:p>
    <w:p w14:paraId="259BCF37">
      <w:pPr>
        <w:snapToGrid w:val="0"/>
        <w:spacing w:line="360" w:lineRule="auto"/>
        <w:ind w:firstLine="413" w:firstLineChars="196"/>
        <w:jc w:val="left"/>
        <w:rPr>
          <w:rFonts w:ascii="宋体"/>
          <w:b/>
          <w:color w:val="000000" w:themeColor="text1"/>
        </w:rPr>
      </w:pPr>
      <w:r>
        <w:rPr>
          <w:rFonts w:hint="eastAsia" w:ascii="宋体" w:hAnsi="宋体"/>
          <w:b/>
          <w:color w:val="000000" w:themeColor="text1"/>
        </w:rPr>
        <w:t>（六）投标文件的包装、递交、修改和撤回</w:t>
      </w:r>
    </w:p>
    <w:p w14:paraId="0D7E9D36">
      <w:pPr>
        <w:snapToGrid w:val="0"/>
        <w:spacing w:line="360" w:lineRule="auto"/>
        <w:ind w:right="-86" w:rightChars="-41" w:firstLine="420" w:firstLineChars="200"/>
        <w:jc w:val="left"/>
        <w:rPr>
          <w:rFonts w:ascii="宋体"/>
          <w:color w:val="000000" w:themeColor="text1"/>
        </w:rPr>
      </w:pPr>
      <w:r>
        <w:rPr>
          <w:rFonts w:ascii="宋体" w:hAnsi="宋体"/>
          <w:color w:val="000000" w:themeColor="text1"/>
        </w:rPr>
        <w:t>1</w:t>
      </w:r>
      <w:r>
        <w:rPr>
          <w:rFonts w:hint="eastAsia" w:ascii="宋体" w:hAnsi="宋体"/>
          <w:color w:val="000000" w:themeColor="text1"/>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37B216C0">
      <w:pPr>
        <w:snapToGrid w:val="0"/>
        <w:spacing w:line="360" w:lineRule="auto"/>
        <w:ind w:right="-86" w:rightChars="-41" w:firstLine="420" w:firstLineChars="200"/>
        <w:jc w:val="left"/>
        <w:rPr>
          <w:rFonts w:ascii="宋体"/>
          <w:color w:val="000000" w:themeColor="text1"/>
        </w:rPr>
      </w:pPr>
      <w:r>
        <w:rPr>
          <w:rFonts w:ascii="宋体" w:hAnsi="宋体"/>
          <w:color w:val="000000" w:themeColor="text1"/>
        </w:rPr>
        <w:t>2</w:t>
      </w:r>
      <w:r>
        <w:rPr>
          <w:rFonts w:hint="eastAsia" w:ascii="宋体" w:hAnsi="宋体"/>
          <w:color w:val="000000" w:themeColor="text1"/>
        </w:rPr>
        <w:t>、投标人除按规定时间在政采云系统中上传经加密的电子投标文件外，同时还可按采购文件要求邮寄到指定地点。</w:t>
      </w:r>
    </w:p>
    <w:p w14:paraId="3EC2F597">
      <w:pPr>
        <w:snapToGrid w:val="0"/>
        <w:spacing w:line="360" w:lineRule="auto"/>
        <w:ind w:right="-86" w:rightChars="-41" w:firstLine="420" w:firstLineChars="200"/>
        <w:jc w:val="left"/>
        <w:rPr>
          <w:rFonts w:ascii="宋体"/>
          <w:color w:val="000000" w:themeColor="text1"/>
        </w:rPr>
      </w:pPr>
      <w:r>
        <w:rPr>
          <w:rFonts w:ascii="宋体" w:hAnsi="宋体"/>
          <w:color w:val="000000" w:themeColor="text1"/>
        </w:rPr>
        <w:t>3</w:t>
      </w:r>
      <w:r>
        <w:rPr>
          <w:rFonts w:hint="eastAsia" w:ascii="宋体" w:hAnsi="宋体"/>
          <w:color w:val="000000" w:themeColor="text1"/>
        </w:rPr>
        <w:t>、响应文件未按时解密，投标人提供了备份响应文件的，以备份响应文件作为依据，否则视为响应文件撤回。响应文件已按时解密的，备份响应文件自动失效。</w:t>
      </w:r>
    </w:p>
    <w:p w14:paraId="7715DBB1">
      <w:pPr>
        <w:snapToGrid w:val="0"/>
        <w:spacing w:line="360" w:lineRule="auto"/>
        <w:ind w:firstLine="420" w:firstLineChars="200"/>
        <w:outlineLvl w:val="2"/>
        <w:rPr>
          <w:rFonts w:ascii="宋体"/>
          <w:color w:val="000000" w:themeColor="text1"/>
        </w:rPr>
      </w:pPr>
      <w:r>
        <w:rPr>
          <w:rFonts w:ascii="宋体" w:hAnsi="宋体"/>
          <w:color w:val="000000" w:themeColor="text1"/>
        </w:rPr>
        <w:t>4</w:t>
      </w:r>
      <w:r>
        <w:rPr>
          <w:rFonts w:hint="eastAsia" w:ascii="宋体" w:hAnsi="宋体"/>
          <w:color w:val="000000" w:themeColor="text1"/>
        </w:rPr>
        <w:t>、备份投标文件须密封封装。包装封面上应注明投标人名称，封口处加盖投标人公章。</w:t>
      </w:r>
    </w:p>
    <w:p w14:paraId="5511CECF">
      <w:pPr>
        <w:spacing w:line="360" w:lineRule="auto"/>
        <w:ind w:firstLine="420"/>
        <w:rPr>
          <w:rFonts w:ascii="宋体"/>
          <w:color w:val="000000" w:themeColor="text1"/>
        </w:rPr>
      </w:pPr>
      <w:r>
        <w:rPr>
          <w:rFonts w:hint="eastAsia" w:ascii="宋体" w:hAnsi="宋体"/>
          <w:b/>
          <w:color w:val="000000" w:themeColor="text1"/>
        </w:rPr>
        <w:t>（七）投标无效的情形</w:t>
      </w:r>
    </w:p>
    <w:p w14:paraId="41549C37">
      <w:pPr>
        <w:pStyle w:val="59"/>
        <w:snapToGrid w:val="0"/>
        <w:spacing w:beforeLines="0" w:afterLines="0" w:line="360" w:lineRule="auto"/>
        <w:ind w:right="-86" w:rightChars="-41" w:firstLine="415" w:firstLineChars="198"/>
        <w:rPr>
          <w:rFonts w:hAnsi="宋体" w:eastAsia="宋体"/>
          <w:color w:val="000000" w:themeColor="text1"/>
          <w:sz w:val="21"/>
          <w:szCs w:val="21"/>
        </w:rPr>
      </w:pPr>
      <w:r>
        <w:rPr>
          <w:rFonts w:hint="eastAsia" w:hAnsi="宋体" w:eastAsia="宋体"/>
          <w:color w:val="000000" w:themeColor="text1"/>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000666BF">
      <w:pPr>
        <w:pStyle w:val="59"/>
        <w:snapToGrid w:val="0"/>
        <w:spacing w:beforeLines="0" w:afterLines="0" w:line="360" w:lineRule="auto"/>
        <w:ind w:left="0" w:leftChars="0" w:firstLine="0" w:firstLineChars="0"/>
        <w:rPr>
          <w:rFonts w:hAnsi="宋体" w:eastAsia="宋体"/>
          <w:b/>
          <w:bCs/>
          <w:color w:val="000000" w:themeColor="text1"/>
          <w:sz w:val="21"/>
          <w:szCs w:val="21"/>
        </w:rPr>
      </w:pPr>
      <w:r>
        <w:rPr>
          <w:rFonts w:hAnsi="宋体" w:eastAsia="宋体"/>
          <w:b/>
          <w:bCs/>
          <w:color w:val="000000" w:themeColor="text1"/>
          <w:sz w:val="21"/>
          <w:szCs w:val="21"/>
        </w:rPr>
        <w:t>1</w:t>
      </w:r>
      <w:r>
        <w:rPr>
          <w:rFonts w:hint="eastAsia" w:hAnsi="宋体" w:eastAsia="宋体"/>
          <w:b/>
          <w:bCs/>
          <w:color w:val="000000" w:themeColor="text1"/>
          <w:sz w:val="21"/>
          <w:szCs w:val="21"/>
        </w:rPr>
        <w:t>、在符合性审查和商务评审时，如发现下列情形之一的，投标文件将被视为无效投标：</w:t>
      </w:r>
    </w:p>
    <w:p w14:paraId="0A5E54A3">
      <w:pPr>
        <w:pStyle w:val="16"/>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1.1投标响应文件未按采购文件要求签字、盖章的；</w:t>
      </w:r>
    </w:p>
    <w:p w14:paraId="16AC2018">
      <w:pPr>
        <w:pStyle w:val="16"/>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1.2资格证明文件不全的，或者不具备采购文件中规定的资格要求的；</w:t>
      </w:r>
    </w:p>
    <w:p w14:paraId="2F8BBF89">
      <w:pPr>
        <w:pStyle w:val="16"/>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1.3投标文件组成内容不齐全的；</w:t>
      </w:r>
    </w:p>
    <w:p w14:paraId="63B62BAB">
      <w:pPr>
        <w:pStyle w:val="16"/>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1.4投标响应文件的实质性内容未使用中文表述、意思表述不明确、前后矛盾或者使用计量单位不符合采购文件要求的；（经评审小组认定并符合本采购文件规定的情形除外）</w:t>
      </w:r>
    </w:p>
    <w:p w14:paraId="50100E4B">
      <w:pPr>
        <w:pStyle w:val="16"/>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1.5投标响应文件的关键内容字迹模糊、无法辨认的，或者投标响应文件中经修正的内容字迹模糊难以辩认或者修改处未按规定签名盖章的；</w:t>
      </w:r>
    </w:p>
    <w:p w14:paraId="0E99664F">
      <w:pPr>
        <w:pStyle w:val="16"/>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1.6服务期、投标有效期等商务条款不能满足采购文件要求的；</w:t>
      </w:r>
    </w:p>
    <w:p w14:paraId="0DE27C82">
      <w:pPr>
        <w:pStyle w:val="16"/>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1.7在投标文件</w:t>
      </w:r>
      <w:r>
        <w:rPr>
          <w:rFonts w:hint="eastAsia" w:hAnsi="宋体"/>
          <w:bCs/>
          <w:color w:val="000000" w:themeColor="text1"/>
          <w:sz w:val="21"/>
          <w:szCs w:val="21"/>
          <w:lang w:val="en-US" w:eastAsia="zh-CN"/>
        </w:rPr>
        <w:t>资格、</w:t>
      </w:r>
      <w:r>
        <w:rPr>
          <w:rFonts w:hint="eastAsia" w:hAnsi="宋体"/>
          <w:bCs/>
          <w:color w:val="000000" w:themeColor="text1"/>
          <w:sz w:val="21"/>
          <w:szCs w:val="21"/>
        </w:rPr>
        <w:t>商务技术部分中出现投标报价信息的；</w:t>
      </w:r>
    </w:p>
    <w:p w14:paraId="092F984C">
      <w:pPr>
        <w:pStyle w:val="16"/>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1.8不响应采购文件实质性要求或者投标响应文件有招标人不能接受的附加条件的；</w:t>
      </w:r>
    </w:p>
    <w:p w14:paraId="02253135">
      <w:pPr>
        <w:pStyle w:val="16"/>
        <w:spacing w:line="360" w:lineRule="auto"/>
        <w:ind w:firstLine="415" w:firstLineChars="198"/>
        <w:rPr>
          <w:rFonts w:hAnsi="宋体"/>
          <w:bCs/>
          <w:color w:val="000000" w:themeColor="text1"/>
          <w:sz w:val="21"/>
          <w:szCs w:val="21"/>
        </w:rPr>
      </w:pPr>
      <w:r>
        <w:rPr>
          <w:rFonts w:hint="eastAsia" w:hAnsi="宋体"/>
          <w:bCs/>
          <w:color w:val="000000" w:themeColor="text1"/>
          <w:sz w:val="21"/>
          <w:szCs w:val="21"/>
        </w:rPr>
        <w:t>1.9投标文件没有按采购文件要求响应有标“▲”的条款的资料和材料的。</w:t>
      </w:r>
    </w:p>
    <w:p w14:paraId="1344765E">
      <w:pPr>
        <w:spacing w:line="360" w:lineRule="auto"/>
        <w:ind w:firstLine="420"/>
        <w:rPr>
          <w:rFonts w:ascii="宋体"/>
          <w:b/>
          <w:color w:val="000000" w:themeColor="text1"/>
        </w:rPr>
      </w:pPr>
      <w:r>
        <w:rPr>
          <w:rFonts w:ascii="宋体" w:hAnsi="宋体"/>
          <w:b/>
          <w:color w:val="000000" w:themeColor="text1"/>
        </w:rPr>
        <w:t>2</w:t>
      </w:r>
      <w:r>
        <w:rPr>
          <w:rFonts w:hint="eastAsia" w:ascii="宋体" w:hAnsi="宋体"/>
          <w:b/>
          <w:color w:val="000000" w:themeColor="text1"/>
        </w:rPr>
        <w:t>、在技术评审时，如发现下列情形之一的，</w:t>
      </w:r>
      <w:r>
        <w:rPr>
          <w:rFonts w:hint="eastAsia" w:ascii="宋体" w:hAnsi="宋体"/>
          <w:b/>
          <w:bCs/>
          <w:color w:val="000000" w:themeColor="text1"/>
        </w:rPr>
        <w:t>投标文件将被视为无效响应：</w:t>
      </w:r>
    </w:p>
    <w:p w14:paraId="33EE6FFF">
      <w:pPr>
        <w:spacing w:line="360" w:lineRule="auto"/>
        <w:ind w:firstLine="420"/>
        <w:rPr>
          <w:rFonts w:ascii="宋体"/>
          <w:color w:val="000000" w:themeColor="text1"/>
        </w:rPr>
      </w:pPr>
      <w:r>
        <w:rPr>
          <w:rFonts w:ascii="宋体" w:hAnsi="宋体"/>
          <w:color w:val="000000" w:themeColor="text1"/>
        </w:rPr>
        <w:t>2.1</w:t>
      </w:r>
      <w:r>
        <w:rPr>
          <w:rFonts w:hint="eastAsia" w:hAnsi="宋体" w:cs="宋体"/>
          <w:color w:val="000000" w:themeColor="text1"/>
        </w:rPr>
        <w:t>投标文件标明的响应或偏离与事实不符或虚假投标的</w:t>
      </w:r>
      <w:r>
        <w:rPr>
          <w:rFonts w:hint="eastAsia" w:ascii="宋体" w:hAnsi="宋体"/>
          <w:color w:val="000000" w:themeColor="text1"/>
        </w:rPr>
        <w:t>；</w:t>
      </w:r>
    </w:p>
    <w:p w14:paraId="701F97C5">
      <w:pPr>
        <w:spacing w:line="360" w:lineRule="auto"/>
        <w:ind w:firstLine="420" w:firstLineChars="200"/>
        <w:rPr>
          <w:rFonts w:ascii="宋体"/>
          <w:color w:val="000000" w:themeColor="text1"/>
        </w:rPr>
      </w:pPr>
      <w:r>
        <w:rPr>
          <w:rFonts w:ascii="宋体" w:hAnsi="宋体"/>
          <w:bCs/>
          <w:color w:val="000000" w:themeColor="text1"/>
        </w:rPr>
        <w:t>2.2</w:t>
      </w:r>
      <w:r>
        <w:rPr>
          <w:rFonts w:hint="eastAsia" w:ascii="宋体" w:hAnsi="宋体"/>
          <w:bCs/>
          <w:color w:val="000000" w:themeColor="text1"/>
        </w:rPr>
        <w:t>明显不符合采购文件标明的质量标准，或者采购文件中标“</w:t>
      </w:r>
      <w:r>
        <w:rPr>
          <w:rFonts w:hint="eastAsia" w:ascii="宋体" w:hAnsi="宋体"/>
          <w:b/>
          <w:color w:val="000000" w:themeColor="text1"/>
        </w:rPr>
        <w:t>▲</w:t>
      </w:r>
      <w:r>
        <w:rPr>
          <w:rFonts w:hint="eastAsia" w:ascii="宋体" w:hAnsi="宋体"/>
          <w:bCs/>
          <w:color w:val="000000" w:themeColor="text1"/>
        </w:rPr>
        <w:t>”的技术参数、条款（如有）发生实质性偏离的；</w:t>
      </w:r>
    </w:p>
    <w:p w14:paraId="461E7235">
      <w:pPr>
        <w:spacing w:line="360" w:lineRule="auto"/>
        <w:ind w:firstLine="420"/>
        <w:rPr>
          <w:color w:val="000000" w:themeColor="text1"/>
        </w:rPr>
      </w:pPr>
      <w:r>
        <w:rPr>
          <w:rFonts w:ascii="宋体" w:hAnsi="宋体"/>
          <w:color w:val="000000" w:themeColor="text1"/>
        </w:rPr>
        <w:t>2.3</w:t>
      </w:r>
      <w:r>
        <w:rPr>
          <w:rFonts w:hint="eastAsia" w:ascii="宋体" w:hAnsi="宋体"/>
          <w:color w:val="000000" w:themeColor="text1"/>
        </w:rPr>
        <w:t>投标技术方案不明确，存在一个或一个以上备选（替代）投标方案的；</w:t>
      </w:r>
    </w:p>
    <w:p w14:paraId="4BFBD9DA">
      <w:pPr>
        <w:spacing w:line="360" w:lineRule="auto"/>
        <w:ind w:firstLine="420"/>
        <w:rPr>
          <w:rFonts w:ascii="宋体"/>
          <w:b/>
          <w:bCs/>
          <w:color w:val="000000" w:themeColor="text1"/>
        </w:rPr>
      </w:pPr>
      <w:r>
        <w:rPr>
          <w:rFonts w:ascii="宋体" w:hAnsi="宋体"/>
          <w:b/>
          <w:bCs/>
          <w:color w:val="000000" w:themeColor="text1"/>
        </w:rPr>
        <w:t>3</w:t>
      </w:r>
      <w:r>
        <w:rPr>
          <w:rFonts w:hint="eastAsia" w:ascii="宋体" w:hAnsi="宋体"/>
          <w:b/>
          <w:bCs/>
          <w:color w:val="000000" w:themeColor="text1"/>
        </w:rPr>
        <w:t>、在投标报价文件评审时，如发现下列情形之一的，投标文件将被视为无效响应：</w:t>
      </w:r>
    </w:p>
    <w:p w14:paraId="2D8412EC">
      <w:pPr>
        <w:spacing w:line="360" w:lineRule="auto"/>
        <w:ind w:firstLine="420"/>
        <w:rPr>
          <w:rFonts w:hAnsi="宋体" w:cs="宋体"/>
          <w:color w:val="000000" w:themeColor="text1"/>
        </w:rPr>
      </w:pPr>
      <w:r>
        <w:rPr>
          <w:rFonts w:hint="eastAsia" w:hAnsi="宋体" w:cs="宋体"/>
          <w:color w:val="000000" w:themeColor="text1"/>
        </w:rPr>
        <w:t>3.1未采用人民币报价或者未按照采购文件标明的币种报价的；</w:t>
      </w:r>
    </w:p>
    <w:p w14:paraId="3368C9C0">
      <w:pPr>
        <w:spacing w:line="360" w:lineRule="auto"/>
        <w:ind w:firstLine="420"/>
        <w:rPr>
          <w:rFonts w:hAnsi="宋体" w:cs="宋体"/>
          <w:color w:val="000000" w:themeColor="text1"/>
        </w:rPr>
      </w:pPr>
      <w:r>
        <w:rPr>
          <w:rFonts w:hint="eastAsia" w:hAnsi="宋体" w:cs="宋体"/>
          <w:color w:val="000000" w:themeColor="text1"/>
        </w:rPr>
        <w:t>3.2报价超出最高限价，或者超出采购预算金额，采购人不能支付的；投标人的投标报价经评标委员会评审认为存在不合理的，且投标人又不能提供证明的作无效标处理。</w:t>
      </w:r>
    </w:p>
    <w:p w14:paraId="67D6915C">
      <w:pPr>
        <w:spacing w:line="360" w:lineRule="auto"/>
        <w:ind w:firstLine="420"/>
        <w:rPr>
          <w:rFonts w:hAnsi="宋体" w:cs="宋体"/>
          <w:color w:val="000000" w:themeColor="text1"/>
        </w:rPr>
      </w:pPr>
      <w:r>
        <w:rPr>
          <w:rFonts w:hint="eastAsia" w:hAnsi="宋体" w:cs="宋体"/>
          <w:color w:val="000000" w:themeColor="text1"/>
        </w:rPr>
        <w:t>3.3投标报价具有选择性，或者开标价格与投标文件承诺的优惠（折扣）价格不一致的；</w:t>
      </w:r>
    </w:p>
    <w:p w14:paraId="3FABBAA6">
      <w:pPr>
        <w:spacing w:line="360" w:lineRule="auto"/>
        <w:ind w:firstLine="420"/>
        <w:rPr>
          <w:rFonts w:hAnsi="宋体" w:cs="宋体"/>
          <w:color w:val="000000" w:themeColor="text1"/>
        </w:rPr>
      </w:pPr>
      <w:r>
        <w:rPr>
          <w:rFonts w:hint="eastAsia" w:hAnsi="宋体" w:cs="宋体"/>
          <w:color w:val="000000" w:themeColor="text1"/>
        </w:rPr>
        <w:t>4、</w:t>
      </w:r>
      <w:r>
        <w:rPr>
          <w:rFonts w:hint="eastAsia" w:ascii="宋体" w:hAnsi="宋体"/>
          <w:b/>
          <w:bCs/>
          <w:color w:val="000000" w:themeColor="text1"/>
        </w:rPr>
        <w:t>以下情形视为未提交有效投标文件被视为无效响应：</w:t>
      </w:r>
    </w:p>
    <w:p w14:paraId="005FC048">
      <w:pPr>
        <w:spacing w:line="360" w:lineRule="auto"/>
        <w:ind w:firstLine="420"/>
        <w:rPr>
          <w:rFonts w:hAnsi="宋体" w:cs="宋体"/>
          <w:color w:val="000000" w:themeColor="text1"/>
        </w:rPr>
      </w:pPr>
      <w:r>
        <w:rPr>
          <w:rFonts w:hint="eastAsia" w:hAnsi="宋体" w:cs="宋体"/>
          <w:color w:val="000000" w:themeColor="text1"/>
        </w:rPr>
        <w:t>4.1仅提交备份投标文件的；</w:t>
      </w:r>
    </w:p>
    <w:p w14:paraId="352E7295">
      <w:pPr>
        <w:spacing w:line="360" w:lineRule="auto"/>
        <w:ind w:firstLine="420"/>
        <w:rPr>
          <w:rFonts w:hAnsi="宋体" w:cs="宋体"/>
          <w:color w:val="000000" w:themeColor="text1"/>
        </w:rPr>
      </w:pPr>
      <w:r>
        <w:rPr>
          <w:rFonts w:hint="eastAsia" w:hAnsi="宋体" w:cs="宋体"/>
          <w:color w:val="000000" w:themeColor="text1"/>
        </w:rPr>
        <w:t>4.2投标人未按时解密，且提交备份投标文件无效的；</w:t>
      </w:r>
    </w:p>
    <w:p w14:paraId="3F879FA7">
      <w:pPr>
        <w:spacing w:line="360" w:lineRule="auto"/>
        <w:ind w:firstLine="420"/>
        <w:rPr>
          <w:rFonts w:hint="eastAsia" w:hAnsi="宋体" w:cs="宋体"/>
          <w:color w:val="000000" w:themeColor="text1"/>
        </w:rPr>
      </w:pPr>
      <w:r>
        <w:rPr>
          <w:rFonts w:hint="eastAsia" w:hAnsi="宋体" w:cs="宋体"/>
          <w:color w:val="000000" w:themeColor="text1"/>
        </w:rPr>
        <w:t>4.3投标人未按时解密，且提交的备份投标文件不明确，存在一个或一个以上备选（替代）备份投标文件。</w:t>
      </w:r>
    </w:p>
    <w:p w14:paraId="3F532012">
      <w:pPr>
        <w:spacing w:line="360" w:lineRule="auto"/>
        <w:ind w:firstLine="420"/>
        <w:rPr>
          <w:rFonts w:hint="eastAsia" w:ascii="宋体" w:hAnsi="宋体" w:eastAsia="宋体"/>
          <w:b/>
          <w:bCs/>
          <w:color w:val="000000" w:themeColor="text1"/>
          <w:lang w:val="en-US" w:eastAsia="zh-CN"/>
        </w:rPr>
      </w:pPr>
      <w:r>
        <w:rPr>
          <w:rFonts w:hint="eastAsia" w:ascii="宋体" w:hAnsi="宋体"/>
          <w:b/>
          <w:bCs/>
          <w:color w:val="000000" w:themeColor="text1"/>
          <w:lang w:val="en-US" w:eastAsia="zh-CN"/>
        </w:rPr>
        <w:t>5</w:t>
      </w:r>
      <w:r>
        <w:rPr>
          <w:rFonts w:hint="eastAsia" w:ascii="宋体" w:hAnsi="宋体" w:eastAsia="宋体"/>
          <w:b/>
          <w:bCs/>
          <w:color w:val="000000" w:themeColor="text1"/>
          <w:lang w:val="en-US" w:eastAsia="zh-CN"/>
        </w:rPr>
        <w:t>、除政府采购法律法规规章规定的属于恶意串通、视为串通投标情形外，在不影响公平竞争的前提下，采购文件中参与同一标段(包)的供应商存在以下情形之一且无法合理解释的，其投标（响应）文件无效：</w:t>
      </w:r>
    </w:p>
    <w:p w14:paraId="2FBFD5CD">
      <w:pPr>
        <w:spacing w:line="360" w:lineRule="auto"/>
        <w:ind w:firstLine="420"/>
        <w:rPr>
          <w:rFonts w:hint="eastAsia" w:hAnsi="宋体" w:eastAsia="宋体" w:cs="宋体"/>
          <w:color w:val="000000" w:themeColor="text1"/>
          <w:highlight w:val="yellow"/>
          <w:lang w:val="en-US" w:eastAsia="zh-CN"/>
        </w:rPr>
      </w:pPr>
      <w:r>
        <w:rPr>
          <w:rFonts w:hint="eastAsia" w:hAnsi="宋体" w:cs="宋体"/>
          <w:color w:val="000000" w:themeColor="text1"/>
          <w:highlight w:val="yellow"/>
          <w:lang w:val="en-US" w:eastAsia="zh-CN"/>
        </w:rPr>
        <w:t>5</w:t>
      </w:r>
      <w:r>
        <w:rPr>
          <w:rFonts w:hint="eastAsia" w:hAnsi="宋体" w:eastAsia="宋体" w:cs="宋体"/>
          <w:color w:val="000000" w:themeColor="text1"/>
          <w:highlight w:val="yellow"/>
          <w:lang w:val="en-US" w:eastAsia="zh-CN"/>
        </w:rPr>
        <w:t>.1不同</w:t>
      </w:r>
      <w:r>
        <w:rPr>
          <w:rFonts w:hint="eastAsia" w:hAnsi="宋体" w:eastAsia="宋体" w:cs="宋体"/>
          <w:color w:val="000000" w:themeColor="text1"/>
          <w:highlight w:val="yellow"/>
        </w:rPr>
        <w:t>投标人</w:t>
      </w:r>
      <w:r>
        <w:rPr>
          <w:rFonts w:hint="eastAsia" w:hAnsi="宋体" w:eastAsia="宋体" w:cs="宋体"/>
          <w:color w:val="000000" w:themeColor="text1"/>
          <w:highlight w:val="yellow"/>
          <w:lang w:val="en-US" w:eastAsia="zh-CN"/>
        </w:rPr>
        <w:t>的电子投标（响应）文件上传计算机的网卡MAC地址或硬盘序列号等硬件信息相同的；</w:t>
      </w:r>
    </w:p>
    <w:p w14:paraId="71842AE0">
      <w:pPr>
        <w:spacing w:line="360" w:lineRule="auto"/>
        <w:ind w:firstLine="420"/>
        <w:rPr>
          <w:rFonts w:hint="eastAsia" w:hAnsi="宋体" w:eastAsia="宋体" w:cs="宋体"/>
          <w:color w:val="000000" w:themeColor="text1"/>
          <w:highlight w:val="yellow"/>
          <w:lang w:val="en-US" w:eastAsia="zh-CN"/>
        </w:rPr>
      </w:pPr>
      <w:r>
        <w:rPr>
          <w:rFonts w:hint="eastAsia" w:hAnsi="宋体" w:cs="宋体"/>
          <w:color w:val="000000" w:themeColor="text1"/>
          <w:highlight w:val="yellow"/>
          <w:lang w:val="en-US" w:eastAsia="zh-CN"/>
        </w:rPr>
        <w:t>5</w:t>
      </w:r>
      <w:r>
        <w:rPr>
          <w:rFonts w:hint="eastAsia" w:hAnsi="宋体" w:eastAsia="宋体" w:cs="宋体"/>
          <w:color w:val="000000" w:themeColor="text1"/>
          <w:highlight w:val="yellow"/>
          <w:lang w:val="en-US" w:eastAsia="zh-CN"/>
        </w:rPr>
        <w:t>.</w:t>
      </w:r>
      <w:r>
        <w:rPr>
          <w:rFonts w:hint="eastAsia" w:hAnsi="宋体" w:eastAsia="宋体" w:cs="宋体"/>
          <w:color w:val="000000" w:themeColor="text1"/>
          <w:highlight w:val="yellow"/>
          <w:lang w:val="en-US" w:eastAsia="zh"/>
        </w:rPr>
        <w:t>2.</w:t>
      </w:r>
      <w:r>
        <w:rPr>
          <w:rFonts w:hint="eastAsia" w:hAnsi="宋体" w:eastAsia="宋体" w:cs="宋体"/>
          <w:color w:val="000000" w:themeColor="text1"/>
          <w:highlight w:val="yellow"/>
          <w:lang w:val="en-US" w:eastAsia="zh-CN"/>
        </w:rPr>
        <w:t>上传的电子投标（响应）文件若出现使用本项目其他投标（响应）</w:t>
      </w:r>
      <w:r>
        <w:rPr>
          <w:rFonts w:hint="eastAsia" w:hAnsi="宋体" w:eastAsia="宋体" w:cs="宋体"/>
          <w:color w:val="000000" w:themeColor="text1"/>
          <w:highlight w:val="yellow"/>
        </w:rPr>
        <w:t>投标人</w:t>
      </w:r>
      <w:r>
        <w:rPr>
          <w:rFonts w:hint="eastAsia" w:hAnsi="宋体" w:eastAsia="宋体" w:cs="宋体"/>
          <w:color w:val="000000" w:themeColor="text1"/>
          <w:highlight w:val="yellow"/>
          <w:lang w:val="en-US" w:eastAsia="zh-CN"/>
        </w:rPr>
        <w:t>的数字证书加密的，或者加盖本项目其他投标（响应）</w:t>
      </w:r>
      <w:r>
        <w:rPr>
          <w:rFonts w:hint="eastAsia" w:hAnsi="宋体" w:eastAsia="宋体" w:cs="宋体"/>
          <w:color w:val="000000" w:themeColor="text1"/>
          <w:highlight w:val="yellow"/>
        </w:rPr>
        <w:t>投标人</w:t>
      </w:r>
      <w:r>
        <w:rPr>
          <w:rFonts w:hint="eastAsia" w:hAnsi="宋体" w:eastAsia="宋体" w:cs="宋体"/>
          <w:color w:val="000000" w:themeColor="text1"/>
          <w:highlight w:val="yellow"/>
          <w:lang w:val="en-US" w:eastAsia="zh-CN"/>
        </w:rPr>
        <w:t>的电子印章的；</w:t>
      </w:r>
    </w:p>
    <w:p w14:paraId="3EA1858E">
      <w:pPr>
        <w:spacing w:line="360" w:lineRule="auto"/>
        <w:ind w:firstLine="420"/>
        <w:rPr>
          <w:rFonts w:hint="eastAsia" w:hAnsi="宋体" w:eastAsia="宋体" w:cs="宋体"/>
          <w:color w:val="000000" w:themeColor="text1"/>
          <w:highlight w:val="yellow"/>
          <w:lang w:val="en-US" w:eastAsia="zh-CN"/>
        </w:rPr>
      </w:pPr>
      <w:r>
        <w:rPr>
          <w:rFonts w:hint="eastAsia" w:hAnsi="宋体" w:cs="宋体"/>
          <w:color w:val="000000" w:themeColor="text1"/>
          <w:highlight w:val="yellow"/>
          <w:lang w:val="en-US" w:eastAsia="zh-CN"/>
        </w:rPr>
        <w:t>5</w:t>
      </w:r>
      <w:r>
        <w:rPr>
          <w:rFonts w:hint="eastAsia" w:hAnsi="宋体" w:eastAsia="宋体" w:cs="宋体"/>
          <w:color w:val="000000" w:themeColor="text1"/>
          <w:highlight w:val="yellow"/>
          <w:lang w:val="en-US" w:eastAsia="zh-CN"/>
        </w:rPr>
        <w:t>.</w:t>
      </w:r>
      <w:r>
        <w:rPr>
          <w:rFonts w:hint="eastAsia" w:hAnsi="宋体" w:eastAsia="宋体" w:cs="宋体"/>
          <w:color w:val="000000" w:themeColor="text1"/>
          <w:highlight w:val="yellow"/>
          <w:lang w:val="en-US" w:eastAsia="zh"/>
        </w:rPr>
        <w:t>3</w:t>
      </w:r>
      <w:r>
        <w:rPr>
          <w:rFonts w:hint="eastAsia" w:hAnsi="宋体" w:eastAsia="宋体" w:cs="宋体"/>
          <w:color w:val="000000" w:themeColor="text1"/>
          <w:highlight w:val="yellow"/>
          <w:lang w:val="en-US" w:eastAsia="zh-CN"/>
        </w:rPr>
        <w:t>不同</w:t>
      </w:r>
      <w:r>
        <w:rPr>
          <w:rFonts w:hint="eastAsia" w:hAnsi="宋体" w:eastAsia="宋体" w:cs="宋体"/>
          <w:color w:val="000000" w:themeColor="text1"/>
          <w:highlight w:val="yellow"/>
        </w:rPr>
        <w:t>投标人</w:t>
      </w:r>
      <w:r>
        <w:rPr>
          <w:rFonts w:hint="eastAsia" w:hAnsi="宋体" w:eastAsia="宋体" w:cs="宋体"/>
          <w:color w:val="000000" w:themeColor="text1"/>
          <w:highlight w:val="yellow"/>
          <w:lang w:val="en-US" w:eastAsia="zh-CN"/>
        </w:rPr>
        <w:t>的投标（响应）文件的内容存在</w:t>
      </w:r>
      <w:r>
        <w:rPr>
          <w:rFonts w:hint="eastAsia" w:hAnsi="宋体" w:eastAsia="宋体" w:cs="宋体"/>
          <w:color w:val="000000" w:themeColor="text1"/>
          <w:highlight w:val="yellow"/>
          <w:lang w:val="en-US" w:eastAsia="zh"/>
        </w:rPr>
        <w:t>3</w:t>
      </w:r>
      <w:r>
        <w:rPr>
          <w:rFonts w:hint="eastAsia" w:hAnsi="宋体" w:eastAsia="宋体" w:cs="宋体"/>
          <w:color w:val="000000" w:themeColor="text1"/>
          <w:highlight w:val="yellow"/>
          <w:lang w:val="en-US" w:eastAsia="zh-CN"/>
        </w:rPr>
        <w:t>处（含）以上错误一致的；</w:t>
      </w:r>
    </w:p>
    <w:p w14:paraId="23C0F46A">
      <w:pPr>
        <w:spacing w:line="360" w:lineRule="auto"/>
        <w:ind w:firstLine="420"/>
        <w:rPr>
          <w:rFonts w:hint="eastAsia" w:hAnsi="宋体" w:eastAsia="宋体" w:cs="宋体"/>
          <w:color w:val="000000" w:themeColor="text1"/>
          <w:highlight w:val="none"/>
          <w:lang w:val="en-US" w:eastAsia="zh-CN"/>
        </w:rPr>
      </w:pPr>
      <w:r>
        <w:rPr>
          <w:rFonts w:hint="eastAsia" w:hAnsi="宋体" w:cs="宋体"/>
          <w:color w:val="000000" w:themeColor="text1"/>
          <w:highlight w:val="yellow"/>
          <w:lang w:val="en-US" w:eastAsia="zh-CN"/>
        </w:rPr>
        <w:t>5</w:t>
      </w:r>
      <w:r>
        <w:rPr>
          <w:rFonts w:hint="eastAsia" w:hAnsi="宋体" w:eastAsia="宋体" w:cs="宋体"/>
          <w:color w:val="000000" w:themeColor="text1"/>
          <w:highlight w:val="yellow"/>
          <w:lang w:val="en-US" w:eastAsia="zh-CN"/>
        </w:rPr>
        <w:t>.4不同</w:t>
      </w:r>
      <w:r>
        <w:rPr>
          <w:rFonts w:hint="eastAsia" w:hAnsi="宋体" w:eastAsia="宋体" w:cs="宋体"/>
          <w:color w:val="000000" w:themeColor="text1"/>
          <w:highlight w:val="yellow"/>
        </w:rPr>
        <w:t>投标人</w:t>
      </w:r>
      <w:r>
        <w:rPr>
          <w:rFonts w:hint="eastAsia" w:hAnsi="宋体" w:eastAsia="宋体" w:cs="宋体"/>
          <w:color w:val="000000" w:themeColor="text1"/>
          <w:highlight w:val="yellow"/>
          <w:lang w:val="en-US" w:eastAsia="zh-CN"/>
        </w:rPr>
        <w:t>联系人为同一人或不同联系人的联系电话一致的。</w:t>
      </w:r>
    </w:p>
    <w:p w14:paraId="6D3D4CC3">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lang w:val="en-US" w:eastAsia="zh-CN"/>
        </w:rPr>
        <w:t>6</w:t>
      </w:r>
      <w:r>
        <w:rPr>
          <w:rFonts w:hint="eastAsia" w:hAnsi="宋体"/>
          <w:color w:val="000000" w:themeColor="text1"/>
        </w:rPr>
        <w:t>、法律、法规和采购文件规定的其他无效情形。</w:t>
      </w:r>
    </w:p>
    <w:p w14:paraId="0465620D">
      <w:pPr>
        <w:pStyle w:val="68"/>
        <w:snapToGrid w:val="0"/>
        <w:spacing w:line="360" w:lineRule="auto"/>
        <w:ind w:right="-86" w:rightChars="-41" w:firstLine="441" w:firstLineChars="209"/>
        <w:rPr>
          <w:rFonts w:hAnsi="宋体"/>
          <w:color w:val="000000" w:themeColor="text1"/>
        </w:rPr>
      </w:pPr>
      <w:r>
        <w:rPr>
          <w:rFonts w:hint="eastAsia" w:ascii="宋体" w:hAnsi="宋体"/>
          <w:b/>
          <w:color w:val="000000" w:themeColor="text1"/>
        </w:rPr>
        <w:t>（八）</w:t>
      </w:r>
      <w:r>
        <w:rPr>
          <w:rFonts w:hint="eastAsia" w:hAnsi="宋体"/>
          <w:b/>
          <w:color w:val="000000" w:themeColor="text1"/>
        </w:rPr>
        <w:t>出现以下情形，导致电子交易平台无法正常运行，或者无法保证电子交易的公平、公正和安全时，中止电子交易活动：</w:t>
      </w:r>
    </w:p>
    <w:p w14:paraId="76046E73">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1</w:t>
      </w:r>
      <w:r>
        <w:rPr>
          <w:rFonts w:hint="eastAsia" w:hAnsi="宋体"/>
          <w:color w:val="000000" w:themeColor="text1"/>
        </w:rPr>
        <w:t>）电子交易平台发生故障而无法登录访问的；</w:t>
      </w:r>
    </w:p>
    <w:p w14:paraId="15BC2843">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2</w:t>
      </w:r>
      <w:r>
        <w:rPr>
          <w:rFonts w:hint="eastAsia" w:hAnsi="宋体"/>
          <w:color w:val="000000" w:themeColor="text1"/>
        </w:rPr>
        <w:t>）电子交易平台应用或数据库出现错误，不能进行正常操作的；</w:t>
      </w:r>
    </w:p>
    <w:p w14:paraId="3180B9BD">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3</w:t>
      </w:r>
      <w:r>
        <w:rPr>
          <w:rFonts w:hint="eastAsia" w:hAnsi="宋体"/>
          <w:color w:val="000000" w:themeColor="text1"/>
        </w:rPr>
        <w:t>）电子交易平台发现严重安全漏洞，有潜在泄密危险的；</w:t>
      </w:r>
    </w:p>
    <w:p w14:paraId="4990AC3B">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4</w:t>
      </w:r>
      <w:r>
        <w:rPr>
          <w:rFonts w:hint="eastAsia" w:hAnsi="宋体"/>
          <w:color w:val="000000" w:themeColor="text1"/>
        </w:rPr>
        <w:t>）病毒发作导致不能进行正常操作的；</w:t>
      </w:r>
    </w:p>
    <w:p w14:paraId="6ECD840A">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w:t>
      </w:r>
      <w:r>
        <w:rPr>
          <w:rFonts w:hAnsi="宋体"/>
          <w:color w:val="000000" w:themeColor="text1"/>
        </w:rPr>
        <w:t>5</w:t>
      </w:r>
      <w:r>
        <w:rPr>
          <w:rFonts w:hint="eastAsia" w:hAnsi="宋体"/>
          <w:color w:val="000000" w:themeColor="text1"/>
        </w:rPr>
        <w:t>）其他无法保证电子交易的公平、公正和安全的情况。</w:t>
      </w:r>
    </w:p>
    <w:p w14:paraId="401B7DA9">
      <w:pPr>
        <w:pStyle w:val="68"/>
        <w:snapToGrid w:val="0"/>
        <w:spacing w:line="360" w:lineRule="auto"/>
        <w:ind w:right="-86" w:rightChars="-41" w:firstLine="438" w:firstLineChars="209"/>
        <w:rPr>
          <w:rFonts w:hAnsi="宋体"/>
          <w:color w:val="000000" w:themeColor="text1"/>
        </w:rPr>
      </w:pPr>
      <w:r>
        <w:rPr>
          <w:rFonts w:hint="eastAsia" w:hAnsi="宋体"/>
          <w:color w:val="000000" w:themeColor="text1"/>
        </w:rPr>
        <w:t>出现前款规定情形，不影响采购公平、公正性的，代理机构可以待上述情形消除后继续组织电子交易活动，也可以决定某些环节以纸质形式进行；影响或可能影响采购公平、公正性的，重新采购。</w:t>
      </w:r>
    </w:p>
    <w:p w14:paraId="6730F0C0">
      <w:pPr>
        <w:pStyle w:val="68"/>
        <w:snapToGrid w:val="0"/>
        <w:spacing w:line="360" w:lineRule="auto"/>
        <w:ind w:right="-86" w:rightChars="-41" w:firstLine="441" w:firstLineChars="209"/>
        <w:rPr>
          <w:rFonts w:ascii="宋体" w:hAnsi="宋体"/>
          <w:b/>
          <w:color w:val="000000" w:themeColor="text1"/>
        </w:rPr>
      </w:pPr>
      <w:r>
        <w:rPr>
          <w:rFonts w:hint="eastAsia" w:ascii="宋体" w:hAnsi="宋体"/>
          <w:b/>
          <w:color w:val="000000" w:themeColor="text1"/>
        </w:rPr>
        <w:t>（九）有效投标文件不足三家时，重新组织招标。</w:t>
      </w:r>
    </w:p>
    <w:p w14:paraId="1B431B0F">
      <w:pPr>
        <w:pStyle w:val="68"/>
        <w:spacing w:line="360" w:lineRule="auto"/>
        <w:ind w:right="-86" w:rightChars="-41" w:firstLine="587" w:firstLineChars="209"/>
        <w:contextualSpacing/>
        <w:rPr>
          <w:rFonts w:ascii="Times New Roman" w:hAnsi="Times New Roman" w:cs="Times New Roman"/>
          <w:b/>
          <w:bCs/>
          <w:color w:val="000000" w:themeColor="text1"/>
          <w:sz w:val="28"/>
          <w:szCs w:val="28"/>
        </w:rPr>
      </w:pPr>
    </w:p>
    <w:p w14:paraId="27A01E58">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四、开标</w:t>
      </w:r>
    </w:p>
    <w:p w14:paraId="488D83A7">
      <w:pPr>
        <w:pStyle w:val="68"/>
        <w:spacing w:line="360" w:lineRule="auto"/>
        <w:ind w:right="-86" w:rightChars="-41" w:firstLine="441" w:firstLineChars="209"/>
        <w:contextualSpacing/>
        <w:rPr>
          <w:rFonts w:ascii="Times New Roman" w:hAnsi="Times New Roman" w:cs="Times New Roman"/>
          <w:b/>
          <w:bCs/>
          <w:color w:val="000000" w:themeColor="text1"/>
        </w:rPr>
      </w:pPr>
      <w:r>
        <w:rPr>
          <w:rFonts w:ascii="Times New Roman" w:hAnsi="Times New Roman" w:cs="Times New Roman"/>
          <w:b/>
          <w:bCs/>
          <w:color w:val="000000" w:themeColor="text1"/>
        </w:rPr>
        <w:t>电子招投标开标及评审程序</w:t>
      </w:r>
    </w:p>
    <w:p w14:paraId="434BD6A5">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1、采购组织机构按照规定的时间通过政采云系统组织开标、开启响应文件，所有投标人均应当准时在线参加。</w:t>
      </w:r>
    </w:p>
    <w:p w14:paraId="084C0DB6">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2、投标截止时间后，投标人登录政采云平台，用“项目采购-开标评标”功能对电子投标文件进行</w:t>
      </w:r>
      <w:r>
        <w:rPr>
          <w:rFonts w:ascii="Times New Roman" w:hAnsi="Times New Roman" w:cs="Times New Roman"/>
          <w:b/>
          <w:bCs/>
          <w:color w:val="000000" w:themeColor="text1"/>
        </w:rPr>
        <w:t>在线解密。</w:t>
      </w:r>
      <w:r>
        <w:rPr>
          <w:rFonts w:ascii="Times New Roman" w:hAnsi="Times New Roman" w:cs="Times New Roman"/>
          <w:color w:val="000000" w:themeColor="text1"/>
        </w:rPr>
        <w:t>在线解密电子投标文件时间</w:t>
      </w:r>
      <w:r>
        <w:rPr>
          <w:rFonts w:ascii="Times New Roman" w:hAnsi="Times New Roman" w:cs="Times New Roman"/>
          <w:b/>
          <w:bCs/>
          <w:color w:val="000000" w:themeColor="text1"/>
        </w:rPr>
        <w:t>为开标时间起半个小时内；</w:t>
      </w:r>
    </w:p>
    <w:p w14:paraId="19FA016B">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3、采购人或代理机构对资格响应文件进行评审，评标委员会对商务技术响应文件进行评审；</w:t>
      </w:r>
    </w:p>
    <w:p w14:paraId="6F50903F">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4、在系统上公开报价开标情况；</w:t>
      </w:r>
    </w:p>
    <w:p w14:paraId="0EEE179A">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5、评标委员会对报价情况进行评审；</w:t>
      </w:r>
    </w:p>
    <w:p w14:paraId="48E35713">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6、在系统上公布评审结果。</w:t>
      </w:r>
    </w:p>
    <w:p w14:paraId="4BAED670">
      <w:pPr>
        <w:spacing w:line="360" w:lineRule="auto"/>
        <w:ind w:firstLine="420" w:firstLineChars="200"/>
        <w:contextualSpacing/>
        <w:jc w:val="left"/>
        <w:rPr>
          <w:rFonts w:ascii="Times New Roman" w:hAnsi="Times New Roman" w:cs="Times New Roman"/>
          <w:b/>
          <w:bCs/>
          <w:color w:val="000000" w:themeColor="text1"/>
          <w:sz w:val="28"/>
          <w:szCs w:val="28"/>
        </w:rPr>
      </w:pPr>
      <w:r>
        <w:rPr>
          <w:rFonts w:ascii="Times New Roman" w:hAnsi="Times New Roman" w:cs="Times New Roman"/>
          <w:color w:val="000000" w:themeColor="text1"/>
        </w:rPr>
        <w:t>特别说明：政采云公司如对电子化开标及评审程序有调整的，按调整后的程序操作。</w:t>
      </w:r>
    </w:p>
    <w:p w14:paraId="72836EF7">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五、评标</w:t>
      </w:r>
    </w:p>
    <w:p w14:paraId="2C4224C7">
      <w:pPr>
        <w:pStyle w:val="68"/>
        <w:spacing w:line="360" w:lineRule="auto"/>
        <w:ind w:firstLine="422" w:firstLineChars="200"/>
        <w:contextualSpacing/>
        <w:outlineLvl w:val="1"/>
        <w:rPr>
          <w:rFonts w:ascii="Times New Roman" w:hAnsi="Times New Roman" w:cs="Times New Roman"/>
          <w:b/>
          <w:bCs/>
          <w:color w:val="000000" w:themeColor="text1"/>
        </w:rPr>
      </w:pPr>
      <w:r>
        <w:rPr>
          <w:rFonts w:ascii="Times New Roman" w:hAnsi="Times New Roman" w:cs="Times New Roman"/>
          <w:b/>
          <w:bCs/>
          <w:color w:val="000000" w:themeColor="text1"/>
        </w:rPr>
        <w:t>（一）组建评标委员会</w:t>
      </w:r>
    </w:p>
    <w:p w14:paraId="60345491">
      <w:pPr>
        <w:pStyle w:val="59"/>
        <w:spacing w:beforeLines="0" w:afterLines="0" w:line="360" w:lineRule="auto"/>
        <w:ind w:right="-87" w:firstLine="420" w:firstLineChars="200"/>
        <w:contextualSpacing/>
        <w:rPr>
          <w:rFonts w:ascii="Times New Roman" w:hAnsi="Times New Roman" w:eastAsia="宋体" w:cs="Times New Roman"/>
          <w:color w:val="000000" w:themeColor="text1"/>
          <w:sz w:val="21"/>
          <w:szCs w:val="21"/>
        </w:rPr>
      </w:pPr>
      <w:r>
        <w:rPr>
          <w:rFonts w:ascii="Times New Roman" w:hAnsi="Times New Roman" w:eastAsia="宋体" w:cs="Times New Roman"/>
          <w:color w:val="000000" w:themeColor="text1"/>
          <w:sz w:val="21"/>
          <w:szCs w:val="21"/>
        </w:rPr>
        <w:t>本项目评标委员会由政府采购评审专家</w:t>
      </w:r>
      <w:r>
        <w:rPr>
          <w:rFonts w:ascii="Times New Roman" w:hAnsi="Times New Roman" w:eastAsia="宋体" w:cs="Times New Roman"/>
          <w:color w:val="000000" w:themeColor="text1"/>
          <w:sz w:val="21"/>
          <w:szCs w:val="21"/>
          <w:u w:val="single"/>
        </w:rPr>
        <w:t>4</w:t>
      </w:r>
      <w:r>
        <w:rPr>
          <w:rFonts w:ascii="Times New Roman" w:hAnsi="Times New Roman" w:eastAsia="宋体" w:cs="Times New Roman"/>
          <w:color w:val="000000" w:themeColor="text1"/>
          <w:sz w:val="21"/>
          <w:szCs w:val="21"/>
        </w:rPr>
        <w:t>人和采购人代表</w:t>
      </w:r>
      <w:r>
        <w:rPr>
          <w:rFonts w:ascii="Times New Roman" w:hAnsi="Times New Roman" w:eastAsia="宋体" w:cs="Times New Roman"/>
          <w:color w:val="000000" w:themeColor="text1"/>
          <w:sz w:val="21"/>
          <w:szCs w:val="21"/>
          <w:u w:val="single"/>
        </w:rPr>
        <w:t>1</w:t>
      </w:r>
      <w:r>
        <w:rPr>
          <w:rFonts w:ascii="Times New Roman" w:hAnsi="Times New Roman" w:eastAsia="宋体" w:cs="Times New Roman"/>
          <w:color w:val="000000" w:themeColor="text1"/>
          <w:sz w:val="21"/>
          <w:szCs w:val="21"/>
        </w:rPr>
        <w:t>人，共</w:t>
      </w:r>
      <w:r>
        <w:rPr>
          <w:rFonts w:ascii="Times New Roman" w:hAnsi="Times New Roman" w:eastAsia="宋体" w:cs="Times New Roman"/>
          <w:color w:val="000000" w:themeColor="text1"/>
          <w:sz w:val="21"/>
          <w:szCs w:val="21"/>
          <w:u w:val="single"/>
        </w:rPr>
        <w:t>5</w:t>
      </w:r>
      <w:r>
        <w:rPr>
          <w:rFonts w:ascii="Times New Roman" w:hAnsi="Times New Roman" w:eastAsia="宋体" w:cs="Times New Roman"/>
          <w:color w:val="000000" w:themeColor="text1"/>
          <w:sz w:val="21"/>
          <w:szCs w:val="21"/>
        </w:rPr>
        <w:t>人组成。</w:t>
      </w:r>
    </w:p>
    <w:p w14:paraId="6235030C">
      <w:pPr>
        <w:pStyle w:val="68"/>
        <w:spacing w:line="360" w:lineRule="auto"/>
        <w:ind w:firstLine="422" w:firstLineChars="200"/>
        <w:contextualSpacing/>
        <w:outlineLvl w:val="1"/>
        <w:rPr>
          <w:rFonts w:ascii="Times New Roman" w:hAnsi="Times New Roman" w:cs="Times New Roman"/>
          <w:b/>
          <w:bCs/>
          <w:color w:val="000000" w:themeColor="text1"/>
        </w:rPr>
      </w:pPr>
      <w:r>
        <w:rPr>
          <w:rFonts w:ascii="Times New Roman" w:hAnsi="Times New Roman" w:cs="Times New Roman"/>
          <w:b/>
          <w:bCs/>
          <w:color w:val="000000" w:themeColor="text1"/>
        </w:rPr>
        <w:t>（二）评标程序</w:t>
      </w:r>
    </w:p>
    <w:p w14:paraId="3D92550D">
      <w:pPr>
        <w:spacing w:line="360" w:lineRule="auto"/>
        <w:ind w:right="-87" w:firstLine="413" w:firstLineChars="196"/>
        <w:contextualSpacing/>
        <w:rPr>
          <w:rFonts w:ascii="Times New Roman" w:hAnsi="Times New Roman" w:cs="Times New Roman"/>
          <w:color w:val="000000" w:themeColor="text1"/>
        </w:rPr>
      </w:pPr>
      <w:r>
        <w:rPr>
          <w:rFonts w:ascii="Times New Roman" w:hAnsi="Times New Roman" w:cs="Times New Roman"/>
          <w:b/>
          <w:bCs/>
          <w:color w:val="000000" w:themeColor="text1"/>
        </w:rPr>
        <w:t>1.投标文件初审。</w:t>
      </w:r>
    </w:p>
    <w:p w14:paraId="18685B87">
      <w:pPr>
        <w:spacing w:line="360" w:lineRule="auto"/>
        <w:ind w:right="-87"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rPr>
        <w:t>初审分为资格性检查和符合性检查。</w:t>
      </w:r>
    </w:p>
    <w:p w14:paraId="70F257A7">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1.1资格性检查。依据法律法规和采购文件的规定，对投标文件中的资格证明等进行审查，以确定投标投标人是否具备投标资格。</w:t>
      </w:r>
    </w:p>
    <w:p w14:paraId="6F37E4A2">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1.2符合性检查。依据采购文件的规定，从投标文件的有效性、完整性和对采购文件的响应程度进行审查，以确定是否对采购文件的实质性要求作出响应。</w:t>
      </w:r>
    </w:p>
    <w:p w14:paraId="014749F4">
      <w:pPr>
        <w:spacing w:line="360" w:lineRule="auto"/>
        <w:ind w:right="-87" w:firstLine="413" w:firstLineChars="196"/>
        <w:contextualSpacing/>
        <w:rPr>
          <w:rFonts w:ascii="Times New Roman" w:hAnsi="Times New Roman" w:cs="Times New Roman"/>
          <w:b/>
          <w:bCs/>
          <w:color w:val="000000" w:themeColor="text1"/>
        </w:rPr>
      </w:pPr>
      <w:r>
        <w:rPr>
          <w:rFonts w:ascii="Times New Roman" w:hAnsi="Times New Roman" w:cs="Times New Roman"/>
          <w:b/>
          <w:bCs/>
          <w:color w:val="000000" w:themeColor="text1"/>
        </w:rPr>
        <w:t>2.实质审查</w:t>
      </w:r>
    </w:p>
    <w:p w14:paraId="6841CBCC">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（1）评标委员会审查投标文件的实质性内容是否符合采购文件的实质性要求。</w:t>
      </w:r>
    </w:p>
    <w:p w14:paraId="7E0EF4A8">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281824C1">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（3）评审小组商务、技术方案响应性评定；</w:t>
      </w:r>
    </w:p>
    <w:p w14:paraId="267CE9E9">
      <w:pPr>
        <w:spacing w:line="360" w:lineRule="auto"/>
        <w:ind w:firstLine="420" w:firstLineChars="200"/>
        <w:contextualSpacing/>
        <w:rPr>
          <w:rFonts w:ascii="Times New Roman" w:hAnsi="Times New Roman" w:cs="Times New Roman"/>
          <w:color w:val="000000" w:themeColor="text1"/>
          <w:kern w:val="0"/>
        </w:rPr>
      </w:pPr>
      <w:r>
        <w:rPr>
          <w:rFonts w:ascii="Times New Roman" w:hAnsi="Times New Roman" w:cs="Times New Roman"/>
          <w:color w:val="000000" w:themeColor="text1"/>
          <w:kern w:val="0"/>
        </w:rPr>
        <w:t>（4）各投标人的技术得分为所有评委的有效评分的算术平均数。</w:t>
      </w:r>
    </w:p>
    <w:p w14:paraId="6E58A314">
      <w:pPr>
        <w:spacing w:line="360" w:lineRule="auto"/>
        <w:ind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kern w:val="0"/>
        </w:rPr>
        <w:t>（5）评标委员会完成评标后，系统对各部分得分汇总，计算出本项目综合评估分。评标委员会按</w:t>
      </w:r>
      <w:r>
        <w:rPr>
          <w:rFonts w:ascii="Times New Roman" w:hAnsi="Times New Roman" w:cs="Times New Roman"/>
          <w:color w:val="000000" w:themeColor="text1"/>
        </w:rPr>
        <w:t>评标原则通过电子系统向采购人及采购代理机构提交评审报告。</w:t>
      </w:r>
    </w:p>
    <w:p w14:paraId="0AC36753">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（三）澄清问题的形式</w:t>
      </w:r>
    </w:p>
    <w:p w14:paraId="471B8970">
      <w:pPr>
        <w:spacing w:line="360" w:lineRule="auto"/>
        <w:ind w:right="-87"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397EFD3B">
      <w:pPr>
        <w:spacing w:line="360" w:lineRule="auto"/>
        <w:ind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（四）错误修正</w:t>
      </w:r>
    </w:p>
    <w:p w14:paraId="0BFAA17E">
      <w:pPr>
        <w:pStyle w:val="16"/>
        <w:spacing w:line="360" w:lineRule="auto"/>
        <w:ind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投标文件如果出现计算或表达上的错误，修正错误的原则如下：</w:t>
      </w:r>
    </w:p>
    <w:p w14:paraId="22CC7B8C">
      <w:pPr>
        <w:pStyle w:val="16"/>
        <w:spacing w:line="360" w:lineRule="auto"/>
        <w:ind w:right="-85"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（1）投标文件中开标一览表（报价表）内容与投标文件中相应内容不一致的，以开标一览表（报价表）为准；</w:t>
      </w:r>
    </w:p>
    <w:p w14:paraId="205A7683">
      <w:pPr>
        <w:pStyle w:val="16"/>
        <w:spacing w:line="360" w:lineRule="auto"/>
        <w:ind w:right="-85"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（2）大写金额和小写金额不一致的，以大写金额为准；</w:t>
      </w:r>
    </w:p>
    <w:p w14:paraId="3CC3BC3D">
      <w:pPr>
        <w:pStyle w:val="16"/>
        <w:spacing w:line="360" w:lineRule="auto"/>
        <w:ind w:right="-85"/>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（3）单价金额小数点或者百分比有明显错位的，以开标一览表的总价为准，并修改单价；</w:t>
      </w:r>
    </w:p>
    <w:p w14:paraId="7FD6BBC2">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（4）总价金额与按单价汇总金额不一致的，以单价金额计算结果为准。</w:t>
      </w:r>
    </w:p>
    <w:p w14:paraId="0DC5C19D">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同时出现两种以上不一致的，按照前款规定的顺序修正。按上述修正错误的原则及方法调整或修正投标文件的投标报价，投标人同意并签字确认后，调整后的投标报价对投标人具有约束作用。如果投标人不接受修正后的报价，则其投标将作为无效投标处理。</w:t>
      </w:r>
    </w:p>
    <w:p w14:paraId="0185B404">
      <w:pPr>
        <w:pStyle w:val="16"/>
        <w:spacing w:line="360" w:lineRule="auto"/>
        <w:ind w:firstLine="417" w:firstLineChars="198"/>
        <w:contextualSpacing/>
        <w:rPr>
          <w:rFonts w:ascii="Times New Roman" w:hAnsi="Times New Roman" w:cs="Times New Roman"/>
          <w:color w:val="000000" w:themeColor="text1"/>
          <w:sz w:val="21"/>
          <w:szCs w:val="21"/>
        </w:rPr>
      </w:pPr>
      <w:r>
        <w:rPr>
          <w:rFonts w:ascii="Times New Roman" w:hAnsi="Times New Roman" w:cs="Times New Roman"/>
          <w:b/>
          <w:bCs/>
          <w:color w:val="000000" w:themeColor="text1"/>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52FA339F">
      <w:pPr>
        <w:pStyle w:val="59"/>
        <w:spacing w:beforeLines="0" w:afterLines="0" w:line="360" w:lineRule="auto"/>
        <w:ind w:right="-87" w:firstLine="422" w:firstLineChars="20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（五）评标原则和评标办法</w:t>
      </w:r>
    </w:p>
    <w:p w14:paraId="74BE4F91">
      <w:pPr>
        <w:pStyle w:val="16"/>
        <w:spacing w:line="360" w:lineRule="auto"/>
        <w:ind w:firstLine="420" w:firstLineChars="200"/>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39203955">
      <w:pPr>
        <w:pStyle w:val="16"/>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sz w:val="21"/>
          <w:szCs w:val="21"/>
        </w:rPr>
        <w:t>2、评标办法。本项目评标办法是</w:t>
      </w:r>
      <w:r>
        <w:rPr>
          <w:rFonts w:ascii="Times New Roman" w:hAnsi="Times New Roman" w:cs="Times New Roman"/>
          <w:color w:val="000000" w:themeColor="text1"/>
          <w:sz w:val="21"/>
          <w:szCs w:val="21"/>
          <w:u w:val="single"/>
        </w:rPr>
        <w:t>综合评分法</w:t>
      </w:r>
      <w:r>
        <w:rPr>
          <w:rFonts w:ascii="Times New Roman" w:hAnsi="Times New Roman" w:cs="Times New Roman"/>
          <w:color w:val="000000" w:themeColor="text1"/>
          <w:sz w:val="21"/>
          <w:szCs w:val="21"/>
        </w:rPr>
        <w:t>，具体评标内容及评分标准等详见《第四章：评标办法及评分标准》。</w:t>
      </w:r>
    </w:p>
    <w:p w14:paraId="0E7BAB8C">
      <w:pPr>
        <w:widowControl/>
        <w:spacing w:line="360" w:lineRule="auto"/>
        <w:ind w:right="-87" w:firstLine="422" w:firstLineChars="200"/>
        <w:contextualSpacing/>
        <w:rPr>
          <w:rFonts w:ascii="Times New Roman" w:hAnsi="Times New Roman" w:cs="Times New Roman"/>
          <w:b/>
          <w:bCs/>
          <w:color w:val="000000" w:themeColor="text1"/>
        </w:rPr>
      </w:pPr>
      <w:r>
        <w:rPr>
          <w:rFonts w:ascii="Times New Roman" w:hAnsi="Times New Roman" w:cs="Times New Roman"/>
          <w:b/>
          <w:bCs/>
          <w:color w:val="000000" w:themeColor="text1"/>
        </w:rPr>
        <w:t>（六）评标过程的监控</w:t>
      </w:r>
    </w:p>
    <w:p w14:paraId="7AF7021E">
      <w:pPr>
        <w:pStyle w:val="59"/>
        <w:spacing w:beforeLines="0" w:afterLines="0" w:line="360" w:lineRule="auto"/>
        <w:ind w:right="-87" w:firstLine="420" w:firstLineChars="200"/>
        <w:contextualSpacing/>
        <w:rPr>
          <w:rFonts w:ascii="Times New Roman" w:hAnsi="Times New Roman" w:eastAsia="宋体" w:cs="Times New Roman"/>
          <w:b/>
          <w:bCs/>
          <w:color w:val="000000" w:themeColor="text1"/>
          <w:sz w:val="28"/>
          <w:szCs w:val="28"/>
        </w:rPr>
      </w:pPr>
      <w:r>
        <w:rPr>
          <w:rFonts w:ascii="Times New Roman" w:hAnsi="Times New Roman" w:eastAsia="宋体" w:cs="Times New Roman"/>
          <w:color w:val="000000" w:themeColor="text1"/>
          <w:sz w:val="21"/>
          <w:szCs w:val="21"/>
        </w:rPr>
        <w:t>本项目评标过程实行全程录音、录像监控。</w:t>
      </w:r>
    </w:p>
    <w:p w14:paraId="0391CD0D">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六、定标</w:t>
      </w:r>
    </w:p>
    <w:p w14:paraId="0AEB2EAA">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（一）确定中标人。本项目由采购人事先授权评审小组确定中标候选人3名。推荐第一名中标候选人为中标人，经采购人确认后，确定项目中标人，同时发布采购结果公告，发出中标通知书。</w:t>
      </w:r>
    </w:p>
    <w:p w14:paraId="7AF32A4A">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1.采购代理机构在评标结束后在2个工作日内将评审报告交采购人确认。</w:t>
      </w:r>
    </w:p>
    <w:p w14:paraId="6F3E1B0C">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2.投标人对评审结果无异议的，采购人应在收到评审报告后5个工作日内对评审结果进行确认。如有投标人对评审结果提出质疑的，采购人可在质疑处理完毕后确定中标人。</w:t>
      </w:r>
    </w:p>
    <w:p w14:paraId="2DAEB885">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3.采购人依法确定中标人后2个工作日内，采购代理机构以书面形式发出《中标通知书》,并同时在相关网站上发布中标公告。</w:t>
      </w:r>
    </w:p>
    <w:p w14:paraId="3D2C7EB7">
      <w:pPr>
        <w:pStyle w:val="16"/>
        <w:spacing w:line="360" w:lineRule="auto"/>
        <w:ind w:firstLine="415" w:firstLineChars="198"/>
        <w:contextualSpacing/>
        <w:rPr>
          <w:rFonts w:ascii="Times New Roman" w:hAnsi="Times New Roman" w:cs="Times New Roman"/>
          <w:b/>
          <w:bCs/>
          <w:color w:val="000000" w:themeColor="text1"/>
          <w:sz w:val="28"/>
          <w:szCs w:val="28"/>
        </w:rPr>
      </w:pPr>
      <w:r>
        <w:rPr>
          <w:rFonts w:ascii="Times New Roman" w:hAnsi="Times New Roman" w:cs="Times New Roman"/>
          <w:color w:val="000000" w:themeColor="text1"/>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77A843AD">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七、合同授予</w:t>
      </w:r>
    </w:p>
    <w:p w14:paraId="605049A7">
      <w:pPr>
        <w:pStyle w:val="16"/>
        <w:spacing w:line="360" w:lineRule="auto"/>
        <w:ind w:firstLine="417" w:firstLineChars="198"/>
        <w:contextualSpacing/>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（一）签订合同</w:t>
      </w:r>
    </w:p>
    <w:p w14:paraId="71B04815">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1、中标人应自接到中标通知书后30日内与采购人签定合同。同时，采购代理机构对合同内容进行审查，如发现与采购结果和投标承诺内容不一致的，应予以纠正。</w:t>
      </w:r>
    </w:p>
    <w:p w14:paraId="60AF11AB">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2、中标人拖延、拒签合同的，将上报监管部门并取消中标资格。</w:t>
      </w:r>
    </w:p>
    <w:p w14:paraId="5CEFF550">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3、中标人和采购人签订合同，按合同规定的服务期限履行合同。</w:t>
      </w:r>
    </w:p>
    <w:p w14:paraId="47834AA0">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18B59449">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（二）合同公告</w:t>
      </w:r>
    </w:p>
    <w:p w14:paraId="6A4573A7">
      <w:pPr>
        <w:pStyle w:val="16"/>
        <w:spacing w:line="360" w:lineRule="auto"/>
        <w:ind w:firstLine="415" w:firstLineChars="198"/>
        <w:contextualSpacing/>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采购人应当自政府采购合同签订之日起2个工作日内，将政府采购合同在省级以上人民政府财政部门指定的媒体上公告，但政府采购合同中涉及国家秘密、商业秘密的内容除外。</w:t>
      </w:r>
    </w:p>
    <w:p w14:paraId="6AA9DC07">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八、招标代理费</w:t>
      </w:r>
    </w:p>
    <w:p w14:paraId="01DB5EAB">
      <w:pPr>
        <w:pStyle w:val="59"/>
        <w:spacing w:beforeLines="0" w:afterLines="0" w:line="360" w:lineRule="auto"/>
        <w:ind w:firstLine="413" w:firstLineChars="196"/>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（一）招标代理服务费</w:t>
      </w:r>
    </w:p>
    <w:p w14:paraId="5E213656">
      <w:pPr>
        <w:spacing w:line="360" w:lineRule="auto"/>
        <w:ind w:firstLine="420" w:firstLineChars="200"/>
        <w:contextualSpacing/>
        <w:rPr>
          <w:rFonts w:ascii="Times New Roman" w:hAnsi="Times New Roman" w:cs="Times New Roman"/>
          <w:b/>
          <w:bCs/>
          <w:color w:val="000000" w:themeColor="text1"/>
          <w:sz w:val="28"/>
          <w:szCs w:val="28"/>
        </w:rPr>
      </w:pPr>
      <w:r>
        <w:rPr>
          <w:rFonts w:ascii="Times New Roman" w:hAnsi="Times New Roman" w:cs="Times New Roman"/>
          <w:snapToGrid w:val="0"/>
          <w:color w:val="000000" w:themeColor="text1"/>
          <w:kern w:val="0"/>
        </w:rPr>
        <w:t>本项目的招标代理费由</w:t>
      </w:r>
      <w:r>
        <w:rPr>
          <w:rFonts w:ascii="Times New Roman" w:hAnsi="Times New Roman" w:cs="Times New Roman"/>
          <w:b/>
          <w:bCs/>
          <w:snapToGrid w:val="0"/>
          <w:color w:val="000000" w:themeColor="text1"/>
          <w:kern w:val="0"/>
        </w:rPr>
        <w:t>中标人</w:t>
      </w:r>
      <w:r>
        <w:rPr>
          <w:rFonts w:ascii="Times New Roman" w:hAnsi="Times New Roman" w:cs="Times New Roman"/>
          <w:snapToGrid w:val="0"/>
          <w:color w:val="000000" w:themeColor="text1"/>
          <w:kern w:val="0"/>
        </w:rPr>
        <w:t>支付。结算方式及时间为：在领取中标通知书时由</w:t>
      </w:r>
      <w:r>
        <w:rPr>
          <w:rFonts w:ascii="Times New Roman" w:hAnsi="Times New Roman" w:cs="Times New Roman"/>
          <w:b/>
          <w:bCs/>
          <w:snapToGrid w:val="0"/>
          <w:color w:val="000000" w:themeColor="text1"/>
          <w:kern w:val="0"/>
        </w:rPr>
        <w:t>中标人</w:t>
      </w:r>
      <w:r>
        <w:rPr>
          <w:rFonts w:ascii="Times New Roman" w:hAnsi="Times New Roman" w:cs="Times New Roman"/>
          <w:snapToGrid w:val="0"/>
          <w:color w:val="000000" w:themeColor="text1"/>
          <w:kern w:val="0"/>
        </w:rPr>
        <w:t>一次性向采购代理机构付清。</w:t>
      </w:r>
      <w:bookmarkStart w:id="1" w:name="_Toc480187579"/>
    </w:p>
    <w:p w14:paraId="37CAA0B2">
      <w:pPr>
        <w:pStyle w:val="59"/>
        <w:spacing w:beforeLines="0" w:afterLines="0" w:line="360" w:lineRule="auto"/>
        <w:ind w:right="-506" w:rightChars="-241"/>
        <w:contextualSpacing/>
        <w:jc w:val="center"/>
        <w:rPr>
          <w:rFonts w:ascii="Times New Roman" w:hAnsi="Times New Roman" w:eastAsia="宋体" w:cs="Times New Roman"/>
          <w:b/>
          <w:bCs/>
          <w:color w:val="000000" w:themeColor="text1"/>
        </w:rPr>
      </w:pPr>
      <w:r>
        <w:rPr>
          <w:rFonts w:ascii="Times New Roman" w:hAnsi="Times New Roman" w:eastAsia="宋体" w:cs="Times New Roman"/>
          <w:b/>
          <w:bCs/>
          <w:color w:val="000000" w:themeColor="text1"/>
        </w:rPr>
        <w:t>九、政府采购政策</w:t>
      </w:r>
    </w:p>
    <w:bookmarkEnd w:id="1"/>
    <w:p w14:paraId="0FA0C914">
      <w:pPr>
        <w:spacing w:line="360" w:lineRule="auto"/>
        <w:ind w:firstLine="420" w:firstLineChars="200"/>
        <w:rPr>
          <w:rFonts w:ascii="宋体" w:hAnsi="宋体" w:cs="宋体"/>
          <w:color w:val="000000" w:themeColor="text1"/>
        </w:rPr>
      </w:pPr>
      <w:r>
        <w:rPr>
          <w:rFonts w:hint="eastAsia" w:ascii="宋体" w:hAnsi="宋体" w:cs="宋体"/>
          <w:color w:val="000000" w:themeColor="text1"/>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7283103A">
      <w:pPr>
        <w:spacing w:line="360" w:lineRule="auto"/>
        <w:ind w:firstLine="420" w:firstLineChars="200"/>
        <w:rPr>
          <w:rFonts w:ascii="宋体" w:hAnsi="宋体" w:cs="宋体"/>
          <w:color w:val="000000" w:themeColor="text1"/>
        </w:rPr>
      </w:pPr>
      <w:r>
        <w:rPr>
          <w:rFonts w:hint="eastAsia" w:ascii="宋体" w:hAnsi="宋体" w:cs="宋体"/>
          <w:color w:val="000000" w:themeColor="text1"/>
        </w:rPr>
        <w:t>符合中小企业划分标准的个体工商户，在政府采购活动中视同中小企业。</w:t>
      </w:r>
    </w:p>
    <w:p w14:paraId="5BFB2FF9">
      <w:pPr>
        <w:spacing w:line="360" w:lineRule="auto"/>
        <w:ind w:firstLine="420" w:firstLineChars="200"/>
        <w:rPr>
          <w:rFonts w:ascii="宋体" w:hAnsi="宋体" w:cs="宋体"/>
          <w:color w:val="000000" w:themeColor="text1"/>
        </w:rPr>
      </w:pPr>
      <w:r>
        <w:rPr>
          <w:rFonts w:hint="eastAsia" w:ascii="宋体" w:hAnsi="宋体" w:cs="宋体"/>
          <w:color w:val="000000" w:themeColor="text1"/>
        </w:rPr>
        <w:t>1.1在政府采购活动中，投标人提供的货物、工程或者服务符合下列情形的，享受中小企业扶持政策：</w:t>
      </w:r>
    </w:p>
    <w:p w14:paraId="3A6D3BC2">
      <w:pPr>
        <w:spacing w:line="360" w:lineRule="auto"/>
        <w:ind w:firstLine="420" w:firstLineChars="200"/>
        <w:rPr>
          <w:rFonts w:ascii="宋体" w:hAnsi="宋体" w:cs="宋体"/>
          <w:color w:val="000000" w:themeColor="text1"/>
        </w:rPr>
      </w:pPr>
      <w:r>
        <w:rPr>
          <w:rFonts w:hint="eastAsia" w:ascii="宋体" w:hAnsi="宋体" w:cs="宋体"/>
          <w:color w:val="000000" w:themeColor="text1"/>
        </w:rPr>
        <w:t>1.1.1在货物采购项目中，货物由中小企业制造，即货物由中小企业生产且使用该中小企业商号或者注册商标；</w:t>
      </w:r>
    </w:p>
    <w:p w14:paraId="75D1221E">
      <w:pPr>
        <w:spacing w:line="360" w:lineRule="auto"/>
        <w:ind w:firstLine="420" w:firstLineChars="200"/>
        <w:rPr>
          <w:rFonts w:ascii="宋体" w:hAnsi="宋体" w:cs="宋体"/>
          <w:color w:val="000000" w:themeColor="text1"/>
        </w:rPr>
      </w:pPr>
      <w:r>
        <w:rPr>
          <w:rFonts w:hint="eastAsia" w:ascii="宋体" w:hAnsi="宋体" w:cs="宋体"/>
          <w:color w:val="000000" w:themeColor="text1"/>
        </w:rPr>
        <w:t>1.1.2在工程采购项目中，工程由中小企业承建，即工程施工单位为中小企业；</w:t>
      </w:r>
    </w:p>
    <w:p w14:paraId="62687639">
      <w:pPr>
        <w:spacing w:line="360" w:lineRule="auto"/>
        <w:ind w:firstLine="420" w:firstLineChars="200"/>
        <w:rPr>
          <w:rFonts w:ascii="宋体" w:hAnsi="宋体" w:cs="宋体"/>
          <w:color w:val="000000" w:themeColor="text1"/>
        </w:rPr>
      </w:pPr>
      <w:r>
        <w:rPr>
          <w:rFonts w:hint="eastAsia" w:ascii="宋体" w:hAnsi="宋体" w:cs="宋体"/>
          <w:color w:val="000000" w:themeColor="text1"/>
        </w:rPr>
        <w:t>1.1.3在服务采购项目中，服务由中小企业承接，即提供服务的人员为中小企业依照《中华人民共和国劳动合同法》订立劳动合同的从业人员。</w:t>
      </w:r>
    </w:p>
    <w:p w14:paraId="6D8F70F0">
      <w:pPr>
        <w:spacing w:line="360" w:lineRule="auto"/>
        <w:ind w:firstLine="420" w:firstLineChars="200"/>
        <w:rPr>
          <w:rFonts w:ascii="宋体" w:hAnsi="宋体" w:cs="宋体"/>
          <w:color w:val="000000" w:themeColor="text1"/>
        </w:rPr>
      </w:pPr>
      <w:r>
        <w:rPr>
          <w:rFonts w:hint="eastAsia" w:ascii="宋体" w:hAnsi="宋体" w:cs="宋体"/>
          <w:color w:val="000000" w:themeColor="text1"/>
        </w:rPr>
        <w:t>在货物采购项目中，投标人提供的货物既有中小企业制造货物，也有大型企业制造货物的，不享受中小企业扶持政策。</w:t>
      </w:r>
    </w:p>
    <w:p w14:paraId="54D1692E">
      <w:pPr>
        <w:spacing w:line="360" w:lineRule="auto"/>
        <w:ind w:firstLine="420" w:firstLineChars="200"/>
        <w:rPr>
          <w:rFonts w:ascii="宋体" w:hAnsi="宋体" w:cs="宋体"/>
          <w:color w:val="000000" w:themeColor="text1"/>
        </w:rPr>
      </w:pPr>
      <w:r>
        <w:rPr>
          <w:rFonts w:hint="eastAsia" w:ascii="宋体" w:hAnsi="宋体" w:cs="宋体"/>
          <w:color w:val="000000" w:themeColor="text1"/>
        </w:rPr>
        <w:t>以联合体形式参加政府采购活动，联合体各方均为中小企业的，联合体视同中小企业。其中，联合体各方均为小微企业的，联合体视同小微企业。</w:t>
      </w:r>
    </w:p>
    <w:p w14:paraId="205A3D71">
      <w:pPr>
        <w:spacing w:line="360" w:lineRule="auto"/>
        <w:ind w:firstLine="420" w:firstLineChars="200"/>
        <w:rPr>
          <w:rFonts w:ascii="宋体" w:hAnsi="宋体" w:cs="宋体"/>
          <w:color w:val="000000" w:themeColor="text1"/>
        </w:rPr>
      </w:pPr>
      <w:r>
        <w:rPr>
          <w:rFonts w:hint="eastAsia" w:ascii="宋体" w:hAnsi="宋体" w:cs="宋体"/>
          <w:color w:val="000000" w:themeColor="text1"/>
        </w:rPr>
        <w:t>1.2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0FBB4FF">
      <w:pPr>
        <w:spacing w:line="360" w:lineRule="auto"/>
        <w:ind w:firstLine="420" w:firstLineChars="200"/>
        <w:rPr>
          <w:rFonts w:ascii="宋体" w:hAnsi="宋体" w:cs="宋体"/>
          <w:color w:val="000000" w:themeColor="text1"/>
        </w:rPr>
      </w:pPr>
      <w:r>
        <w:rPr>
          <w:rFonts w:hint="eastAsia" w:ascii="宋体" w:hAnsi="宋体" w:cs="宋体"/>
          <w:color w:val="000000" w:themeColor="text1"/>
        </w:rPr>
        <w:t>1.3符合《关于促进残疾人就业政府采购政策的通知》（财库〔2017〕141号）规定的条件并提供《残疾人福利性单位声明函》（附件1）的残疾人福利性单位视同小型、微型企业；</w:t>
      </w:r>
    </w:p>
    <w:p w14:paraId="260088D6">
      <w:pPr>
        <w:spacing w:line="360" w:lineRule="auto"/>
        <w:ind w:firstLine="420" w:firstLineChars="200"/>
        <w:rPr>
          <w:rFonts w:ascii="宋体" w:hAnsi="宋体" w:cs="宋体"/>
          <w:color w:val="000000" w:themeColor="text1"/>
        </w:rPr>
      </w:pPr>
      <w:r>
        <w:rPr>
          <w:rFonts w:hint="eastAsia" w:ascii="宋体" w:hAnsi="宋体" w:cs="宋体"/>
          <w:color w:val="000000" w:themeColor="text1"/>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64DA032C">
      <w:pPr>
        <w:spacing w:line="360" w:lineRule="auto"/>
        <w:ind w:firstLine="420" w:firstLineChars="200"/>
        <w:rPr>
          <w:rFonts w:ascii="宋体" w:hAnsi="宋体" w:cs="宋体"/>
          <w:color w:val="000000" w:themeColor="text1"/>
        </w:rPr>
      </w:pPr>
      <w:r>
        <w:rPr>
          <w:rFonts w:hint="eastAsia" w:ascii="宋体" w:hAnsi="宋体" w:cs="宋体"/>
          <w:color w:val="000000" w:themeColor="text1"/>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7CFF146">
      <w:pPr>
        <w:spacing w:line="360" w:lineRule="auto"/>
        <w:ind w:firstLine="420" w:firstLineChars="200"/>
        <w:rPr>
          <w:rFonts w:ascii="宋体" w:hAnsi="宋体" w:cs="宋体"/>
          <w:color w:val="000000" w:themeColor="text1"/>
        </w:rPr>
      </w:pPr>
      <w:r>
        <w:rPr>
          <w:rFonts w:hint="eastAsia" w:ascii="宋体" w:hAnsi="宋体" w:cs="宋体"/>
          <w:color w:val="000000" w:themeColor="text1"/>
        </w:rPr>
        <w:t>1.6中小企业享受扶持政策获得政府采购合同的，小微企业不得将合同分包给大中型企业，中型企业不得将合同分包给大型企业。</w:t>
      </w:r>
    </w:p>
    <w:p w14:paraId="11DCBDD0">
      <w:pPr>
        <w:spacing w:line="360" w:lineRule="auto"/>
        <w:ind w:firstLine="210" w:firstLineChars="100"/>
        <w:contextualSpacing/>
        <w:rPr>
          <w:rFonts w:hAnsi="宋体" w:cs="宋体"/>
          <w:b/>
          <w:color w:val="000000" w:themeColor="text1"/>
          <w:spacing w:val="-4"/>
          <w:sz w:val="28"/>
          <w:szCs w:val="28"/>
        </w:rPr>
      </w:pPr>
      <w:r>
        <w:rPr>
          <w:rFonts w:hint="eastAsia" w:ascii="Times New Roman" w:hAnsi="Times New Roman"/>
          <w:color w:val="000000" w:themeColor="text1"/>
        </w:rPr>
        <w:t>2</w:t>
      </w:r>
      <w:r>
        <w:rPr>
          <w:rFonts w:ascii="Times New Roman" w:hAnsi="Times New Roman"/>
          <w:color w:val="000000" w:themeColor="text1"/>
        </w:rPr>
        <w:t>、信贷政策</w:t>
      </w:r>
    </w:p>
    <w:p w14:paraId="50BB4922">
      <w:pPr>
        <w:spacing w:line="360" w:lineRule="auto"/>
        <w:ind w:firstLine="420" w:firstLineChars="200"/>
        <w:rPr>
          <w:rFonts w:ascii="Times New Roman" w:hAnsi="Times New Roman"/>
          <w:color w:val="000000" w:themeColor="text1"/>
        </w:rPr>
      </w:pPr>
      <w:r>
        <w:rPr>
          <w:rFonts w:hint="eastAsia" w:ascii="Times New Roman" w:hAnsi="Times New Roman"/>
          <w:color w:val="000000" w:themeColor="text1"/>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7"/>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4666"/>
        <w:gridCol w:w="1529"/>
        <w:gridCol w:w="1908"/>
      </w:tblGrid>
      <w:tr w14:paraId="2C55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76652515">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舟山市政府采购信用融资合作银行</w:t>
            </w:r>
          </w:p>
        </w:tc>
      </w:tr>
      <w:tr w14:paraId="4E21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0" w:type="dxa"/>
            <w:vAlign w:val="center"/>
          </w:tcPr>
          <w:p w14:paraId="08BF64B0">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银行名称</w:t>
            </w:r>
          </w:p>
        </w:tc>
        <w:tc>
          <w:tcPr>
            <w:tcW w:w="4666" w:type="dxa"/>
            <w:vAlign w:val="center"/>
          </w:tcPr>
          <w:p w14:paraId="1975F224">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各银行介绍的产品特点</w:t>
            </w:r>
          </w:p>
        </w:tc>
        <w:tc>
          <w:tcPr>
            <w:tcW w:w="1529" w:type="dxa"/>
            <w:vAlign w:val="center"/>
          </w:tcPr>
          <w:p w14:paraId="7974E91A">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经办人</w:t>
            </w:r>
          </w:p>
        </w:tc>
        <w:tc>
          <w:tcPr>
            <w:tcW w:w="1908" w:type="dxa"/>
            <w:vAlign w:val="center"/>
          </w:tcPr>
          <w:p w14:paraId="5A39D6FD">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联系方式</w:t>
            </w:r>
          </w:p>
        </w:tc>
      </w:tr>
      <w:tr w14:paraId="23AF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9D41A34">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中国工商银行股份有限公司舟山分行</w:t>
            </w:r>
          </w:p>
        </w:tc>
        <w:tc>
          <w:tcPr>
            <w:tcW w:w="4666" w:type="dxa"/>
          </w:tcPr>
          <w:p w14:paraId="73D43FA7">
            <w:pPr>
              <w:numPr>
                <w:ilvl w:val="0"/>
                <w:numId w:val="6"/>
              </w:numPr>
              <w:spacing w:line="400" w:lineRule="exact"/>
              <w:contextualSpacing/>
              <w:rPr>
                <w:rFonts w:ascii="仿宋_GB2312" w:hAnsi="仿宋_GB2312" w:eastAsia="仿宋_GB2312" w:cs="仿宋_GB2312"/>
                <w:color w:val="000000" w:themeColor="text1"/>
                <w:sz w:val="22"/>
                <w:szCs w:val="22"/>
              </w:rPr>
            </w:pPr>
            <w:r>
              <w:rPr>
                <w:rFonts w:hint="eastAsia" w:ascii="仿宋_GB2312" w:hAnsi="仿宋_GB2312" w:eastAsia="仿宋_GB2312" w:cs="仿宋_GB2312"/>
                <w:color w:val="000000" w:themeColor="text1"/>
                <w:sz w:val="22"/>
                <w:szCs w:val="22"/>
              </w:rPr>
              <w:t>融资额度高，融资金额最高可至订单金额70%，线上申请，随借随还。2.融资利率低，最低可至当期LPR利率。</w:t>
            </w:r>
          </w:p>
          <w:p w14:paraId="0AD3934E">
            <w:pPr>
              <w:spacing w:line="400" w:lineRule="exact"/>
              <w:contextualSpacing/>
              <w:rPr>
                <w:rFonts w:ascii="仿宋_GB2312" w:eastAsia="仿宋_GB2312"/>
                <w:color w:val="000000" w:themeColor="text1"/>
                <w:sz w:val="22"/>
                <w:szCs w:val="22"/>
              </w:rPr>
            </w:pPr>
            <w:r>
              <w:rPr>
                <w:rFonts w:hint="eastAsia" w:ascii="仿宋_GB2312" w:hAnsi="仿宋_GB2312" w:eastAsia="仿宋_GB2312" w:cs="仿宋_GB2312"/>
                <w:color w:val="000000" w:themeColor="text1"/>
                <w:sz w:val="22"/>
                <w:szCs w:val="22"/>
              </w:rPr>
              <w:t>3.担保方式灵活，以政府采购合同进行融资，无需另外抵押。</w:t>
            </w:r>
          </w:p>
        </w:tc>
        <w:tc>
          <w:tcPr>
            <w:tcW w:w="1529" w:type="dxa"/>
            <w:vAlign w:val="center"/>
          </w:tcPr>
          <w:p w14:paraId="5ED79307">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柳超颖</w:t>
            </w:r>
          </w:p>
        </w:tc>
        <w:tc>
          <w:tcPr>
            <w:tcW w:w="1908" w:type="dxa"/>
            <w:vAlign w:val="center"/>
          </w:tcPr>
          <w:p w14:paraId="321C16A4">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0580-2166242, 15858076468</w:t>
            </w:r>
          </w:p>
        </w:tc>
      </w:tr>
      <w:tr w14:paraId="7403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60" w:type="dxa"/>
            <w:vAlign w:val="center"/>
          </w:tcPr>
          <w:p w14:paraId="4F264356">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中国建设银行股份有限公司舟山分行</w:t>
            </w:r>
          </w:p>
        </w:tc>
        <w:tc>
          <w:tcPr>
            <w:tcW w:w="4666" w:type="dxa"/>
          </w:tcPr>
          <w:p w14:paraId="02710069">
            <w:pPr>
              <w:numPr>
                <w:ilvl w:val="0"/>
                <w:numId w:val="7"/>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快速便捷：全流程线上操作，通过浙江省政府采购网数据审核信用额度，建行供应链平台快速放款。</w:t>
            </w:r>
          </w:p>
          <w:p w14:paraId="2B82F5E4">
            <w:pPr>
              <w:numPr>
                <w:ilvl w:val="0"/>
                <w:numId w:val="7"/>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申请额度高：单笔融资额度最高可达政府采购合同金额的90%，单户额度最高可达3000万。</w:t>
            </w:r>
          </w:p>
          <w:p w14:paraId="13398445">
            <w:pPr>
              <w:numPr>
                <w:ilvl w:val="0"/>
                <w:numId w:val="7"/>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无需额外抵押：以浙江省政府采购网备案公示的政府采购合同进行融资，无需额外抵押担保。</w:t>
            </w:r>
          </w:p>
          <w:p w14:paraId="4A447D64">
            <w:pPr>
              <w:numPr>
                <w:ilvl w:val="0"/>
                <w:numId w:val="7"/>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利率优惠：给予流动资金贷款最优惠利率。</w:t>
            </w:r>
          </w:p>
        </w:tc>
        <w:tc>
          <w:tcPr>
            <w:tcW w:w="1529" w:type="dxa"/>
            <w:vAlign w:val="center"/>
          </w:tcPr>
          <w:p w14:paraId="0EA14BA3">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普陀片区：蔡妮妮</w:t>
            </w:r>
          </w:p>
          <w:p w14:paraId="05451019">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定海片区：杨莹</w:t>
            </w:r>
          </w:p>
          <w:p w14:paraId="413B3290">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自贸区片区：方晓</w:t>
            </w:r>
          </w:p>
        </w:tc>
        <w:tc>
          <w:tcPr>
            <w:tcW w:w="1908" w:type="dxa"/>
            <w:vAlign w:val="center"/>
          </w:tcPr>
          <w:p w14:paraId="2F3CA560">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普陀片区：13957201791</w:t>
            </w:r>
          </w:p>
          <w:p w14:paraId="646B7EFC">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定海片区：13655803997</w:t>
            </w:r>
          </w:p>
          <w:p w14:paraId="7EFD6D76">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自贸区片区：13587086324</w:t>
            </w:r>
          </w:p>
        </w:tc>
      </w:tr>
      <w:tr w14:paraId="41E8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0134870">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杭州银行股份有限公司舟山市分行</w:t>
            </w:r>
          </w:p>
        </w:tc>
        <w:tc>
          <w:tcPr>
            <w:tcW w:w="4666" w:type="dxa"/>
          </w:tcPr>
          <w:p w14:paraId="0964EFFD">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29" w:type="dxa"/>
            <w:vAlign w:val="center"/>
          </w:tcPr>
          <w:p w14:paraId="2DECEA5B">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方经理</w:t>
            </w:r>
          </w:p>
        </w:tc>
        <w:tc>
          <w:tcPr>
            <w:tcW w:w="1908" w:type="dxa"/>
            <w:vAlign w:val="center"/>
          </w:tcPr>
          <w:p w14:paraId="1E2A8F25">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0580-2185201，18205800451</w:t>
            </w:r>
          </w:p>
        </w:tc>
      </w:tr>
      <w:tr w14:paraId="6CCB1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49F78191">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招商银行股份有限公司浙江自贸试验区舟山分行</w:t>
            </w:r>
          </w:p>
        </w:tc>
        <w:tc>
          <w:tcPr>
            <w:tcW w:w="4666" w:type="dxa"/>
          </w:tcPr>
          <w:p w14:paraId="18F51330">
            <w:pPr>
              <w:spacing w:line="400" w:lineRule="exact"/>
              <w:rPr>
                <w:color w:val="000000" w:themeColor="text1"/>
                <w:sz w:val="20"/>
                <w:szCs w:val="22"/>
              </w:rPr>
            </w:pPr>
            <w:r>
              <w:rPr>
                <w:rFonts w:hint="eastAsia" w:ascii="仿宋_GB2312" w:hAnsi="仿宋_GB2312" w:eastAsia="仿宋_GB2312" w:cs="仿宋_GB2312"/>
                <w:color w:val="000000" w:themeColor="text1"/>
                <w:sz w:val="22"/>
                <w:szCs w:val="22"/>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1529" w:type="dxa"/>
            <w:vAlign w:val="center"/>
          </w:tcPr>
          <w:p w14:paraId="3F7FEEAC">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李玲</w:t>
            </w:r>
          </w:p>
        </w:tc>
        <w:tc>
          <w:tcPr>
            <w:tcW w:w="1908" w:type="dxa"/>
            <w:vAlign w:val="center"/>
          </w:tcPr>
          <w:p w14:paraId="40CEE5EE">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0580-2061710，13957227971</w:t>
            </w:r>
          </w:p>
        </w:tc>
      </w:tr>
      <w:tr w14:paraId="34BB1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460" w:type="dxa"/>
            <w:vAlign w:val="center"/>
          </w:tcPr>
          <w:p w14:paraId="4D388C85">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温州银行股份有限公司舟山市分行</w:t>
            </w:r>
          </w:p>
        </w:tc>
        <w:tc>
          <w:tcPr>
            <w:tcW w:w="4666" w:type="dxa"/>
          </w:tcPr>
          <w:p w14:paraId="025E0E10">
            <w:pPr>
              <w:numPr>
                <w:ilvl w:val="0"/>
                <w:numId w:val="8"/>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单户授信敞口最高不超过1000万元，且最高额度核定一般不超过借款人（含实际控制人控制的其他经营实体）最近13个月合计有效中标合同金额的70%。</w:t>
            </w:r>
          </w:p>
          <w:p w14:paraId="01D22D98">
            <w:pPr>
              <w:numPr>
                <w:ilvl w:val="0"/>
                <w:numId w:val="8"/>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单笔借款额度最高不超过1000万元，单笔业务授信额度不超过“政采云平台”提供的中标通知书承载的中标金额或本次申请授信提供的采购合同金额的80%，且用信金额不超过采购合同未付金额的80%。</w:t>
            </w:r>
          </w:p>
          <w:p w14:paraId="0E80EF21">
            <w:pPr>
              <w:numPr>
                <w:ilvl w:val="0"/>
                <w:numId w:val="8"/>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借款人中标采购人自行采购项目并向我行发起授信申请的，单笔业务授信敞口不超500万元，且不超过借款人中标通知书承载的中标金额或本次申请授信提供的采购合同的80%。</w:t>
            </w:r>
          </w:p>
          <w:p w14:paraId="5CCFE0C0">
            <w:pPr>
              <w:numPr>
                <w:ilvl w:val="0"/>
                <w:numId w:val="8"/>
              </w:num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符合我行采购人资质的，且负债率不超75%，配合应收账款质押登记确认的，并可出具确认函，单笔借款额度可按不超过采购合同的90%办理。</w:t>
            </w:r>
          </w:p>
        </w:tc>
        <w:tc>
          <w:tcPr>
            <w:tcW w:w="1529" w:type="dxa"/>
            <w:vAlign w:val="center"/>
          </w:tcPr>
          <w:p w14:paraId="03939B2D">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郑贤栋</w:t>
            </w:r>
          </w:p>
        </w:tc>
        <w:tc>
          <w:tcPr>
            <w:tcW w:w="1908" w:type="dxa"/>
            <w:vAlign w:val="center"/>
          </w:tcPr>
          <w:p w14:paraId="3ECE519B">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058—8866086</w:t>
            </w:r>
          </w:p>
        </w:tc>
      </w:tr>
      <w:tr w14:paraId="082D4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0" w:type="dxa"/>
            <w:vAlign w:val="center"/>
          </w:tcPr>
          <w:p w14:paraId="2E9353A3">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交通银行股份有限公司舟山分行</w:t>
            </w:r>
          </w:p>
        </w:tc>
        <w:tc>
          <w:tcPr>
            <w:tcW w:w="4666" w:type="dxa"/>
          </w:tcPr>
          <w:p w14:paraId="674E3BB8">
            <w:pPr>
              <w:spacing w:line="400" w:lineRule="exact"/>
              <w:contextualSpacing/>
              <w:rPr>
                <w:rFonts w:ascii="仿宋_GB2312" w:eastAsia="仿宋_GB2312"/>
                <w:color w:val="000000" w:themeColor="text1"/>
                <w:sz w:val="22"/>
                <w:szCs w:val="22"/>
              </w:rPr>
            </w:pPr>
            <w:r>
              <w:rPr>
                <w:rFonts w:hint="eastAsia" w:ascii="仿宋_GB2312" w:hAnsi="仿宋_GB2312" w:eastAsia="仿宋_GB2312" w:cs="仿宋_GB2312"/>
                <w:color w:val="000000" w:themeColor="text1"/>
                <w:sz w:val="22"/>
                <w:szCs w:val="22"/>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w:t>
            </w:r>
            <w:r>
              <w:rPr>
                <w:rFonts w:hint="eastAsia"/>
                <w:color w:val="000000" w:themeColor="text1"/>
                <w:sz w:val="20"/>
                <w:szCs w:val="22"/>
              </w:rPr>
              <w:t>PR</w:t>
            </w:r>
            <w:r>
              <w:rPr>
                <w:color w:val="000000" w:themeColor="text1"/>
                <w:sz w:val="20"/>
                <w:szCs w:val="22"/>
              </w:rPr>
              <w:t>。</w:t>
            </w:r>
          </w:p>
        </w:tc>
        <w:tc>
          <w:tcPr>
            <w:tcW w:w="1529" w:type="dxa"/>
            <w:vAlign w:val="center"/>
          </w:tcPr>
          <w:p w14:paraId="699263C7">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赵争艳</w:t>
            </w:r>
          </w:p>
        </w:tc>
        <w:tc>
          <w:tcPr>
            <w:tcW w:w="1908" w:type="dxa"/>
            <w:vAlign w:val="center"/>
          </w:tcPr>
          <w:p w14:paraId="48B663A0">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0580-2260728</w:t>
            </w:r>
          </w:p>
          <w:p w14:paraId="479A5C2D">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13758007280</w:t>
            </w:r>
          </w:p>
        </w:tc>
      </w:tr>
      <w:tr w14:paraId="0FF0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5415A256">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中信银行股份有限公司舟山分行</w:t>
            </w:r>
          </w:p>
        </w:tc>
        <w:tc>
          <w:tcPr>
            <w:tcW w:w="4666" w:type="dxa"/>
          </w:tcPr>
          <w:p w14:paraId="13D3F01D">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1529" w:type="dxa"/>
            <w:vAlign w:val="center"/>
          </w:tcPr>
          <w:p w14:paraId="643C076B">
            <w:pPr>
              <w:spacing w:line="400" w:lineRule="exact"/>
              <w:contextualSpacing/>
              <w:jc w:val="center"/>
              <w:rPr>
                <w:rFonts w:ascii="仿宋_GB2312" w:hAnsi="Times New Roman" w:eastAsia="仿宋_GB2312" w:cs="Times New Roman"/>
                <w:color w:val="000000" w:themeColor="text1"/>
                <w:sz w:val="22"/>
                <w:szCs w:val="22"/>
              </w:rPr>
            </w:pPr>
            <w:r>
              <w:rPr>
                <w:rFonts w:ascii="仿宋_GB2312" w:eastAsia="仿宋_GB2312"/>
                <w:color w:val="000000" w:themeColor="text1"/>
                <w:sz w:val="22"/>
                <w:szCs w:val="22"/>
              </w:rPr>
              <w:t>黄丽</w:t>
            </w:r>
          </w:p>
        </w:tc>
        <w:tc>
          <w:tcPr>
            <w:tcW w:w="1908" w:type="dxa"/>
            <w:vAlign w:val="center"/>
          </w:tcPr>
          <w:p w14:paraId="245B5829">
            <w:pPr>
              <w:spacing w:line="400" w:lineRule="exact"/>
              <w:contextualSpacing/>
              <w:rPr>
                <w:rFonts w:ascii="仿宋_GB2312" w:hAnsi="Times New Roman" w:eastAsia="仿宋_GB2312" w:cs="Times New Roman"/>
                <w:color w:val="000000" w:themeColor="text1"/>
                <w:sz w:val="22"/>
                <w:szCs w:val="22"/>
              </w:rPr>
            </w:pPr>
            <w:r>
              <w:rPr>
                <w:rFonts w:ascii="仿宋_GB2312" w:eastAsia="仿宋_GB2312"/>
                <w:color w:val="000000" w:themeColor="text1"/>
                <w:sz w:val="22"/>
                <w:szCs w:val="22"/>
              </w:rPr>
              <w:t>13905808032</w:t>
            </w:r>
          </w:p>
        </w:tc>
      </w:tr>
      <w:tr w14:paraId="56AD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21752F4E">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泰隆银行舟山市分行</w:t>
            </w:r>
          </w:p>
        </w:tc>
        <w:tc>
          <w:tcPr>
            <w:tcW w:w="4666" w:type="dxa"/>
          </w:tcPr>
          <w:p w14:paraId="2DC497D0">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1529" w:type="dxa"/>
            <w:vAlign w:val="center"/>
          </w:tcPr>
          <w:p w14:paraId="2CCCD67D">
            <w:pPr>
              <w:spacing w:line="400" w:lineRule="exact"/>
              <w:contextualSpacing/>
              <w:jc w:val="center"/>
              <w:rPr>
                <w:rFonts w:ascii="仿宋_GB2312" w:eastAsia="仿宋_GB2312"/>
                <w:color w:val="000000" w:themeColor="text1"/>
                <w:sz w:val="22"/>
                <w:szCs w:val="22"/>
              </w:rPr>
            </w:pPr>
            <w:r>
              <w:rPr>
                <w:rFonts w:hint="eastAsia" w:ascii="仿宋_GB2312" w:eastAsia="仿宋_GB2312"/>
                <w:color w:val="000000" w:themeColor="text1"/>
                <w:sz w:val="22"/>
                <w:szCs w:val="22"/>
              </w:rPr>
              <w:t>胡亢宇</w:t>
            </w:r>
          </w:p>
        </w:tc>
        <w:tc>
          <w:tcPr>
            <w:tcW w:w="1908" w:type="dxa"/>
            <w:vAlign w:val="center"/>
          </w:tcPr>
          <w:p w14:paraId="15BC634A">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17605868703</w:t>
            </w:r>
          </w:p>
        </w:tc>
      </w:tr>
      <w:tr w14:paraId="34E7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0A11B932">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中国农业银行股份有限公司舟山分行</w:t>
            </w:r>
          </w:p>
        </w:tc>
        <w:tc>
          <w:tcPr>
            <w:tcW w:w="4666" w:type="dxa"/>
          </w:tcPr>
          <w:p w14:paraId="465C2597">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1529" w:type="dxa"/>
            <w:vAlign w:val="center"/>
          </w:tcPr>
          <w:p w14:paraId="42A803B2">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苏华瞻</w:t>
            </w:r>
          </w:p>
        </w:tc>
        <w:tc>
          <w:tcPr>
            <w:tcW w:w="1908" w:type="dxa"/>
            <w:vAlign w:val="center"/>
          </w:tcPr>
          <w:p w14:paraId="5EA62AEF">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13967228926</w:t>
            </w:r>
          </w:p>
        </w:tc>
      </w:tr>
      <w:tr w14:paraId="5027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460" w:type="dxa"/>
            <w:vAlign w:val="center"/>
          </w:tcPr>
          <w:p w14:paraId="74DF2103">
            <w:pPr>
              <w:spacing w:line="400" w:lineRule="exact"/>
              <w:contextualSpacing/>
              <w:rPr>
                <w:rFonts w:ascii="仿宋_GB2312" w:eastAsia="仿宋_GB2312"/>
                <w:color w:val="000000" w:themeColor="text1"/>
                <w:sz w:val="22"/>
                <w:szCs w:val="22"/>
              </w:rPr>
            </w:pPr>
            <w:r>
              <w:rPr>
                <w:rFonts w:hint="eastAsia" w:ascii="仿宋_GB2312" w:eastAsia="仿宋_GB2312"/>
                <w:color w:val="000000" w:themeColor="text1"/>
                <w:sz w:val="22"/>
                <w:szCs w:val="22"/>
              </w:rPr>
              <w:t>中国邮政储蓄银行股份有限公司舟山市分行</w:t>
            </w:r>
          </w:p>
        </w:tc>
        <w:tc>
          <w:tcPr>
            <w:tcW w:w="4666" w:type="dxa"/>
          </w:tcPr>
          <w:p w14:paraId="348D74CE">
            <w:pPr>
              <w:tabs>
                <w:tab w:val="left" w:pos="0"/>
              </w:tabs>
              <w:spacing w:line="400" w:lineRule="exact"/>
              <w:rPr>
                <w:rFonts w:ascii="仿宋_GB2312" w:hAnsi="Times New Roman" w:eastAsia="仿宋_GB2312" w:cs="Times New Roman"/>
                <w:color w:val="000000" w:themeColor="text1"/>
                <w:sz w:val="22"/>
                <w:szCs w:val="22"/>
              </w:rPr>
            </w:pPr>
            <w:r>
              <w:rPr>
                <w:rFonts w:hint="eastAsia" w:ascii="仿宋_GB2312" w:hAnsi="Times New Roman" w:eastAsia="仿宋_GB2312" w:cs="Times New Roman"/>
                <w:color w:val="000000" w:themeColor="text1"/>
                <w:sz w:val="22"/>
                <w:szCs w:val="22"/>
              </w:rPr>
              <w:t>符合我行基本准入，授信额度使用期最高为2年，单户授信最高为500万，担保方式</w:t>
            </w:r>
            <w:r>
              <w:rPr>
                <w:rFonts w:hint="eastAsia" w:ascii="仿宋_GB2312" w:eastAsia="仿宋_GB2312"/>
                <w:color w:val="000000" w:themeColor="text1"/>
                <w:sz w:val="22"/>
                <w:szCs w:val="22"/>
              </w:rPr>
              <w:t>享受信用贷款执行</w:t>
            </w:r>
            <w:r>
              <w:rPr>
                <w:rFonts w:hint="eastAsia" w:ascii="仿宋_GB2312" w:hAnsi="Times New Roman" w:eastAsia="仿宋_GB2312" w:cs="Times New Roman"/>
                <w:color w:val="000000" w:themeColor="text1"/>
                <w:sz w:val="22"/>
                <w:szCs w:val="22"/>
              </w:rPr>
              <w:t>，利率最低可至当期LPR ，有无还本续贷，12月份线上产品可以自主自贷。</w:t>
            </w:r>
          </w:p>
        </w:tc>
        <w:tc>
          <w:tcPr>
            <w:tcW w:w="1529" w:type="dxa"/>
            <w:vAlign w:val="center"/>
          </w:tcPr>
          <w:p w14:paraId="538041D4">
            <w:pPr>
              <w:spacing w:line="400" w:lineRule="exact"/>
              <w:contextualSpacing/>
              <w:jc w:val="center"/>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蒋志燕</w:t>
            </w:r>
          </w:p>
        </w:tc>
        <w:tc>
          <w:tcPr>
            <w:tcW w:w="1908" w:type="dxa"/>
            <w:vAlign w:val="center"/>
          </w:tcPr>
          <w:p w14:paraId="2351060C">
            <w:pPr>
              <w:spacing w:line="400" w:lineRule="exact"/>
              <w:contextualSpacing/>
              <w:rPr>
                <w:rFonts w:ascii="仿宋_GB2312" w:hAnsi="Times New Roman" w:eastAsia="仿宋_GB2312" w:cs="Times New Roman"/>
                <w:color w:val="000000" w:themeColor="text1"/>
                <w:sz w:val="22"/>
                <w:szCs w:val="22"/>
              </w:rPr>
            </w:pPr>
            <w:r>
              <w:rPr>
                <w:rFonts w:hint="eastAsia" w:ascii="仿宋_GB2312" w:eastAsia="仿宋_GB2312"/>
                <w:color w:val="000000" w:themeColor="text1"/>
                <w:sz w:val="22"/>
                <w:szCs w:val="22"/>
              </w:rPr>
              <w:t>13732527321</w:t>
            </w:r>
          </w:p>
        </w:tc>
      </w:tr>
    </w:tbl>
    <w:p w14:paraId="65158768">
      <w:pPr>
        <w:rPr>
          <w:rFonts w:ascii="Times New Roman" w:hAnsi="Times New Roman"/>
          <w:bCs/>
          <w:color w:val="000000" w:themeColor="text1"/>
        </w:rPr>
      </w:pPr>
      <w:r>
        <w:rPr>
          <w:rFonts w:hint="eastAsia" w:ascii="Times New Roman" w:hAnsi="Times New Roman"/>
          <w:bCs/>
          <w:color w:val="000000" w:themeColor="text1"/>
        </w:rPr>
        <w:t>2.2一般步骤</w:t>
      </w:r>
    </w:p>
    <w:p w14:paraId="447890B9">
      <w:pPr>
        <w:rPr>
          <w:rFonts w:ascii="Times New Roman" w:hAnsi="Times New Roman"/>
          <w:bCs/>
          <w:color w:val="000000" w:themeColor="text1"/>
        </w:rPr>
      </w:pPr>
      <w:r>
        <w:rPr>
          <w:rFonts w:hint="eastAsia" w:ascii="Times New Roman" w:hAnsi="Times New Roman"/>
          <w:bCs/>
          <w:color w:val="000000" w:themeColor="text1"/>
        </w:rPr>
        <w:t>（1）供应商先与银行对接，办理融资前期手续；</w:t>
      </w:r>
    </w:p>
    <w:p w14:paraId="7B79E5F5">
      <w:pPr>
        <w:rPr>
          <w:rFonts w:ascii="Times New Roman" w:hAnsi="Times New Roman"/>
          <w:bCs/>
          <w:color w:val="000000" w:themeColor="text1"/>
        </w:rPr>
      </w:pPr>
      <w:r>
        <w:rPr>
          <w:rFonts w:hint="eastAsia" w:ascii="Times New Roman" w:hAnsi="Times New Roman"/>
          <w:bCs/>
          <w:color w:val="000000" w:themeColor="text1"/>
        </w:rPr>
        <w:t>（2）供应商中标后，凭中标通知书等材料，向相关合作银行发出融资申请；</w:t>
      </w:r>
    </w:p>
    <w:p w14:paraId="79FB96D5">
      <w:pPr>
        <w:rPr>
          <w:rFonts w:ascii="Times New Roman" w:hAnsi="Times New Roman"/>
          <w:bCs/>
          <w:color w:val="000000" w:themeColor="text1"/>
        </w:rPr>
      </w:pPr>
      <w:r>
        <w:rPr>
          <w:rFonts w:hint="eastAsia" w:ascii="Times New Roman" w:hAnsi="Times New Roman"/>
          <w:bCs/>
          <w:color w:val="000000" w:themeColor="text1"/>
        </w:rPr>
        <w:t>（3）银行、供应商线上办理审批、放贷事宜。</w:t>
      </w:r>
    </w:p>
    <w:p w14:paraId="3577FF8B">
      <w:pPr>
        <w:rPr>
          <w:rFonts w:ascii="Times New Roman" w:hAnsi="Times New Roman"/>
          <w:bCs/>
          <w:color w:val="000000" w:themeColor="text1"/>
        </w:rPr>
      </w:pPr>
      <w:r>
        <w:rPr>
          <w:rFonts w:hint="eastAsia" w:ascii="Times New Roman" w:hAnsi="Times New Roman"/>
          <w:bCs/>
          <w:color w:val="000000" w:themeColor="text1"/>
        </w:rPr>
        <w:t>2.3注意事项</w:t>
      </w:r>
    </w:p>
    <w:p w14:paraId="307B2721">
      <w:pPr>
        <w:rPr>
          <w:rFonts w:ascii="Times New Roman" w:hAnsi="Times New Roman"/>
          <w:bCs/>
          <w:color w:val="000000" w:themeColor="text1"/>
        </w:rPr>
      </w:pPr>
      <w:r>
        <w:rPr>
          <w:rFonts w:hint="eastAsia" w:ascii="Times New Roman" w:hAnsi="Times New Roman"/>
          <w:bCs/>
          <w:color w:val="000000" w:themeColor="text1"/>
        </w:rPr>
        <w:t>（1）中标供应商需确保政府采购合同的收款账户与融资银行开户账户一致。</w:t>
      </w:r>
    </w:p>
    <w:p w14:paraId="4F86CD06">
      <w:pPr>
        <w:rPr>
          <w:rFonts w:ascii="Times New Roman" w:hAnsi="Times New Roman"/>
          <w:bCs/>
          <w:color w:val="000000" w:themeColor="text1"/>
        </w:rPr>
      </w:pPr>
      <w:r>
        <w:rPr>
          <w:rFonts w:hint="eastAsia" w:ascii="Times New Roman" w:hAnsi="Times New Roman"/>
          <w:bCs/>
          <w:color w:val="000000" w:themeColor="text1"/>
        </w:rPr>
        <w:t>（2）用于政府采购信用融资的政府采购合同，应当包含如下条款：“第条：政府采购合同贷款</w:t>
      </w:r>
    </w:p>
    <w:p w14:paraId="2428AAA0">
      <w:pPr>
        <w:ind w:firstLine="420" w:firstLineChars="200"/>
        <w:rPr>
          <w:rFonts w:ascii="Times New Roman" w:hAnsi="Times New Roman"/>
          <w:bCs/>
          <w:color w:val="000000" w:themeColor="text1"/>
        </w:rPr>
      </w:pPr>
      <w:r>
        <w:rPr>
          <w:rFonts w:hint="eastAsia" w:ascii="Times New Roman" w:hAnsi="Times New Roman"/>
          <w:bCs/>
          <w:color w:val="000000" w:themeColor="text1"/>
        </w:rPr>
        <w:t>本合同同时用于乙方向银行（金融机构）申请政府采购信用贷款。</w:t>
      </w:r>
    </w:p>
    <w:p w14:paraId="57CDB2B8">
      <w:pPr>
        <w:ind w:firstLine="420" w:firstLineChars="200"/>
        <w:rPr>
          <w:rFonts w:ascii="Times New Roman" w:hAnsi="Times New Roman"/>
          <w:bCs/>
          <w:color w:val="000000" w:themeColor="text1"/>
        </w:rPr>
      </w:pPr>
      <w:r>
        <w:rPr>
          <w:rFonts w:hint="eastAsia" w:ascii="Times New Roman" w:hAnsi="Times New Roman"/>
          <w:bCs/>
          <w:color w:val="000000" w:themeColor="text1"/>
        </w:rPr>
        <w:t>本合同一经签订，原则上不得更改乙方收款账户信息。确须更改的，乙方应取得原合同收款账户开户银行书面同意，否则修改后的合同不予备案，采购资金不予支付。”</w:t>
      </w:r>
    </w:p>
    <w:p w14:paraId="0290FC50">
      <w:pPr>
        <w:pStyle w:val="59"/>
        <w:snapToGrid w:val="0"/>
        <w:spacing w:before="159" w:after="159" w:line="360" w:lineRule="auto"/>
        <w:ind w:right="-87"/>
        <w:rPr>
          <w:rFonts w:ascii="Times New Roman" w:hAnsi="Times New Roman" w:cs="Times New Roman"/>
          <w:color w:val="000000" w:themeColor="text1"/>
        </w:rPr>
        <w:sectPr>
          <w:footerReference r:id="rId8" w:type="first"/>
          <w:headerReference r:id="rId6" w:type="default"/>
          <w:footerReference r:id="rId7" w:type="default"/>
          <w:pgSz w:w="11906" w:h="16838"/>
          <w:pgMar w:top="1531" w:right="1230" w:bottom="1531" w:left="1230" w:header="850" w:footer="584" w:gutter="0"/>
          <w:cols w:space="0" w:num="1"/>
          <w:titlePg/>
          <w:docGrid w:type="lines" w:linePitch="318" w:charSpace="0"/>
        </w:sectPr>
      </w:pPr>
    </w:p>
    <w:p w14:paraId="23FE81EC">
      <w:pPr>
        <w:spacing w:line="360" w:lineRule="auto"/>
        <w:contextualSpacing/>
        <w:jc w:val="center"/>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第四章评标办法及评分标准</w:t>
      </w:r>
    </w:p>
    <w:p w14:paraId="33823269">
      <w:pPr>
        <w:spacing w:line="360" w:lineRule="auto"/>
        <w:ind w:firstLine="420" w:firstLineChars="200"/>
        <w:contextualSpacing/>
        <w:rPr>
          <w:rFonts w:ascii="Times New Roman" w:hAnsi="Times New Roman" w:cs="Times New Roman"/>
          <w:b/>
          <w:bCs/>
          <w:color w:val="000000" w:themeColor="text1"/>
        </w:rPr>
      </w:pPr>
      <w:r>
        <w:rPr>
          <w:rFonts w:ascii="Times New Roman" w:hAnsi="Times New Roman" w:cs="Times New Roman"/>
          <w:color w:val="000000" w:themeColor="text1"/>
        </w:rPr>
        <w:t>为公正、公平、科学地选择成交人，根据《中华人民共和国政府采购法》等有关法律法规的规定，并结合本项目的实际，制定本办法，本办法适用本项目的评标。</w:t>
      </w:r>
    </w:p>
    <w:p w14:paraId="7CC1AC3D">
      <w:pPr>
        <w:autoSpaceDE w:val="0"/>
        <w:autoSpaceDN w:val="0"/>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一、中标候选人的选取</w:t>
      </w:r>
    </w:p>
    <w:p w14:paraId="25779EDF">
      <w:pPr>
        <w:spacing w:line="360" w:lineRule="auto"/>
        <w:ind w:firstLine="420" w:firstLineChars="200"/>
        <w:contextualSpacing/>
        <w:rPr>
          <w:rFonts w:ascii="Times New Roman" w:hAnsi="Times New Roman" w:cs="Times New Roman"/>
          <w:b/>
          <w:bCs/>
          <w:color w:val="000000" w:themeColor="text1"/>
          <w:lang w:val="zh-CN"/>
        </w:rPr>
      </w:pPr>
      <w:r>
        <w:rPr>
          <w:rFonts w:ascii="Times New Roman" w:hAnsi="Times New Roman" w:cs="Times New Roman"/>
          <w:color w:val="000000" w:themeColor="text1"/>
        </w:rPr>
        <w:t>将综合评估分从高到低排序，得出参投标人名次,按照综合评估分名次推荐中标候选人3名。得分相同时，按投标报价由低到高顺序排列，得分且投标报价相同的，按技术指标优劣顺序排列。</w:t>
      </w:r>
    </w:p>
    <w:p w14:paraId="6E68BE74">
      <w:pPr>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二、成交人选取依据</w:t>
      </w:r>
    </w:p>
    <w:p w14:paraId="50CFFEB3">
      <w:pPr>
        <w:spacing w:line="360" w:lineRule="auto"/>
        <w:ind w:firstLine="420" w:firstLineChars="200"/>
        <w:contextualSpacing/>
        <w:rPr>
          <w:rFonts w:ascii="Times New Roman" w:hAnsi="Times New Roman" w:cs="Times New Roman"/>
          <w:color w:val="000000" w:themeColor="text1"/>
        </w:rPr>
      </w:pPr>
      <w:r>
        <w:rPr>
          <w:rFonts w:ascii="Times New Roman" w:hAnsi="Times New Roman" w:cs="Times New Roman"/>
          <w:color w:val="000000" w:themeColor="text1"/>
        </w:rPr>
        <w:t>评审小组根据综合评估分得分排序，推荐第一名中标候选人为中标人，经采购人确认后，确定项目中标人，同时发布采购结果公告，发出中标通知书。</w:t>
      </w:r>
    </w:p>
    <w:p w14:paraId="79F14213">
      <w:pPr>
        <w:spacing w:line="360" w:lineRule="auto"/>
        <w:contextualSpacing/>
        <w:rPr>
          <w:rFonts w:ascii="Times New Roman" w:hAnsi="Times New Roman" w:cs="Times New Roman"/>
          <w:b/>
          <w:bCs/>
          <w:color w:val="000000" w:themeColor="text1"/>
        </w:rPr>
      </w:pPr>
      <w:r>
        <w:rPr>
          <w:rFonts w:ascii="Times New Roman" w:hAnsi="Times New Roman" w:cs="Times New Roman"/>
          <w:b/>
          <w:bCs/>
          <w:color w:val="000000" w:themeColor="text1"/>
        </w:rPr>
        <w:t>三、综合评估分计分方法</w:t>
      </w:r>
    </w:p>
    <w:p w14:paraId="4CBEC655">
      <w:pPr>
        <w:autoSpaceDE w:val="0"/>
        <w:autoSpaceDN w:val="0"/>
        <w:spacing w:line="360" w:lineRule="auto"/>
        <w:ind w:firstLine="420" w:firstLineChars="200"/>
        <w:contextualSpacing/>
        <w:rPr>
          <w:rFonts w:ascii="Times New Roman" w:hAnsi="Times New Roman" w:cs="Times New Roman"/>
          <w:color w:val="000000" w:themeColor="text1"/>
          <w:lang w:val="zh-CN"/>
        </w:rPr>
      </w:pPr>
      <w:r>
        <w:rPr>
          <w:rFonts w:ascii="Times New Roman" w:hAnsi="Times New Roman" w:cs="Times New Roman"/>
          <w:color w:val="000000" w:themeColor="text1"/>
          <w:lang w:val="zh-CN"/>
        </w:rPr>
        <w:t>满足采购文件要求且投标价格最低的投标报价为评标基准价，其价格分为满分，其他投标人的价格分按下列公式计算：投标报价得分＝（评标基准价/投标报价）×价格权重×100。</w:t>
      </w:r>
    </w:p>
    <w:p w14:paraId="67988E15">
      <w:pPr>
        <w:autoSpaceDE w:val="0"/>
        <w:autoSpaceDN w:val="0"/>
        <w:spacing w:line="360" w:lineRule="auto"/>
        <w:ind w:firstLine="420" w:firstLineChars="200"/>
        <w:contextualSpacing/>
        <w:rPr>
          <w:rFonts w:ascii="Times New Roman" w:hAnsi="Times New Roman" w:cs="Times New Roman"/>
          <w:color w:val="000000" w:themeColor="text1"/>
          <w:highlight w:val="none"/>
        </w:rPr>
      </w:pPr>
      <w:r>
        <w:rPr>
          <w:rFonts w:ascii="Times New Roman" w:hAnsi="Times New Roman" w:cs="Times New Roman"/>
          <w:color w:val="000000" w:themeColor="text1"/>
          <w:highlight w:val="none"/>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3C074DBD">
      <w:pPr>
        <w:spacing w:after="120"/>
        <w:ind w:firstLine="211" w:firstLineChars="100"/>
        <w:rPr>
          <w:rFonts w:ascii="Times New Roman" w:hAnsi="Times New Roman" w:eastAsia="宋体" w:cs="Times New Roman"/>
          <w:b/>
          <w:bCs/>
          <w:color w:val="000000" w:themeColor="text1"/>
          <w:kern w:val="0"/>
          <w:szCs w:val="21"/>
        </w:rPr>
      </w:pPr>
      <w:r>
        <w:rPr>
          <w:rFonts w:hint="eastAsia" w:ascii="Times New Roman" w:hAnsi="Times New Roman" w:eastAsia="宋体" w:cs="Times New Roman"/>
          <w:b/>
          <w:bCs/>
          <w:color w:val="000000" w:themeColor="text1"/>
          <w:kern w:val="0"/>
          <w:szCs w:val="21"/>
        </w:rPr>
        <w:t>标项一：评分标准</w:t>
      </w:r>
    </w:p>
    <w:tbl>
      <w:tblPr>
        <w:tblStyle w:val="27"/>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0"/>
        <w:gridCol w:w="2695"/>
      </w:tblGrid>
      <w:tr w14:paraId="4DD4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695B2572">
            <w:pPr>
              <w:spacing w:line="360" w:lineRule="auto"/>
              <w:ind w:firstLine="630" w:firstLineChars="300"/>
              <w:rPr>
                <w:rFonts w:ascii="Times New Roman" w:hAnsi="Times New Roman" w:cs="Times New Roman"/>
                <w:color w:val="000000" w:themeColor="text1"/>
              </w:rPr>
            </w:pPr>
            <w:r>
              <w:rPr>
                <w:rFonts w:hint="eastAsia" w:ascii="Times New Roman" w:hAnsi="Times New Roman" w:cs="Times New Roman"/>
                <w:color w:val="000000" w:themeColor="text1"/>
                <w:lang w:val="zh-CN"/>
              </w:rPr>
              <w:t>评价指标和各评价权重指标：</w:t>
            </w:r>
            <w:r>
              <w:rPr>
                <w:rFonts w:hint="eastAsia" w:ascii="Times New Roman" w:hAnsi="Times New Roman" w:cs="Times New Roman"/>
                <w:color w:val="000000" w:themeColor="text1"/>
              </w:rPr>
              <w:t>评标指标</w:t>
            </w:r>
          </w:p>
        </w:tc>
        <w:tc>
          <w:tcPr>
            <w:tcW w:w="2693" w:type="dxa"/>
            <w:tcBorders>
              <w:top w:val="single" w:color="auto" w:sz="4" w:space="0"/>
              <w:left w:val="single" w:color="auto" w:sz="4" w:space="0"/>
              <w:bottom w:val="single" w:color="auto" w:sz="4" w:space="0"/>
              <w:right w:val="single" w:color="auto" w:sz="4" w:space="0"/>
            </w:tcBorders>
            <w:vAlign w:val="center"/>
          </w:tcPr>
          <w:p w14:paraId="35A0BA2E">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权重（％）</w:t>
            </w:r>
          </w:p>
        </w:tc>
      </w:tr>
      <w:tr w14:paraId="7A24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656E248D">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投标报价</w:t>
            </w:r>
          </w:p>
        </w:tc>
        <w:tc>
          <w:tcPr>
            <w:tcW w:w="2693" w:type="dxa"/>
            <w:tcBorders>
              <w:top w:val="single" w:color="auto" w:sz="4" w:space="0"/>
              <w:left w:val="single" w:color="auto" w:sz="4" w:space="0"/>
              <w:bottom w:val="single" w:color="auto" w:sz="4" w:space="0"/>
              <w:right w:val="single" w:color="auto" w:sz="4" w:space="0"/>
            </w:tcBorders>
            <w:vAlign w:val="center"/>
          </w:tcPr>
          <w:p w14:paraId="543FBA9D">
            <w:pPr>
              <w:spacing w:line="360" w:lineRule="auto"/>
              <w:jc w:val="center"/>
              <w:rPr>
                <w:rFonts w:hint="default" w:ascii="Times New Roman" w:hAnsi="Times New Roman" w:eastAsia="宋体" w:cs="Times New Roman"/>
                <w:color w:val="000000" w:themeColor="text1"/>
                <w:lang w:val="en-US" w:eastAsia="zh-CN"/>
              </w:rPr>
            </w:pPr>
            <w:r>
              <w:rPr>
                <w:rFonts w:hint="eastAsia" w:ascii="Times New Roman" w:hAnsi="Times New Roman" w:cs="Times New Roman"/>
                <w:color w:val="000000" w:themeColor="text1"/>
                <w:lang w:val="en-US" w:eastAsia="zh-CN"/>
              </w:rPr>
              <w:t>20</w:t>
            </w:r>
          </w:p>
        </w:tc>
      </w:tr>
      <w:tr w14:paraId="40FD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7F341419">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商务部分</w:t>
            </w:r>
          </w:p>
        </w:tc>
        <w:tc>
          <w:tcPr>
            <w:tcW w:w="2693" w:type="dxa"/>
            <w:tcBorders>
              <w:top w:val="single" w:color="auto" w:sz="4" w:space="0"/>
              <w:left w:val="single" w:color="auto" w:sz="4" w:space="0"/>
              <w:bottom w:val="single" w:color="auto" w:sz="4" w:space="0"/>
              <w:right w:val="single" w:color="auto" w:sz="4" w:space="0"/>
            </w:tcBorders>
            <w:vAlign w:val="center"/>
          </w:tcPr>
          <w:p w14:paraId="070EE5F0">
            <w:pPr>
              <w:spacing w:line="360" w:lineRule="auto"/>
              <w:jc w:val="center"/>
              <w:rPr>
                <w:rFonts w:hint="eastAsia" w:ascii="Times New Roman" w:hAnsi="Times New Roman" w:eastAsia="宋体" w:cs="Times New Roman"/>
                <w:color w:val="000000" w:themeColor="text1"/>
                <w:lang w:eastAsia="zh-CN"/>
              </w:rPr>
            </w:pPr>
            <w:r>
              <w:rPr>
                <w:rFonts w:hint="eastAsia" w:ascii="Times New Roman" w:hAnsi="Times New Roman" w:cs="Times New Roman"/>
                <w:color w:val="000000" w:themeColor="text1"/>
                <w:lang w:val="en-US" w:eastAsia="zh-CN"/>
              </w:rPr>
              <w:t>5</w:t>
            </w:r>
          </w:p>
        </w:tc>
      </w:tr>
      <w:tr w14:paraId="7F1A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75BA05D8">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技术部分</w:t>
            </w:r>
          </w:p>
        </w:tc>
        <w:tc>
          <w:tcPr>
            <w:tcW w:w="2693" w:type="dxa"/>
            <w:tcBorders>
              <w:top w:val="single" w:color="auto" w:sz="4" w:space="0"/>
              <w:left w:val="single" w:color="auto" w:sz="4" w:space="0"/>
              <w:bottom w:val="single" w:color="auto" w:sz="4" w:space="0"/>
              <w:right w:val="single" w:color="auto" w:sz="4" w:space="0"/>
            </w:tcBorders>
            <w:vAlign w:val="center"/>
          </w:tcPr>
          <w:p w14:paraId="714B0C46">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7</w:t>
            </w:r>
            <w:r>
              <w:rPr>
                <w:rFonts w:ascii="Times New Roman" w:hAnsi="Times New Roman" w:cs="Times New Roman"/>
                <w:color w:val="000000" w:themeColor="text1"/>
              </w:rPr>
              <w:t>5</w:t>
            </w:r>
          </w:p>
        </w:tc>
      </w:tr>
      <w:tr w14:paraId="6807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tcBorders>
              <w:top w:val="single" w:color="auto" w:sz="4" w:space="0"/>
              <w:left w:val="single" w:color="auto" w:sz="4" w:space="0"/>
              <w:bottom w:val="single" w:color="auto" w:sz="4" w:space="0"/>
              <w:right w:val="single" w:color="auto" w:sz="4" w:space="0"/>
            </w:tcBorders>
            <w:vAlign w:val="center"/>
          </w:tcPr>
          <w:p w14:paraId="6D740325">
            <w:pPr>
              <w:spacing w:line="360" w:lineRule="auto"/>
              <w:jc w:val="center"/>
              <w:rPr>
                <w:rFonts w:ascii="Times New Roman" w:hAnsi="Times New Roman" w:cs="Times New Roman"/>
                <w:color w:val="000000" w:themeColor="text1"/>
              </w:rPr>
            </w:pPr>
            <w:r>
              <w:rPr>
                <w:rFonts w:hint="eastAsia" w:ascii="Times New Roman" w:hAnsi="Times New Roman" w:cs="Times New Roman"/>
                <w:color w:val="000000" w:themeColor="text1"/>
              </w:rPr>
              <w:t>合计</w:t>
            </w:r>
          </w:p>
        </w:tc>
        <w:tc>
          <w:tcPr>
            <w:tcW w:w="2693" w:type="dxa"/>
            <w:tcBorders>
              <w:top w:val="single" w:color="auto" w:sz="4" w:space="0"/>
              <w:left w:val="single" w:color="auto" w:sz="4" w:space="0"/>
              <w:bottom w:val="single" w:color="auto" w:sz="4" w:space="0"/>
              <w:right w:val="single" w:color="auto" w:sz="4" w:space="0"/>
            </w:tcBorders>
            <w:vAlign w:val="center"/>
          </w:tcPr>
          <w:p w14:paraId="1AB1FBFB">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100</w:t>
            </w:r>
          </w:p>
        </w:tc>
      </w:tr>
    </w:tbl>
    <w:tbl>
      <w:tblPr>
        <w:tblStyle w:val="27"/>
        <w:tblpPr w:leftFromText="180" w:rightFromText="180" w:vertAnchor="text" w:horzAnchor="page" w:tblpX="1786" w:tblpY="311"/>
        <w:tblOverlap w:val="never"/>
        <w:tblW w:w="51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07"/>
        <w:gridCol w:w="6180"/>
        <w:gridCol w:w="769"/>
      </w:tblGrid>
      <w:tr w14:paraId="68BC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vAlign w:val="center"/>
          </w:tcPr>
          <w:p w14:paraId="0C0427A0">
            <w:pPr>
              <w:spacing w:line="360" w:lineRule="auto"/>
              <w:rPr>
                <w:rFonts w:ascii="Calibri" w:hAnsi="Calibri" w:eastAsia="宋体" w:cs="Calibri"/>
                <w:bCs/>
                <w:color w:val="000000" w:themeColor="text1"/>
                <w:szCs w:val="21"/>
              </w:rPr>
            </w:pPr>
            <w:bookmarkStart w:id="4" w:name="_GoBack" w:colFirst="0" w:colLast="3"/>
            <w:r>
              <w:rPr>
                <w:rFonts w:hint="eastAsia" w:ascii="Calibri" w:hAnsi="Calibri" w:eastAsia="宋体" w:cs="Calibri"/>
                <w:bCs/>
                <w:color w:val="000000" w:themeColor="text1"/>
                <w:szCs w:val="21"/>
              </w:rPr>
              <w:t>评审类别</w:t>
            </w:r>
          </w:p>
        </w:tc>
        <w:tc>
          <w:tcPr>
            <w:tcW w:w="633" w:type="pct"/>
            <w:tcBorders>
              <w:top w:val="single" w:color="auto" w:sz="4" w:space="0"/>
              <w:left w:val="single" w:color="auto" w:sz="4" w:space="0"/>
              <w:bottom w:val="single" w:color="auto" w:sz="4" w:space="0"/>
              <w:right w:val="single" w:color="auto" w:sz="4" w:space="0"/>
            </w:tcBorders>
            <w:vAlign w:val="center"/>
          </w:tcPr>
          <w:p w14:paraId="2DD0CD9B">
            <w:pPr>
              <w:spacing w:line="360" w:lineRule="auto"/>
              <w:rPr>
                <w:rFonts w:ascii="Calibri" w:hAnsi="Calibri" w:eastAsia="宋体" w:cs="Calibri"/>
                <w:bCs/>
                <w:color w:val="000000" w:themeColor="text1"/>
                <w:szCs w:val="21"/>
              </w:rPr>
            </w:pPr>
            <w:r>
              <w:rPr>
                <w:rFonts w:hint="eastAsia" w:ascii="Calibri" w:hAnsi="Calibri" w:eastAsia="宋体" w:cs="Calibri"/>
                <w:bCs/>
                <w:color w:val="000000" w:themeColor="text1"/>
                <w:szCs w:val="21"/>
              </w:rPr>
              <w:t>评审内容</w:t>
            </w:r>
          </w:p>
        </w:tc>
        <w:tc>
          <w:tcPr>
            <w:tcW w:w="3533" w:type="pct"/>
            <w:tcBorders>
              <w:top w:val="single" w:color="auto" w:sz="4" w:space="0"/>
              <w:left w:val="single" w:color="auto" w:sz="4" w:space="0"/>
              <w:bottom w:val="single" w:color="auto" w:sz="4" w:space="0"/>
              <w:right w:val="single" w:color="auto" w:sz="4" w:space="0"/>
            </w:tcBorders>
            <w:vAlign w:val="center"/>
          </w:tcPr>
          <w:p w14:paraId="6EFC97C7">
            <w:pPr>
              <w:spacing w:line="360" w:lineRule="auto"/>
              <w:ind w:firstLine="420" w:firstLineChars="200"/>
              <w:rPr>
                <w:rFonts w:ascii="Calibri" w:hAnsi="Calibri" w:eastAsia="宋体" w:cs="Calibri"/>
                <w:bCs/>
                <w:color w:val="000000" w:themeColor="text1"/>
                <w:szCs w:val="21"/>
              </w:rPr>
            </w:pPr>
            <w:r>
              <w:rPr>
                <w:rFonts w:hint="eastAsia" w:ascii="Calibri" w:hAnsi="Calibri" w:eastAsia="宋体" w:cs="Calibri"/>
                <w:color w:val="000000" w:themeColor="text1"/>
                <w:szCs w:val="21"/>
              </w:rPr>
              <w:t>评审细则</w:t>
            </w:r>
          </w:p>
        </w:tc>
        <w:tc>
          <w:tcPr>
            <w:tcW w:w="439" w:type="pct"/>
            <w:tcBorders>
              <w:top w:val="single" w:color="auto" w:sz="4" w:space="0"/>
              <w:left w:val="single" w:color="auto" w:sz="4" w:space="0"/>
              <w:bottom w:val="single" w:color="auto" w:sz="4" w:space="0"/>
              <w:right w:val="single" w:color="auto" w:sz="4" w:space="0"/>
            </w:tcBorders>
            <w:vAlign w:val="center"/>
          </w:tcPr>
          <w:p w14:paraId="64107AAD">
            <w:pPr>
              <w:spacing w:line="360" w:lineRule="auto"/>
              <w:jc w:val="center"/>
              <w:rPr>
                <w:rFonts w:ascii="Calibri" w:hAnsi="Calibri" w:eastAsia="宋体" w:cs="Calibri"/>
                <w:bCs/>
                <w:color w:val="000000" w:themeColor="text1"/>
                <w:szCs w:val="21"/>
              </w:rPr>
            </w:pPr>
            <w:r>
              <w:rPr>
                <w:rFonts w:hint="eastAsia" w:ascii="Calibri" w:hAnsi="Calibri" w:eastAsia="宋体" w:cs="Calibri"/>
                <w:bCs/>
                <w:color w:val="000000" w:themeColor="text1"/>
                <w:szCs w:val="21"/>
              </w:rPr>
              <w:t>分值</w:t>
            </w:r>
          </w:p>
        </w:tc>
      </w:tr>
      <w:bookmarkEnd w:id="4"/>
      <w:tr w14:paraId="3257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top w:val="single" w:color="auto" w:sz="4" w:space="0"/>
              <w:left w:val="single" w:color="auto" w:sz="4" w:space="0"/>
              <w:bottom w:val="single" w:color="auto" w:sz="4" w:space="0"/>
              <w:right w:val="single" w:color="auto" w:sz="4" w:space="0"/>
            </w:tcBorders>
            <w:vAlign w:val="center"/>
          </w:tcPr>
          <w:p w14:paraId="77174D38">
            <w:pPr>
              <w:adjustRightInd w:val="0"/>
              <w:snapToGrid w:val="0"/>
              <w:spacing w:line="400" w:lineRule="exact"/>
              <w:jc w:val="center"/>
              <w:rPr>
                <w:rFonts w:ascii="Calibri" w:hAnsi="Calibri" w:eastAsia="宋体" w:cs="Calibri"/>
                <w:color w:val="000000" w:themeColor="text1"/>
                <w:szCs w:val="21"/>
              </w:rPr>
            </w:pPr>
            <w:r>
              <w:rPr>
                <w:rFonts w:hint="eastAsia" w:ascii="Calibri" w:hAnsi="Calibri" w:eastAsia="宋体" w:cs="Calibri"/>
                <w:color w:val="000000" w:themeColor="text1"/>
                <w:szCs w:val="21"/>
              </w:rPr>
              <w:t>报价</w:t>
            </w:r>
          </w:p>
        </w:tc>
        <w:tc>
          <w:tcPr>
            <w:tcW w:w="633" w:type="pct"/>
            <w:tcBorders>
              <w:top w:val="single" w:color="auto" w:sz="4" w:space="0"/>
              <w:left w:val="single" w:color="auto" w:sz="4" w:space="0"/>
              <w:bottom w:val="single" w:color="auto" w:sz="4" w:space="0"/>
              <w:right w:val="single" w:color="auto" w:sz="4" w:space="0"/>
            </w:tcBorders>
            <w:vAlign w:val="center"/>
          </w:tcPr>
          <w:p w14:paraId="441E4068">
            <w:pPr>
              <w:adjustRightInd w:val="0"/>
              <w:snapToGrid w:val="0"/>
              <w:spacing w:line="400" w:lineRule="exact"/>
              <w:jc w:val="center"/>
              <w:rPr>
                <w:rFonts w:ascii="Calibri" w:hAnsi="Calibri" w:eastAsia="宋体" w:cs="Calibri"/>
                <w:color w:val="000000" w:themeColor="text1"/>
                <w:szCs w:val="21"/>
              </w:rPr>
            </w:pPr>
            <w:r>
              <w:rPr>
                <w:rFonts w:hint="eastAsia" w:ascii="Calibri" w:hAnsi="Calibri" w:eastAsia="宋体" w:cs="Calibri"/>
                <w:color w:val="000000" w:themeColor="text1"/>
                <w:szCs w:val="21"/>
              </w:rPr>
              <w:t>报价</w:t>
            </w:r>
          </w:p>
          <w:p w14:paraId="4B7F8DA8">
            <w:pPr>
              <w:adjustRightInd w:val="0"/>
              <w:snapToGrid w:val="0"/>
              <w:spacing w:line="400" w:lineRule="exact"/>
              <w:jc w:val="center"/>
              <w:rPr>
                <w:rFonts w:ascii="Calibri" w:hAnsi="Calibri" w:eastAsia="宋体" w:cs="Calibri"/>
                <w:color w:val="000000" w:themeColor="text1"/>
                <w:szCs w:val="21"/>
              </w:rPr>
            </w:pPr>
            <w:r>
              <w:rPr>
                <w:rFonts w:hint="eastAsia" w:ascii="Calibri" w:hAnsi="Calibri" w:eastAsia="宋体" w:cs="Calibri"/>
                <w:color w:val="000000" w:themeColor="text1"/>
                <w:szCs w:val="21"/>
              </w:rPr>
              <w:t>部分</w:t>
            </w:r>
          </w:p>
        </w:tc>
        <w:tc>
          <w:tcPr>
            <w:tcW w:w="3533" w:type="pct"/>
            <w:tcBorders>
              <w:top w:val="single" w:color="auto" w:sz="4" w:space="0"/>
              <w:left w:val="single" w:color="auto" w:sz="4" w:space="0"/>
              <w:bottom w:val="single" w:color="auto" w:sz="4" w:space="0"/>
              <w:right w:val="single" w:color="auto" w:sz="4" w:space="0"/>
            </w:tcBorders>
            <w:vAlign w:val="center"/>
          </w:tcPr>
          <w:p w14:paraId="30B367E6">
            <w:pPr>
              <w:jc w:val="left"/>
              <w:rPr>
                <w:rFonts w:ascii="宋体" w:hAnsi="宋体" w:eastAsia="宋体" w:cs="宋体"/>
                <w:color w:val="000000" w:themeColor="text1"/>
                <w:szCs w:val="21"/>
              </w:rPr>
            </w:pPr>
            <w:r>
              <w:rPr>
                <w:rFonts w:hint="eastAsia" w:ascii="宋体" w:hAnsi="宋体" w:eastAsia="宋体" w:cs="宋体"/>
                <w:color w:val="000000" w:themeColor="text1"/>
                <w:szCs w:val="21"/>
              </w:rPr>
              <w:t>以满足采购文件要求且投标价格最低的投标报价为评标基准价，其价格分为满分。其他投标人的价格分统一按照下列公式计算：报价得分=（评标基准价/投标报价）×20。</w:t>
            </w:r>
          </w:p>
        </w:tc>
        <w:tc>
          <w:tcPr>
            <w:tcW w:w="439" w:type="pct"/>
            <w:tcBorders>
              <w:top w:val="single" w:color="auto" w:sz="4" w:space="0"/>
              <w:left w:val="single" w:color="auto" w:sz="4" w:space="0"/>
              <w:bottom w:val="single" w:color="auto" w:sz="4" w:space="0"/>
              <w:right w:val="single" w:color="auto" w:sz="4" w:space="0"/>
            </w:tcBorders>
            <w:vAlign w:val="center"/>
          </w:tcPr>
          <w:p w14:paraId="7B9AC9CA">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20分</w:t>
            </w:r>
          </w:p>
        </w:tc>
      </w:tr>
      <w:tr w14:paraId="4342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tcBorders>
              <w:top w:val="single" w:color="auto" w:sz="4" w:space="0"/>
              <w:left w:val="single" w:color="auto" w:sz="4" w:space="0"/>
              <w:right w:val="single" w:color="auto" w:sz="4" w:space="0"/>
            </w:tcBorders>
            <w:vAlign w:val="center"/>
          </w:tcPr>
          <w:p w14:paraId="27C79A52">
            <w:pPr>
              <w:jc w:val="center"/>
              <w:rPr>
                <w:rFonts w:ascii="Calibri" w:hAnsi="Calibri" w:eastAsia="宋体" w:cs="Calibri"/>
                <w:color w:val="000000" w:themeColor="text1"/>
                <w:szCs w:val="21"/>
              </w:rPr>
            </w:pPr>
            <w:r>
              <w:rPr>
                <w:rFonts w:hint="eastAsia" w:ascii="Calibri" w:hAnsi="Calibri" w:eastAsia="宋体" w:cs="Calibri"/>
                <w:color w:val="000000" w:themeColor="text1"/>
                <w:szCs w:val="21"/>
              </w:rPr>
              <w:t>商务部分（5分）</w:t>
            </w:r>
          </w:p>
        </w:tc>
        <w:tc>
          <w:tcPr>
            <w:tcW w:w="633" w:type="pct"/>
            <w:tcBorders>
              <w:top w:val="single" w:color="auto" w:sz="4" w:space="0"/>
              <w:left w:val="single" w:color="auto" w:sz="4" w:space="0"/>
              <w:bottom w:val="single" w:color="auto" w:sz="4" w:space="0"/>
              <w:right w:val="single" w:color="auto" w:sz="4" w:space="0"/>
            </w:tcBorders>
            <w:vAlign w:val="center"/>
          </w:tcPr>
          <w:p w14:paraId="2510AE74">
            <w:pPr>
              <w:jc w:val="center"/>
              <w:rPr>
                <w:rFonts w:ascii="Calibri" w:hAnsi="Calibri" w:eastAsia="宋体" w:cs="Calibri"/>
                <w:color w:val="000000" w:themeColor="text1"/>
                <w:szCs w:val="21"/>
              </w:rPr>
            </w:pPr>
            <w:r>
              <w:rPr>
                <w:rFonts w:hint="eastAsia" w:ascii="Calibri" w:hAnsi="Calibri" w:eastAsia="宋体" w:cs="Calibri"/>
                <w:color w:val="000000" w:themeColor="text1"/>
                <w:szCs w:val="21"/>
              </w:rPr>
              <w:t>体系证书</w:t>
            </w:r>
          </w:p>
        </w:tc>
        <w:tc>
          <w:tcPr>
            <w:tcW w:w="3533" w:type="pct"/>
            <w:tcBorders>
              <w:top w:val="single" w:color="auto" w:sz="4" w:space="0"/>
              <w:left w:val="single" w:color="auto" w:sz="4" w:space="0"/>
              <w:bottom w:val="single" w:color="auto" w:sz="4" w:space="0"/>
              <w:right w:val="single" w:color="auto" w:sz="4" w:space="0"/>
            </w:tcBorders>
            <w:vAlign w:val="center"/>
          </w:tcPr>
          <w:p w14:paraId="61E34711">
            <w:pPr>
              <w:jc w:val="left"/>
              <w:rPr>
                <w:rFonts w:ascii="宋体" w:hAnsi="宋体" w:eastAsia="宋体" w:cs="宋体"/>
                <w:color w:val="000000" w:themeColor="text1"/>
                <w:szCs w:val="21"/>
              </w:rPr>
            </w:pPr>
            <w:r>
              <w:rPr>
                <w:rFonts w:hint="eastAsia" w:ascii="宋体" w:hAnsi="宋体" w:eastAsia="宋体" w:cs="宋体"/>
                <w:color w:val="000000" w:themeColor="text1"/>
                <w:szCs w:val="21"/>
              </w:rPr>
              <w:t>投标人具有质量管理体系</w:t>
            </w:r>
            <w:r>
              <w:rPr>
                <w:rFonts w:hint="eastAsia" w:ascii="宋体" w:hAnsi="宋体" w:eastAsia="宋体" w:cs="宋体"/>
                <w:color w:val="000000" w:themeColor="text1"/>
                <w:szCs w:val="21"/>
                <w:lang w:val="zh-CN"/>
              </w:rPr>
              <w:t>认证证书、环境管理体系认证证书、职业健康管理体系认证证书，</w:t>
            </w:r>
            <w:r>
              <w:rPr>
                <w:rFonts w:hint="eastAsia" w:ascii="宋体" w:hAnsi="宋体" w:eastAsia="宋体" w:cs="宋体"/>
                <w:color w:val="000000" w:themeColor="text1"/>
                <w:szCs w:val="21"/>
              </w:rPr>
              <w:t>每提供一份得1分，最多得3分。</w:t>
            </w:r>
          </w:p>
          <w:p w14:paraId="368363B7">
            <w:pPr>
              <w:jc w:val="left"/>
              <w:rPr>
                <w:rFonts w:ascii="Calibri" w:hAnsi="Calibri" w:eastAsia="宋体" w:cs="Calibri"/>
                <w:color w:val="000000" w:themeColor="text1"/>
                <w:szCs w:val="21"/>
              </w:rPr>
            </w:pPr>
            <w:r>
              <w:rPr>
                <w:rFonts w:hint="eastAsia" w:ascii="宋体" w:hAnsi="宋体" w:eastAsia="宋体" w:cs="宋体"/>
                <w:color w:val="000000" w:themeColor="text1"/>
                <w:szCs w:val="21"/>
              </w:rPr>
              <w:t>注：提供相应证书扫描件，加盖公章，未提供不得分。</w:t>
            </w:r>
          </w:p>
        </w:tc>
        <w:tc>
          <w:tcPr>
            <w:tcW w:w="439" w:type="pct"/>
            <w:tcBorders>
              <w:top w:val="single" w:color="auto" w:sz="4" w:space="0"/>
              <w:left w:val="single" w:color="auto" w:sz="4" w:space="0"/>
              <w:bottom w:val="single" w:color="auto" w:sz="4" w:space="0"/>
              <w:right w:val="single" w:color="auto" w:sz="4" w:space="0"/>
            </w:tcBorders>
            <w:vAlign w:val="center"/>
          </w:tcPr>
          <w:p w14:paraId="489FD890">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w:t>
            </w:r>
          </w:p>
        </w:tc>
      </w:tr>
      <w:tr w14:paraId="3969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left w:val="single" w:color="auto" w:sz="4" w:space="0"/>
              <w:bottom w:val="single" w:color="auto" w:sz="4" w:space="0"/>
              <w:right w:val="single" w:color="auto" w:sz="4" w:space="0"/>
            </w:tcBorders>
            <w:vAlign w:val="center"/>
          </w:tcPr>
          <w:p w14:paraId="2B4CF507">
            <w:pPr>
              <w:jc w:val="center"/>
              <w:rPr>
                <w:rFonts w:ascii="Calibri" w:hAnsi="Calibri" w:eastAsia="宋体" w:cs="Calibri"/>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5B58B700">
            <w:pPr>
              <w:jc w:val="left"/>
              <w:rPr>
                <w:rFonts w:ascii="宋体" w:hAnsi="宋体" w:eastAsia="宋体" w:cs="宋体"/>
                <w:color w:val="000000" w:themeColor="text1"/>
                <w:szCs w:val="21"/>
              </w:rPr>
            </w:pPr>
            <w:r>
              <w:rPr>
                <w:rFonts w:hint="eastAsia" w:ascii="宋体" w:hAnsi="宋体" w:eastAsia="宋体" w:cs="宋体"/>
                <w:color w:val="000000" w:themeColor="text1"/>
                <w:szCs w:val="21"/>
              </w:rPr>
              <w:t>业绩情况</w:t>
            </w:r>
          </w:p>
        </w:tc>
        <w:tc>
          <w:tcPr>
            <w:tcW w:w="3533" w:type="pct"/>
            <w:tcBorders>
              <w:top w:val="single" w:color="auto" w:sz="4" w:space="0"/>
              <w:left w:val="single" w:color="auto" w:sz="4" w:space="0"/>
              <w:bottom w:val="single" w:color="auto" w:sz="4" w:space="0"/>
              <w:right w:val="single" w:color="auto" w:sz="4" w:space="0"/>
            </w:tcBorders>
            <w:vAlign w:val="center"/>
          </w:tcPr>
          <w:p w14:paraId="5EAC0B9D">
            <w:pPr>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202</w:t>
            </w:r>
            <w:r>
              <w:rPr>
                <w:rFonts w:hint="eastAsia" w:ascii="宋体" w:hAnsi="宋体" w:eastAsia="宋体" w:cs="宋体"/>
                <w:color w:val="000000" w:themeColor="text1"/>
                <w:szCs w:val="21"/>
                <w:lang w:val="en-US" w:eastAsia="zh-CN"/>
              </w:rPr>
              <w:t>2</w:t>
            </w:r>
            <w:r>
              <w:rPr>
                <w:rFonts w:hint="eastAsia" w:ascii="宋体" w:hAnsi="宋体" w:eastAsia="宋体" w:cs="宋体"/>
                <w:color w:val="000000" w:themeColor="text1"/>
                <w:szCs w:val="21"/>
              </w:rPr>
              <w:t>年1月1日起，投标人具有环境空气自动站运维成功的类似案例，每提供一个合同得1分，最高得2分。</w:t>
            </w:r>
          </w:p>
          <w:p w14:paraId="111437EA">
            <w:pPr>
              <w:ind w:firstLine="420" w:firstLineChars="200"/>
              <w:jc w:val="left"/>
              <w:rPr>
                <w:rFonts w:ascii="宋体" w:hAnsi="宋体" w:eastAsia="宋体" w:cs="宋体"/>
                <w:color w:val="000000" w:themeColor="text1"/>
                <w:szCs w:val="21"/>
              </w:rPr>
            </w:pPr>
            <w:r>
              <w:rPr>
                <w:rFonts w:hint="eastAsia" w:ascii="宋体" w:hAnsi="宋体" w:eastAsia="宋体" w:cs="宋体"/>
                <w:color w:val="000000" w:themeColor="text1"/>
                <w:szCs w:val="21"/>
              </w:rPr>
              <w:t>提供合同扫描件加盖单位公章，未提供不得分。</w:t>
            </w:r>
          </w:p>
        </w:tc>
        <w:tc>
          <w:tcPr>
            <w:tcW w:w="439" w:type="pct"/>
            <w:tcBorders>
              <w:top w:val="single" w:color="auto" w:sz="4" w:space="0"/>
              <w:left w:val="single" w:color="auto" w:sz="4" w:space="0"/>
              <w:bottom w:val="single" w:color="auto" w:sz="4" w:space="0"/>
              <w:right w:val="single" w:color="auto" w:sz="4" w:space="0"/>
            </w:tcBorders>
            <w:vAlign w:val="center"/>
          </w:tcPr>
          <w:p w14:paraId="4F970DFB">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2</w:t>
            </w:r>
          </w:p>
        </w:tc>
      </w:tr>
      <w:tr w14:paraId="5CF7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restart"/>
            <w:tcBorders>
              <w:top w:val="single" w:color="auto" w:sz="4" w:space="0"/>
              <w:left w:val="single" w:color="auto" w:sz="4" w:space="0"/>
              <w:right w:val="single" w:color="auto" w:sz="4" w:space="0"/>
            </w:tcBorders>
            <w:vAlign w:val="center"/>
          </w:tcPr>
          <w:p w14:paraId="2F5C3CCF">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技术部分（75分）</w:t>
            </w:r>
          </w:p>
        </w:tc>
        <w:tc>
          <w:tcPr>
            <w:tcW w:w="633" w:type="pct"/>
            <w:tcBorders>
              <w:top w:val="single" w:color="auto" w:sz="4" w:space="0"/>
              <w:left w:val="single" w:color="auto" w:sz="4" w:space="0"/>
              <w:bottom w:val="single" w:color="auto" w:sz="4" w:space="0"/>
              <w:right w:val="single" w:color="auto" w:sz="4" w:space="0"/>
            </w:tcBorders>
            <w:vAlign w:val="center"/>
          </w:tcPr>
          <w:p w14:paraId="72648A56">
            <w:pPr>
              <w:jc w:val="center"/>
              <w:rPr>
                <w:rFonts w:ascii="Calibri" w:hAnsi="Calibri" w:eastAsia="宋体" w:cs="Calibri"/>
                <w:color w:val="000000" w:themeColor="text1"/>
                <w:szCs w:val="21"/>
              </w:rPr>
            </w:pPr>
            <w:r>
              <w:rPr>
                <w:rFonts w:hint="eastAsia" w:ascii="宋体" w:hAnsi="宋体" w:eastAsia="宋体" w:cs="宋体"/>
                <w:color w:val="000000" w:themeColor="text1"/>
                <w:szCs w:val="21"/>
              </w:rPr>
              <w:t>运维服务方案</w:t>
            </w:r>
          </w:p>
        </w:tc>
        <w:tc>
          <w:tcPr>
            <w:tcW w:w="3533" w:type="pct"/>
            <w:tcBorders>
              <w:top w:val="single" w:color="auto" w:sz="4" w:space="0"/>
              <w:left w:val="single" w:color="auto" w:sz="4" w:space="0"/>
              <w:bottom w:val="single" w:color="auto" w:sz="4" w:space="0"/>
              <w:right w:val="single" w:color="auto" w:sz="4" w:space="0"/>
            </w:tcBorders>
            <w:vAlign w:val="center"/>
          </w:tcPr>
          <w:p w14:paraId="4F2B185E">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运维方案详实和完备，具备针对性和有效性，根据内容进行打分；运维方案应包括：</w:t>
            </w:r>
          </w:p>
          <w:p w14:paraId="0DE6888B">
            <w:pPr>
              <w:numPr>
                <w:ilvl w:val="0"/>
                <w:numId w:val="9"/>
              </w:num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站点巡查计划；（3</w:t>
            </w:r>
            <w:r>
              <w:rPr>
                <w:rFonts w:ascii="宋体" w:hAnsi="宋体" w:eastAsia="宋体" w:cs="宋体"/>
                <w:color w:val="000000" w:themeColor="text1"/>
                <w:szCs w:val="21"/>
              </w:rPr>
              <w:t>分）</w:t>
            </w:r>
          </w:p>
          <w:p w14:paraId="045DB951">
            <w:pPr>
              <w:numPr>
                <w:ilvl w:val="0"/>
                <w:numId w:val="9"/>
              </w:num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站点与站房设备维护计划（月度、季度、年度维护计划）；（3</w:t>
            </w:r>
            <w:r>
              <w:rPr>
                <w:rFonts w:ascii="宋体" w:hAnsi="宋体" w:eastAsia="宋体" w:cs="宋体"/>
                <w:color w:val="000000" w:themeColor="text1"/>
                <w:szCs w:val="21"/>
              </w:rPr>
              <w:t>分）</w:t>
            </w:r>
          </w:p>
          <w:p w14:paraId="2B4F3A36">
            <w:pPr>
              <w:numPr>
                <w:ilvl w:val="255"/>
                <w:numId w:val="0"/>
              </w:numPr>
              <w:snapToGrid w:val="0"/>
              <w:spacing w:line="320" w:lineRule="exact"/>
              <w:jc w:val="left"/>
              <w:rPr>
                <w:rFonts w:ascii="宋体" w:hAnsi="宋体" w:eastAsia="宋体" w:cs="宋体"/>
                <w:color w:val="000000" w:themeColor="text1"/>
                <w:szCs w:val="21"/>
              </w:rPr>
            </w:pPr>
            <w:r>
              <w:rPr>
                <w:rFonts w:ascii="宋体" w:hAnsi="宋体" w:eastAsia="宋体" w:cs="宋体"/>
                <w:color w:val="000000" w:themeColor="text1"/>
                <w:szCs w:val="21"/>
              </w:rPr>
              <w:t>3.零跨度检查，多点线性检查与仪器校准计划；（</w:t>
            </w:r>
            <w:r>
              <w:rPr>
                <w:rFonts w:hint="eastAsia" w:ascii="宋体" w:hAnsi="宋体" w:eastAsia="宋体" w:cs="宋体"/>
                <w:color w:val="000000" w:themeColor="text1"/>
                <w:szCs w:val="21"/>
              </w:rPr>
              <w:t>3</w:t>
            </w:r>
            <w:r>
              <w:rPr>
                <w:rFonts w:ascii="宋体" w:hAnsi="宋体" w:eastAsia="宋体" w:cs="宋体"/>
                <w:color w:val="000000" w:themeColor="text1"/>
                <w:szCs w:val="21"/>
              </w:rPr>
              <w:t>分）</w:t>
            </w:r>
          </w:p>
          <w:p w14:paraId="34340EC0">
            <w:pPr>
              <w:numPr>
                <w:ilvl w:val="255"/>
                <w:numId w:val="0"/>
              </w:numPr>
              <w:snapToGrid w:val="0"/>
              <w:spacing w:line="320" w:lineRule="exact"/>
              <w:jc w:val="left"/>
              <w:rPr>
                <w:rFonts w:ascii="宋体" w:hAnsi="宋体" w:eastAsia="宋体" w:cs="宋体"/>
                <w:color w:val="000000" w:themeColor="text1"/>
                <w:szCs w:val="21"/>
              </w:rPr>
            </w:pPr>
            <w:r>
              <w:rPr>
                <w:rFonts w:ascii="宋体" w:hAnsi="宋体" w:eastAsia="宋体" w:cs="宋体"/>
                <w:color w:val="000000" w:themeColor="text1"/>
                <w:szCs w:val="21"/>
              </w:rPr>
              <w:t>4.数据的有效性和传输保障计划；（</w:t>
            </w:r>
            <w:r>
              <w:rPr>
                <w:rFonts w:hint="eastAsia" w:ascii="宋体" w:hAnsi="宋体" w:eastAsia="宋体" w:cs="宋体"/>
                <w:color w:val="000000" w:themeColor="text1"/>
                <w:szCs w:val="21"/>
              </w:rPr>
              <w:t>3</w:t>
            </w:r>
            <w:r>
              <w:rPr>
                <w:rFonts w:ascii="宋体" w:hAnsi="宋体" w:eastAsia="宋体" w:cs="宋体"/>
                <w:color w:val="000000" w:themeColor="text1"/>
                <w:szCs w:val="21"/>
              </w:rPr>
              <w:t>分）</w:t>
            </w:r>
          </w:p>
          <w:p w14:paraId="78823234">
            <w:pPr>
              <w:snapToGrid w:val="0"/>
              <w:spacing w:line="320" w:lineRule="exact"/>
              <w:jc w:val="left"/>
              <w:rPr>
                <w:rFonts w:ascii="宋体" w:hAnsi="宋体" w:eastAsia="宋体" w:cs="宋体"/>
                <w:color w:val="000000" w:themeColor="text1"/>
                <w:szCs w:val="21"/>
              </w:rPr>
            </w:pPr>
            <w:r>
              <w:rPr>
                <w:rFonts w:ascii="宋体" w:hAnsi="宋体" w:eastAsia="宋体" w:cs="宋体"/>
                <w:color w:val="000000" w:themeColor="text1"/>
                <w:szCs w:val="21"/>
              </w:rPr>
              <w:t>5.仪器预防性检查与配件更换计划</w:t>
            </w:r>
            <w:r>
              <w:rPr>
                <w:rFonts w:hint="eastAsia" w:ascii="宋体" w:hAnsi="宋体" w:eastAsia="宋体" w:cs="宋体"/>
                <w:color w:val="000000" w:themeColor="text1"/>
                <w:szCs w:val="21"/>
              </w:rPr>
              <w:t>；（3</w:t>
            </w:r>
            <w:r>
              <w:rPr>
                <w:rFonts w:ascii="宋体" w:hAnsi="宋体" w:eastAsia="宋体" w:cs="宋体"/>
                <w:color w:val="000000" w:themeColor="text1"/>
                <w:szCs w:val="21"/>
              </w:rPr>
              <w:t>分）</w:t>
            </w:r>
          </w:p>
          <w:p w14:paraId="3797B565">
            <w:pPr>
              <w:snapToGrid w:val="0"/>
              <w:spacing w:line="320" w:lineRule="exact"/>
              <w:jc w:val="left"/>
              <w:rPr>
                <w:rFonts w:ascii="宋体" w:hAnsi="宋体" w:eastAsia="宋体" w:cs="宋体"/>
                <w:color w:val="000000" w:themeColor="text1"/>
                <w:szCs w:val="21"/>
              </w:rPr>
            </w:pPr>
            <w:r>
              <w:rPr>
                <w:rFonts w:hint="eastAsia" w:ascii="宋体" w:hAnsi="宋体" w:cs="宋体"/>
                <w:color w:val="000000" w:themeColor="text1"/>
                <w:highlight w:val="none"/>
                <w:lang w:eastAsia="zh-CN"/>
              </w:rPr>
              <w:t>每一小点</w:t>
            </w:r>
            <w:r>
              <w:rPr>
                <w:rFonts w:hint="eastAsia" w:ascii="宋体" w:hAnsi="宋体" w:eastAsia="宋体" w:cs="宋体"/>
                <w:color w:val="000000" w:themeColor="text1"/>
                <w:highlight w:val="none"/>
                <w:lang w:eastAsia="zh-CN"/>
              </w:rPr>
              <w:t>方案详细完整贴合本项目需求的得</w:t>
            </w:r>
            <w:r>
              <w:rPr>
                <w:rFonts w:hint="eastAsia" w:ascii="宋体" w:hAnsi="宋体" w:cs="宋体"/>
                <w:color w:val="000000" w:themeColor="text1"/>
                <w:highlight w:val="none"/>
                <w:lang w:val="en-US" w:eastAsia="zh-CN"/>
              </w:rPr>
              <w:t>3</w:t>
            </w:r>
            <w:r>
              <w:rPr>
                <w:rFonts w:hint="eastAsia" w:ascii="宋体" w:hAnsi="宋体" w:eastAsia="宋体" w:cs="宋体"/>
                <w:color w:val="000000" w:themeColor="text1"/>
                <w:highlight w:val="none"/>
                <w:lang w:eastAsia="zh-CN"/>
              </w:rPr>
              <w:t>分</w:t>
            </w:r>
            <w:r>
              <w:rPr>
                <w:rFonts w:hint="eastAsia" w:ascii="宋体" w:hAnsi="宋体" w:cs="宋体"/>
                <w:color w:val="000000" w:themeColor="text1"/>
                <w:highlight w:val="none"/>
                <w:lang w:eastAsia="zh-CN"/>
              </w:rPr>
              <w:t>，</w:t>
            </w:r>
            <w:r>
              <w:rPr>
                <w:rFonts w:hint="eastAsia" w:ascii="宋体" w:hAnsi="宋体" w:eastAsia="宋体" w:cs="宋体"/>
                <w:color w:val="000000" w:themeColor="text1"/>
                <w:highlight w:val="none"/>
                <w:lang w:eastAsia="zh-CN"/>
              </w:rPr>
              <w:t>方案基本合理但欠佳的得</w:t>
            </w:r>
            <w:r>
              <w:rPr>
                <w:rFonts w:hint="eastAsia" w:ascii="宋体" w:hAnsi="宋体" w:cs="宋体"/>
                <w:color w:val="000000" w:themeColor="text1"/>
                <w:highlight w:val="none"/>
                <w:lang w:val="en-US" w:eastAsia="zh-CN"/>
              </w:rPr>
              <w:t>2</w:t>
            </w:r>
            <w:r>
              <w:rPr>
                <w:rFonts w:hint="eastAsia" w:ascii="宋体" w:hAnsi="宋体" w:eastAsia="宋体" w:cs="宋体"/>
                <w:color w:val="000000" w:themeColor="text1"/>
                <w:highlight w:val="none"/>
                <w:lang w:eastAsia="zh-CN"/>
              </w:rPr>
              <w:t>分</w:t>
            </w:r>
            <w:r>
              <w:rPr>
                <w:rFonts w:hint="eastAsia" w:ascii="宋体" w:hAnsi="宋体" w:cs="宋体"/>
                <w:color w:val="000000" w:themeColor="text1"/>
                <w:highlight w:val="none"/>
                <w:lang w:eastAsia="zh-CN"/>
              </w:rPr>
              <w:t>，</w:t>
            </w:r>
            <w:r>
              <w:rPr>
                <w:rFonts w:hint="eastAsia" w:ascii="宋体" w:hAnsi="宋体" w:eastAsia="宋体" w:cs="宋体"/>
                <w:color w:val="000000" w:themeColor="text1"/>
                <w:highlight w:val="none"/>
                <w:lang w:eastAsia="zh-CN"/>
              </w:rPr>
              <w:t>方案存在明显缺陷的得</w:t>
            </w:r>
            <w:r>
              <w:rPr>
                <w:rFonts w:hint="eastAsia" w:ascii="宋体" w:hAnsi="宋体" w:eastAsia="宋体" w:cs="宋体"/>
                <w:color w:val="000000" w:themeColor="text1"/>
                <w:highlight w:val="none"/>
                <w:lang w:val="en-US" w:eastAsia="zh-CN"/>
              </w:rPr>
              <w:t>1</w:t>
            </w:r>
            <w:r>
              <w:rPr>
                <w:rFonts w:hint="eastAsia" w:ascii="宋体" w:hAnsi="宋体" w:eastAsia="宋体" w:cs="宋体"/>
                <w:color w:val="000000" w:themeColor="text1"/>
                <w:highlight w:val="none"/>
                <w:lang w:eastAsia="zh-CN"/>
              </w:rPr>
              <w:t>分</w:t>
            </w:r>
            <w:r>
              <w:rPr>
                <w:rFonts w:hint="eastAsia" w:ascii="宋体" w:hAnsi="宋体" w:cs="宋体"/>
                <w:color w:val="000000" w:themeColor="text1"/>
                <w:highlight w:val="none"/>
                <w:lang w:eastAsia="zh-CN"/>
              </w:rPr>
              <w:t>，</w:t>
            </w:r>
            <w:r>
              <w:rPr>
                <w:rFonts w:hint="eastAsia" w:ascii="宋体" w:hAnsi="宋体" w:eastAsia="宋体" w:cs="宋体"/>
                <w:color w:val="000000" w:themeColor="text1"/>
                <w:highlight w:val="none"/>
                <w:lang w:eastAsia="zh-CN"/>
              </w:rPr>
              <w:t>未提供不得分。</w:t>
            </w:r>
          </w:p>
        </w:tc>
        <w:tc>
          <w:tcPr>
            <w:tcW w:w="439" w:type="pct"/>
            <w:tcBorders>
              <w:top w:val="single" w:color="auto" w:sz="4" w:space="0"/>
              <w:left w:val="single" w:color="auto" w:sz="4" w:space="0"/>
              <w:bottom w:val="single" w:color="auto" w:sz="4" w:space="0"/>
              <w:right w:val="single" w:color="auto" w:sz="4" w:space="0"/>
            </w:tcBorders>
            <w:vAlign w:val="center"/>
          </w:tcPr>
          <w:p w14:paraId="080E4E8B">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15</w:t>
            </w:r>
          </w:p>
        </w:tc>
      </w:tr>
      <w:tr w14:paraId="2E36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left w:val="single" w:color="auto" w:sz="4" w:space="0"/>
              <w:right w:val="single" w:color="auto" w:sz="4" w:space="0"/>
            </w:tcBorders>
            <w:vAlign w:val="center"/>
          </w:tcPr>
          <w:p w14:paraId="4DC032AA">
            <w:pPr>
              <w:jc w:val="center"/>
              <w:rPr>
                <w:rFonts w:ascii="宋体" w:hAnsi="宋体" w:eastAsia="宋体" w:cs="宋体"/>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6EF314F7">
            <w:pPr>
              <w:jc w:val="center"/>
              <w:rPr>
                <w:rFonts w:ascii="Calibri" w:hAnsi="Calibri" w:eastAsia="宋体" w:cs="Calibri"/>
                <w:color w:val="000000" w:themeColor="text1"/>
                <w:szCs w:val="21"/>
              </w:rPr>
            </w:pPr>
            <w:r>
              <w:rPr>
                <w:rFonts w:hint="eastAsia" w:ascii="宋体" w:hAnsi="宋体" w:eastAsia="宋体" w:cs="宋体"/>
                <w:color w:val="000000" w:themeColor="text1"/>
                <w:szCs w:val="21"/>
              </w:rPr>
              <w:t>组织实施方案</w:t>
            </w:r>
          </w:p>
        </w:tc>
        <w:tc>
          <w:tcPr>
            <w:tcW w:w="3533" w:type="pct"/>
            <w:tcBorders>
              <w:top w:val="single" w:color="auto" w:sz="4" w:space="0"/>
              <w:left w:val="single" w:color="auto" w:sz="4" w:space="0"/>
              <w:bottom w:val="single" w:color="auto" w:sz="4" w:space="0"/>
              <w:right w:val="single" w:color="auto" w:sz="4" w:space="0"/>
            </w:tcBorders>
            <w:vAlign w:val="center"/>
          </w:tcPr>
          <w:p w14:paraId="572B393D">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投标人针对本项目的组织实施方案的科学性、合理性、规范性和可操作性进行打分。</w:t>
            </w:r>
          </w:p>
          <w:p w14:paraId="759D978B">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项目实施方案完善合理，可行性高，能保障质量的得</w:t>
            </w:r>
            <w:r>
              <w:rPr>
                <w:rFonts w:ascii="宋体" w:hAnsi="宋体" w:eastAsia="宋体" w:cs="宋体"/>
                <w:color w:val="000000" w:themeColor="text1"/>
                <w:szCs w:val="21"/>
              </w:rPr>
              <w:t>5</w:t>
            </w:r>
            <w:r>
              <w:rPr>
                <w:rFonts w:hint="eastAsia" w:ascii="宋体" w:hAnsi="宋体" w:eastAsia="宋体" w:cs="宋体"/>
                <w:color w:val="000000" w:themeColor="text1"/>
                <w:szCs w:val="21"/>
              </w:rPr>
              <w:t>分；</w:t>
            </w:r>
          </w:p>
          <w:p w14:paraId="5FF38CE2">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方案较完善，基本合理可行，基本能保障质量的得</w:t>
            </w:r>
            <w:r>
              <w:rPr>
                <w:rFonts w:ascii="宋体" w:hAnsi="宋体" w:eastAsia="宋体" w:cs="宋体"/>
                <w:color w:val="000000" w:themeColor="text1"/>
                <w:szCs w:val="21"/>
              </w:rPr>
              <w:t>3</w:t>
            </w:r>
            <w:r>
              <w:rPr>
                <w:rFonts w:hint="eastAsia" w:ascii="宋体" w:hAnsi="宋体" w:eastAsia="宋体" w:cs="宋体"/>
                <w:color w:val="000000" w:themeColor="text1"/>
                <w:szCs w:val="21"/>
              </w:rPr>
              <w:t>分；</w:t>
            </w:r>
          </w:p>
          <w:p w14:paraId="541BF590">
            <w:pPr>
              <w:snapToGrid w:val="0"/>
              <w:spacing w:line="320" w:lineRule="exact"/>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方案不够完善，可行性不高，无法保障质量的得</w:t>
            </w:r>
            <w:r>
              <w:rPr>
                <w:rFonts w:ascii="宋体" w:hAnsi="宋体" w:eastAsia="宋体" w:cs="宋体"/>
                <w:color w:val="000000" w:themeColor="text1"/>
                <w:szCs w:val="21"/>
              </w:rPr>
              <w:t>1</w:t>
            </w:r>
            <w:r>
              <w:rPr>
                <w:rFonts w:hint="eastAsia" w:ascii="宋体" w:hAnsi="宋体" w:eastAsia="宋体" w:cs="宋体"/>
                <w:color w:val="000000" w:themeColor="text1"/>
                <w:szCs w:val="21"/>
              </w:rPr>
              <w:t>分；</w:t>
            </w:r>
          </w:p>
          <w:p w14:paraId="3D3E65A6">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highlight w:val="none"/>
                <w:lang w:val="en-US" w:eastAsia="zh-CN"/>
              </w:rPr>
              <w:t>未提供不得分。</w:t>
            </w:r>
          </w:p>
        </w:tc>
        <w:tc>
          <w:tcPr>
            <w:tcW w:w="439" w:type="pct"/>
            <w:tcBorders>
              <w:top w:val="single" w:color="auto" w:sz="4" w:space="0"/>
              <w:left w:val="single" w:color="auto" w:sz="4" w:space="0"/>
              <w:bottom w:val="single" w:color="auto" w:sz="4" w:space="0"/>
              <w:right w:val="single" w:color="auto" w:sz="4" w:space="0"/>
            </w:tcBorders>
            <w:vAlign w:val="center"/>
          </w:tcPr>
          <w:p w14:paraId="5E8A52A4">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5</w:t>
            </w:r>
          </w:p>
        </w:tc>
      </w:tr>
      <w:tr w14:paraId="5989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93" w:type="pct"/>
            <w:vMerge w:val="continue"/>
            <w:tcBorders>
              <w:left w:val="single" w:color="auto" w:sz="4" w:space="0"/>
              <w:right w:val="single" w:color="auto" w:sz="4" w:space="0"/>
            </w:tcBorders>
            <w:vAlign w:val="center"/>
          </w:tcPr>
          <w:p w14:paraId="2C8B1783">
            <w:pPr>
              <w:jc w:val="center"/>
              <w:rPr>
                <w:rFonts w:ascii="宋体" w:hAnsi="宋体" w:eastAsia="宋体" w:cs="宋体"/>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68E9923C">
            <w:pPr>
              <w:jc w:val="left"/>
              <w:rPr>
                <w:rFonts w:ascii="宋体" w:hAnsi="宋体" w:eastAsia="宋体" w:cs="宋体"/>
                <w:color w:val="000000" w:themeColor="text1"/>
                <w:szCs w:val="21"/>
              </w:rPr>
            </w:pPr>
            <w:r>
              <w:rPr>
                <w:rFonts w:hint="eastAsia" w:ascii="宋体" w:hAnsi="宋体" w:eastAsia="宋体" w:cs="宋体"/>
                <w:color w:val="000000" w:themeColor="text1"/>
                <w:szCs w:val="21"/>
              </w:rPr>
              <w:t>交接方案</w:t>
            </w:r>
          </w:p>
        </w:tc>
        <w:tc>
          <w:tcPr>
            <w:tcW w:w="3533" w:type="pct"/>
            <w:tcBorders>
              <w:top w:val="single" w:color="auto" w:sz="4" w:space="0"/>
              <w:left w:val="single" w:color="auto" w:sz="4" w:space="0"/>
              <w:bottom w:val="single" w:color="auto" w:sz="4" w:space="0"/>
              <w:right w:val="single" w:color="auto" w:sz="4" w:space="0"/>
            </w:tcBorders>
            <w:vAlign w:val="center"/>
          </w:tcPr>
          <w:p w14:paraId="457093DC">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投标人针对本项目的</w:t>
            </w:r>
            <w:r>
              <w:rPr>
                <w:rFonts w:ascii="宋体" w:hAnsi="宋体" w:eastAsia="宋体" w:cs="宋体"/>
                <w:color w:val="000000" w:themeColor="text1"/>
                <w:szCs w:val="21"/>
              </w:rPr>
              <w:t>进退场交接方案</w:t>
            </w:r>
            <w:r>
              <w:rPr>
                <w:rFonts w:hint="eastAsia" w:ascii="宋体" w:hAnsi="宋体" w:eastAsia="宋体" w:cs="宋体"/>
                <w:color w:val="000000" w:themeColor="text1"/>
                <w:szCs w:val="21"/>
              </w:rPr>
              <w:t>、内容、程序、流程及交接制度</w:t>
            </w:r>
            <w:r>
              <w:rPr>
                <w:rFonts w:ascii="宋体" w:hAnsi="宋体" w:eastAsia="宋体" w:cs="宋体"/>
                <w:color w:val="000000" w:themeColor="text1"/>
                <w:szCs w:val="21"/>
              </w:rPr>
              <w:t>进行综合</w:t>
            </w:r>
            <w:r>
              <w:rPr>
                <w:rFonts w:hint="eastAsia" w:ascii="宋体" w:hAnsi="宋体" w:eastAsia="宋体" w:cs="宋体"/>
                <w:color w:val="000000" w:themeColor="text1"/>
                <w:szCs w:val="21"/>
                <w:lang w:val="en-US" w:eastAsia="zh-CN"/>
              </w:rPr>
              <w:t>评审</w:t>
            </w:r>
            <w:r>
              <w:rPr>
                <w:rFonts w:hint="eastAsia" w:ascii="宋体" w:hAnsi="宋体" w:eastAsia="宋体" w:cs="宋体"/>
                <w:color w:val="000000" w:themeColor="text1"/>
                <w:szCs w:val="21"/>
                <w:lang w:eastAsia="zh-CN"/>
              </w:rPr>
              <w:t>：</w:t>
            </w:r>
          </w:p>
          <w:p w14:paraId="2B48462F">
            <w:pPr>
              <w:pStyle w:val="54"/>
              <w:spacing w:line="240" w:lineRule="auto"/>
              <w:ind w:firstLine="0" w:firstLineChars="0"/>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方案内容完整、程序到位，制度严明的得5分；</w:t>
            </w:r>
          </w:p>
          <w:p w14:paraId="5F31B353">
            <w:pPr>
              <w:pStyle w:val="54"/>
              <w:spacing w:line="240" w:lineRule="auto"/>
              <w:ind w:firstLine="0" w:firstLineChars="0"/>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方案内容欠佳或制度不够清晰的得3分；</w:t>
            </w:r>
          </w:p>
          <w:p w14:paraId="240301B9">
            <w:pPr>
              <w:pStyle w:val="54"/>
              <w:spacing w:line="240" w:lineRule="auto"/>
              <w:ind w:firstLine="0" w:firstLineChars="0"/>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方案存在明显缺陷的得1分；</w:t>
            </w:r>
          </w:p>
          <w:p w14:paraId="49F71EC8">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highlight w:val="none"/>
                <w:lang w:val="en-US" w:eastAsia="zh-CN"/>
              </w:rPr>
              <w:t>未提供不得分。</w:t>
            </w:r>
          </w:p>
        </w:tc>
        <w:tc>
          <w:tcPr>
            <w:tcW w:w="439" w:type="pct"/>
            <w:tcBorders>
              <w:top w:val="single" w:color="auto" w:sz="4" w:space="0"/>
              <w:left w:val="single" w:color="auto" w:sz="4" w:space="0"/>
              <w:bottom w:val="single" w:color="auto" w:sz="4" w:space="0"/>
              <w:right w:val="single" w:color="auto" w:sz="4" w:space="0"/>
            </w:tcBorders>
            <w:vAlign w:val="center"/>
          </w:tcPr>
          <w:p w14:paraId="0E2999B4">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5</w:t>
            </w:r>
          </w:p>
        </w:tc>
      </w:tr>
      <w:tr w14:paraId="27F1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left w:val="single" w:color="auto" w:sz="4" w:space="0"/>
              <w:right w:val="single" w:color="auto" w:sz="4" w:space="0"/>
            </w:tcBorders>
            <w:vAlign w:val="center"/>
          </w:tcPr>
          <w:p w14:paraId="578E41B4">
            <w:pPr>
              <w:jc w:val="center"/>
              <w:rPr>
                <w:rFonts w:ascii="Calibri" w:hAnsi="Calibri" w:eastAsia="宋体" w:cs="Calibri"/>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5029A79C">
            <w:pPr>
              <w:jc w:val="center"/>
              <w:rPr>
                <w:rFonts w:ascii="Calibri" w:hAnsi="Calibri" w:eastAsia="宋体" w:cs="Calibri"/>
                <w:color w:val="000000" w:themeColor="text1"/>
                <w:szCs w:val="21"/>
              </w:rPr>
            </w:pPr>
            <w:r>
              <w:rPr>
                <w:rFonts w:ascii="Calibri" w:hAnsi="Calibri" w:eastAsia="宋体" w:cs="Calibri"/>
                <w:color w:val="000000" w:themeColor="text1"/>
                <w:szCs w:val="21"/>
              </w:rPr>
              <w:t>仪器故障</w:t>
            </w:r>
            <w:r>
              <w:rPr>
                <w:rFonts w:hint="eastAsia" w:ascii="Calibri" w:hAnsi="Calibri" w:eastAsia="宋体" w:cs="Calibri"/>
                <w:color w:val="000000" w:themeColor="text1"/>
                <w:szCs w:val="21"/>
              </w:rPr>
              <w:t>应急</w:t>
            </w:r>
            <w:r>
              <w:rPr>
                <w:rFonts w:ascii="Calibri" w:hAnsi="Calibri" w:eastAsia="宋体" w:cs="Calibri"/>
                <w:color w:val="000000" w:themeColor="text1"/>
                <w:szCs w:val="21"/>
              </w:rPr>
              <w:t>处理</w:t>
            </w:r>
            <w:r>
              <w:rPr>
                <w:rFonts w:hint="eastAsia" w:ascii="Calibri" w:hAnsi="Calibri" w:eastAsia="宋体" w:cs="Calibri"/>
                <w:color w:val="000000" w:themeColor="text1"/>
                <w:szCs w:val="21"/>
              </w:rPr>
              <w:t>预案</w:t>
            </w:r>
          </w:p>
        </w:tc>
        <w:tc>
          <w:tcPr>
            <w:tcW w:w="3533" w:type="pct"/>
            <w:tcBorders>
              <w:top w:val="single" w:color="auto" w:sz="4" w:space="0"/>
              <w:left w:val="single" w:color="auto" w:sz="4" w:space="0"/>
              <w:bottom w:val="single" w:color="auto" w:sz="4" w:space="0"/>
              <w:right w:val="single" w:color="auto" w:sz="4" w:space="0"/>
            </w:tcBorders>
            <w:vAlign w:val="center"/>
          </w:tcPr>
          <w:p w14:paraId="3C63653F">
            <w:pPr>
              <w:snapToGrid w:val="0"/>
              <w:spacing w:line="320" w:lineRule="exact"/>
              <w:jc w:val="left"/>
              <w:rPr>
                <w:rFonts w:hint="eastAsia" w:ascii="宋体" w:hAnsi="宋体" w:eastAsia="宋体" w:cs="宋体"/>
                <w:b w:val="0"/>
                <w:color w:val="000000" w:themeColor="text1"/>
                <w:kern w:val="2"/>
                <w:sz w:val="21"/>
                <w:szCs w:val="21"/>
                <w:lang w:val="en-US" w:eastAsia="zh-CN" w:bidi="ar-SA"/>
              </w:rPr>
            </w:pPr>
            <w:r>
              <w:rPr>
                <w:rFonts w:hint="eastAsia" w:ascii="宋体" w:hAnsi="宋体" w:eastAsia="宋体" w:cs="宋体"/>
                <w:b w:val="0"/>
                <w:color w:val="000000" w:themeColor="text1"/>
                <w:kern w:val="2"/>
                <w:sz w:val="21"/>
                <w:szCs w:val="21"/>
                <w:lang w:val="en-US" w:eastAsia="zh-CN" w:bidi="ar-SA"/>
              </w:rPr>
              <w:t>故障处理方案（包括故障处理分析及预防、故障响应时间、故障解决时间等）</w:t>
            </w:r>
          </w:p>
          <w:p w14:paraId="2CB69108">
            <w:pPr>
              <w:snapToGrid w:val="0"/>
              <w:spacing w:line="320" w:lineRule="exact"/>
              <w:jc w:val="left"/>
              <w:rPr>
                <w:rFonts w:hint="eastAsia" w:ascii="宋体" w:hAnsi="宋体" w:eastAsia="宋体" w:cs="宋体"/>
                <w:b w:val="0"/>
                <w:color w:val="000000" w:themeColor="text1"/>
                <w:kern w:val="2"/>
                <w:sz w:val="21"/>
                <w:szCs w:val="21"/>
                <w:lang w:val="en-US" w:eastAsia="zh-CN" w:bidi="ar-SA"/>
              </w:rPr>
            </w:pPr>
            <w:r>
              <w:rPr>
                <w:rFonts w:hint="eastAsia" w:ascii="宋体" w:hAnsi="宋体" w:eastAsia="宋体" w:cs="宋体"/>
                <w:b w:val="0"/>
                <w:color w:val="000000" w:themeColor="text1"/>
                <w:kern w:val="2"/>
                <w:sz w:val="21"/>
                <w:szCs w:val="21"/>
                <w:lang w:val="en-US" w:eastAsia="zh-CN" w:bidi="ar-SA"/>
              </w:rPr>
              <w:t>方案完整具体、合理可行，能有效及时响应处理的得</w:t>
            </w:r>
            <w:r>
              <w:rPr>
                <w:rFonts w:hint="eastAsia" w:ascii="宋体" w:hAnsi="宋体" w:cs="宋体"/>
                <w:b w:val="0"/>
                <w:color w:val="000000" w:themeColor="text1"/>
                <w:kern w:val="2"/>
                <w:sz w:val="21"/>
                <w:szCs w:val="21"/>
                <w:lang w:val="en-US" w:eastAsia="zh-CN" w:bidi="ar-SA"/>
              </w:rPr>
              <w:t>5</w:t>
            </w:r>
            <w:r>
              <w:rPr>
                <w:rFonts w:hint="eastAsia" w:ascii="宋体" w:hAnsi="宋体" w:eastAsia="宋体" w:cs="宋体"/>
                <w:b w:val="0"/>
                <w:color w:val="000000" w:themeColor="text1"/>
                <w:kern w:val="2"/>
                <w:sz w:val="21"/>
                <w:szCs w:val="21"/>
                <w:lang w:val="en-US" w:eastAsia="zh-CN" w:bidi="ar-SA"/>
              </w:rPr>
              <w:t>分；</w:t>
            </w:r>
          </w:p>
          <w:p w14:paraId="3C35ED25">
            <w:pPr>
              <w:snapToGrid w:val="0"/>
              <w:spacing w:line="320" w:lineRule="exact"/>
              <w:jc w:val="left"/>
              <w:rPr>
                <w:rFonts w:hint="eastAsia" w:ascii="宋体" w:hAnsi="宋体" w:eastAsia="宋体" w:cs="宋体"/>
                <w:b w:val="0"/>
                <w:color w:val="000000" w:themeColor="text1"/>
                <w:kern w:val="2"/>
                <w:sz w:val="21"/>
                <w:szCs w:val="21"/>
                <w:lang w:val="en-US" w:eastAsia="zh-CN" w:bidi="ar-SA"/>
              </w:rPr>
            </w:pPr>
            <w:r>
              <w:rPr>
                <w:rFonts w:hint="eastAsia" w:ascii="宋体" w:hAnsi="宋体" w:eastAsia="宋体" w:cs="宋体"/>
                <w:b w:val="0"/>
                <w:color w:val="000000" w:themeColor="text1"/>
                <w:kern w:val="2"/>
                <w:sz w:val="21"/>
                <w:szCs w:val="21"/>
                <w:lang w:val="en-US" w:eastAsia="zh-CN" w:bidi="ar-SA"/>
              </w:rPr>
              <w:t>方案基本可行，有部分不足的得</w:t>
            </w:r>
            <w:r>
              <w:rPr>
                <w:rFonts w:hint="eastAsia" w:ascii="宋体" w:hAnsi="宋体" w:cs="宋体"/>
                <w:b w:val="0"/>
                <w:color w:val="000000" w:themeColor="text1"/>
                <w:kern w:val="2"/>
                <w:sz w:val="21"/>
                <w:szCs w:val="21"/>
                <w:lang w:val="en-US" w:eastAsia="zh-CN" w:bidi="ar-SA"/>
              </w:rPr>
              <w:t>3</w:t>
            </w:r>
            <w:r>
              <w:rPr>
                <w:rFonts w:hint="eastAsia" w:ascii="宋体" w:hAnsi="宋体" w:eastAsia="宋体" w:cs="宋体"/>
                <w:b w:val="0"/>
                <w:color w:val="000000" w:themeColor="text1"/>
                <w:kern w:val="2"/>
                <w:sz w:val="21"/>
                <w:szCs w:val="21"/>
                <w:lang w:val="en-US" w:eastAsia="zh-CN" w:bidi="ar-SA"/>
              </w:rPr>
              <w:t>分；</w:t>
            </w:r>
          </w:p>
          <w:p w14:paraId="7528ACFC">
            <w:pPr>
              <w:snapToGrid w:val="0"/>
              <w:spacing w:line="320" w:lineRule="exact"/>
              <w:jc w:val="left"/>
              <w:rPr>
                <w:rFonts w:hint="eastAsia" w:ascii="宋体" w:hAnsi="宋体" w:cs="宋体"/>
                <w:b w:val="0"/>
                <w:color w:val="000000" w:themeColor="text1"/>
                <w:kern w:val="2"/>
                <w:sz w:val="21"/>
                <w:szCs w:val="21"/>
                <w:lang w:val="en-US" w:eastAsia="zh-CN" w:bidi="ar-SA"/>
              </w:rPr>
            </w:pPr>
            <w:r>
              <w:rPr>
                <w:rFonts w:hint="eastAsia" w:ascii="宋体" w:hAnsi="宋体" w:eastAsia="宋体" w:cs="宋体"/>
                <w:b w:val="0"/>
                <w:color w:val="000000" w:themeColor="text1"/>
                <w:kern w:val="2"/>
                <w:sz w:val="21"/>
                <w:szCs w:val="21"/>
                <w:lang w:val="en-US" w:eastAsia="zh-CN" w:bidi="ar-SA"/>
              </w:rPr>
              <w:t>明显欠缺不足的得</w:t>
            </w:r>
            <w:r>
              <w:rPr>
                <w:rFonts w:hint="eastAsia" w:ascii="宋体" w:hAnsi="宋体" w:cs="宋体"/>
                <w:b w:val="0"/>
                <w:color w:val="000000" w:themeColor="text1"/>
                <w:kern w:val="2"/>
                <w:sz w:val="21"/>
                <w:szCs w:val="21"/>
                <w:lang w:val="en-US" w:eastAsia="zh-CN" w:bidi="ar-SA"/>
              </w:rPr>
              <w:t>1</w:t>
            </w:r>
            <w:r>
              <w:rPr>
                <w:rFonts w:hint="eastAsia" w:ascii="宋体" w:hAnsi="宋体" w:eastAsia="宋体" w:cs="宋体"/>
                <w:b w:val="0"/>
                <w:color w:val="000000" w:themeColor="text1"/>
                <w:kern w:val="2"/>
                <w:sz w:val="21"/>
                <w:szCs w:val="21"/>
                <w:lang w:val="en-US" w:eastAsia="zh-CN" w:bidi="ar-SA"/>
              </w:rPr>
              <w:t>分</w:t>
            </w:r>
            <w:r>
              <w:rPr>
                <w:rFonts w:hint="eastAsia" w:ascii="宋体" w:hAnsi="宋体" w:cs="宋体"/>
                <w:b w:val="0"/>
                <w:color w:val="000000" w:themeColor="text1"/>
                <w:kern w:val="2"/>
                <w:sz w:val="21"/>
                <w:szCs w:val="21"/>
                <w:lang w:val="en-US" w:eastAsia="zh-CN" w:bidi="ar-SA"/>
              </w:rPr>
              <w:t>；</w:t>
            </w:r>
          </w:p>
          <w:p w14:paraId="1545F751">
            <w:pPr>
              <w:snapToGrid w:val="0"/>
              <w:spacing w:line="320" w:lineRule="exact"/>
              <w:jc w:val="left"/>
              <w:rPr>
                <w:rFonts w:hint="eastAsia" w:ascii="宋体" w:hAnsi="宋体" w:eastAsia="宋体" w:cs="宋体"/>
                <w:color w:val="000000" w:themeColor="text1"/>
                <w:szCs w:val="21"/>
              </w:rPr>
            </w:pPr>
            <w:r>
              <w:rPr>
                <w:rFonts w:hint="eastAsia" w:ascii="宋体" w:hAnsi="宋体" w:eastAsia="宋体" w:cs="宋体"/>
                <w:color w:val="000000" w:themeColor="text1"/>
                <w:lang w:val="en-US" w:eastAsia="zh-CN"/>
              </w:rPr>
              <w:t>未提供不得分。</w:t>
            </w:r>
          </w:p>
        </w:tc>
        <w:tc>
          <w:tcPr>
            <w:tcW w:w="439" w:type="pct"/>
            <w:tcBorders>
              <w:top w:val="single" w:color="auto" w:sz="4" w:space="0"/>
              <w:left w:val="single" w:color="auto" w:sz="4" w:space="0"/>
              <w:bottom w:val="single" w:color="auto" w:sz="4" w:space="0"/>
              <w:right w:val="single" w:color="auto" w:sz="4" w:space="0"/>
            </w:tcBorders>
            <w:vAlign w:val="center"/>
          </w:tcPr>
          <w:p w14:paraId="3CD2A517">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5</w:t>
            </w:r>
          </w:p>
        </w:tc>
      </w:tr>
      <w:tr w14:paraId="6893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left w:val="single" w:color="auto" w:sz="4" w:space="0"/>
              <w:right w:val="single" w:color="auto" w:sz="4" w:space="0"/>
            </w:tcBorders>
            <w:vAlign w:val="center"/>
          </w:tcPr>
          <w:p w14:paraId="3DCF9803">
            <w:pPr>
              <w:jc w:val="center"/>
              <w:rPr>
                <w:rFonts w:ascii="宋体" w:hAnsi="宋体" w:eastAsia="宋体" w:cs="宋体"/>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533846FA">
            <w:pPr>
              <w:jc w:val="center"/>
              <w:rPr>
                <w:rFonts w:ascii="Calibri" w:hAnsi="Calibri" w:eastAsia="宋体" w:cs="Calibri"/>
                <w:color w:val="000000" w:themeColor="text1"/>
                <w:szCs w:val="21"/>
              </w:rPr>
            </w:pPr>
            <w:r>
              <w:rPr>
                <w:rFonts w:hint="eastAsia" w:ascii="宋体" w:hAnsi="宋体" w:eastAsia="宋体" w:cs="宋体"/>
                <w:color w:val="000000" w:themeColor="text1"/>
                <w:szCs w:val="21"/>
              </w:rPr>
              <w:t>重难点解决方案</w:t>
            </w:r>
          </w:p>
        </w:tc>
        <w:tc>
          <w:tcPr>
            <w:tcW w:w="3533" w:type="pct"/>
            <w:tcBorders>
              <w:top w:val="single" w:color="auto" w:sz="4" w:space="0"/>
              <w:left w:val="single" w:color="auto" w:sz="4" w:space="0"/>
              <w:bottom w:val="single" w:color="auto" w:sz="4" w:space="0"/>
              <w:right w:val="single" w:color="auto" w:sz="4" w:space="0"/>
            </w:tcBorders>
            <w:vAlign w:val="center"/>
          </w:tcPr>
          <w:p w14:paraId="5E1B5CB1">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根据投标单位的重点、难点技术环节的综合分析、解决方式的合理性，并从针对性，技术可行性，科学合理性方面等情况进行综合比较进行打分。</w:t>
            </w:r>
          </w:p>
          <w:p w14:paraId="3BE66058">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方案切合招标项目要求，有针对的、可行的、合理的得</w:t>
            </w:r>
            <w:r>
              <w:rPr>
                <w:rFonts w:ascii="宋体" w:hAnsi="宋体" w:eastAsia="宋体" w:cs="宋体"/>
                <w:color w:val="000000" w:themeColor="text1"/>
                <w:szCs w:val="21"/>
              </w:rPr>
              <w:t>5</w:t>
            </w:r>
            <w:r>
              <w:rPr>
                <w:rFonts w:hint="eastAsia" w:ascii="宋体" w:hAnsi="宋体" w:eastAsia="宋体" w:cs="宋体"/>
                <w:color w:val="000000" w:themeColor="text1"/>
                <w:szCs w:val="21"/>
              </w:rPr>
              <w:t>分；</w:t>
            </w:r>
          </w:p>
          <w:p w14:paraId="1E7F8864">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方案基本吻合招标项目要求，基本有针对的、可行的、合理的得</w:t>
            </w:r>
            <w:r>
              <w:rPr>
                <w:rFonts w:ascii="宋体" w:hAnsi="宋体" w:eastAsia="宋体" w:cs="宋体"/>
                <w:color w:val="000000" w:themeColor="text1"/>
                <w:szCs w:val="21"/>
              </w:rPr>
              <w:t>3</w:t>
            </w:r>
            <w:r>
              <w:rPr>
                <w:rFonts w:hint="eastAsia" w:ascii="宋体" w:hAnsi="宋体" w:eastAsia="宋体" w:cs="宋体"/>
                <w:color w:val="000000" w:themeColor="text1"/>
                <w:szCs w:val="21"/>
              </w:rPr>
              <w:t>分；</w:t>
            </w:r>
          </w:p>
          <w:p w14:paraId="4AC80C01">
            <w:pPr>
              <w:snapToGrid w:val="0"/>
              <w:spacing w:line="320" w:lineRule="exact"/>
              <w:jc w:val="left"/>
              <w:rPr>
                <w:rFonts w:hint="eastAsia" w:ascii="宋体" w:hAnsi="宋体" w:eastAsia="宋体" w:cs="宋体"/>
                <w:color w:val="000000" w:themeColor="text1"/>
                <w:szCs w:val="21"/>
              </w:rPr>
            </w:pPr>
            <w:r>
              <w:rPr>
                <w:rFonts w:hint="eastAsia" w:ascii="宋体" w:hAnsi="宋体" w:eastAsia="宋体" w:cs="宋体"/>
                <w:color w:val="000000" w:themeColor="text1"/>
                <w:szCs w:val="21"/>
              </w:rPr>
              <w:t>方案不太吻合招标项目要求或针对性、可行性、合理性不明显的得</w:t>
            </w:r>
            <w:r>
              <w:rPr>
                <w:rFonts w:ascii="宋体" w:hAnsi="宋体" w:eastAsia="宋体" w:cs="宋体"/>
                <w:color w:val="000000" w:themeColor="text1"/>
                <w:szCs w:val="21"/>
              </w:rPr>
              <w:t>1</w:t>
            </w:r>
            <w:r>
              <w:rPr>
                <w:rFonts w:hint="eastAsia" w:ascii="宋体" w:hAnsi="宋体" w:eastAsia="宋体" w:cs="宋体"/>
                <w:color w:val="000000" w:themeColor="text1"/>
                <w:szCs w:val="21"/>
              </w:rPr>
              <w:t>分。</w:t>
            </w:r>
          </w:p>
          <w:p w14:paraId="7448DF57">
            <w:pPr>
              <w:snapToGrid w:val="0"/>
              <w:spacing w:line="320" w:lineRule="exact"/>
              <w:jc w:val="left"/>
              <w:rPr>
                <w:rFonts w:hint="eastAsia" w:ascii="宋体" w:hAnsi="宋体" w:eastAsia="宋体" w:cs="宋体"/>
                <w:color w:val="000000" w:themeColor="text1"/>
                <w:szCs w:val="21"/>
              </w:rPr>
            </w:pPr>
            <w:r>
              <w:rPr>
                <w:rFonts w:hint="eastAsia" w:ascii="宋体" w:hAnsi="宋体" w:eastAsia="宋体" w:cs="宋体"/>
                <w:color w:val="000000" w:themeColor="text1"/>
                <w:lang w:val="en-US" w:eastAsia="zh-CN"/>
              </w:rPr>
              <w:t>未提供不得分。</w:t>
            </w:r>
          </w:p>
        </w:tc>
        <w:tc>
          <w:tcPr>
            <w:tcW w:w="439" w:type="pct"/>
            <w:tcBorders>
              <w:top w:val="single" w:color="auto" w:sz="4" w:space="0"/>
              <w:left w:val="single" w:color="auto" w:sz="4" w:space="0"/>
              <w:bottom w:val="single" w:color="auto" w:sz="4" w:space="0"/>
              <w:right w:val="single" w:color="auto" w:sz="4" w:space="0"/>
            </w:tcBorders>
            <w:vAlign w:val="center"/>
          </w:tcPr>
          <w:p w14:paraId="79631916">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5</w:t>
            </w:r>
          </w:p>
        </w:tc>
      </w:tr>
      <w:tr w14:paraId="33C4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93" w:type="pct"/>
            <w:vMerge w:val="continue"/>
            <w:tcBorders>
              <w:left w:val="single" w:color="auto" w:sz="4" w:space="0"/>
              <w:right w:val="single" w:color="auto" w:sz="4" w:space="0"/>
            </w:tcBorders>
            <w:vAlign w:val="center"/>
          </w:tcPr>
          <w:p w14:paraId="3623D8F6">
            <w:pPr>
              <w:jc w:val="center"/>
              <w:rPr>
                <w:rFonts w:ascii="Calibri" w:hAnsi="Calibri" w:eastAsia="宋体" w:cs="Calibri"/>
                <w:color w:val="000000" w:themeColor="text1"/>
                <w:szCs w:val="21"/>
              </w:rPr>
            </w:pPr>
          </w:p>
        </w:tc>
        <w:tc>
          <w:tcPr>
            <w:tcW w:w="633" w:type="pct"/>
            <w:vMerge w:val="restart"/>
            <w:tcBorders>
              <w:top w:val="single" w:color="auto" w:sz="4" w:space="0"/>
              <w:left w:val="single" w:color="auto" w:sz="4" w:space="0"/>
              <w:right w:val="single" w:color="auto" w:sz="4" w:space="0"/>
            </w:tcBorders>
            <w:vAlign w:val="center"/>
          </w:tcPr>
          <w:p w14:paraId="700C0D49">
            <w:pPr>
              <w:jc w:val="center"/>
              <w:rPr>
                <w:rFonts w:ascii="Calibri" w:hAnsi="Calibri" w:eastAsia="宋体" w:cs="Calibri"/>
                <w:color w:val="000000" w:themeColor="text1"/>
                <w:szCs w:val="21"/>
              </w:rPr>
            </w:pPr>
            <w:r>
              <w:rPr>
                <w:rFonts w:hint="eastAsia" w:ascii="Calibri" w:hAnsi="Calibri" w:eastAsia="宋体" w:cs="Calibri"/>
                <w:color w:val="000000" w:themeColor="text1"/>
                <w:szCs w:val="21"/>
              </w:rPr>
              <w:t>项目组成人员情况</w:t>
            </w:r>
          </w:p>
        </w:tc>
        <w:tc>
          <w:tcPr>
            <w:tcW w:w="3533" w:type="pct"/>
            <w:tcBorders>
              <w:top w:val="single" w:color="auto" w:sz="4" w:space="0"/>
              <w:left w:val="single" w:color="auto" w:sz="4" w:space="0"/>
              <w:bottom w:val="single" w:color="auto" w:sz="4" w:space="0"/>
              <w:right w:val="single" w:color="auto" w:sz="4" w:space="0"/>
            </w:tcBorders>
          </w:tcPr>
          <w:p w14:paraId="4C062180">
            <w:pPr>
              <w:snapToGrid w:val="0"/>
              <w:spacing w:line="320" w:lineRule="exact"/>
              <w:rPr>
                <w:rFonts w:ascii="宋体" w:hAnsi="宋体" w:eastAsia="宋体" w:cs="宋体"/>
                <w:color w:val="000000" w:themeColor="text1"/>
                <w:szCs w:val="21"/>
              </w:rPr>
            </w:pPr>
            <w:r>
              <w:rPr>
                <w:rFonts w:hint="eastAsia" w:ascii="宋体" w:hAnsi="宋体" w:eastAsia="宋体" w:cs="宋体"/>
                <w:color w:val="000000" w:themeColor="text1"/>
                <w:szCs w:val="21"/>
              </w:rPr>
              <w:t>项目负责人</w:t>
            </w:r>
            <w:r>
              <w:rPr>
                <w:rFonts w:hint="eastAsia" w:ascii="宋体" w:hAnsi="宋体" w:eastAsia="宋体" w:cs="宋体"/>
                <w:color w:val="000000" w:themeColor="text1"/>
              </w:rPr>
              <w:t xml:space="preserve">具有环境监测类高级职称证书得 </w:t>
            </w:r>
            <w:r>
              <w:rPr>
                <w:rFonts w:hint="eastAsia" w:ascii="宋体" w:hAnsi="宋体" w:eastAsia="宋体" w:cs="宋体"/>
                <w:color w:val="000000" w:themeColor="text1"/>
                <w:lang w:val="en-US" w:eastAsia="zh-CN"/>
              </w:rPr>
              <w:t>2</w:t>
            </w:r>
            <w:r>
              <w:rPr>
                <w:rFonts w:hint="eastAsia" w:ascii="宋体" w:hAnsi="宋体" w:eastAsia="宋体" w:cs="宋体"/>
                <w:color w:val="000000" w:themeColor="text1"/>
              </w:rPr>
              <w:t>分，具有环境监测类中级职称证书得1分</w:t>
            </w:r>
            <w:r>
              <w:rPr>
                <w:rFonts w:hint="eastAsia" w:ascii="宋体" w:hAnsi="宋体" w:eastAsia="宋体" w:cs="宋体"/>
                <w:color w:val="000000" w:themeColor="text1"/>
                <w:szCs w:val="21"/>
              </w:rPr>
              <w:t>；具有空气运维合格证书的得</w:t>
            </w:r>
            <w:r>
              <w:rPr>
                <w:rFonts w:ascii="宋体" w:hAnsi="宋体" w:eastAsia="宋体" w:cs="宋体"/>
                <w:color w:val="000000" w:themeColor="text1"/>
                <w:szCs w:val="21"/>
              </w:rPr>
              <w:t>2</w:t>
            </w:r>
            <w:r>
              <w:rPr>
                <w:rFonts w:hint="eastAsia" w:ascii="宋体" w:hAnsi="宋体" w:eastAsia="宋体" w:cs="宋体"/>
                <w:color w:val="000000" w:themeColor="text1"/>
                <w:szCs w:val="21"/>
              </w:rPr>
              <w:t>分；本项最高得</w:t>
            </w:r>
            <w:r>
              <w:rPr>
                <w:rFonts w:ascii="宋体" w:hAnsi="宋体" w:eastAsia="宋体" w:cs="宋体"/>
                <w:color w:val="000000" w:themeColor="text1"/>
                <w:szCs w:val="21"/>
              </w:rPr>
              <w:t>4</w:t>
            </w:r>
            <w:r>
              <w:rPr>
                <w:rFonts w:hint="eastAsia" w:ascii="宋体" w:hAnsi="宋体" w:eastAsia="宋体" w:cs="宋体"/>
                <w:color w:val="000000" w:themeColor="text1"/>
                <w:szCs w:val="21"/>
              </w:rPr>
              <w:t>分。</w:t>
            </w:r>
          </w:p>
          <w:p w14:paraId="658E08E8">
            <w:pPr>
              <w:snapToGrid w:val="0"/>
              <w:spacing w:line="320" w:lineRule="exact"/>
              <w:rPr>
                <w:rFonts w:ascii="宋体" w:hAnsi="宋体" w:eastAsia="宋体" w:cs="宋体"/>
                <w:color w:val="000000" w:themeColor="text1"/>
                <w:szCs w:val="21"/>
              </w:rPr>
            </w:pPr>
            <w:r>
              <w:rPr>
                <w:rFonts w:hint="eastAsia" w:ascii="宋体" w:hAnsi="宋体" w:eastAsia="宋体" w:cs="宋体"/>
                <w:color w:val="000000" w:themeColor="text1"/>
                <w:szCs w:val="21"/>
              </w:rPr>
              <w:t>注：需提供证明材料扫描件及在投标截止前</w:t>
            </w:r>
            <w:r>
              <w:rPr>
                <w:rFonts w:ascii="宋体" w:hAnsi="宋体" w:eastAsia="宋体" w:cs="宋体"/>
                <w:color w:val="000000" w:themeColor="text1"/>
                <w:szCs w:val="21"/>
              </w:rPr>
              <w:t>6</w:t>
            </w:r>
            <w:r>
              <w:rPr>
                <w:rFonts w:hint="eastAsia" w:ascii="宋体" w:hAnsi="宋体" w:eastAsia="宋体" w:cs="宋体"/>
                <w:color w:val="000000" w:themeColor="text1"/>
                <w:szCs w:val="21"/>
              </w:rPr>
              <w:t>个月以上在本单位缴纳的社保缴纳证明扫描件并加投标单位公章，否则不得分。</w:t>
            </w:r>
          </w:p>
        </w:tc>
        <w:tc>
          <w:tcPr>
            <w:tcW w:w="439" w:type="pct"/>
            <w:tcBorders>
              <w:top w:val="single" w:color="auto" w:sz="4" w:space="0"/>
              <w:left w:val="single" w:color="auto" w:sz="4" w:space="0"/>
              <w:bottom w:val="single" w:color="auto" w:sz="4" w:space="0"/>
              <w:right w:val="single" w:color="auto" w:sz="4" w:space="0"/>
            </w:tcBorders>
            <w:vAlign w:val="center"/>
          </w:tcPr>
          <w:p w14:paraId="5D4AF022">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4</w:t>
            </w:r>
          </w:p>
        </w:tc>
      </w:tr>
      <w:tr w14:paraId="22EA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393" w:type="pct"/>
            <w:vMerge w:val="continue"/>
            <w:tcBorders>
              <w:left w:val="single" w:color="auto" w:sz="4" w:space="0"/>
              <w:right w:val="single" w:color="auto" w:sz="4" w:space="0"/>
            </w:tcBorders>
            <w:vAlign w:val="center"/>
          </w:tcPr>
          <w:p w14:paraId="0B849672">
            <w:pPr>
              <w:jc w:val="center"/>
              <w:rPr>
                <w:rFonts w:ascii="Calibri" w:hAnsi="Calibri" w:eastAsia="宋体" w:cs="Calibri"/>
                <w:color w:val="000000" w:themeColor="text1"/>
                <w:szCs w:val="21"/>
              </w:rPr>
            </w:pPr>
          </w:p>
        </w:tc>
        <w:tc>
          <w:tcPr>
            <w:tcW w:w="633" w:type="pct"/>
            <w:vMerge w:val="continue"/>
            <w:tcBorders>
              <w:left w:val="single" w:color="auto" w:sz="4" w:space="0"/>
              <w:bottom w:val="single" w:color="auto" w:sz="4" w:space="0"/>
              <w:right w:val="single" w:color="auto" w:sz="4" w:space="0"/>
            </w:tcBorders>
            <w:vAlign w:val="center"/>
          </w:tcPr>
          <w:p w14:paraId="347A274D">
            <w:pPr>
              <w:jc w:val="center"/>
              <w:rPr>
                <w:rFonts w:ascii="Calibri" w:hAnsi="Calibri" w:eastAsia="宋体" w:cs="Calibri"/>
                <w:color w:val="000000" w:themeColor="text1"/>
                <w:szCs w:val="21"/>
              </w:rPr>
            </w:pPr>
          </w:p>
        </w:tc>
        <w:tc>
          <w:tcPr>
            <w:tcW w:w="3533" w:type="pct"/>
            <w:tcBorders>
              <w:top w:val="single" w:color="auto" w:sz="4" w:space="0"/>
              <w:left w:val="single" w:color="auto" w:sz="4" w:space="0"/>
              <w:bottom w:val="single" w:color="auto" w:sz="4" w:space="0"/>
              <w:right w:val="single" w:color="auto" w:sz="4" w:space="0"/>
            </w:tcBorders>
            <w:vAlign w:val="center"/>
          </w:tcPr>
          <w:p w14:paraId="56BE41DC">
            <w:pPr>
              <w:snapToGrid w:val="0"/>
              <w:spacing w:line="320" w:lineRule="exact"/>
              <w:rPr>
                <w:rFonts w:ascii="宋体" w:hAnsi="宋体" w:eastAsia="宋体" w:cs="宋体"/>
                <w:color w:val="000000" w:themeColor="text1"/>
                <w:szCs w:val="21"/>
              </w:rPr>
            </w:pPr>
            <w:r>
              <w:rPr>
                <w:rFonts w:hint="eastAsia" w:ascii="宋体" w:hAnsi="宋体" w:eastAsia="宋体" w:cs="宋体"/>
                <w:color w:val="000000" w:themeColor="text1"/>
                <w:szCs w:val="21"/>
              </w:rPr>
              <w:t>拟派本项目运行维护专业技术人员在</w:t>
            </w:r>
            <w:r>
              <w:rPr>
                <w:rFonts w:ascii="宋体" w:hAnsi="宋体" w:eastAsia="宋体" w:cs="宋体"/>
                <w:color w:val="000000" w:themeColor="text1"/>
                <w:szCs w:val="21"/>
              </w:rPr>
              <w:t>2</w:t>
            </w:r>
            <w:r>
              <w:rPr>
                <w:rFonts w:hint="eastAsia" w:ascii="宋体" w:hAnsi="宋体" w:eastAsia="宋体" w:cs="宋体"/>
                <w:color w:val="000000" w:themeColor="text1"/>
                <w:szCs w:val="21"/>
              </w:rPr>
              <w:t>人基础上每增加</w:t>
            </w:r>
            <w:r>
              <w:rPr>
                <w:rFonts w:ascii="宋体" w:hAnsi="宋体" w:eastAsia="宋体" w:cs="宋体"/>
                <w:color w:val="000000" w:themeColor="text1"/>
                <w:szCs w:val="21"/>
              </w:rPr>
              <w:t>1</w:t>
            </w:r>
            <w:r>
              <w:rPr>
                <w:rFonts w:hint="eastAsia" w:ascii="宋体" w:hAnsi="宋体" w:eastAsia="宋体" w:cs="宋体"/>
                <w:color w:val="000000" w:themeColor="text1"/>
                <w:szCs w:val="21"/>
              </w:rPr>
              <w:t>人（增加人员需提供运维上岗证书），得</w:t>
            </w:r>
            <w:r>
              <w:rPr>
                <w:rFonts w:ascii="宋体" w:hAnsi="宋体" w:eastAsia="宋体" w:cs="宋体"/>
                <w:color w:val="000000" w:themeColor="text1"/>
                <w:szCs w:val="21"/>
              </w:rPr>
              <w:t>2</w:t>
            </w:r>
            <w:r>
              <w:rPr>
                <w:rFonts w:hint="eastAsia" w:ascii="宋体" w:hAnsi="宋体" w:eastAsia="宋体" w:cs="宋体"/>
                <w:color w:val="000000" w:themeColor="text1"/>
                <w:szCs w:val="21"/>
              </w:rPr>
              <w:t>分，最多得</w:t>
            </w:r>
            <w:r>
              <w:rPr>
                <w:rFonts w:ascii="宋体" w:hAnsi="宋体" w:eastAsia="宋体" w:cs="宋体"/>
                <w:color w:val="000000" w:themeColor="text1"/>
                <w:szCs w:val="21"/>
              </w:rPr>
              <w:t>4</w:t>
            </w:r>
            <w:r>
              <w:rPr>
                <w:rFonts w:hint="eastAsia" w:ascii="宋体" w:hAnsi="宋体" w:eastAsia="宋体" w:cs="宋体"/>
                <w:color w:val="000000" w:themeColor="text1"/>
                <w:szCs w:val="21"/>
              </w:rPr>
              <w:t>分。</w:t>
            </w:r>
          </w:p>
          <w:p w14:paraId="5BCD3EB4">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注：需提供人员岗位证书及在投标截止前</w:t>
            </w:r>
            <w:r>
              <w:rPr>
                <w:rFonts w:ascii="宋体" w:hAnsi="宋体" w:eastAsia="宋体" w:cs="宋体"/>
                <w:color w:val="000000" w:themeColor="text1"/>
                <w:szCs w:val="21"/>
              </w:rPr>
              <w:t>6</w:t>
            </w:r>
            <w:r>
              <w:rPr>
                <w:rFonts w:hint="eastAsia" w:ascii="宋体" w:hAnsi="宋体" w:eastAsia="宋体" w:cs="宋体"/>
                <w:color w:val="000000" w:themeColor="text1"/>
                <w:szCs w:val="21"/>
              </w:rPr>
              <w:t>个月以上在本单位缴纳的社保缴纳证明扫描件并加投标单位公章，否则不得分。</w:t>
            </w:r>
          </w:p>
        </w:tc>
        <w:tc>
          <w:tcPr>
            <w:tcW w:w="439" w:type="pct"/>
            <w:tcBorders>
              <w:top w:val="single" w:color="auto" w:sz="4" w:space="0"/>
              <w:left w:val="single" w:color="auto" w:sz="4" w:space="0"/>
              <w:bottom w:val="single" w:color="auto" w:sz="4" w:space="0"/>
              <w:right w:val="single" w:color="auto" w:sz="4" w:space="0"/>
            </w:tcBorders>
            <w:vAlign w:val="center"/>
          </w:tcPr>
          <w:p w14:paraId="32FD9C07">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4</w:t>
            </w:r>
          </w:p>
        </w:tc>
      </w:tr>
      <w:tr w14:paraId="18D5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left w:val="single" w:color="auto" w:sz="4" w:space="0"/>
              <w:right w:val="single" w:color="auto" w:sz="4" w:space="0"/>
            </w:tcBorders>
            <w:vAlign w:val="center"/>
          </w:tcPr>
          <w:p w14:paraId="26FD5E1D">
            <w:pPr>
              <w:jc w:val="center"/>
              <w:rPr>
                <w:rFonts w:ascii="Calibri" w:hAnsi="Calibri" w:eastAsia="宋体" w:cs="Calibri"/>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62374898">
            <w:pPr>
              <w:jc w:val="center"/>
              <w:rPr>
                <w:rFonts w:ascii="Calibri" w:hAnsi="Calibri" w:eastAsia="宋体" w:cs="Calibri"/>
                <w:color w:val="000000" w:themeColor="text1"/>
                <w:szCs w:val="21"/>
              </w:rPr>
            </w:pPr>
            <w:r>
              <w:rPr>
                <w:rFonts w:hint="eastAsia" w:ascii="Calibri" w:hAnsi="Calibri" w:eastAsia="宋体" w:cs="Calibri"/>
                <w:color w:val="000000" w:themeColor="text1"/>
                <w:szCs w:val="21"/>
              </w:rPr>
              <w:t>设备配备情况</w:t>
            </w:r>
          </w:p>
        </w:tc>
        <w:tc>
          <w:tcPr>
            <w:tcW w:w="3533" w:type="pct"/>
            <w:tcBorders>
              <w:top w:val="single" w:color="auto" w:sz="4" w:space="0"/>
              <w:left w:val="single" w:color="auto" w:sz="4" w:space="0"/>
              <w:bottom w:val="single" w:color="auto" w:sz="4" w:space="0"/>
              <w:right w:val="single" w:color="auto" w:sz="4" w:space="0"/>
            </w:tcBorders>
            <w:vAlign w:val="center"/>
          </w:tcPr>
          <w:p w14:paraId="6BA74F8D">
            <w:pPr>
              <w:snapToGrid w:val="0"/>
              <w:spacing w:line="320" w:lineRule="exact"/>
              <w:rPr>
                <w:rFonts w:ascii="宋体" w:hAnsi="宋体" w:eastAsia="宋体" w:cs="宋体"/>
                <w:color w:val="000000" w:themeColor="text1"/>
                <w:szCs w:val="21"/>
              </w:rPr>
            </w:pPr>
            <w:r>
              <w:rPr>
                <w:rFonts w:hint="eastAsia" w:ascii="宋体" w:hAnsi="宋体" w:eastAsia="宋体" w:cs="宋体"/>
                <w:color w:val="000000" w:themeColor="text1"/>
                <w:szCs w:val="21"/>
              </w:rPr>
              <w:t>车辆</w:t>
            </w:r>
            <w:r>
              <w:rPr>
                <w:rFonts w:ascii="宋体" w:hAnsi="宋体" w:eastAsia="宋体" w:cs="宋体"/>
                <w:color w:val="000000" w:themeColor="text1"/>
                <w:szCs w:val="21"/>
              </w:rPr>
              <w:t>基础配备要求1辆，人员基础配备要求2人。满足基础要求后，每增加1辆运维用车得1分，最高得2分；每增加1名运维人员得2分，最高得4分。本项最高得6分</w:t>
            </w:r>
            <w:r>
              <w:rPr>
                <w:rFonts w:hint="eastAsia" w:ascii="宋体" w:hAnsi="宋体" w:eastAsia="宋体" w:cs="宋体"/>
                <w:color w:val="000000" w:themeColor="text1"/>
                <w:szCs w:val="21"/>
              </w:rPr>
              <w:t>。</w:t>
            </w:r>
          </w:p>
          <w:p w14:paraId="382EE71A">
            <w:pPr>
              <w:snapToGrid w:val="0"/>
              <w:spacing w:line="320" w:lineRule="exact"/>
              <w:rPr>
                <w:rFonts w:ascii="宋体" w:hAnsi="宋体" w:eastAsia="宋体" w:cs="宋体"/>
                <w:color w:val="000000" w:themeColor="text1"/>
                <w:szCs w:val="21"/>
              </w:rPr>
            </w:pPr>
            <w:r>
              <w:rPr>
                <w:rFonts w:hint="eastAsia" w:ascii="宋体" w:hAnsi="宋体" w:eastAsia="宋体" w:cs="宋体"/>
                <w:color w:val="000000" w:themeColor="text1"/>
                <w:szCs w:val="21"/>
              </w:rPr>
              <w:t>注：</w:t>
            </w:r>
            <w:r>
              <w:rPr>
                <w:rFonts w:ascii="宋体" w:hAnsi="宋体" w:eastAsia="宋体" w:cs="宋体"/>
                <w:color w:val="000000" w:themeColor="text1"/>
                <w:szCs w:val="21"/>
              </w:rPr>
              <w:t>1、人员需提供劳动合同扫描件及在投标截止前6个月以上在本单位缴纳的社保缴纳证明扫描件并加投标单位公章，否则不得分。</w:t>
            </w:r>
          </w:p>
          <w:p w14:paraId="47DB4BC5">
            <w:pPr>
              <w:snapToGrid w:val="0"/>
              <w:spacing w:line="320" w:lineRule="exact"/>
              <w:jc w:val="left"/>
              <w:rPr>
                <w:rFonts w:ascii="宋体" w:hAnsi="宋体" w:eastAsia="宋体" w:cs="宋体"/>
                <w:color w:val="000000" w:themeColor="text1"/>
                <w:szCs w:val="21"/>
              </w:rPr>
            </w:pPr>
            <w:r>
              <w:rPr>
                <w:rFonts w:ascii="宋体" w:hAnsi="宋体" w:eastAsia="宋体" w:cs="宋体"/>
                <w:color w:val="000000" w:themeColor="text1"/>
                <w:szCs w:val="21"/>
              </w:rPr>
              <w:t>2、车辆需提供车牌号及相应的产权证明或租赁证明扫描件并加投标单位公章，如需在中标后租赁相应车辆的，则本项应提供租赁到位的承诺（自拟）。</w:t>
            </w:r>
          </w:p>
        </w:tc>
        <w:tc>
          <w:tcPr>
            <w:tcW w:w="439" w:type="pct"/>
            <w:tcBorders>
              <w:top w:val="single" w:color="auto" w:sz="4" w:space="0"/>
              <w:left w:val="single" w:color="auto" w:sz="4" w:space="0"/>
              <w:bottom w:val="single" w:color="auto" w:sz="4" w:space="0"/>
              <w:right w:val="single" w:color="auto" w:sz="4" w:space="0"/>
            </w:tcBorders>
            <w:vAlign w:val="center"/>
          </w:tcPr>
          <w:p w14:paraId="0E18952D">
            <w:pPr>
              <w:jc w:val="center"/>
              <w:rPr>
                <w:rFonts w:ascii="宋体" w:hAnsi="宋体" w:eastAsia="宋体" w:cs="宋体"/>
                <w:color w:val="000000" w:themeColor="text1"/>
                <w:szCs w:val="21"/>
              </w:rPr>
            </w:pPr>
            <w:r>
              <w:rPr>
                <w:rFonts w:ascii="宋体" w:hAnsi="宋体" w:eastAsia="宋体" w:cs="宋体"/>
                <w:color w:val="000000" w:themeColor="text1"/>
                <w:szCs w:val="21"/>
              </w:rPr>
              <w:t>6</w:t>
            </w:r>
          </w:p>
        </w:tc>
      </w:tr>
      <w:tr w14:paraId="155F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left w:val="single" w:color="auto" w:sz="4" w:space="0"/>
              <w:right w:val="single" w:color="auto" w:sz="4" w:space="0"/>
            </w:tcBorders>
            <w:vAlign w:val="center"/>
          </w:tcPr>
          <w:p w14:paraId="70D103F7">
            <w:pPr>
              <w:jc w:val="center"/>
              <w:rPr>
                <w:rFonts w:ascii="Calibri" w:hAnsi="Calibri" w:eastAsia="宋体" w:cs="Calibri"/>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50CD6802">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服务特点及服务保障措施</w:t>
            </w:r>
          </w:p>
        </w:tc>
        <w:tc>
          <w:tcPr>
            <w:tcW w:w="3533" w:type="pct"/>
            <w:tcBorders>
              <w:top w:val="single" w:color="auto" w:sz="4" w:space="0"/>
              <w:left w:val="single" w:color="auto" w:sz="4" w:space="0"/>
              <w:bottom w:val="single" w:color="auto" w:sz="4" w:space="0"/>
              <w:right w:val="single" w:color="auto" w:sz="4" w:space="0"/>
            </w:tcBorders>
            <w:vAlign w:val="center"/>
          </w:tcPr>
          <w:p w14:paraId="0A8B1744">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针对本项目的服务特点及保证服务质量的措施。</w:t>
            </w:r>
          </w:p>
          <w:p w14:paraId="636A6FB9">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措施有利、全面的得</w:t>
            </w:r>
            <w:r>
              <w:rPr>
                <w:rFonts w:ascii="宋体" w:hAnsi="宋体" w:eastAsia="宋体" w:cs="宋体"/>
                <w:color w:val="000000" w:themeColor="text1"/>
                <w:szCs w:val="21"/>
              </w:rPr>
              <w:t>5</w:t>
            </w:r>
            <w:r>
              <w:rPr>
                <w:rFonts w:hint="eastAsia" w:ascii="宋体" w:hAnsi="宋体" w:eastAsia="宋体" w:cs="宋体"/>
                <w:color w:val="000000" w:themeColor="text1"/>
                <w:szCs w:val="21"/>
              </w:rPr>
              <w:t>分；</w:t>
            </w:r>
          </w:p>
          <w:p w14:paraId="3B2834CB">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rPr>
              <w:t>措施基本有利、全面的</w:t>
            </w:r>
            <w:r>
              <w:rPr>
                <w:rFonts w:hint="eastAsia" w:ascii="宋体" w:hAnsi="宋体" w:eastAsia="宋体" w:cs="宋体"/>
                <w:color w:val="000000" w:themeColor="text1"/>
                <w:szCs w:val="21"/>
                <w:lang w:val="en-US" w:eastAsia="zh-CN"/>
              </w:rPr>
              <w:t>3</w:t>
            </w:r>
            <w:r>
              <w:rPr>
                <w:rFonts w:ascii="宋体" w:hAnsi="宋体" w:eastAsia="宋体" w:cs="宋体"/>
                <w:color w:val="000000" w:themeColor="text1"/>
                <w:szCs w:val="21"/>
              </w:rPr>
              <w:t>分；</w:t>
            </w:r>
          </w:p>
          <w:p w14:paraId="331F2FFB">
            <w:pPr>
              <w:snapToGrid w:val="0"/>
              <w:spacing w:line="320" w:lineRule="exact"/>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rPr>
              <w:t>措施较为简单或无实质性意义的得</w:t>
            </w:r>
            <w:r>
              <w:rPr>
                <w:rFonts w:ascii="宋体" w:hAnsi="宋体" w:eastAsia="宋体" w:cs="宋体"/>
                <w:color w:val="000000" w:themeColor="text1"/>
                <w:szCs w:val="21"/>
              </w:rPr>
              <w:t>1</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eastAsia="zh-CN"/>
              </w:rPr>
              <w:t>；</w:t>
            </w:r>
          </w:p>
          <w:p w14:paraId="3E81AEDC">
            <w:pPr>
              <w:snapToGrid w:val="0"/>
              <w:spacing w:line="320" w:lineRule="exact"/>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lang w:val="en-US" w:eastAsia="zh-CN"/>
              </w:rPr>
              <w:t>未提供不得分。</w:t>
            </w:r>
          </w:p>
        </w:tc>
        <w:tc>
          <w:tcPr>
            <w:tcW w:w="439" w:type="pct"/>
            <w:tcBorders>
              <w:top w:val="single" w:color="auto" w:sz="4" w:space="0"/>
              <w:left w:val="single" w:color="auto" w:sz="4" w:space="0"/>
              <w:bottom w:val="single" w:color="auto" w:sz="4" w:space="0"/>
              <w:right w:val="single" w:color="auto" w:sz="4" w:space="0"/>
            </w:tcBorders>
            <w:vAlign w:val="center"/>
          </w:tcPr>
          <w:p w14:paraId="2053FE54">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5</w:t>
            </w:r>
          </w:p>
        </w:tc>
      </w:tr>
      <w:tr w14:paraId="2CFB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left w:val="single" w:color="auto" w:sz="4" w:space="0"/>
              <w:right w:val="single" w:color="auto" w:sz="4" w:space="0"/>
            </w:tcBorders>
            <w:vAlign w:val="center"/>
          </w:tcPr>
          <w:p w14:paraId="1E5E0CFD">
            <w:pPr>
              <w:jc w:val="center"/>
              <w:rPr>
                <w:rFonts w:ascii="Calibri" w:hAnsi="Calibri" w:eastAsia="宋体" w:cs="Calibri"/>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489B8175">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备品备件库情况</w:t>
            </w:r>
          </w:p>
        </w:tc>
        <w:tc>
          <w:tcPr>
            <w:tcW w:w="3533" w:type="pct"/>
            <w:tcBorders>
              <w:top w:val="single" w:color="auto" w:sz="4" w:space="0"/>
              <w:left w:val="single" w:color="auto" w:sz="4" w:space="0"/>
              <w:bottom w:val="single" w:color="auto" w:sz="4" w:space="0"/>
              <w:right w:val="single" w:color="auto" w:sz="4" w:space="0"/>
            </w:tcBorders>
            <w:vAlign w:val="center"/>
          </w:tcPr>
          <w:p w14:paraId="44E6F4D2">
            <w:pPr>
              <w:jc w:val="left"/>
              <w:rPr>
                <w:rFonts w:hint="eastAsia" w:ascii="宋体" w:hAnsi="宋体" w:eastAsia="宋体" w:cs="宋体"/>
                <w:color w:val="000000" w:themeColor="text1"/>
                <w:szCs w:val="21"/>
                <w:lang w:val="en-US" w:eastAsia="zh-CN"/>
              </w:rPr>
            </w:pPr>
            <w:r>
              <w:rPr>
                <w:rFonts w:hint="eastAsia" w:ascii="宋体" w:hAnsi="宋体" w:eastAsia="宋体" w:cs="宋体"/>
                <w:color w:val="000000" w:themeColor="text1"/>
                <w:szCs w:val="21"/>
              </w:rPr>
              <w:t>根据投标人提供的备品备件库面积、管理制度、应急备机、备件清单等情况进行</w:t>
            </w:r>
            <w:r>
              <w:rPr>
                <w:rFonts w:hint="eastAsia" w:ascii="宋体" w:hAnsi="宋体" w:eastAsia="宋体" w:cs="宋体"/>
                <w:color w:val="000000" w:themeColor="text1"/>
                <w:szCs w:val="21"/>
                <w:lang w:val="en-US" w:eastAsia="zh-CN"/>
              </w:rPr>
              <w:t>打分：</w:t>
            </w:r>
          </w:p>
          <w:p w14:paraId="20DD7B8C">
            <w:pPr>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1、方案科学规范，</w:t>
            </w:r>
            <w:r>
              <w:rPr>
                <w:rFonts w:hint="eastAsia" w:ascii="宋体" w:hAnsi="宋体" w:eastAsia="宋体" w:cs="宋体"/>
                <w:color w:val="000000" w:themeColor="text1"/>
                <w:szCs w:val="21"/>
              </w:rPr>
              <w:t>满足</w:t>
            </w:r>
            <w:r>
              <w:rPr>
                <w:rFonts w:hint="eastAsia" w:ascii="宋体" w:hAnsi="宋体" w:eastAsia="宋体" w:cs="宋体"/>
                <w:color w:val="000000" w:themeColor="text1"/>
                <w:szCs w:val="21"/>
                <w:lang w:val="en-US" w:eastAsia="zh-CN"/>
              </w:rPr>
              <w:t>项目要求</w:t>
            </w:r>
            <w:r>
              <w:rPr>
                <w:rFonts w:hint="eastAsia" w:ascii="宋体" w:hAnsi="宋体" w:eastAsia="宋体" w:cs="宋体"/>
                <w:color w:val="000000" w:themeColor="text1"/>
                <w:szCs w:val="21"/>
              </w:rPr>
              <w:t>的</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得</w:t>
            </w:r>
            <w:r>
              <w:rPr>
                <w:rFonts w:hint="eastAsia" w:ascii="宋体" w:hAnsi="宋体" w:eastAsia="宋体" w:cs="宋体"/>
                <w:color w:val="000000" w:themeColor="text1"/>
                <w:szCs w:val="21"/>
                <w:lang w:val="en-US" w:eastAsia="zh-CN"/>
              </w:rPr>
              <w:t>6</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eastAsia="zh-CN"/>
              </w:rPr>
              <w:t>；</w:t>
            </w:r>
          </w:p>
          <w:p w14:paraId="55EA68BF">
            <w:pPr>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2、方案基本科学规范，基本满足项目要求，</w:t>
            </w:r>
            <w:r>
              <w:rPr>
                <w:rFonts w:hint="eastAsia" w:ascii="宋体" w:hAnsi="宋体" w:eastAsia="宋体" w:cs="宋体"/>
                <w:color w:val="000000" w:themeColor="text1"/>
                <w:szCs w:val="21"/>
              </w:rPr>
              <w:t>得</w:t>
            </w:r>
            <w:r>
              <w:rPr>
                <w:rFonts w:hint="eastAsia" w:ascii="宋体" w:hAnsi="宋体" w:eastAsia="宋体" w:cs="宋体"/>
                <w:color w:val="000000" w:themeColor="text1"/>
                <w:szCs w:val="21"/>
                <w:lang w:val="en-US" w:eastAsia="zh-CN"/>
              </w:rPr>
              <w:t>3</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eastAsia="zh-CN"/>
              </w:rPr>
              <w:t>；</w:t>
            </w:r>
          </w:p>
          <w:p w14:paraId="20478778">
            <w:pPr>
              <w:jc w:val="left"/>
              <w:rPr>
                <w:rFonts w:hint="eastAsia" w:ascii="宋体" w:hAnsi="宋体" w:eastAsia="宋体" w:cs="宋体"/>
                <w:color w:val="000000" w:themeColor="text1"/>
                <w:szCs w:val="21"/>
                <w:lang w:eastAsia="zh-CN"/>
              </w:rPr>
            </w:pPr>
            <w:r>
              <w:rPr>
                <w:rFonts w:hint="eastAsia" w:ascii="宋体" w:hAnsi="宋体" w:eastAsia="宋体" w:cs="宋体"/>
                <w:color w:val="000000" w:themeColor="text1"/>
                <w:szCs w:val="21"/>
                <w:lang w:val="en-US" w:eastAsia="zh-CN"/>
              </w:rPr>
              <w:t>3、方案</w:t>
            </w:r>
            <w:r>
              <w:rPr>
                <w:rFonts w:hint="eastAsia" w:ascii="宋体" w:hAnsi="宋体" w:eastAsia="宋体" w:cs="宋体"/>
                <w:color w:val="000000" w:themeColor="text1"/>
                <w:szCs w:val="21"/>
              </w:rPr>
              <w:t>不甚</w:t>
            </w:r>
            <w:r>
              <w:rPr>
                <w:rFonts w:hint="eastAsia" w:ascii="宋体" w:hAnsi="宋体" w:eastAsia="宋体" w:cs="宋体"/>
                <w:color w:val="000000" w:themeColor="text1"/>
                <w:szCs w:val="21"/>
                <w:lang w:val="en-US" w:eastAsia="zh-CN"/>
              </w:rPr>
              <w:t>规范合理</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得</w:t>
            </w:r>
            <w:r>
              <w:rPr>
                <w:rFonts w:hint="eastAsia" w:ascii="宋体" w:hAnsi="宋体" w:eastAsia="宋体" w:cs="宋体"/>
                <w:color w:val="000000" w:themeColor="text1"/>
                <w:szCs w:val="21"/>
                <w:lang w:val="en-US" w:eastAsia="zh-CN"/>
              </w:rPr>
              <w:t>1</w:t>
            </w:r>
            <w:r>
              <w:rPr>
                <w:rFonts w:hint="eastAsia" w:ascii="宋体" w:hAnsi="宋体" w:eastAsia="宋体" w:cs="宋体"/>
                <w:color w:val="000000" w:themeColor="text1"/>
                <w:szCs w:val="21"/>
              </w:rPr>
              <w:t>分</w:t>
            </w:r>
            <w:r>
              <w:rPr>
                <w:rFonts w:hint="eastAsia" w:ascii="宋体" w:hAnsi="宋体" w:eastAsia="宋体" w:cs="宋体"/>
                <w:color w:val="000000" w:themeColor="text1"/>
                <w:szCs w:val="21"/>
                <w:lang w:eastAsia="zh-CN"/>
              </w:rPr>
              <w:t>；</w:t>
            </w:r>
          </w:p>
          <w:p w14:paraId="193E17C6">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4、未提供</w:t>
            </w:r>
            <w:r>
              <w:rPr>
                <w:rFonts w:hint="eastAsia" w:ascii="宋体" w:hAnsi="宋体" w:eastAsia="宋体" w:cs="宋体"/>
                <w:color w:val="000000" w:themeColor="text1"/>
                <w:szCs w:val="21"/>
              </w:rPr>
              <w:t>不得分。</w:t>
            </w:r>
          </w:p>
        </w:tc>
        <w:tc>
          <w:tcPr>
            <w:tcW w:w="439" w:type="pct"/>
            <w:tcBorders>
              <w:top w:val="single" w:color="auto" w:sz="4" w:space="0"/>
              <w:left w:val="single" w:color="auto" w:sz="4" w:space="0"/>
              <w:bottom w:val="single" w:color="auto" w:sz="4" w:space="0"/>
              <w:right w:val="single" w:color="auto" w:sz="4" w:space="0"/>
            </w:tcBorders>
            <w:vAlign w:val="center"/>
          </w:tcPr>
          <w:p w14:paraId="67E733FA">
            <w:pPr>
              <w:jc w:val="center"/>
              <w:rPr>
                <w:rFonts w:ascii="宋体" w:hAnsi="宋体" w:eastAsia="宋体" w:cs="宋体"/>
                <w:color w:val="000000" w:themeColor="text1"/>
                <w:szCs w:val="21"/>
              </w:rPr>
            </w:pPr>
            <w:r>
              <w:rPr>
                <w:rFonts w:ascii="宋体" w:hAnsi="宋体" w:eastAsia="宋体" w:cs="宋体"/>
                <w:color w:val="000000" w:themeColor="text1"/>
                <w:szCs w:val="21"/>
              </w:rPr>
              <w:t>6</w:t>
            </w:r>
          </w:p>
        </w:tc>
      </w:tr>
      <w:tr w14:paraId="1065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3" w:type="pct"/>
            <w:vMerge w:val="continue"/>
            <w:tcBorders>
              <w:left w:val="single" w:color="auto" w:sz="4" w:space="0"/>
              <w:right w:val="single" w:color="auto" w:sz="4" w:space="0"/>
            </w:tcBorders>
            <w:vAlign w:val="center"/>
          </w:tcPr>
          <w:p w14:paraId="6A3FEE1C">
            <w:pPr>
              <w:jc w:val="center"/>
              <w:rPr>
                <w:rFonts w:ascii="Calibri" w:hAnsi="Calibri" w:eastAsia="宋体" w:cs="Calibri"/>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5DAEEC1A">
            <w:pPr>
              <w:jc w:val="left"/>
              <w:rPr>
                <w:rFonts w:ascii="宋体" w:hAnsi="宋体" w:eastAsia="宋体" w:cs="宋体"/>
                <w:color w:val="000000" w:themeColor="text1"/>
                <w:szCs w:val="21"/>
              </w:rPr>
            </w:pPr>
            <w:r>
              <w:rPr>
                <w:rFonts w:hint="eastAsia" w:ascii="宋体" w:hAnsi="宋体" w:eastAsia="宋体" w:cs="宋体"/>
                <w:color w:val="000000" w:themeColor="text1"/>
                <w:szCs w:val="21"/>
                <w:lang w:val="en-US" w:eastAsia="zh-CN"/>
              </w:rPr>
              <w:t>档案管理</w:t>
            </w:r>
            <w:r>
              <w:rPr>
                <w:rFonts w:hint="eastAsia" w:ascii="宋体" w:hAnsi="宋体" w:eastAsia="宋体" w:cs="宋体"/>
                <w:color w:val="000000" w:themeColor="text1"/>
                <w:szCs w:val="21"/>
              </w:rPr>
              <w:t>制度</w:t>
            </w:r>
          </w:p>
        </w:tc>
        <w:tc>
          <w:tcPr>
            <w:tcW w:w="3533" w:type="pct"/>
            <w:tcBorders>
              <w:top w:val="single" w:color="auto" w:sz="4" w:space="0"/>
              <w:left w:val="single" w:color="auto" w:sz="4" w:space="0"/>
              <w:bottom w:val="single" w:color="auto" w:sz="4" w:space="0"/>
              <w:right w:val="single" w:color="auto" w:sz="4" w:space="0"/>
            </w:tcBorders>
            <w:vAlign w:val="center"/>
          </w:tcPr>
          <w:p w14:paraId="787CE717">
            <w:pPr>
              <w:snapToGrid w:val="0"/>
              <w:spacing w:line="320" w:lineRule="exact"/>
              <w:jc w:val="left"/>
              <w:rPr>
                <w:rFonts w:hint="eastAsia" w:ascii="宋体" w:hAnsi="宋体" w:eastAsia="宋体" w:cs="宋体"/>
                <w:b w:val="0"/>
                <w:color w:val="000000" w:themeColor="text1"/>
                <w:kern w:val="2"/>
                <w:sz w:val="21"/>
                <w:szCs w:val="21"/>
                <w:lang w:val="en-US" w:eastAsia="zh-CN" w:bidi="ar-SA"/>
              </w:rPr>
            </w:pPr>
            <w:r>
              <w:rPr>
                <w:rFonts w:hint="eastAsia" w:ascii="宋体" w:hAnsi="宋体" w:eastAsia="宋体" w:cs="宋体"/>
                <w:b w:val="0"/>
                <w:color w:val="000000" w:themeColor="text1"/>
                <w:kern w:val="2"/>
                <w:sz w:val="21"/>
                <w:szCs w:val="21"/>
                <w:lang w:val="en-US" w:eastAsia="zh-CN" w:bidi="ar-SA"/>
              </w:rPr>
              <w:t>档案管理方案和</w:t>
            </w:r>
            <w:r>
              <w:rPr>
                <w:rFonts w:hint="eastAsia" w:ascii="宋体" w:hAnsi="宋体" w:eastAsia="宋体" w:cs="宋体"/>
                <w:b w:val="0"/>
                <w:color w:val="000000" w:themeColor="text1"/>
                <w:kern w:val="2"/>
                <w:sz w:val="21"/>
                <w:szCs w:val="21"/>
                <w:lang w:val="zh-CN" w:eastAsia="zh-CN" w:bidi="ar-SA"/>
              </w:rPr>
              <w:t>措施</w:t>
            </w:r>
          </w:p>
          <w:p w14:paraId="151C43DB">
            <w:pPr>
              <w:snapToGrid w:val="0"/>
              <w:spacing w:line="320" w:lineRule="exact"/>
              <w:jc w:val="left"/>
              <w:rPr>
                <w:rFonts w:hint="eastAsia" w:ascii="宋体" w:hAnsi="宋体" w:eastAsia="宋体" w:cs="宋体"/>
                <w:b w:val="0"/>
                <w:color w:val="000000" w:themeColor="text1"/>
                <w:kern w:val="2"/>
                <w:sz w:val="21"/>
                <w:szCs w:val="21"/>
                <w:lang w:val="en-US" w:eastAsia="zh-CN" w:bidi="ar-SA"/>
              </w:rPr>
            </w:pPr>
            <w:r>
              <w:rPr>
                <w:rFonts w:hint="eastAsia" w:ascii="宋体" w:hAnsi="宋体" w:eastAsia="宋体" w:cs="宋体"/>
                <w:b w:val="0"/>
                <w:color w:val="000000" w:themeColor="text1"/>
                <w:kern w:val="2"/>
                <w:sz w:val="21"/>
                <w:szCs w:val="21"/>
                <w:lang w:val="en-US" w:eastAsia="zh-CN" w:bidi="ar-SA"/>
              </w:rPr>
              <w:t>档案管理方案和相关</w:t>
            </w:r>
            <w:r>
              <w:rPr>
                <w:rFonts w:hint="eastAsia" w:ascii="宋体" w:hAnsi="宋体" w:eastAsia="宋体" w:cs="宋体"/>
                <w:b w:val="0"/>
                <w:color w:val="000000" w:themeColor="text1"/>
                <w:kern w:val="2"/>
                <w:sz w:val="21"/>
                <w:szCs w:val="21"/>
                <w:lang w:val="zh-CN" w:eastAsia="zh-CN" w:bidi="ar-SA"/>
              </w:rPr>
              <w:t>措施</w:t>
            </w:r>
            <w:r>
              <w:rPr>
                <w:rFonts w:hint="eastAsia" w:ascii="宋体" w:hAnsi="宋体" w:eastAsia="宋体" w:cs="宋体"/>
                <w:b w:val="0"/>
                <w:color w:val="000000" w:themeColor="text1"/>
                <w:kern w:val="2"/>
                <w:sz w:val="21"/>
                <w:szCs w:val="21"/>
                <w:lang w:val="en-US" w:eastAsia="zh-CN" w:bidi="ar-SA"/>
              </w:rPr>
              <w:t>完整、合理、可行，能保障项目实施的得5分；</w:t>
            </w:r>
          </w:p>
          <w:p w14:paraId="086E1091">
            <w:pPr>
              <w:snapToGrid w:val="0"/>
              <w:spacing w:line="320" w:lineRule="exact"/>
              <w:jc w:val="left"/>
              <w:rPr>
                <w:rFonts w:hint="eastAsia" w:ascii="宋体" w:hAnsi="宋体" w:eastAsia="宋体" w:cs="宋体"/>
                <w:b w:val="0"/>
                <w:color w:val="000000" w:themeColor="text1"/>
                <w:kern w:val="2"/>
                <w:sz w:val="21"/>
                <w:szCs w:val="21"/>
                <w:lang w:val="en-US" w:eastAsia="zh-CN" w:bidi="ar-SA"/>
              </w:rPr>
            </w:pPr>
            <w:r>
              <w:rPr>
                <w:rFonts w:hint="eastAsia" w:ascii="宋体" w:hAnsi="宋体" w:eastAsia="宋体" w:cs="宋体"/>
                <w:b w:val="0"/>
                <w:color w:val="000000" w:themeColor="text1"/>
                <w:kern w:val="2"/>
                <w:sz w:val="21"/>
                <w:szCs w:val="21"/>
                <w:lang w:val="en-US" w:eastAsia="zh-CN" w:bidi="ar-SA"/>
              </w:rPr>
              <w:t>方案基本可行，有部分不足的得3分；</w:t>
            </w:r>
          </w:p>
          <w:p w14:paraId="5487F9BC">
            <w:pPr>
              <w:snapToGrid w:val="0"/>
              <w:spacing w:line="320" w:lineRule="exact"/>
              <w:jc w:val="left"/>
              <w:rPr>
                <w:rFonts w:hint="eastAsia" w:ascii="宋体" w:hAnsi="宋体" w:cs="宋体"/>
                <w:b w:val="0"/>
                <w:color w:val="000000" w:themeColor="text1"/>
                <w:kern w:val="2"/>
                <w:sz w:val="21"/>
                <w:szCs w:val="21"/>
                <w:lang w:val="en-US" w:eastAsia="zh-CN" w:bidi="ar-SA"/>
              </w:rPr>
            </w:pPr>
            <w:r>
              <w:rPr>
                <w:rFonts w:hint="eastAsia" w:ascii="宋体" w:hAnsi="宋体" w:eastAsia="宋体" w:cs="宋体"/>
                <w:b w:val="0"/>
                <w:color w:val="000000" w:themeColor="text1"/>
                <w:kern w:val="2"/>
                <w:sz w:val="21"/>
                <w:szCs w:val="21"/>
                <w:lang w:val="en-US" w:eastAsia="zh-CN" w:bidi="ar-SA"/>
              </w:rPr>
              <w:t>明显欠缺不足的得1分</w:t>
            </w:r>
            <w:r>
              <w:rPr>
                <w:rFonts w:hint="eastAsia" w:ascii="宋体" w:hAnsi="宋体" w:cs="宋体"/>
                <w:b w:val="0"/>
                <w:color w:val="000000" w:themeColor="text1"/>
                <w:kern w:val="2"/>
                <w:sz w:val="21"/>
                <w:szCs w:val="21"/>
                <w:lang w:val="en-US" w:eastAsia="zh-CN" w:bidi="ar-SA"/>
              </w:rPr>
              <w:t>；</w:t>
            </w:r>
          </w:p>
          <w:p w14:paraId="609F20CB">
            <w:pPr>
              <w:snapToGrid w:val="0"/>
              <w:spacing w:line="320" w:lineRule="exact"/>
              <w:jc w:val="left"/>
              <w:rPr>
                <w:rFonts w:hint="eastAsia" w:ascii="宋体" w:hAnsi="宋体" w:eastAsia="宋体" w:cs="宋体"/>
                <w:color w:val="000000" w:themeColor="text1"/>
                <w:szCs w:val="21"/>
              </w:rPr>
            </w:pPr>
            <w:r>
              <w:rPr>
                <w:rFonts w:hint="eastAsia" w:ascii="宋体" w:hAnsi="宋体" w:eastAsia="宋体" w:cs="宋体"/>
                <w:color w:val="000000" w:themeColor="text1"/>
                <w:lang w:val="en-US" w:eastAsia="zh-CN"/>
              </w:rPr>
              <w:t>未提供不得分。</w:t>
            </w:r>
          </w:p>
        </w:tc>
        <w:tc>
          <w:tcPr>
            <w:tcW w:w="439" w:type="pct"/>
            <w:tcBorders>
              <w:top w:val="single" w:color="auto" w:sz="4" w:space="0"/>
              <w:left w:val="single" w:color="auto" w:sz="4" w:space="0"/>
              <w:bottom w:val="single" w:color="auto" w:sz="4" w:space="0"/>
              <w:right w:val="single" w:color="auto" w:sz="4" w:space="0"/>
            </w:tcBorders>
            <w:vAlign w:val="center"/>
          </w:tcPr>
          <w:p w14:paraId="5827883F">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5</w:t>
            </w:r>
          </w:p>
        </w:tc>
      </w:tr>
      <w:tr w14:paraId="22D9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vMerge w:val="continue"/>
            <w:tcBorders>
              <w:left w:val="single" w:color="auto" w:sz="4" w:space="0"/>
              <w:right w:val="single" w:color="auto" w:sz="4" w:space="0"/>
            </w:tcBorders>
            <w:vAlign w:val="center"/>
          </w:tcPr>
          <w:p w14:paraId="4E525535">
            <w:pPr>
              <w:jc w:val="center"/>
              <w:rPr>
                <w:rFonts w:ascii="Calibri" w:hAnsi="Calibri" w:eastAsia="宋体" w:cs="Calibri"/>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5F10D628">
            <w:pPr>
              <w:jc w:val="left"/>
              <w:rPr>
                <w:rFonts w:ascii="宋体" w:hAnsi="宋体" w:eastAsia="宋体" w:cs="宋体"/>
                <w:color w:val="000000" w:themeColor="text1"/>
                <w:szCs w:val="21"/>
              </w:rPr>
            </w:pPr>
            <w:r>
              <w:rPr>
                <w:rFonts w:hint="eastAsia" w:ascii="宋体" w:hAnsi="宋体" w:eastAsia="宋体" w:cs="宋体"/>
                <w:color w:val="000000" w:themeColor="text1"/>
                <w:szCs w:val="21"/>
              </w:rPr>
              <w:t>服务响应情况</w:t>
            </w:r>
          </w:p>
        </w:tc>
        <w:tc>
          <w:tcPr>
            <w:tcW w:w="3533" w:type="pct"/>
            <w:tcBorders>
              <w:top w:val="single" w:color="auto" w:sz="4" w:space="0"/>
              <w:left w:val="single" w:color="auto" w:sz="4" w:space="0"/>
              <w:bottom w:val="single" w:color="auto" w:sz="4" w:space="0"/>
              <w:right w:val="single" w:color="auto" w:sz="4" w:space="0"/>
            </w:tcBorders>
            <w:vAlign w:val="center"/>
          </w:tcPr>
          <w:p w14:paraId="487C5768">
            <w:pPr>
              <w:spacing w:line="300" w:lineRule="exact"/>
              <w:jc w:val="left"/>
              <w:rPr>
                <w:rFonts w:hint="eastAsia" w:ascii="新宋体" w:hAnsi="新宋体" w:eastAsia="新宋体" w:cs="宋体"/>
                <w:color w:val="000000" w:themeColor="text1"/>
                <w:szCs w:val="21"/>
              </w:rPr>
            </w:pPr>
            <w:r>
              <w:rPr>
                <w:rFonts w:hint="eastAsia" w:ascii="宋体" w:hAnsi="宋体" w:eastAsia="宋体" w:cs="宋体"/>
                <w:color w:val="000000" w:themeColor="text1"/>
                <w:spacing w:val="4"/>
                <w:sz w:val="21"/>
                <w:szCs w:val="21"/>
                <w:lang w:eastAsia="zh-CN"/>
              </w:rPr>
              <w:t>在</w:t>
            </w:r>
            <w:r>
              <w:rPr>
                <w:rFonts w:hint="eastAsia" w:ascii="宋体" w:hAnsi="宋体" w:eastAsia="宋体" w:cs="宋体"/>
                <w:color w:val="000000" w:themeColor="text1"/>
                <w:spacing w:val="4"/>
                <w:sz w:val="21"/>
                <w:szCs w:val="21"/>
                <w:lang w:val="en-US" w:eastAsia="zh-CN"/>
              </w:rPr>
              <w:t>满足采购需求的基础上</w:t>
            </w:r>
            <w:r>
              <w:rPr>
                <w:rFonts w:hint="eastAsia" w:ascii="宋体" w:hAnsi="宋体" w:eastAsia="宋体" w:cs="宋体"/>
                <w:color w:val="000000" w:themeColor="text1"/>
                <w:spacing w:val="4"/>
                <w:sz w:val="21"/>
                <w:szCs w:val="21"/>
              </w:rPr>
              <w:t>根据投标人</w:t>
            </w:r>
            <w:r>
              <w:rPr>
                <w:rFonts w:hint="eastAsia" w:ascii="宋体" w:hAnsi="宋体" w:cs="宋体"/>
                <w:color w:val="000000" w:themeColor="text1"/>
                <w:spacing w:val="4"/>
                <w:sz w:val="21"/>
                <w:szCs w:val="21"/>
                <w:lang w:eastAsia="zh-CN"/>
              </w:rPr>
              <w:t>应急</w:t>
            </w:r>
            <w:r>
              <w:rPr>
                <w:rFonts w:hint="eastAsia" w:ascii="宋体" w:hAnsi="宋体" w:eastAsia="宋体" w:cs="宋体"/>
                <w:color w:val="000000" w:themeColor="text1"/>
                <w:spacing w:val="4"/>
                <w:sz w:val="21"/>
                <w:szCs w:val="21"/>
              </w:rPr>
              <w:t>服务的响应时间 、到达时间、问题解决时间承诺等进行综合</w:t>
            </w:r>
            <w:r>
              <w:rPr>
                <w:rFonts w:hint="eastAsia" w:ascii="宋体" w:hAnsi="宋体" w:cs="宋体"/>
                <w:color w:val="000000" w:themeColor="text1"/>
                <w:spacing w:val="4"/>
                <w:sz w:val="21"/>
                <w:szCs w:val="21"/>
                <w:lang w:val="en-US" w:eastAsia="zh-CN"/>
              </w:rPr>
              <w:t>打分</w:t>
            </w:r>
            <w:r>
              <w:rPr>
                <w:rFonts w:hint="eastAsia" w:ascii="新宋体" w:hAnsi="新宋体" w:eastAsia="新宋体" w:cs="宋体"/>
                <w:color w:val="000000" w:themeColor="text1"/>
                <w:szCs w:val="21"/>
              </w:rPr>
              <w:t>排名第一的得</w:t>
            </w:r>
            <w:r>
              <w:rPr>
                <w:rFonts w:hint="eastAsia" w:ascii="新宋体" w:hAnsi="新宋体" w:eastAsia="新宋体" w:cs="宋体"/>
                <w:color w:val="000000" w:themeColor="text1"/>
                <w:szCs w:val="21"/>
                <w:lang w:val="en-US" w:eastAsia="zh-CN"/>
              </w:rPr>
              <w:t>3</w:t>
            </w:r>
            <w:r>
              <w:rPr>
                <w:rFonts w:hint="eastAsia" w:ascii="新宋体" w:hAnsi="新宋体" w:eastAsia="新宋体" w:cs="宋体"/>
                <w:color w:val="000000" w:themeColor="text1"/>
                <w:szCs w:val="21"/>
              </w:rPr>
              <w:t>分，排名第二得</w:t>
            </w:r>
            <w:r>
              <w:rPr>
                <w:rFonts w:hint="eastAsia" w:ascii="新宋体" w:hAnsi="新宋体" w:eastAsia="新宋体" w:cs="宋体"/>
                <w:color w:val="000000" w:themeColor="text1"/>
                <w:szCs w:val="21"/>
                <w:lang w:val="en-US" w:eastAsia="zh-CN"/>
              </w:rPr>
              <w:t>2</w:t>
            </w:r>
            <w:r>
              <w:rPr>
                <w:rFonts w:hint="eastAsia" w:ascii="新宋体" w:hAnsi="新宋体" w:eastAsia="新宋体" w:cs="宋体"/>
                <w:color w:val="000000" w:themeColor="text1"/>
                <w:szCs w:val="21"/>
              </w:rPr>
              <w:t>分，排名第三的得</w:t>
            </w:r>
            <w:r>
              <w:rPr>
                <w:rFonts w:hint="eastAsia" w:ascii="新宋体" w:hAnsi="新宋体" w:eastAsia="新宋体" w:cs="宋体"/>
                <w:color w:val="000000" w:themeColor="text1"/>
                <w:szCs w:val="21"/>
                <w:lang w:val="en-US" w:eastAsia="zh-CN"/>
              </w:rPr>
              <w:t>1</w:t>
            </w:r>
            <w:r>
              <w:rPr>
                <w:rFonts w:hint="eastAsia" w:ascii="新宋体" w:hAnsi="新宋体" w:eastAsia="新宋体" w:cs="宋体"/>
                <w:color w:val="000000" w:themeColor="text1"/>
                <w:szCs w:val="21"/>
              </w:rPr>
              <w:t>分，其他名次不得分。</w:t>
            </w:r>
          </w:p>
          <w:p w14:paraId="7D97F371">
            <w:pPr>
              <w:snapToGrid w:val="0"/>
              <w:spacing w:line="320" w:lineRule="exact"/>
              <w:jc w:val="left"/>
              <w:rPr>
                <w:rFonts w:ascii="宋体" w:hAnsi="宋体" w:eastAsia="宋体" w:cs="宋体"/>
                <w:color w:val="000000" w:themeColor="text1"/>
                <w:szCs w:val="21"/>
              </w:rPr>
            </w:pPr>
            <w:r>
              <w:rPr>
                <w:rFonts w:hint="eastAsia" w:ascii="新宋体" w:hAnsi="新宋体" w:eastAsia="新宋体" w:cs="宋体"/>
                <w:color w:val="000000" w:themeColor="text1"/>
                <w:szCs w:val="21"/>
              </w:rPr>
              <w:t>（若提供证明文件的供应商只有2家时，则排序第一得</w:t>
            </w:r>
            <w:r>
              <w:rPr>
                <w:rFonts w:hint="eastAsia" w:ascii="新宋体" w:hAnsi="新宋体" w:eastAsia="新宋体" w:cs="宋体"/>
                <w:color w:val="000000" w:themeColor="text1"/>
                <w:szCs w:val="21"/>
                <w:lang w:val="en-US" w:eastAsia="zh-CN"/>
              </w:rPr>
              <w:t>3</w:t>
            </w:r>
            <w:r>
              <w:rPr>
                <w:rFonts w:hint="eastAsia" w:ascii="新宋体" w:hAnsi="新宋体" w:eastAsia="新宋体" w:cs="宋体"/>
                <w:color w:val="000000" w:themeColor="text1"/>
                <w:szCs w:val="21"/>
              </w:rPr>
              <w:t>分，排序第二得</w:t>
            </w:r>
            <w:r>
              <w:rPr>
                <w:rFonts w:hint="eastAsia" w:ascii="新宋体" w:hAnsi="新宋体" w:eastAsia="新宋体" w:cs="宋体"/>
                <w:color w:val="000000" w:themeColor="text1"/>
                <w:szCs w:val="21"/>
                <w:lang w:val="en-US" w:eastAsia="zh-CN"/>
              </w:rPr>
              <w:t>2</w:t>
            </w:r>
            <w:r>
              <w:rPr>
                <w:rFonts w:hint="eastAsia" w:ascii="新宋体" w:hAnsi="新宋体" w:eastAsia="新宋体" w:cs="宋体"/>
                <w:color w:val="000000" w:themeColor="text1"/>
                <w:szCs w:val="21"/>
              </w:rPr>
              <w:t>分，其余不得分；若提供证明文件的供应商只有1家时，则此家供应商得</w:t>
            </w:r>
            <w:r>
              <w:rPr>
                <w:rFonts w:hint="eastAsia" w:ascii="新宋体" w:hAnsi="新宋体" w:eastAsia="新宋体" w:cs="宋体"/>
                <w:color w:val="000000" w:themeColor="text1"/>
                <w:szCs w:val="21"/>
                <w:lang w:val="en-US" w:eastAsia="zh-CN"/>
              </w:rPr>
              <w:t>3</w:t>
            </w:r>
            <w:r>
              <w:rPr>
                <w:rFonts w:hint="eastAsia" w:ascii="新宋体" w:hAnsi="新宋体" w:eastAsia="新宋体" w:cs="宋体"/>
                <w:color w:val="000000" w:themeColor="text1"/>
                <w:szCs w:val="21"/>
              </w:rPr>
              <w:t>分，其余不得分）</w:t>
            </w:r>
          </w:p>
        </w:tc>
        <w:tc>
          <w:tcPr>
            <w:tcW w:w="439" w:type="pct"/>
            <w:tcBorders>
              <w:top w:val="single" w:color="auto" w:sz="4" w:space="0"/>
              <w:left w:val="single" w:color="auto" w:sz="4" w:space="0"/>
              <w:bottom w:val="single" w:color="auto" w:sz="4" w:space="0"/>
              <w:right w:val="single" w:color="auto" w:sz="4" w:space="0"/>
            </w:tcBorders>
            <w:vAlign w:val="center"/>
          </w:tcPr>
          <w:p w14:paraId="5AC9CF89">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3</w:t>
            </w:r>
          </w:p>
        </w:tc>
      </w:tr>
      <w:tr w14:paraId="64F9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tcBorders>
              <w:left w:val="single" w:color="auto" w:sz="4" w:space="0"/>
              <w:right w:val="single" w:color="auto" w:sz="4" w:space="0"/>
            </w:tcBorders>
            <w:vAlign w:val="center"/>
          </w:tcPr>
          <w:p w14:paraId="20F31287">
            <w:pPr>
              <w:jc w:val="center"/>
              <w:rPr>
                <w:rFonts w:ascii="Calibri" w:hAnsi="Calibri" w:eastAsia="宋体" w:cs="Calibri"/>
                <w:color w:val="000000" w:themeColor="text1"/>
                <w:szCs w:val="21"/>
              </w:rPr>
            </w:pPr>
          </w:p>
        </w:tc>
        <w:tc>
          <w:tcPr>
            <w:tcW w:w="633" w:type="pct"/>
            <w:tcBorders>
              <w:top w:val="single" w:color="auto" w:sz="4" w:space="0"/>
              <w:left w:val="single" w:color="auto" w:sz="4" w:space="0"/>
              <w:bottom w:val="single" w:color="auto" w:sz="4" w:space="0"/>
              <w:right w:val="single" w:color="auto" w:sz="4" w:space="0"/>
            </w:tcBorders>
            <w:vAlign w:val="center"/>
          </w:tcPr>
          <w:p w14:paraId="13E45B7A">
            <w:pPr>
              <w:jc w:val="left"/>
              <w:rPr>
                <w:rFonts w:ascii="宋体" w:hAnsi="宋体" w:eastAsia="宋体" w:cs="宋体"/>
                <w:color w:val="000000" w:themeColor="text1"/>
                <w:szCs w:val="21"/>
              </w:rPr>
            </w:pPr>
            <w:r>
              <w:rPr>
                <w:rFonts w:hint="eastAsia" w:ascii="宋体" w:hAnsi="宋体" w:eastAsia="宋体" w:cs="宋体"/>
                <w:color w:val="000000" w:themeColor="text1"/>
                <w:szCs w:val="21"/>
              </w:rPr>
              <w:t>保密方案</w:t>
            </w:r>
          </w:p>
        </w:tc>
        <w:tc>
          <w:tcPr>
            <w:tcW w:w="3533" w:type="pct"/>
            <w:tcBorders>
              <w:top w:val="single" w:color="auto" w:sz="4" w:space="0"/>
              <w:left w:val="single" w:color="auto" w:sz="4" w:space="0"/>
              <w:bottom w:val="single" w:color="auto" w:sz="4" w:space="0"/>
              <w:right w:val="single" w:color="auto" w:sz="4" w:space="0"/>
            </w:tcBorders>
            <w:vAlign w:val="center"/>
          </w:tcPr>
          <w:p w14:paraId="5E7220AE">
            <w:pPr>
              <w:spacing w:line="300" w:lineRule="exact"/>
              <w:jc w:val="left"/>
              <w:rPr>
                <w:rFonts w:hint="eastAsia" w:ascii="宋体" w:hAnsi="宋体" w:eastAsia="宋体" w:cs="宋体"/>
                <w:color w:val="000000" w:themeColor="text1"/>
                <w:spacing w:val="4"/>
                <w:sz w:val="21"/>
                <w:szCs w:val="21"/>
                <w:lang w:val="en-US" w:eastAsia="zh-CN"/>
              </w:rPr>
            </w:pPr>
            <w:r>
              <w:rPr>
                <w:rFonts w:hint="eastAsia" w:ascii="宋体" w:hAnsi="宋体" w:eastAsia="宋体" w:cs="宋体"/>
                <w:color w:val="000000" w:themeColor="text1"/>
                <w:spacing w:val="4"/>
                <w:sz w:val="21"/>
                <w:szCs w:val="21"/>
                <w:lang w:val="en-US" w:eastAsia="zh-CN"/>
              </w:rPr>
              <w:t>根据投标人提供的数据保密措施进行评审（包含数据加密、访问控制、安全培训、备份策略等）</w:t>
            </w:r>
          </w:p>
          <w:p w14:paraId="5A461D29">
            <w:pPr>
              <w:pStyle w:val="54"/>
              <w:spacing w:line="240" w:lineRule="auto"/>
              <w:ind w:firstLine="0" w:firstLineChars="0"/>
              <w:jc w:val="left"/>
              <w:rPr>
                <w:rFonts w:hint="eastAsia" w:ascii="宋体" w:hAnsi="宋体" w:eastAsia="宋体" w:cs="宋体"/>
                <w:color w:val="000000" w:themeColor="text1"/>
                <w:highlight w:val="none"/>
                <w:lang w:val="en-US" w:eastAsia="zh-CN"/>
              </w:rPr>
            </w:pPr>
            <w:r>
              <w:rPr>
                <w:rFonts w:hint="eastAsia" w:ascii="宋体" w:hAnsi="宋体" w:eastAsia="宋体" w:cs="宋体"/>
                <w:color w:val="000000" w:themeColor="text1"/>
                <w:highlight w:val="none"/>
                <w:lang w:val="en-US" w:eastAsia="zh-CN"/>
              </w:rPr>
              <w:t>方案内容完整、程序到位，制度严明的得</w:t>
            </w:r>
            <w:r>
              <w:rPr>
                <w:rFonts w:hint="eastAsia" w:ascii="宋体" w:hAnsi="宋体" w:cs="宋体"/>
                <w:color w:val="000000" w:themeColor="text1"/>
                <w:highlight w:val="none"/>
                <w:lang w:val="en-US" w:eastAsia="zh-CN"/>
              </w:rPr>
              <w:t>2</w:t>
            </w:r>
            <w:r>
              <w:rPr>
                <w:rFonts w:hint="eastAsia" w:ascii="宋体" w:hAnsi="宋体" w:eastAsia="宋体" w:cs="宋体"/>
                <w:color w:val="000000" w:themeColor="text1"/>
                <w:highlight w:val="none"/>
                <w:lang w:val="en-US" w:eastAsia="zh-CN"/>
              </w:rPr>
              <w:t>分；</w:t>
            </w:r>
          </w:p>
          <w:p w14:paraId="77740B24">
            <w:pPr>
              <w:spacing w:line="300" w:lineRule="exact"/>
              <w:jc w:val="left"/>
              <w:rPr>
                <w:rFonts w:hint="eastAsia" w:ascii="宋体" w:hAnsi="宋体" w:eastAsia="宋体" w:cs="宋体"/>
                <w:color w:val="000000" w:themeColor="text1"/>
                <w:spacing w:val="4"/>
                <w:sz w:val="21"/>
                <w:szCs w:val="21"/>
                <w:lang w:val="en-US" w:eastAsia="zh-CN"/>
              </w:rPr>
            </w:pPr>
            <w:r>
              <w:rPr>
                <w:rFonts w:hint="eastAsia" w:ascii="宋体" w:hAnsi="宋体" w:eastAsia="宋体" w:cs="宋体"/>
                <w:color w:val="000000" w:themeColor="text1"/>
                <w:spacing w:val="4"/>
                <w:sz w:val="21"/>
                <w:szCs w:val="21"/>
                <w:lang w:val="en-US" w:eastAsia="zh-CN"/>
              </w:rPr>
              <w:t>方案存在明显缺陷的得1分；</w:t>
            </w:r>
          </w:p>
          <w:p w14:paraId="1C04881C">
            <w:pPr>
              <w:snapToGrid w:val="0"/>
              <w:spacing w:line="320" w:lineRule="exact"/>
              <w:jc w:val="left"/>
              <w:rPr>
                <w:rFonts w:ascii="宋体" w:hAnsi="宋体" w:eastAsia="宋体" w:cs="宋体"/>
                <w:color w:val="000000" w:themeColor="text1"/>
                <w:szCs w:val="21"/>
              </w:rPr>
            </w:pPr>
            <w:r>
              <w:rPr>
                <w:rFonts w:hint="eastAsia" w:ascii="宋体" w:hAnsi="宋体" w:eastAsia="宋体" w:cs="宋体"/>
                <w:color w:val="000000" w:themeColor="text1"/>
                <w:spacing w:val="4"/>
                <w:sz w:val="21"/>
                <w:szCs w:val="21"/>
                <w:lang w:val="en-US" w:eastAsia="zh-CN"/>
              </w:rPr>
              <w:t>未提供不得分。</w:t>
            </w:r>
          </w:p>
        </w:tc>
        <w:tc>
          <w:tcPr>
            <w:tcW w:w="439" w:type="pct"/>
            <w:tcBorders>
              <w:top w:val="single" w:color="auto" w:sz="4" w:space="0"/>
              <w:left w:val="single" w:color="auto" w:sz="4" w:space="0"/>
              <w:bottom w:val="single" w:color="auto" w:sz="4" w:space="0"/>
              <w:right w:val="single" w:color="auto" w:sz="4" w:space="0"/>
            </w:tcBorders>
            <w:vAlign w:val="center"/>
          </w:tcPr>
          <w:p w14:paraId="64504624">
            <w:pPr>
              <w:jc w:val="center"/>
              <w:rPr>
                <w:rFonts w:ascii="宋体" w:hAnsi="宋体" w:eastAsia="宋体" w:cs="宋体"/>
                <w:color w:val="000000" w:themeColor="text1"/>
                <w:szCs w:val="21"/>
              </w:rPr>
            </w:pPr>
            <w:r>
              <w:rPr>
                <w:rFonts w:hint="eastAsia" w:ascii="宋体" w:hAnsi="宋体" w:eastAsia="宋体" w:cs="宋体"/>
                <w:color w:val="000000" w:themeColor="text1"/>
                <w:szCs w:val="21"/>
              </w:rPr>
              <w:t>2</w:t>
            </w:r>
          </w:p>
        </w:tc>
      </w:tr>
    </w:tbl>
    <w:p w14:paraId="5B599AAE">
      <w:pPr>
        <w:spacing w:after="120"/>
        <w:ind w:firstLine="211" w:firstLineChars="100"/>
        <w:rPr>
          <w:rFonts w:ascii="Times New Roman" w:hAnsi="Times New Roman" w:eastAsia="宋体" w:cs="Times New Roman"/>
          <w:b/>
          <w:bCs/>
          <w:color w:val="000000" w:themeColor="text1"/>
          <w:kern w:val="0"/>
          <w:szCs w:val="21"/>
        </w:rPr>
      </w:pPr>
      <w:r>
        <w:rPr>
          <w:rFonts w:hint="eastAsia" w:ascii="Times New Roman" w:hAnsi="Times New Roman" w:eastAsia="宋体" w:cs="Times New Roman"/>
          <w:b/>
          <w:bCs/>
          <w:color w:val="000000" w:themeColor="text1"/>
          <w:kern w:val="0"/>
          <w:szCs w:val="21"/>
        </w:rPr>
        <w:t>标项二：评分标准</w:t>
      </w:r>
    </w:p>
    <w:p w14:paraId="236C7300">
      <w:pPr>
        <w:ind w:left="2100" w:leftChars="1000"/>
        <w:rPr>
          <w:rFonts w:ascii="Calibri" w:hAnsi="Calibri" w:eastAsia="宋体" w:cs="Calibri"/>
          <w:color w:val="000000" w:themeColor="text1"/>
          <w:szCs w:val="21"/>
        </w:rPr>
      </w:pPr>
    </w:p>
    <w:tbl>
      <w:tblPr>
        <w:tblStyle w:val="27"/>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7ADD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3D7CD6F3">
            <w:pPr>
              <w:spacing w:line="360" w:lineRule="auto"/>
              <w:ind w:firstLine="630" w:firstLineChars="3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lang w:val="zh-CN"/>
              </w:rPr>
              <w:t>评价指标和各评价权重指标：</w:t>
            </w:r>
            <w:r>
              <w:rPr>
                <w:rFonts w:ascii="Times New Roman" w:hAnsi="Times New Roman" w:eastAsia="宋体" w:cs="Times New Roman"/>
                <w:color w:val="000000" w:themeColor="text1"/>
                <w:szCs w:val="21"/>
              </w:rPr>
              <w:t>评标指标</w:t>
            </w:r>
          </w:p>
        </w:tc>
        <w:tc>
          <w:tcPr>
            <w:tcW w:w="2693" w:type="dxa"/>
            <w:vAlign w:val="center"/>
          </w:tcPr>
          <w:p w14:paraId="6034969A">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权重（％）</w:t>
            </w:r>
          </w:p>
        </w:tc>
      </w:tr>
      <w:tr w14:paraId="181F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298157CA">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投标报价</w:t>
            </w:r>
          </w:p>
        </w:tc>
        <w:tc>
          <w:tcPr>
            <w:tcW w:w="2693" w:type="dxa"/>
            <w:vAlign w:val="center"/>
          </w:tcPr>
          <w:p w14:paraId="40C3CF73">
            <w:pPr>
              <w:spacing w:line="360" w:lineRule="auto"/>
              <w:jc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20</w:t>
            </w:r>
          </w:p>
        </w:tc>
      </w:tr>
      <w:tr w14:paraId="0756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27140761">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商务部分</w:t>
            </w:r>
          </w:p>
        </w:tc>
        <w:tc>
          <w:tcPr>
            <w:tcW w:w="2693" w:type="dxa"/>
            <w:vAlign w:val="center"/>
          </w:tcPr>
          <w:p w14:paraId="6C14FFD2">
            <w:pPr>
              <w:spacing w:line="360" w:lineRule="auto"/>
              <w:jc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5</w:t>
            </w:r>
          </w:p>
        </w:tc>
      </w:tr>
      <w:tr w14:paraId="2098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3C4679B3">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技术部分</w:t>
            </w:r>
          </w:p>
        </w:tc>
        <w:tc>
          <w:tcPr>
            <w:tcW w:w="2693" w:type="dxa"/>
            <w:vAlign w:val="center"/>
          </w:tcPr>
          <w:p w14:paraId="33AEF117">
            <w:pPr>
              <w:spacing w:line="360" w:lineRule="auto"/>
              <w:jc w:val="center"/>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rPr>
              <w:t>75</w:t>
            </w:r>
          </w:p>
        </w:tc>
      </w:tr>
      <w:tr w14:paraId="6ECB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70E5EF7E">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合计</w:t>
            </w:r>
          </w:p>
        </w:tc>
        <w:tc>
          <w:tcPr>
            <w:tcW w:w="2693" w:type="dxa"/>
            <w:vAlign w:val="center"/>
          </w:tcPr>
          <w:p w14:paraId="0298B0C0">
            <w:pPr>
              <w:spacing w:line="360" w:lineRule="auto"/>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100</w:t>
            </w:r>
          </w:p>
        </w:tc>
      </w:tr>
    </w:tbl>
    <w:tbl>
      <w:tblPr>
        <w:tblStyle w:val="28"/>
        <w:tblpPr w:leftFromText="180" w:rightFromText="180" w:vertAnchor="text" w:horzAnchor="page" w:tblpX="1802" w:tblpY="1175"/>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746"/>
        <w:gridCol w:w="5700"/>
        <w:gridCol w:w="780"/>
      </w:tblGrid>
      <w:tr w14:paraId="170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Borders>
              <w:top w:val="single" w:color="auto" w:sz="4" w:space="0"/>
              <w:left w:val="single" w:color="auto" w:sz="4" w:space="0"/>
              <w:bottom w:val="single" w:color="auto" w:sz="4" w:space="0"/>
              <w:right w:val="single" w:color="auto" w:sz="4" w:space="0"/>
            </w:tcBorders>
            <w:vAlign w:val="center"/>
          </w:tcPr>
          <w:p w14:paraId="00C56FC5">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评分项目</w:t>
            </w:r>
          </w:p>
        </w:tc>
        <w:tc>
          <w:tcPr>
            <w:tcW w:w="1746" w:type="dxa"/>
            <w:tcBorders>
              <w:top w:val="single" w:color="auto" w:sz="4" w:space="0"/>
              <w:left w:val="single" w:color="auto" w:sz="4" w:space="0"/>
              <w:bottom w:val="single" w:color="auto" w:sz="4" w:space="0"/>
              <w:right w:val="single" w:color="auto" w:sz="4" w:space="0"/>
            </w:tcBorders>
            <w:vAlign w:val="center"/>
          </w:tcPr>
          <w:p w14:paraId="653733A5">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评分内容</w:t>
            </w:r>
          </w:p>
        </w:tc>
        <w:tc>
          <w:tcPr>
            <w:tcW w:w="5700" w:type="dxa"/>
            <w:tcBorders>
              <w:top w:val="single" w:color="auto" w:sz="4" w:space="0"/>
              <w:left w:val="single" w:color="auto" w:sz="4" w:space="0"/>
              <w:bottom w:val="single" w:color="auto" w:sz="4" w:space="0"/>
              <w:right w:val="single" w:color="auto" w:sz="4" w:space="0"/>
            </w:tcBorders>
            <w:vAlign w:val="center"/>
          </w:tcPr>
          <w:p w14:paraId="4E01872E">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评分标准</w:t>
            </w:r>
          </w:p>
        </w:tc>
        <w:tc>
          <w:tcPr>
            <w:tcW w:w="780" w:type="dxa"/>
            <w:tcBorders>
              <w:top w:val="single" w:color="auto" w:sz="4" w:space="0"/>
              <w:left w:val="single" w:color="auto" w:sz="4" w:space="0"/>
              <w:bottom w:val="single" w:color="auto" w:sz="4" w:space="0"/>
              <w:right w:val="single" w:color="auto" w:sz="4" w:space="0"/>
            </w:tcBorders>
          </w:tcPr>
          <w:p w14:paraId="1EDD179E">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分值</w:t>
            </w:r>
          </w:p>
          <w:p w14:paraId="65080963">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范围</w:t>
            </w:r>
          </w:p>
        </w:tc>
      </w:tr>
      <w:tr w14:paraId="0072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00" w:type="dxa"/>
            <w:tcBorders>
              <w:top w:val="single" w:color="auto" w:sz="4" w:space="0"/>
              <w:left w:val="single" w:color="auto" w:sz="4" w:space="0"/>
              <w:bottom w:val="single" w:color="auto" w:sz="4" w:space="0"/>
              <w:right w:val="single" w:color="auto" w:sz="4" w:space="0"/>
            </w:tcBorders>
            <w:vAlign w:val="center"/>
          </w:tcPr>
          <w:p w14:paraId="42776BDC">
            <w:pPr>
              <w:adjustRightInd w:val="0"/>
              <w:snapToGrid w:val="0"/>
              <w:spacing w:line="400" w:lineRule="exact"/>
              <w:jc w:val="center"/>
              <w:rPr>
                <w:rFonts w:ascii="Calibri" w:hAnsi="Calibri" w:eastAsia="宋体" w:cs="Calibri"/>
                <w:color w:val="000000" w:themeColor="text1"/>
                <w:kern w:val="0"/>
                <w:sz w:val="20"/>
                <w:szCs w:val="21"/>
              </w:rPr>
            </w:pPr>
            <w:r>
              <w:rPr>
                <w:rFonts w:hint="eastAsia" w:ascii="Calibri" w:hAnsi="Calibri" w:eastAsia="宋体" w:cs="Calibri"/>
                <w:color w:val="000000" w:themeColor="text1"/>
                <w:kern w:val="0"/>
                <w:sz w:val="20"/>
                <w:szCs w:val="21"/>
              </w:rPr>
              <w:t>报价</w:t>
            </w:r>
          </w:p>
        </w:tc>
        <w:tc>
          <w:tcPr>
            <w:tcW w:w="1746" w:type="dxa"/>
            <w:tcBorders>
              <w:top w:val="single" w:color="auto" w:sz="4" w:space="0"/>
              <w:left w:val="single" w:color="auto" w:sz="4" w:space="0"/>
              <w:bottom w:val="single" w:color="auto" w:sz="4" w:space="0"/>
              <w:right w:val="single" w:color="auto" w:sz="4" w:space="0"/>
            </w:tcBorders>
            <w:vAlign w:val="center"/>
          </w:tcPr>
          <w:p w14:paraId="4084234B">
            <w:pPr>
              <w:adjustRightInd w:val="0"/>
              <w:snapToGrid w:val="0"/>
              <w:spacing w:line="400" w:lineRule="exact"/>
              <w:jc w:val="center"/>
              <w:rPr>
                <w:rFonts w:ascii="Calibri" w:hAnsi="Calibri" w:eastAsia="宋体" w:cs="Calibri"/>
                <w:color w:val="000000" w:themeColor="text1"/>
                <w:kern w:val="0"/>
                <w:sz w:val="20"/>
                <w:szCs w:val="21"/>
              </w:rPr>
            </w:pPr>
            <w:r>
              <w:rPr>
                <w:rFonts w:hint="eastAsia" w:ascii="Calibri" w:hAnsi="Calibri" w:eastAsia="宋体" w:cs="Calibri"/>
                <w:color w:val="000000" w:themeColor="text1"/>
                <w:kern w:val="0"/>
                <w:sz w:val="20"/>
                <w:szCs w:val="21"/>
              </w:rPr>
              <w:t>报价</w:t>
            </w:r>
          </w:p>
          <w:p w14:paraId="10C0AEC5">
            <w:pPr>
              <w:adjustRightInd w:val="0"/>
              <w:snapToGrid w:val="0"/>
              <w:spacing w:line="400" w:lineRule="exact"/>
              <w:jc w:val="center"/>
              <w:rPr>
                <w:rFonts w:ascii="Calibri" w:hAnsi="Calibri" w:eastAsia="宋体" w:cs="Calibri"/>
                <w:color w:val="000000" w:themeColor="text1"/>
                <w:kern w:val="0"/>
                <w:sz w:val="20"/>
                <w:szCs w:val="21"/>
              </w:rPr>
            </w:pPr>
            <w:r>
              <w:rPr>
                <w:rFonts w:hint="eastAsia" w:ascii="Calibri" w:hAnsi="Calibri" w:eastAsia="宋体" w:cs="Calibri"/>
                <w:color w:val="000000" w:themeColor="text1"/>
                <w:kern w:val="0"/>
                <w:sz w:val="20"/>
                <w:szCs w:val="21"/>
              </w:rPr>
              <w:t>部分</w:t>
            </w:r>
          </w:p>
        </w:tc>
        <w:tc>
          <w:tcPr>
            <w:tcW w:w="5700" w:type="dxa"/>
            <w:tcBorders>
              <w:top w:val="single" w:color="auto" w:sz="4" w:space="0"/>
              <w:left w:val="single" w:color="auto" w:sz="4" w:space="0"/>
              <w:bottom w:val="single" w:color="auto" w:sz="4" w:space="0"/>
              <w:right w:val="single" w:color="auto" w:sz="4" w:space="0"/>
            </w:tcBorders>
            <w:vAlign w:val="center"/>
          </w:tcPr>
          <w:p w14:paraId="1A7FF61D">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以满足采购文件要求且投标价格最低的投标报价为评标基准价，其价格分为满分。其他投标人的价格分统一按照下列公式计算：报价得分=（评标基准价/投标报价）×20。</w:t>
            </w:r>
          </w:p>
        </w:tc>
        <w:tc>
          <w:tcPr>
            <w:tcW w:w="780" w:type="dxa"/>
            <w:tcBorders>
              <w:top w:val="single" w:color="auto" w:sz="4" w:space="0"/>
              <w:left w:val="single" w:color="auto" w:sz="4" w:space="0"/>
              <w:bottom w:val="single" w:color="auto" w:sz="4" w:space="0"/>
              <w:right w:val="single" w:color="auto" w:sz="4" w:space="0"/>
            </w:tcBorders>
            <w:vAlign w:val="center"/>
          </w:tcPr>
          <w:p w14:paraId="24A3B40F">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20</w:t>
            </w:r>
          </w:p>
        </w:tc>
      </w:tr>
      <w:tr w14:paraId="036C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tcBorders>
              <w:top w:val="single" w:color="auto" w:sz="4" w:space="0"/>
              <w:left w:val="single" w:color="auto" w:sz="4" w:space="0"/>
              <w:right w:val="single" w:color="auto" w:sz="4" w:space="0"/>
            </w:tcBorders>
            <w:vAlign w:val="center"/>
          </w:tcPr>
          <w:p w14:paraId="1697C66F">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商务部分（5</w:t>
            </w:r>
            <w:r>
              <w:rPr>
                <w:rFonts w:ascii="宋体" w:hAnsi="宋体" w:eastAsia="宋体" w:cs="宋体"/>
                <w:color w:val="000000" w:themeColor="text1"/>
                <w:kern w:val="0"/>
                <w:sz w:val="20"/>
                <w:szCs w:val="21"/>
              </w:rPr>
              <w:t>分）</w:t>
            </w:r>
          </w:p>
        </w:tc>
        <w:tc>
          <w:tcPr>
            <w:tcW w:w="1746" w:type="dxa"/>
            <w:tcBorders>
              <w:top w:val="single" w:color="auto" w:sz="4" w:space="0"/>
              <w:left w:val="single" w:color="auto" w:sz="4" w:space="0"/>
              <w:bottom w:val="single" w:color="auto" w:sz="4" w:space="0"/>
              <w:right w:val="single" w:color="auto" w:sz="4" w:space="0"/>
            </w:tcBorders>
            <w:vAlign w:val="center"/>
          </w:tcPr>
          <w:p w14:paraId="3946C6A7">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体系认证</w:t>
            </w:r>
          </w:p>
        </w:tc>
        <w:tc>
          <w:tcPr>
            <w:tcW w:w="5700" w:type="dxa"/>
            <w:tcBorders>
              <w:top w:val="single" w:color="auto" w:sz="4" w:space="0"/>
              <w:left w:val="single" w:color="auto" w:sz="4" w:space="0"/>
              <w:bottom w:val="single" w:color="auto" w:sz="4" w:space="0"/>
              <w:right w:val="single" w:color="auto" w:sz="4" w:space="0"/>
            </w:tcBorders>
          </w:tcPr>
          <w:p w14:paraId="64DF2A7B">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投标人具有质量管理体系</w:t>
            </w:r>
            <w:r>
              <w:rPr>
                <w:rFonts w:hint="eastAsia" w:ascii="宋体" w:hAnsi="宋体" w:eastAsia="宋体" w:cs="宋体"/>
                <w:color w:val="000000" w:themeColor="text1"/>
                <w:kern w:val="0"/>
                <w:sz w:val="20"/>
                <w:szCs w:val="21"/>
                <w:lang w:val="zh-CN"/>
              </w:rPr>
              <w:t>认证证书、环境管理体系认证证书、职业健康管理体系认证证书，</w:t>
            </w:r>
            <w:r>
              <w:rPr>
                <w:rFonts w:hint="eastAsia" w:ascii="宋体" w:hAnsi="宋体" w:eastAsia="宋体" w:cs="宋体"/>
                <w:color w:val="000000" w:themeColor="text1"/>
                <w:kern w:val="0"/>
                <w:sz w:val="20"/>
                <w:szCs w:val="21"/>
              </w:rPr>
              <w:t>每提供一份得1分，最多得3分。</w:t>
            </w:r>
          </w:p>
          <w:p w14:paraId="085D4C12">
            <w:pPr>
              <w:numPr>
                <w:ilvl w:val="255"/>
                <w:numId w:val="0"/>
              </w:numP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4"/>
              </w:rPr>
              <w:t>注：提供相应证书扫描件，加盖公章，未提供不得分。</w:t>
            </w:r>
          </w:p>
        </w:tc>
        <w:tc>
          <w:tcPr>
            <w:tcW w:w="780" w:type="dxa"/>
            <w:tcBorders>
              <w:top w:val="single" w:color="auto" w:sz="4" w:space="0"/>
              <w:left w:val="single" w:color="auto" w:sz="4" w:space="0"/>
              <w:bottom w:val="single" w:color="auto" w:sz="4" w:space="0"/>
              <w:right w:val="single" w:color="auto" w:sz="4" w:space="0"/>
            </w:tcBorders>
            <w:vAlign w:val="center"/>
          </w:tcPr>
          <w:p w14:paraId="6D6765F5">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3</w:t>
            </w:r>
          </w:p>
        </w:tc>
      </w:tr>
      <w:tr w14:paraId="6EE4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vAlign w:val="center"/>
          </w:tcPr>
          <w:p w14:paraId="7223A72C">
            <w:pPr>
              <w:widowControl/>
              <w:jc w:val="left"/>
              <w:rPr>
                <w:rFonts w:ascii="宋体" w:hAnsi="宋体" w:eastAsia="宋体" w:cs="宋体"/>
                <w:color w:val="000000" w:themeColor="text1"/>
                <w:kern w:val="0"/>
                <w:sz w:val="20"/>
                <w:szCs w:val="21"/>
              </w:rPr>
            </w:pPr>
          </w:p>
        </w:tc>
        <w:tc>
          <w:tcPr>
            <w:tcW w:w="1746" w:type="dxa"/>
            <w:tcBorders>
              <w:top w:val="single" w:color="auto" w:sz="4" w:space="0"/>
              <w:left w:val="single" w:color="auto" w:sz="4" w:space="0"/>
              <w:bottom w:val="single" w:color="auto" w:sz="4" w:space="0"/>
              <w:right w:val="single" w:color="auto" w:sz="4" w:space="0"/>
            </w:tcBorders>
            <w:vAlign w:val="center"/>
          </w:tcPr>
          <w:p w14:paraId="20815F6C">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类似业绩</w:t>
            </w:r>
          </w:p>
          <w:p w14:paraId="7BCE3D22">
            <w:pPr>
              <w:jc w:val="center"/>
              <w:rPr>
                <w:rFonts w:ascii="宋体" w:hAnsi="宋体" w:eastAsia="宋体" w:cs="宋体"/>
                <w:color w:val="000000" w:themeColor="text1"/>
                <w:kern w:val="0"/>
                <w:sz w:val="20"/>
                <w:szCs w:val="21"/>
              </w:rPr>
            </w:pPr>
          </w:p>
        </w:tc>
        <w:tc>
          <w:tcPr>
            <w:tcW w:w="5700" w:type="dxa"/>
            <w:tcBorders>
              <w:top w:val="single" w:color="auto" w:sz="4" w:space="0"/>
              <w:left w:val="single" w:color="auto" w:sz="4" w:space="0"/>
              <w:bottom w:val="single" w:color="auto" w:sz="4" w:space="0"/>
              <w:right w:val="single" w:color="auto" w:sz="4" w:space="0"/>
            </w:tcBorders>
          </w:tcPr>
          <w:p w14:paraId="1FCDC248">
            <w:pPr>
              <w:numPr>
                <w:ilvl w:val="255"/>
                <w:numId w:val="0"/>
              </w:numP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投标人自</w:t>
            </w:r>
            <w:r>
              <w:rPr>
                <w:rFonts w:ascii="宋体" w:hAnsi="宋体" w:eastAsia="宋体" w:cs="宋体"/>
                <w:color w:val="000000" w:themeColor="text1"/>
                <w:kern w:val="0"/>
                <w:sz w:val="20"/>
                <w:szCs w:val="21"/>
              </w:rPr>
              <w:t>202</w:t>
            </w:r>
            <w:r>
              <w:rPr>
                <w:rFonts w:hint="eastAsia" w:ascii="宋体" w:hAnsi="宋体" w:eastAsia="宋体" w:cs="宋体"/>
                <w:color w:val="000000" w:themeColor="text1"/>
                <w:kern w:val="0"/>
                <w:sz w:val="20"/>
                <w:szCs w:val="21"/>
                <w:lang w:val="en-US" w:eastAsia="zh-CN"/>
              </w:rPr>
              <w:t>2</w:t>
            </w:r>
            <w:r>
              <w:rPr>
                <w:rFonts w:hint="eastAsia" w:ascii="宋体" w:hAnsi="宋体" w:eastAsia="宋体" w:cs="宋体"/>
                <w:color w:val="000000" w:themeColor="text1"/>
                <w:kern w:val="0"/>
                <w:sz w:val="20"/>
                <w:szCs w:val="21"/>
              </w:rPr>
              <w:t>年</w:t>
            </w:r>
            <w:r>
              <w:rPr>
                <w:rFonts w:ascii="宋体" w:hAnsi="宋体" w:eastAsia="宋体" w:cs="宋体"/>
                <w:color w:val="000000" w:themeColor="text1"/>
                <w:kern w:val="0"/>
                <w:sz w:val="20"/>
                <w:szCs w:val="21"/>
              </w:rPr>
              <w:t>1</w:t>
            </w:r>
            <w:r>
              <w:rPr>
                <w:rFonts w:hint="eastAsia" w:ascii="宋体" w:hAnsi="宋体" w:eastAsia="宋体" w:cs="宋体"/>
                <w:color w:val="000000" w:themeColor="text1"/>
                <w:kern w:val="0"/>
                <w:sz w:val="20"/>
                <w:szCs w:val="21"/>
              </w:rPr>
              <w:t>月</w:t>
            </w:r>
            <w:r>
              <w:rPr>
                <w:rFonts w:ascii="宋体" w:hAnsi="宋体" w:eastAsia="宋体" w:cs="宋体"/>
                <w:color w:val="000000" w:themeColor="text1"/>
                <w:kern w:val="0"/>
                <w:sz w:val="20"/>
                <w:szCs w:val="21"/>
              </w:rPr>
              <w:t>1</w:t>
            </w:r>
            <w:r>
              <w:rPr>
                <w:rFonts w:hint="eastAsia" w:ascii="宋体" w:hAnsi="宋体" w:eastAsia="宋体" w:cs="宋体"/>
                <w:color w:val="000000" w:themeColor="text1"/>
                <w:kern w:val="0"/>
                <w:sz w:val="20"/>
                <w:szCs w:val="21"/>
              </w:rPr>
              <w:t>日以来（以合同签订时间为准）完成过的</w:t>
            </w:r>
            <w:r>
              <w:rPr>
                <w:rFonts w:hint="eastAsia" w:ascii="仿宋" w:hAnsi="仿宋" w:eastAsia="宋体" w:cs="Times New Roman"/>
                <w:color w:val="000000" w:themeColor="text1"/>
                <w:kern w:val="0"/>
                <w:sz w:val="20"/>
                <w:szCs w:val="24"/>
              </w:rPr>
              <w:t>质控项目</w:t>
            </w:r>
            <w:r>
              <w:rPr>
                <w:rFonts w:hint="eastAsia" w:ascii="宋体" w:hAnsi="宋体" w:eastAsia="宋体" w:cs="宋体"/>
                <w:color w:val="000000" w:themeColor="text1"/>
                <w:kern w:val="0"/>
                <w:sz w:val="20"/>
                <w:szCs w:val="21"/>
              </w:rPr>
              <w:t>业绩的，每提供一个业绩得1分，最高得2分。（</w:t>
            </w:r>
            <w:r>
              <w:rPr>
                <w:rFonts w:hint="eastAsia" w:ascii="仿宋" w:hAnsi="仿宋" w:eastAsia="宋体" w:cs="Times New Roman"/>
                <w:color w:val="000000" w:themeColor="text1"/>
                <w:kern w:val="0"/>
                <w:sz w:val="20"/>
                <w:szCs w:val="24"/>
              </w:rPr>
              <w:t>所提供的合同可以不牵涉到金额等相关商业机密信息，但必须提供合同主要服务内容、双方签署页及合同签署双方的完整信息，</w:t>
            </w:r>
            <w:r>
              <w:rPr>
                <w:rFonts w:hint="eastAsia" w:ascii="宋体" w:hAnsi="宋体" w:eastAsia="宋体" w:cs="宋体"/>
                <w:color w:val="000000" w:themeColor="text1"/>
                <w:kern w:val="0"/>
                <w:sz w:val="20"/>
                <w:szCs w:val="21"/>
              </w:rPr>
              <w:t>合同扫描件须加盖公章，否则不得分）</w:t>
            </w:r>
          </w:p>
        </w:tc>
        <w:tc>
          <w:tcPr>
            <w:tcW w:w="780" w:type="dxa"/>
            <w:tcBorders>
              <w:top w:val="single" w:color="auto" w:sz="4" w:space="0"/>
              <w:left w:val="single" w:color="auto" w:sz="4" w:space="0"/>
              <w:bottom w:val="single" w:color="auto" w:sz="4" w:space="0"/>
              <w:right w:val="single" w:color="auto" w:sz="4" w:space="0"/>
            </w:tcBorders>
            <w:vAlign w:val="center"/>
          </w:tcPr>
          <w:p w14:paraId="418D6481">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2</w:t>
            </w:r>
          </w:p>
        </w:tc>
      </w:tr>
      <w:tr w14:paraId="6026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restart"/>
            <w:tcBorders>
              <w:left w:val="single" w:color="auto" w:sz="4" w:space="0"/>
              <w:right w:val="single" w:color="auto" w:sz="4" w:space="0"/>
            </w:tcBorders>
            <w:vAlign w:val="center"/>
          </w:tcPr>
          <w:p w14:paraId="10B2D36B">
            <w:pPr>
              <w:widowControl/>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技术部分（75分）</w:t>
            </w:r>
          </w:p>
        </w:tc>
        <w:tc>
          <w:tcPr>
            <w:tcW w:w="1746" w:type="dxa"/>
            <w:tcBorders>
              <w:top w:val="single" w:color="auto" w:sz="4" w:space="0"/>
              <w:left w:val="single" w:color="auto" w:sz="4" w:space="0"/>
              <w:bottom w:val="single" w:color="auto" w:sz="4" w:space="0"/>
              <w:right w:val="single" w:color="auto" w:sz="4" w:space="0"/>
            </w:tcBorders>
            <w:vAlign w:val="center"/>
          </w:tcPr>
          <w:p w14:paraId="69981171">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项目负责人</w:t>
            </w:r>
          </w:p>
          <w:p w14:paraId="0A7FC627">
            <w:pPr>
              <w:jc w:val="center"/>
              <w:rPr>
                <w:rFonts w:ascii="宋体" w:hAnsi="宋体" w:eastAsia="宋体" w:cs="宋体"/>
                <w:color w:val="000000" w:themeColor="text1"/>
                <w:kern w:val="0"/>
                <w:sz w:val="20"/>
                <w:szCs w:val="21"/>
              </w:rPr>
            </w:pPr>
          </w:p>
        </w:tc>
        <w:tc>
          <w:tcPr>
            <w:tcW w:w="5700" w:type="dxa"/>
            <w:tcBorders>
              <w:top w:val="single" w:color="auto" w:sz="4" w:space="0"/>
              <w:left w:val="single" w:color="auto" w:sz="4" w:space="0"/>
              <w:bottom w:val="single" w:color="auto" w:sz="4" w:space="0"/>
              <w:right w:val="single" w:color="auto" w:sz="4" w:space="0"/>
            </w:tcBorders>
          </w:tcPr>
          <w:p w14:paraId="704D00D4">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w:t>
            </w:r>
            <w:r>
              <w:rPr>
                <w:rFonts w:ascii="宋体" w:hAnsi="宋体" w:eastAsia="宋体" w:cs="宋体"/>
                <w:color w:val="000000" w:themeColor="text1"/>
                <w:kern w:val="0"/>
                <w:sz w:val="20"/>
                <w:szCs w:val="21"/>
              </w:rPr>
              <w:t>1</w:t>
            </w:r>
            <w:r>
              <w:rPr>
                <w:rFonts w:hint="eastAsia" w:ascii="宋体" w:hAnsi="宋体" w:eastAsia="宋体" w:cs="宋体"/>
                <w:color w:val="000000" w:themeColor="text1"/>
                <w:kern w:val="0"/>
                <w:sz w:val="20"/>
                <w:szCs w:val="21"/>
              </w:rPr>
              <w:t>）具有环境类专业高级及以上职称的得</w:t>
            </w:r>
            <w:r>
              <w:rPr>
                <w:rFonts w:ascii="宋体" w:hAnsi="宋体" w:eastAsia="宋体" w:cs="宋体"/>
                <w:color w:val="000000" w:themeColor="text1"/>
                <w:kern w:val="0"/>
                <w:sz w:val="20"/>
                <w:szCs w:val="21"/>
              </w:rPr>
              <w:t>2</w:t>
            </w:r>
            <w:r>
              <w:rPr>
                <w:rFonts w:hint="eastAsia" w:ascii="宋体" w:hAnsi="宋体" w:eastAsia="宋体" w:cs="宋体"/>
                <w:color w:val="000000" w:themeColor="text1"/>
                <w:kern w:val="0"/>
                <w:sz w:val="20"/>
                <w:szCs w:val="21"/>
              </w:rPr>
              <w:t>分；</w:t>
            </w:r>
          </w:p>
          <w:p w14:paraId="56F0D342">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w:t>
            </w:r>
            <w:r>
              <w:rPr>
                <w:rFonts w:ascii="宋体" w:hAnsi="宋体" w:eastAsia="宋体" w:cs="宋体"/>
                <w:color w:val="000000" w:themeColor="text1"/>
                <w:kern w:val="0"/>
                <w:sz w:val="20"/>
                <w:szCs w:val="21"/>
              </w:rPr>
              <w:t>2</w:t>
            </w:r>
            <w:r>
              <w:rPr>
                <w:rFonts w:hint="eastAsia" w:ascii="宋体" w:hAnsi="宋体" w:eastAsia="宋体" w:cs="宋体"/>
                <w:color w:val="000000" w:themeColor="text1"/>
                <w:kern w:val="0"/>
                <w:sz w:val="20"/>
                <w:szCs w:val="21"/>
              </w:rPr>
              <w:t>）具有运行维护上岗证的得</w:t>
            </w:r>
            <w:r>
              <w:rPr>
                <w:rFonts w:ascii="宋体" w:hAnsi="宋体" w:eastAsia="宋体" w:cs="宋体"/>
                <w:color w:val="000000" w:themeColor="text1"/>
                <w:kern w:val="0"/>
                <w:sz w:val="20"/>
                <w:szCs w:val="21"/>
              </w:rPr>
              <w:t>1</w:t>
            </w:r>
            <w:r>
              <w:rPr>
                <w:rFonts w:hint="eastAsia" w:ascii="宋体" w:hAnsi="宋体" w:eastAsia="宋体" w:cs="宋体"/>
                <w:color w:val="000000" w:themeColor="text1"/>
                <w:kern w:val="0"/>
                <w:sz w:val="20"/>
                <w:szCs w:val="21"/>
              </w:rPr>
              <w:t>分；</w:t>
            </w:r>
          </w:p>
          <w:p w14:paraId="1C11D303">
            <w:pP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提供相关证明材料复印件加盖投标单位公章，并提供近三个月单位为其缴纳社保的证明。</w:t>
            </w:r>
          </w:p>
        </w:tc>
        <w:tc>
          <w:tcPr>
            <w:tcW w:w="780" w:type="dxa"/>
            <w:tcBorders>
              <w:top w:val="single" w:color="auto" w:sz="4" w:space="0"/>
              <w:left w:val="single" w:color="auto" w:sz="4" w:space="0"/>
              <w:bottom w:val="single" w:color="auto" w:sz="4" w:space="0"/>
              <w:right w:val="single" w:color="auto" w:sz="4" w:space="0"/>
            </w:tcBorders>
            <w:vAlign w:val="center"/>
          </w:tcPr>
          <w:p w14:paraId="19AD3037">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3</w:t>
            </w:r>
          </w:p>
        </w:tc>
      </w:tr>
      <w:tr w14:paraId="3833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vAlign w:val="center"/>
          </w:tcPr>
          <w:p w14:paraId="21B08147">
            <w:pPr>
              <w:widowControl/>
              <w:jc w:val="left"/>
              <w:rPr>
                <w:rFonts w:ascii="宋体" w:hAnsi="宋体" w:eastAsia="宋体" w:cs="宋体"/>
                <w:color w:val="000000" w:themeColor="text1"/>
                <w:kern w:val="0"/>
                <w:sz w:val="20"/>
                <w:szCs w:val="21"/>
              </w:rPr>
            </w:pPr>
          </w:p>
        </w:tc>
        <w:tc>
          <w:tcPr>
            <w:tcW w:w="1746" w:type="dxa"/>
            <w:tcBorders>
              <w:top w:val="single" w:color="auto" w:sz="4" w:space="0"/>
              <w:left w:val="single" w:color="auto" w:sz="4" w:space="0"/>
              <w:bottom w:val="single" w:color="auto" w:sz="4" w:space="0"/>
              <w:right w:val="single" w:color="auto" w:sz="4" w:space="0"/>
            </w:tcBorders>
            <w:vAlign w:val="center"/>
          </w:tcPr>
          <w:p w14:paraId="1A9FA66D">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项目组成员</w:t>
            </w:r>
          </w:p>
          <w:p w14:paraId="15E58AFF">
            <w:pPr>
              <w:jc w:val="center"/>
              <w:rPr>
                <w:rFonts w:ascii="宋体" w:hAnsi="宋体" w:eastAsia="宋体" w:cs="宋体"/>
                <w:color w:val="000000" w:themeColor="text1"/>
                <w:kern w:val="0"/>
                <w:sz w:val="20"/>
                <w:szCs w:val="21"/>
              </w:rPr>
            </w:pPr>
          </w:p>
        </w:tc>
        <w:tc>
          <w:tcPr>
            <w:tcW w:w="5700" w:type="dxa"/>
            <w:tcBorders>
              <w:top w:val="single" w:color="auto" w:sz="4" w:space="0"/>
              <w:left w:val="single" w:color="auto" w:sz="4" w:space="0"/>
              <w:bottom w:val="single" w:color="auto" w:sz="4" w:space="0"/>
              <w:right w:val="single" w:color="auto" w:sz="4" w:space="0"/>
            </w:tcBorders>
          </w:tcPr>
          <w:p w14:paraId="4BFAF8C6">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项目组成员（项目负责人除外）能力：</w:t>
            </w:r>
          </w:p>
          <w:p w14:paraId="68ADBB24">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w:t>
            </w:r>
            <w:r>
              <w:rPr>
                <w:rFonts w:ascii="宋体" w:hAnsi="宋体" w:eastAsia="宋体" w:cs="宋体"/>
                <w:color w:val="000000" w:themeColor="text1"/>
                <w:kern w:val="0"/>
                <w:sz w:val="20"/>
                <w:szCs w:val="21"/>
              </w:rPr>
              <w:t>1）具有环境</w:t>
            </w:r>
            <w:r>
              <w:rPr>
                <w:rFonts w:hint="eastAsia" w:ascii="宋体" w:hAnsi="宋体" w:eastAsia="宋体" w:cs="宋体"/>
                <w:color w:val="000000" w:themeColor="text1"/>
                <w:kern w:val="0"/>
                <w:sz w:val="20"/>
                <w:szCs w:val="21"/>
              </w:rPr>
              <w:t>或化学类</w:t>
            </w:r>
            <w:r>
              <w:rPr>
                <w:rFonts w:ascii="宋体" w:hAnsi="宋体" w:eastAsia="宋体" w:cs="宋体"/>
                <w:color w:val="000000" w:themeColor="text1"/>
                <w:kern w:val="0"/>
                <w:sz w:val="20"/>
                <w:szCs w:val="21"/>
              </w:rPr>
              <w:t>专业</w:t>
            </w:r>
            <w:r>
              <w:rPr>
                <w:rFonts w:hint="eastAsia" w:ascii="宋体" w:hAnsi="宋体" w:eastAsia="宋体" w:cs="宋体"/>
                <w:color w:val="000000" w:themeColor="text1"/>
                <w:kern w:val="0"/>
                <w:sz w:val="20"/>
                <w:szCs w:val="21"/>
              </w:rPr>
              <w:t>中</w:t>
            </w:r>
            <w:r>
              <w:rPr>
                <w:rFonts w:ascii="宋体" w:hAnsi="宋体" w:eastAsia="宋体" w:cs="宋体"/>
                <w:color w:val="000000" w:themeColor="text1"/>
                <w:kern w:val="0"/>
                <w:sz w:val="20"/>
                <w:szCs w:val="21"/>
              </w:rPr>
              <w:t>级职称及以上的，每有1人得2分，最高2分；</w:t>
            </w:r>
          </w:p>
          <w:p w14:paraId="319C8FFE">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w:t>
            </w:r>
            <w:r>
              <w:rPr>
                <w:rFonts w:ascii="宋体" w:hAnsi="宋体" w:eastAsia="宋体" w:cs="宋体"/>
                <w:color w:val="000000" w:themeColor="text1"/>
                <w:kern w:val="0"/>
                <w:sz w:val="20"/>
                <w:szCs w:val="21"/>
              </w:rPr>
              <w:t>2）具有环境</w:t>
            </w:r>
            <w:r>
              <w:rPr>
                <w:rFonts w:hint="eastAsia" w:ascii="宋体" w:hAnsi="宋体" w:eastAsia="宋体" w:cs="宋体"/>
                <w:color w:val="000000" w:themeColor="text1"/>
                <w:kern w:val="0"/>
                <w:sz w:val="20"/>
                <w:szCs w:val="21"/>
              </w:rPr>
              <w:t>或化学类</w:t>
            </w:r>
            <w:r>
              <w:rPr>
                <w:rFonts w:ascii="宋体" w:hAnsi="宋体" w:eastAsia="宋体" w:cs="宋体"/>
                <w:color w:val="000000" w:themeColor="text1"/>
                <w:kern w:val="0"/>
                <w:sz w:val="20"/>
                <w:szCs w:val="21"/>
              </w:rPr>
              <w:t>专业</w:t>
            </w:r>
            <w:r>
              <w:rPr>
                <w:rFonts w:hint="eastAsia" w:ascii="宋体" w:hAnsi="宋体" w:eastAsia="宋体" w:cs="宋体"/>
                <w:color w:val="000000" w:themeColor="text1"/>
                <w:kern w:val="0"/>
                <w:sz w:val="20"/>
                <w:szCs w:val="21"/>
              </w:rPr>
              <w:t>初</w:t>
            </w:r>
            <w:r>
              <w:rPr>
                <w:rFonts w:ascii="宋体" w:hAnsi="宋体" w:eastAsia="宋体" w:cs="宋体"/>
                <w:color w:val="000000" w:themeColor="text1"/>
                <w:kern w:val="0"/>
                <w:sz w:val="20"/>
                <w:szCs w:val="21"/>
              </w:rPr>
              <w:t>级职称及以上的，每有1人得1分，最高2分；</w:t>
            </w:r>
          </w:p>
          <w:p w14:paraId="4AFDA3FE">
            <w:pP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w:t>
            </w:r>
            <w:r>
              <w:rPr>
                <w:rFonts w:ascii="宋体" w:hAnsi="宋体" w:eastAsia="宋体" w:cs="宋体"/>
                <w:color w:val="000000" w:themeColor="text1"/>
                <w:kern w:val="0"/>
                <w:sz w:val="20"/>
                <w:szCs w:val="21"/>
              </w:rPr>
              <w:t>3）具有</w:t>
            </w:r>
            <w:r>
              <w:rPr>
                <w:rFonts w:hint="eastAsia" w:ascii="宋体" w:hAnsi="宋体" w:eastAsia="宋体" w:cs="宋体"/>
                <w:color w:val="000000" w:themeColor="text1"/>
                <w:kern w:val="0"/>
                <w:sz w:val="20"/>
                <w:szCs w:val="21"/>
              </w:rPr>
              <w:t>运行维护</w:t>
            </w:r>
            <w:r>
              <w:rPr>
                <w:rFonts w:ascii="宋体" w:hAnsi="宋体" w:eastAsia="宋体" w:cs="宋体"/>
                <w:color w:val="000000" w:themeColor="text1"/>
                <w:kern w:val="0"/>
                <w:sz w:val="20"/>
                <w:szCs w:val="21"/>
              </w:rPr>
              <w:t>上岗证</w:t>
            </w:r>
            <w:r>
              <w:rPr>
                <w:rFonts w:hint="eastAsia" w:ascii="宋体" w:hAnsi="宋体" w:eastAsia="宋体" w:cs="宋体"/>
                <w:color w:val="000000" w:themeColor="text1"/>
                <w:kern w:val="0"/>
                <w:sz w:val="20"/>
                <w:szCs w:val="21"/>
              </w:rPr>
              <w:t>且含</w:t>
            </w:r>
            <w:r>
              <w:rPr>
                <w:rFonts w:ascii="宋体" w:hAnsi="宋体" w:eastAsia="宋体" w:cs="宋体"/>
                <w:color w:val="000000" w:themeColor="text1"/>
                <w:kern w:val="0"/>
                <w:sz w:val="20"/>
                <w:szCs w:val="21"/>
              </w:rPr>
              <w:t>有VOCs等特殊因子的，每有1人得2分，最高6分</w:t>
            </w:r>
            <w:r>
              <w:rPr>
                <w:rFonts w:hint="eastAsia" w:ascii="宋体" w:hAnsi="宋体" w:eastAsia="宋体" w:cs="宋体"/>
                <w:color w:val="000000" w:themeColor="text1"/>
                <w:kern w:val="0"/>
                <w:sz w:val="20"/>
                <w:szCs w:val="21"/>
              </w:rPr>
              <w:t>。注：一人多证书的按最高得分计算，不重复得分，提供相关证明材料扫描件加盖投标单位公章，并提供近三个月单位为其缴纳社保的证明。</w:t>
            </w:r>
          </w:p>
        </w:tc>
        <w:tc>
          <w:tcPr>
            <w:tcW w:w="780" w:type="dxa"/>
            <w:tcBorders>
              <w:top w:val="single" w:color="auto" w:sz="4" w:space="0"/>
              <w:left w:val="single" w:color="auto" w:sz="4" w:space="0"/>
              <w:bottom w:val="single" w:color="auto" w:sz="4" w:space="0"/>
              <w:right w:val="single" w:color="auto" w:sz="4" w:space="0"/>
            </w:tcBorders>
            <w:vAlign w:val="center"/>
          </w:tcPr>
          <w:p w14:paraId="6D3C6455">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10</w:t>
            </w:r>
          </w:p>
        </w:tc>
      </w:tr>
      <w:tr w14:paraId="7557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vAlign w:val="center"/>
          </w:tcPr>
          <w:p w14:paraId="0C5BF8F4">
            <w:pPr>
              <w:widowControl/>
              <w:jc w:val="left"/>
              <w:rPr>
                <w:rFonts w:ascii="宋体" w:hAnsi="宋体" w:eastAsia="宋体" w:cs="宋体"/>
                <w:color w:val="000000" w:themeColor="text1"/>
                <w:kern w:val="0"/>
                <w:sz w:val="20"/>
                <w:szCs w:val="21"/>
              </w:rPr>
            </w:pPr>
          </w:p>
        </w:tc>
        <w:tc>
          <w:tcPr>
            <w:tcW w:w="1746" w:type="dxa"/>
            <w:tcBorders>
              <w:top w:val="single" w:color="auto" w:sz="4" w:space="0"/>
              <w:left w:val="single" w:color="auto" w:sz="4" w:space="0"/>
              <w:bottom w:val="single" w:color="auto" w:sz="4" w:space="0"/>
              <w:right w:val="single" w:color="auto" w:sz="4" w:space="0"/>
            </w:tcBorders>
            <w:vAlign w:val="center"/>
          </w:tcPr>
          <w:p w14:paraId="292395CC">
            <w:pPr>
              <w:jc w:val="center"/>
              <w:rPr>
                <w:rFonts w:ascii="宋体" w:hAnsi="宋体" w:eastAsia="宋体" w:cs="宋体"/>
                <w:color w:val="000000" w:themeColor="text1"/>
                <w:kern w:val="0"/>
                <w:sz w:val="20"/>
                <w:szCs w:val="21"/>
              </w:rPr>
            </w:pPr>
            <w:r>
              <w:rPr>
                <w:rFonts w:hint="eastAsia" w:ascii="仿宋" w:hAnsi="仿宋" w:eastAsia="宋体" w:cs="Calibri"/>
                <w:color w:val="000000" w:themeColor="text1"/>
                <w:kern w:val="0"/>
                <w:sz w:val="20"/>
                <w:szCs w:val="21"/>
              </w:rPr>
              <w:t>项目实施方案</w:t>
            </w:r>
          </w:p>
        </w:tc>
        <w:tc>
          <w:tcPr>
            <w:tcW w:w="5700" w:type="dxa"/>
            <w:tcBorders>
              <w:top w:val="single" w:color="auto" w:sz="4" w:space="0"/>
              <w:left w:val="single" w:color="auto" w:sz="4" w:space="0"/>
              <w:bottom w:val="single" w:color="auto" w:sz="4" w:space="0"/>
              <w:right w:val="single" w:color="auto" w:sz="4" w:space="0"/>
            </w:tcBorders>
            <w:vAlign w:val="center"/>
          </w:tcPr>
          <w:p w14:paraId="1CD3739E">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评审内容：</w:t>
            </w:r>
          </w:p>
          <w:p w14:paraId="621824D8">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（1）整体审核过程组织管理是否科学、先进、合理有效。</w:t>
            </w:r>
          </w:p>
          <w:p w14:paraId="27894A5D">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（2）所执行的标准、规范是否恰当，是否符合国家及地方标准；</w:t>
            </w:r>
          </w:p>
          <w:p w14:paraId="53EAB459">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（3）是否能达到最佳的审核效果（原始记录、相关表单和报告的收集、存储、递交形式及递交方法）；</w:t>
            </w:r>
          </w:p>
          <w:p w14:paraId="7BADB3E7">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（4）方案和计划本身在可控性和可靠性方面是否成熟；</w:t>
            </w:r>
          </w:p>
          <w:p w14:paraId="5D7C0493">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（5）技术能力是否与现有的实际条件相适应；</w:t>
            </w:r>
          </w:p>
          <w:p w14:paraId="59C43B3D">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（6）整个计划的控制、操作和监督是否方便；</w:t>
            </w:r>
          </w:p>
          <w:p w14:paraId="283D3C4E">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（7）方案本身是否存在缺陷或风险；</w:t>
            </w:r>
          </w:p>
          <w:p w14:paraId="425E4F81">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（8）针对突发事件相关应对措施及解决方案。</w:t>
            </w:r>
          </w:p>
          <w:p w14:paraId="520F226F">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评审标准：</w:t>
            </w:r>
          </w:p>
          <w:p w14:paraId="1CC30952">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方案完整，优于或完全响应需求并符合项目特点、科学合理每项得4分；</w:t>
            </w:r>
          </w:p>
          <w:p w14:paraId="6E2FAA60">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方案基本完整，基本响应需求并符合项目特点、具有一定的科学性、可行性每项得3分；</w:t>
            </w:r>
          </w:p>
          <w:p w14:paraId="277CE605">
            <w:pPr>
              <w:spacing w:before="120"/>
              <w:rPr>
                <w:rFonts w:ascii="仿宋" w:hAnsi="仿宋" w:eastAsia="宋体" w:cs="Calibri"/>
                <w:color w:val="000000" w:themeColor="text1"/>
                <w:kern w:val="0"/>
                <w:sz w:val="20"/>
                <w:szCs w:val="21"/>
              </w:rPr>
            </w:pPr>
            <w:r>
              <w:rPr>
                <w:rFonts w:hint="eastAsia" w:ascii="仿宋" w:hAnsi="仿宋" w:eastAsia="宋体" w:cs="Calibri"/>
                <w:color w:val="000000" w:themeColor="text1"/>
                <w:kern w:val="0"/>
                <w:sz w:val="20"/>
                <w:szCs w:val="21"/>
              </w:rPr>
              <w:t>方案有所瑕疵，基本响应需求，部分符合项目特点、科学性、可行性有欠缺每项得</w:t>
            </w:r>
            <w:r>
              <w:rPr>
                <w:rFonts w:hint="eastAsia" w:ascii="仿宋" w:hAnsi="仿宋" w:eastAsia="宋体" w:cs="Calibri"/>
                <w:color w:val="000000" w:themeColor="text1"/>
                <w:kern w:val="0"/>
                <w:sz w:val="20"/>
                <w:szCs w:val="21"/>
                <w:lang w:val="en-US" w:eastAsia="zh-CN"/>
              </w:rPr>
              <w:t>1</w:t>
            </w:r>
            <w:r>
              <w:rPr>
                <w:rFonts w:hint="eastAsia" w:ascii="仿宋" w:hAnsi="仿宋" w:eastAsia="宋体" w:cs="Calibri"/>
                <w:color w:val="000000" w:themeColor="text1"/>
                <w:kern w:val="0"/>
                <w:sz w:val="20"/>
                <w:szCs w:val="21"/>
              </w:rPr>
              <w:t>分；</w:t>
            </w:r>
          </w:p>
          <w:p w14:paraId="4A3BDB84">
            <w:pPr>
              <w:adjustRightInd w:val="0"/>
              <w:spacing w:line="288" w:lineRule="auto"/>
              <w:outlineLvl w:val="0"/>
              <w:rPr>
                <w:rFonts w:ascii="宋体" w:hAnsi="宋体" w:eastAsia="宋体" w:cs="宋体"/>
                <w:color w:val="000000" w:themeColor="text1"/>
                <w:kern w:val="0"/>
                <w:sz w:val="20"/>
                <w:szCs w:val="21"/>
              </w:rPr>
            </w:pPr>
            <w:r>
              <w:rPr>
                <w:rFonts w:hint="eastAsia" w:ascii="仿宋" w:hAnsi="仿宋" w:eastAsia="宋体" w:cs="Calibri"/>
                <w:color w:val="000000" w:themeColor="text1"/>
                <w:kern w:val="0"/>
                <w:sz w:val="20"/>
                <w:szCs w:val="21"/>
              </w:rPr>
              <w:t>注：须提供每台仪器详细检查方案，否则此项不得分，未提供相关方案不得分。</w:t>
            </w:r>
          </w:p>
        </w:tc>
        <w:tc>
          <w:tcPr>
            <w:tcW w:w="780" w:type="dxa"/>
            <w:tcBorders>
              <w:top w:val="single" w:color="auto" w:sz="4" w:space="0"/>
              <w:left w:val="single" w:color="auto" w:sz="4" w:space="0"/>
              <w:bottom w:val="single" w:color="auto" w:sz="4" w:space="0"/>
              <w:right w:val="single" w:color="auto" w:sz="4" w:space="0"/>
            </w:tcBorders>
            <w:vAlign w:val="center"/>
          </w:tcPr>
          <w:p w14:paraId="6870CC3E">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32</w:t>
            </w:r>
          </w:p>
        </w:tc>
      </w:tr>
      <w:tr w14:paraId="0060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vAlign w:val="center"/>
          </w:tcPr>
          <w:p w14:paraId="151F5A52">
            <w:pPr>
              <w:widowControl/>
              <w:jc w:val="left"/>
              <w:rPr>
                <w:rFonts w:ascii="宋体" w:hAnsi="宋体" w:eastAsia="宋体" w:cs="宋体"/>
                <w:color w:val="000000" w:themeColor="text1"/>
                <w:kern w:val="0"/>
                <w:sz w:val="20"/>
                <w:szCs w:val="21"/>
              </w:rPr>
            </w:pPr>
          </w:p>
        </w:tc>
        <w:tc>
          <w:tcPr>
            <w:tcW w:w="1746" w:type="dxa"/>
            <w:tcBorders>
              <w:top w:val="single" w:color="auto" w:sz="4" w:space="0"/>
              <w:left w:val="single" w:color="auto" w:sz="4" w:space="0"/>
              <w:bottom w:val="single" w:color="auto" w:sz="4" w:space="0"/>
              <w:right w:val="single" w:color="auto" w:sz="4" w:space="0"/>
            </w:tcBorders>
            <w:vAlign w:val="center"/>
          </w:tcPr>
          <w:p w14:paraId="2975BCD1">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项目了解情况</w:t>
            </w:r>
          </w:p>
        </w:tc>
        <w:tc>
          <w:tcPr>
            <w:tcW w:w="5700" w:type="dxa"/>
            <w:tcBorders>
              <w:top w:val="single" w:color="auto" w:sz="4" w:space="0"/>
              <w:left w:val="single" w:color="auto" w:sz="4" w:space="0"/>
              <w:bottom w:val="single" w:color="auto" w:sz="4" w:space="0"/>
              <w:right w:val="single" w:color="auto" w:sz="4" w:space="0"/>
            </w:tcBorders>
            <w:vAlign w:val="center"/>
          </w:tcPr>
          <w:p w14:paraId="7685A7DE">
            <w:pPr>
              <w:adjustRightInd w:val="0"/>
              <w:spacing w:line="288" w:lineRule="auto"/>
              <w:outlineLvl w:val="0"/>
              <w:rPr>
                <w:rFonts w:hint="eastAsia"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投标人熟悉了解本项目各</w:t>
            </w:r>
            <w:r>
              <w:rPr>
                <w:rFonts w:hint="eastAsia" w:ascii="Calibri" w:hAnsi="Calibri" w:eastAsia="宋体" w:cs="Calibri"/>
                <w:color w:val="000000" w:themeColor="text1"/>
                <w:kern w:val="0"/>
                <w:sz w:val="20"/>
                <w:szCs w:val="21"/>
              </w:rPr>
              <w:t>颗粒物组分站、光化学站</w:t>
            </w:r>
            <w:r>
              <w:rPr>
                <w:rFonts w:hint="eastAsia" w:ascii="宋体" w:hAnsi="宋体" w:eastAsia="宋体" w:cs="宋体"/>
                <w:color w:val="000000" w:themeColor="text1"/>
                <w:kern w:val="0"/>
                <w:sz w:val="20"/>
                <w:szCs w:val="21"/>
              </w:rPr>
              <w:t>情况，并能够充分结合本项目提出当前各</w:t>
            </w:r>
            <w:r>
              <w:rPr>
                <w:rFonts w:hint="eastAsia" w:ascii="Calibri" w:hAnsi="Calibri" w:eastAsia="宋体" w:cs="Calibri"/>
                <w:color w:val="000000" w:themeColor="text1"/>
                <w:kern w:val="0"/>
                <w:sz w:val="20"/>
                <w:szCs w:val="21"/>
              </w:rPr>
              <w:t>颗粒物组分站、光化学站</w:t>
            </w:r>
            <w:r>
              <w:rPr>
                <w:rFonts w:hint="eastAsia" w:ascii="宋体" w:hAnsi="宋体" w:eastAsia="宋体" w:cs="宋体"/>
                <w:color w:val="000000" w:themeColor="text1"/>
                <w:kern w:val="0"/>
                <w:sz w:val="20"/>
                <w:szCs w:val="21"/>
              </w:rPr>
              <w:t>运维存在的问题和应对措施。</w:t>
            </w:r>
          </w:p>
          <w:p w14:paraId="2E399BDD">
            <w:pPr>
              <w:adjustRightInd w:val="0"/>
              <w:spacing w:line="288" w:lineRule="auto"/>
              <w:outlineLvl w:val="0"/>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内容完善详细可实施性强得</w:t>
            </w:r>
            <w:r>
              <w:rPr>
                <w:rFonts w:ascii="宋体" w:hAnsi="宋体" w:eastAsia="宋体" w:cs="宋体"/>
                <w:color w:val="000000" w:themeColor="text1"/>
                <w:kern w:val="0"/>
                <w:sz w:val="20"/>
                <w:szCs w:val="21"/>
              </w:rPr>
              <w:t>5分，内容基本完善描述简略可实施得4分，内容简略基本可行得3分，内容略有欠缺得2分，内容欠缺较大需完善后实施得1分，</w:t>
            </w:r>
            <w:r>
              <w:rPr>
                <w:rFonts w:hint="eastAsia" w:ascii="宋体" w:hAnsi="宋体" w:eastAsia="宋体" w:cs="宋体"/>
                <w:color w:val="000000" w:themeColor="text1"/>
                <w:kern w:val="0"/>
                <w:sz w:val="20"/>
                <w:szCs w:val="21"/>
              </w:rPr>
              <w:t>未提供不得分。</w:t>
            </w:r>
          </w:p>
        </w:tc>
        <w:tc>
          <w:tcPr>
            <w:tcW w:w="780" w:type="dxa"/>
            <w:tcBorders>
              <w:top w:val="single" w:color="auto" w:sz="4" w:space="0"/>
              <w:left w:val="single" w:color="auto" w:sz="4" w:space="0"/>
              <w:bottom w:val="single" w:color="auto" w:sz="4" w:space="0"/>
              <w:right w:val="single" w:color="auto" w:sz="4" w:space="0"/>
            </w:tcBorders>
            <w:vAlign w:val="center"/>
          </w:tcPr>
          <w:p w14:paraId="1FC342DA">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5</w:t>
            </w:r>
          </w:p>
        </w:tc>
      </w:tr>
      <w:tr w14:paraId="0BFC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vAlign w:val="center"/>
          </w:tcPr>
          <w:p w14:paraId="58F9A086">
            <w:pPr>
              <w:widowControl/>
              <w:jc w:val="left"/>
              <w:rPr>
                <w:rFonts w:ascii="宋体" w:hAnsi="宋体" w:eastAsia="宋体" w:cs="宋体"/>
                <w:color w:val="000000" w:themeColor="text1"/>
                <w:kern w:val="0"/>
                <w:sz w:val="20"/>
                <w:szCs w:val="21"/>
              </w:rPr>
            </w:pPr>
          </w:p>
        </w:tc>
        <w:tc>
          <w:tcPr>
            <w:tcW w:w="1746" w:type="dxa"/>
            <w:tcBorders>
              <w:top w:val="single" w:color="auto" w:sz="4" w:space="0"/>
              <w:left w:val="single" w:color="auto" w:sz="4" w:space="0"/>
              <w:bottom w:val="single" w:color="auto" w:sz="4" w:space="0"/>
              <w:right w:val="single" w:color="auto" w:sz="4" w:space="0"/>
            </w:tcBorders>
            <w:vAlign w:val="center"/>
          </w:tcPr>
          <w:p w14:paraId="416CB9D8">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巡查方案</w:t>
            </w:r>
          </w:p>
        </w:tc>
        <w:tc>
          <w:tcPr>
            <w:tcW w:w="5700" w:type="dxa"/>
            <w:tcBorders>
              <w:top w:val="single" w:color="auto" w:sz="4" w:space="0"/>
              <w:left w:val="single" w:color="auto" w:sz="4" w:space="0"/>
              <w:bottom w:val="single" w:color="auto" w:sz="4" w:space="0"/>
              <w:right w:val="single" w:color="auto" w:sz="4" w:space="0"/>
            </w:tcBorders>
            <w:vAlign w:val="center"/>
          </w:tcPr>
          <w:p w14:paraId="32FD3E38">
            <w:pPr>
              <w:adjustRightInd w:val="0"/>
              <w:spacing w:line="288" w:lineRule="auto"/>
              <w:outlineLvl w:val="0"/>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投标人提供的巡查工作方案，包括站房及辅助设备巡查、监测系统巡查及运维情况巡查等具体内容。方案内容完善详细可实施性强得5</w:t>
            </w:r>
            <w:r>
              <w:rPr>
                <w:rFonts w:ascii="宋体" w:hAnsi="宋体" w:eastAsia="宋体" w:cs="宋体"/>
                <w:color w:val="000000" w:themeColor="text1"/>
                <w:kern w:val="0"/>
                <w:sz w:val="20"/>
                <w:szCs w:val="21"/>
              </w:rPr>
              <w:t>分，内容基本完善描述简略可实施得</w:t>
            </w:r>
            <w:r>
              <w:rPr>
                <w:rFonts w:hint="eastAsia" w:ascii="宋体" w:hAnsi="宋体" w:eastAsia="宋体" w:cs="宋体"/>
                <w:color w:val="000000" w:themeColor="text1"/>
                <w:kern w:val="0"/>
                <w:sz w:val="20"/>
                <w:szCs w:val="21"/>
              </w:rPr>
              <w:t>3</w:t>
            </w:r>
            <w:r>
              <w:rPr>
                <w:rFonts w:ascii="宋体" w:hAnsi="宋体" w:eastAsia="宋体" w:cs="宋体"/>
                <w:color w:val="000000" w:themeColor="text1"/>
                <w:kern w:val="0"/>
                <w:sz w:val="20"/>
                <w:szCs w:val="21"/>
              </w:rPr>
              <w:t>分，内容简略基本可行得</w:t>
            </w:r>
            <w:r>
              <w:rPr>
                <w:rFonts w:hint="eastAsia" w:ascii="宋体" w:hAnsi="宋体" w:eastAsia="宋体" w:cs="宋体"/>
                <w:color w:val="000000" w:themeColor="text1"/>
                <w:kern w:val="0"/>
                <w:sz w:val="20"/>
                <w:szCs w:val="21"/>
              </w:rPr>
              <w:t>2</w:t>
            </w:r>
            <w:r>
              <w:rPr>
                <w:rFonts w:ascii="宋体" w:hAnsi="宋体" w:eastAsia="宋体" w:cs="宋体"/>
                <w:color w:val="000000" w:themeColor="text1"/>
                <w:kern w:val="0"/>
                <w:sz w:val="20"/>
                <w:szCs w:val="21"/>
              </w:rPr>
              <w:t>分，内容欠缺较大需完善后实施得1分，</w:t>
            </w:r>
            <w:r>
              <w:rPr>
                <w:rFonts w:hint="eastAsia" w:ascii="宋体" w:hAnsi="宋体" w:eastAsia="宋体" w:cs="宋体"/>
                <w:color w:val="000000" w:themeColor="text1"/>
                <w:kern w:val="0"/>
                <w:sz w:val="20"/>
                <w:szCs w:val="21"/>
              </w:rPr>
              <w:t>未提供不得分。</w:t>
            </w:r>
          </w:p>
        </w:tc>
        <w:tc>
          <w:tcPr>
            <w:tcW w:w="780" w:type="dxa"/>
            <w:tcBorders>
              <w:top w:val="single" w:color="auto" w:sz="4" w:space="0"/>
              <w:left w:val="single" w:color="auto" w:sz="4" w:space="0"/>
              <w:bottom w:val="single" w:color="auto" w:sz="4" w:space="0"/>
              <w:right w:val="single" w:color="auto" w:sz="4" w:space="0"/>
            </w:tcBorders>
            <w:vAlign w:val="center"/>
          </w:tcPr>
          <w:p w14:paraId="50DCC02E">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5</w:t>
            </w:r>
          </w:p>
        </w:tc>
      </w:tr>
      <w:tr w14:paraId="1EDA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Merge w:val="continue"/>
            <w:tcBorders>
              <w:left w:val="single" w:color="auto" w:sz="4" w:space="0"/>
              <w:right w:val="single" w:color="auto" w:sz="4" w:space="0"/>
            </w:tcBorders>
            <w:vAlign w:val="center"/>
          </w:tcPr>
          <w:p w14:paraId="0B48E624">
            <w:pPr>
              <w:widowControl/>
              <w:jc w:val="left"/>
              <w:rPr>
                <w:rFonts w:ascii="宋体" w:hAnsi="宋体" w:eastAsia="宋体" w:cs="宋体"/>
                <w:color w:val="000000" w:themeColor="text1"/>
                <w:kern w:val="0"/>
                <w:sz w:val="20"/>
                <w:szCs w:val="21"/>
              </w:rPr>
            </w:pPr>
          </w:p>
        </w:tc>
        <w:tc>
          <w:tcPr>
            <w:tcW w:w="1746" w:type="dxa"/>
            <w:tcBorders>
              <w:top w:val="single" w:color="auto" w:sz="4" w:space="0"/>
              <w:left w:val="single" w:color="auto" w:sz="4" w:space="0"/>
              <w:bottom w:val="single" w:color="auto" w:sz="4" w:space="0"/>
              <w:right w:val="single" w:color="auto" w:sz="4" w:space="0"/>
            </w:tcBorders>
            <w:vAlign w:val="center"/>
          </w:tcPr>
          <w:p w14:paraId="323CA31B">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考核方案</w:t>
            </w:r>
          </w:p>
        </w:tc>
        <w:tc>
          <w:tcPr>
            <w:tcW w:w="5700" w:type="dxa"/>
            <w:tcBorders>
              <w:top w:val="single" w:color="auto" w:sz="4" w:space="0"/>
              <w:left w:val="single" w:color="auto" w:sz="4" w:space="0"/>
              <w:bottom w:val="single" w:color="auto" w:sz="4" w:space="0"/>
              <w:right w:val="single" w:color="auto" w:sz="4" w:space="0"/>
            </w:tcBorders>
            <w:vAlign w:val="center"/>
          </w:tcPr>
          <w:p w14:paraId="3667A89A">
            <w:pPr>
              <w:adjustRightInd w:val="0"/>
              <w:spacing w:line="288" w:lineRule="auto"/>
              <w:outlineLvl w:val="0"/>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投标人提供的考核工作方案。内容完善详细可实施性强得4</w:t>
            </w:r>
            <w:r>
              <w:rPr>
                <w:rFonts w:ascii="宋体" w:hAnsi="宋体" w:eastAsia="宋体" w:cs="宋体"/>
                <w:color w:val="000000" w:themeColor="text1"/>
                <w:kern w:val="0"/>
                <w:sz w:val="20"/>
                <w:szCs w:val="21"/>
              </w:rPr>
              <w:t>分，内容基本完善描述简略可实施得</w:t>
            </w:r>
            <w:r>
              <w:rPr>
                <w:rFonts w:hint="eastAsia" w:ascii="宋体" w:hAnsi="宋体" w:eastAsia="宋体" w:cs="宋体"/>
                <w:color w:val="000000" w:themeColor="text1"/>
                <w:kern w:val="0"/>
                <w:sz w:val="20"/>
                <w:szCs w:val="21"/>
              </w:rPr>
              <w:t>3</w:t>
            </w:r>
            <w:r>
              <w:rPr>
                <w:rFonts w:ascii="宋体" w:hAnsi="宋体" w:eastAsia="宋体" w:cs="宋体"/>
                <w:color w:val="000000" w:themeColor="text1"/>
                <w:kern w:val="0"/>
                <w:sz w:val="20"/>
                <w:szCs w:val="21"/>
              </w:rPr>
              <w:t>分，内容略有欠缺得2分，内容欠缺较大需完善后实施得1分，</w:t>
            </w:r>
            <w:r>
              <w:rPr>
                <w:rFonts w:hint="eastAsia" w:ascii="宋体" w:hAnsi="宋体" w:eastAsia="宋体" w:cs="宋体"/>
                <w:color w:val="000000" w:themeColor="text1"/>
                <w:kern w:val="0"/>
                <w:sz w:val="20"/>
                <w:szCs w:val="21"/>
              </w:rPr>
              <w:t>未提供不得分。</w:t>
            </w:r>
          </w:p>
        </w:tc>
        <w:tc>
          <w:tcPr>
            <w:tcW w:w="780" w:type="dxa"/>
            <w:tcBorders>
              <w:top w:val="single" w:color="auto" w:sz="4" w:space="0"/>
              <w:left w:val="single" w:color="auto" w:sz="4" w:space="0"/>
              <w:bottom w:val="single" w:color="auto" w:sz="4" w:space="0"/>
              <w:right w:val="single" w:color="auto" w:sz="4" w:space="0"/>
            </w:tcBorders>
            <w:vAlign w:val="center"/>
          </w:tcPr>
          <w:p w14:paraId="3B08551F">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4</w:t>
            </w:r>
          </w:p>
        </w:tc>
      </w:tr>
      <w:tr w14:paraId="4179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79D1DD9">
            <w:pPr>
              <w:widowControl/>
              <w:jc w:val="left"/>
              <w:rPr>
                <w:rFonts w:ascii="宋体" w:hAnsi="宋体" w:eastAsia="宋体" w:cs="宋体"/>
                <w:color w:val="000000" w:themeColor="text1"/>
                <w:kern w:val="0"/>
                <w:sz w:val="20"/>
                <w:szCs w:val="21"/>
              </w:rPr>
            </w:pPr>
          </w:p>
        </w:tc>
        <w:tc>
          <w:tcPr>
            <w:tcW w:w="1746" w:type="dxa"/>
          </w:tcPr>
          <w:p w14:paraId="0570D399">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质量保证措施</w:t>
            </w:r>
          </w:p>
        </w:tc>
        <w:tc>
          <w:tcPr>
            <w:tcW w:w="5700" w:type="dxa"/>
            <w:vAlign w:val="center"/>
          </w:tcPr>
          <w:p w14:paraId="362CA8BA">
            <w:pPr>
              <w:adjustRightInd w:val="0"/>
              <w:spacing w:line="288" w:lineRule="auto"/>
              <w:outlineLvl w:val="0"/>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质量保障措施方案：内容完善详细可实施性强得4</w:t>
            </w:r>
            <w:r>
              <w:rPr>
                <w:rFonts w:ascii="宋体" w:hAnsi="宋体" w:eastAsia="宋体" w:cs="宋体"/>
                <w:color w:val="000000" w:themeColor="text1"/>
                <w:kern w:val="0"/>
                <w:sz w:val="20"/>
                <w:szCs w:val="21"/>
              </w:rPr>
              <w:t>分，内容基本完善描述简略可实施得</w:t>
            </w:r>
            <w:r>
              <w:rPr>
                <w:rFonts w:hint="eastAsia" w:ascii="宋体" w:hAnsi="宋体" w:eastAsia="宋体" w:cs="宋体"/>
                <w:color w:val="000000" w:themeColor="text1"/>
                <w:kern w:val="0"/>
                <w:sz w:val="20"/>
                <w:szCs w:val="21"/>
              </w:rPr>
              <w:t>3</w:t>
            </w:r>
            <w:r>
              <w:rPr>
                <w:rFonts w:ascii="宋体" w:hAnsi="宋体" w:eastAsia="宋体" w:cs="宋体"/>
                <w:color w:val="000000" w:themeColor="text1"/>
                <w:kern w:val="0"/>
                <w:sz w:val="20"/>
                <w:szCs w:val="21"/>
              </w:rPr>
              <w:t>分，内容简略</w:t>
            </w:r>
            <w:r>
              <w:rPr>
                <w:rFonts w:hint="eastAsia" w:ascii="宋体" w:hAnsi="宋体" w:eastAsia="宋体" w:cs="宋体"/>
                <w:color w:val="000000" w:themeColor="text1"/>
                <w:kern w:val="0"/>
                <w:sz w:val="20"/>
                <w:szCs w:val="21"/>
              </w:rPr>
              <w:t>或有</w:t>
            </w:r>
            <w:r>
              <w:rPr>
                <w:rFonts w:ascii="宋体" w:hAnsi="宋体" w:eastAsia="宋体" w:cs="宋体"/>
                <w:color w:val="000000" w:themeColor="text1"/>
                <w:kern w:val="0"/>
                <w:sz w:val="20"/>
                <w:szCs w:val="21"/>
              </w:rPr>
              <w:t>欠缺得2分，内容欠缺较大需完善后实施得1分，</w:t>
            </w:r>
            <w:r>
              <w:rPr>
                <w:rFonts w:hint="eastAsia" w:ascii="宋体" w:hAnsi="宋体" w:eastAsia="宋体" w:cs="宋体"/>
                <w:color w:val="000000" w:themeColor="text1"/>
                <w:kern w:val="0"/>
                <w:sz w:val="20"/>
                <w:szCs w:val="21"/>
              </w:rPr>
              <w:t>未提供不得分。</w:t>
            </w:r>
          </w:p>
        </w:tc>
        <w:tc>
          <w:tcPr>
            <w:tcW w:w="780" w:type="dxa"/>
          </w:tcPr>
          <w:p w14:paraId="0C2054D9">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4</w:t>
            </w:r>
          </w:p>
        </w:tc>
      </w:tr>
      <w:tr w14:paraId="0E97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1ED97109">
            <w:pPr>
              <w:widowControl/>
              <w:jc w:val="left"/>
              <w:rPr>
                <w:rFonts w:ascii="宋体" w:hAnsi="宋体" w:eastAsia="宋体" w:cs="宋体"/>
                <w:color w:val="000000" w:themeColor="text1"/>
                <w:kern w:val="0"/>
                <w:sz w:val="20"/>
                <w:szCs w:val="21"/>
              </w:rPr>
            </w:pPr>
          </w:p>
        </w:tc>
        <w:tc>
          <w:tcPr>
            <w:tcW w:w="1746" w:type="dxa"/>
          </w:tcPr>
          <w:p w14:paraId="1EA35BFE">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设备情况</w:t>
            </w:r>
          </w:p>
        </w:tc>
        <w:tc>
          <w:tcPr>
            <w:tcW w:w="5700" w:type="dxa"/>
            <w:vAlign w:val="center"/>
          </w:tcPr>
          <w:p w14:paraId="19AA1EAF">
            <w:pPr>
              <w:adjustRightInd w:val="0"/>
              <w:spacing w:line="288" w:lineRule="auto"/>
              <w:outlineLvl w:val="0"/>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巡检车辆：</w:t>
            </w:r>
          </w:p>
          <w:p w14:paraId="11F661BE">
            <w:pPr>
              <w:adjustRightInd w:val="0"/>
              <w:spacing w:line="288" w:lineRule="auto"/>
              <w:outlineLvl w:val="0"/>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拟派本项目巡检车辆，配备</w:t>
            </w:r>
            <w:r>
              <w:rPr>
                <w:rFonts w:ascii="宋体" w:hAnsi="宋体" w:eastAsia="宋体" w:cs="宋体"/>
                <w:color w:val="000000" w:themeColor="text1"/>
                <w:kern w:val="0"/>
                <w:sz w:val="20"/>
                <w:szCs w:val="21"/>
              </w:rPr>
              <w:t>1辆得2分，</w:t>
            </w:r>
            <w:r>
              <w:rPr>
                <w:rFonts w:hint="eastAsia" w:ascii="宋体" w:hAnsi="宋体" w:eastAsia="宋体" w:cs="宋体"/>
                <w:color w:val="000000" w:themeColor="text1"/>
                <w:kern w:val="0"/>
                <w:sz w:val="20"/>
                <w:szCs w:val="21"/>
              </w:rPr>
              <w:t>最高4分；</w:t>
            </w:r>
            <w:r>
              <w:rPr>
                <w:rFonts w:ascii="宋体" w:hAnsi="宋体" w:eastAsia="宋体" w:cs="宋体"/>
                <w:color w:val="000000" w:themeColor="text1"/>
                <w:kern w:val="0"/>
                <w:sz w:val="20"/>
                <w:szCs w:val="21"/>
              </w:rPr>
              <w:t>不配备不得分。（根据投标文件提供的设备照片、购车发票或租赁协议、车辆行驶证及机动车登记证书清晰扫描件打分）。</w:t>
            </w:r>
          </w:p>
        </w:tc>
        <w:tc>
          <w:tcPr>
            <w:tcW w:w="780" w:type="dxa"/>
          </w:tcPr>
          <w:p w14:paraId="5D3B2C5D">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4</w:t>
            </w:r>
          </w:p>
        </w:tc>
      </w:tr>
      <w:tr w14:paraId="1021D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474D68F">
            <w:pPr>
              <w:widowControl/>
              <w:jc w:val="left"/>
              <w:rPr>
                <w:rFonts w:ascii="宋体" w:hAnsi="宋体" w:eastAsia="宋体" w:cs="宋体"/>
                <w:color w:val="000000" w:themeColor="text1"/>
                <w:kern w:val="0"/>
                <w:sz w:val="20"/>
                <w:szCs w:val="21"/>
              </w:rPr>
            </w:pPr>
          </w:p>
        </w:tc>
        <w:tc>
          <w:tcPr>
            <w:tcW w:w="1746" w:type="dxa"/>
          </w:tcPr>
          <w:p w14:paraId="14C5E44A">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服务承诺</w:t>
            </w:r>
          </w:p>
        </w:tc>
        <w:tc>
          <w:tcPr>
            <w:tcW w:w="5700" w:type="dxa"/>
            <w:vAlign w:val="center"/>
          </w:tcPr>
          <w:p w14:paraId="64C04E80">
            <w:pPr>
              <w:adjustRightInd w:val="0"/>
              <w:spacing w:line="288" w:lineRule="auto"/>
              <w:outlineLvl w:val="0"/>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对本项目的服务承诺以及服务的响应，完全满足招标要求的得4</w:t>
            </w:r>
            <w:r>
              <w:rPr>
                <w:rFonts w:ascii="宋体" w:hAnsi="宋体" w:eastAsia="宋体" w:cs="宋体"/>
                <w:color w:val="000000" w:themeColor="text1"/>
                <w:kern w:val="0"/>
                <w:sz w:val="20"/>
                <w:szCs w:val="21"/>
              </w:rPr>
              <w:t>分，部分满足的得</w:t>
            </w:r>
            <w:r>
              <w:rPr>
                <w:rFonts w:hint="eastAsia" w:ascii="宋体" w:hAnsi="宋体" w:eastAsia="宋体" w:cs="宋体"/>
                <w:color w:val="000000" w:themeColor="text1"/>
                <w:kern w:val="0"/>
                <w:sz w:val="20"/>
                <w:szCs w:val="21"/>
              </w:rPr>
              <w:t>3</w:t>
            </w:r>
            <w:r>
              <w:rPr>
                <w:rFonts w:ascii="宋体" w:hAnsi="宋体" w:eastAsia="宋体" w:cs="宋体"/>
                <w:color w:val="000000" w:themeColor="text1"/>
                <w:kern w:val="0"/>
                <w:sz w:val="20"/>
                <w:szCs w:val="21"/>
              </w:rPr>
              <w:t>分，只有极少部分满足得</w:t>
            </w:r>
            <w:r>
              <w:rPr>
                <w:rFonts w:hint="eastAsia" w:ascii="宋体" w:hAnsi="宋体" w:eastAsia="宋体" w:cs="宋体"/>
                <w:color w:val="000000" w:themeColor="text1"/>
                <w:kern w:val="0"/>
                <w:sz w:val="20"/>
                <w:szCs w:val="21"/>
              </w:rPr>
              <w:t>2</w:t>
            </w:r>
            <w:r>
              <w:rPr>
                <w:rFonts w:ascii="宋体" w:hAnsi="宋体" w:eastAsia="宋体" w:cs="宋体"/>
                <w:color w:val="000000" w:themeColor="text1"/>
                <w:kern w:val="0"/>
                <w:sz w:val="20"/>
                <w:szCs w:val="21"/>
              </w:rPr>
              <w:t>分，</w:t>
            </w:r>
            <w:r>
              <w:rPr>
                <w:rFonts w:hint="eastAsia" w:ascii="宋体" w:hAnsi="宋体" w:eastAsia="宋体" w:cs="宋体"/>
                <w:color w:val="000000" w:themeColor="text1"/>
                <w:kern w:val="0"/>
                <w:sz w:val="20"/>
                <w:szCs w:val="21"/>
              </w:rPr>
              <w:t>未提供不得分。</w:t>
            </w:r>
          </w:p>
        </w:tc>
        <w:tc>
          <w:tcPr>
            <w:tcW w:w="780" w:type="dxa"/>
          </w:tcPr>
          <w:p w14:paraId="0593E041">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4</w:t>
            </w:r>
          </w:p>
        </w:tc>
      </w:tr>
      <w:tr w14:paraId="51555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1D6A936">
            <w:pPr>
              <w:widowControl/>
              <w:jc w:val="left"/>
              <w:rPr>
                <w:rFonts w:ascii="宋体" w:hAnsi="宋体" w:eastAsia="宋体" w:cs="宋体"/>
                <w:color w:val="000000" w:themeColor="text1"/>
                <w:kern w:val="0"/>
                <w:sz w:val="20"/>
                <w:szCs w:val="21"/>
              </w:rPr>
            </w:pPr>
          </w:p>
        </w:tc>
        <w:tc>
          <w:tcPr>
            <w:tcW w:w="1746" w:type="dxa"/>
          </w:tcPr>
          <w:p w14:paraId="5A534003">
            <w:pPr>
              <w:jc w:val="center"/>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巡检报告</w:t>
            </w:r>
          </w:p>
        </w:tc>
        <w:tc>
          <w:tcPr>
            <w:tcW w:w="5700" w:type="dxa"/>
            <w:vAlign w:val="center"/>
          </w:tcPr>
          <w:p w14:paraId="2425FBF7">
            <w:pPr>
              <w:adjustRightInd w:val="0"/>
              <w:spacing w:line="288" w:lineRule="auto"/>
              <w:outlineLvl w:val="0"/>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提供巡检报告，是否能够按时提供检查、比对分析、考核等相关报告。内容完善详细可实施性强得4</w:t>
            </w:r>
            <w:r>
              <w:rPr>
                <w:rFonts w:ascii="宋体" w:hAnsi="宋体" w:eastAsia="宋体" w:cs="宋体"/>
                <w:color w:val="000000" w:themeColor="text1"/>
                <w:kern w:val="0"/>
                <w:sz w:val="20"/>
                <w:szCs w:val="21"/>
              </w:rPr>
              <w:t>分，内容基本完善描述简略可实施得</w:t>
            </w:r>
            <w:r>
              <w:rPr>
                <w:rFonts w:hint="eastAsia" w:ascii="宋体" w:hAnsi="宋体" w:eastAsia="宋体" w:cs="宋体"/>
                <w:color w:val="000000" w:themeColor="text1"/>
                <w:kern w:val="0"/>
                <w:sz w:val="20"/>
                <w:szCs w:val="21"/>
              </w:rPr>
              <w:t>3</w:t>
            </w:r>
            <w:r>
              <w:rPr>
                <w:rFonts w:ascii="宋体" w:hAnsi="宋体" w:eastAsia="宋体" w:cs="宋体"/>
                <w:color w:val="000000" w:themeColor="text1"/>
                <w:kern w:val="0"/>
                <w:sz w:val="20"/>
                <w:szCs w:val="21"/>
              </w:rPr>
              <w:t>分，内容简略基本可行</w:t>
            </w:r>
            <w:r>
              <w:rPr>
                <w:rFonts w:hint="eastAsia" w:ascii="宋体" w:hAnsi="宋体" w:eastAsia="宋体" w:cs="宋体"/>
                <w:color w:val="000000" w:themeColor="text1"/>
                <w:kern w:val="0"/>
                <w:sz w:val="20"/>
                <w:szCs w:val="21"/>
              </w:rPr>
              <w:t>或</w:t>
            </w:r>
            <w:r>
              <w:rPr>
                <w:rFonts w:ascii="宋体" w:hAnsi="宋体" w:eastAsia="宋体" w:cs="宋体"/>
                <w:color w:val="000000" w:themeColor="text1"/>
                <w:kern w:val="0"/>
                <w:sz w:val="20"/>
                <w:szCs w:val="21"/>
              </w:rPr>
              <w:t>内容欠缺较大需完善后实施得</w:t>
            </w:r>
            <w:r>
              <w:rPr>
                <w:rFonts w:hint="eastAsia" w:ascii="宋体" w:hAnsi="宋体" w:eastAsia="宋体" w:cs="宋体"/>
                <w:color w:val="000000" w:themeColor="text1"/>
                <w:kern w:val="0"/>
                <w:sz w:val="20"/>
                <w:szCs w:val="21"/>
              </w:rPr>
              <w:t>2</w:t>
            </w:r>
            <w:r>
              <w:rPr>
                <w:rFonts w:ascii="宋体" w:hAnsi="宋体" w:eastAsia="宋体" w:cs="宋体"/>
                <w:color w:val="000000" w:themeColor="text1"/>
                <w:kern w:val="0"/>
                <w:sz w:val="20"/>
                <w:szCs w:val="21"/>
              </w:rPr>
              <w:t>分</w:t>
            </w:r>
            <w:r>
              <w:rPr>
                <w:rFonts w:hint="eastAsia" w:ascii="宋体" w:hAnsi="宋体" w:cs="宋体"/>
                <w:color w:val="000000" w:themeColor="text1"/>
                <w:kern w:val="0"/>
                <w:sz w:val="20"/>
                <w:szCs w:val="21"/>
                <w:lang w:eastAsia="zh-CN"/>
              </w:rPr>
              <w:t>。</w:t>
            </w:r>
          </w:p>
          <w:p w14:paraId="6279C32A">
            <w:pPr>
              <w:adjustRightInd w:val="0"/>
              <w:spacing w:line="288" w:lineRule="auto"/>
              <w:outlineLvl w:val="0"/>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未提供不得分。</w:t>
            </w:r>
          </w:p>
        </w:tc>
        <w:tc>
          <w:tcPr>
            <w:tcW w:w="780" w:type="dxa"/>
          </w:tcPr>
          <w:p w14:paraId="62116A3A">
            <w:pPr>
              <w:jc w:val="left"/>
              <w:rPr>
                <w:rFonts w:ascii="宋体" w:hAnsi="宋体" w:eastAsia="宋体" w:cs="宋体"/>
                <w:color w:val="000000" w:themeColor="text1"/>
                <w:kern w:val="0"/>
                <w:sz w:val="20"/>
                <w:szCs w:val="21"/>
              </w:rPr>
            </w:pPr>
            <w:r>
              <w:rPr>
                <w:rFonts w:hint="eastAsia" w:ascii="宋体" w:hAnsi="宋体" w:eastAsia="宋体" w:cs="宋体"/>
                <w:color w:val="000000" w:themeColor="text1"/>
                <w:kern w:val="0"/>
                <w:sz w:val="20"/>
                <w:szCs w:val="21"/>
              </w:rPr>
              <w:t>4</w:t>
            </w:r>
          </w:p>
        </w:tc>
      </w:tr>
    </w:tbl>
    <w:p w14:paraId="51949D38">
      <w:pPr>
        <w:snapToGrid w:val="0"/>
        <w:spacing w:line="360" w:lineRule="auto"/>
        <w:rPr>
          <w:rFonts w:ascii="宋体" w:hAnsi="宋体" w:eastAsia="宋体" w:cs="宋体"/>
          <w:color w:val="000000" w:themeColor="text1"/>
          <w:szCs w:val="21"/>
        </w:rPr>
      </w:pPr>
    </w:p>
    <w:p w14:paraId="0E792C95">
      <w:pPr>
        <w:spacing w:line="360" w:lineRule="auto"/>
        <w:jc w:val="left"/>
        <w:rPr>
          <w:rFonts w:ascii="Times New Roman" w:hAnsi="Times New Roman" w:eastAsia="宋体" w:cs="Times New Roman"/>
          <w:b/>
          <w:bCs/>
          <w:color w:val="000000" w:themeColor="text1"/>
          <w:szCs w:val="21"/>
        </w:rPr>
      </w:pPr>
    </w:p>
    <w:p w14:paraId="6D3F42C9">
      <w:pPr>
        <w:spacing w:line="360" w:lineRule="auto"/>
        <w:jc w:val="left"/>
        <w:rPr>
          <w:rFonts w:ascii="Times New Roman" w:hAnsi="Times New Roman" w:eastAsia="宋体" w:cs="Times New Roman"/>
          <w:b/>
          <w:bCs/>
          <w:color w:val="000000" w:themeColor="text1"/>
          <w:szCs w:val="21"/>
        </w:rPr>
      </w:pPr>
    </w:p>
    <w:p w14:paraId="2F0C233A">
      <w:pPr>
        <w:spacing w:line="360" w:lineRule="auto"/>
        <w:jc w:val="left"/>
        <w:rPr>
          <w:rFonts w:ascii="Times New Roman" w:hAnsi="Times New Roman" w:eastAsia="宋体" w:cs="Times New Roman"/>
          <w:b/>
          <w:bCs/>
          <w:color w:val="000000" w:themeColor="text1"/>
          <w:szCs w:val="21"/>
        </w:rPr>
      </w:pPr>
    </w:p>
    <w:p w14:paraId="5AF98AAB">
      <w:pPr>
        <w:spacing w:line="360" w:lineRule="auto"/>
        <w:jc w:val="left"/>
        <w:rPr>
          <w:rFonts w:ascii="Times New Roman" w:hAnsi="Times New Roman" w:eastAsia="宋体" w:cs="Times New Roman"/>
          <w:b/>
          <w:bCs/>
          <w:color w:val="000000" w:themeColor="text1"/>
          <w:szCs w:val="21"/>
        </w:rPr>
      </w:pPr>
    </w:p>
    <w:p w14:paraId="2EB91AAF">
      <w:pPr>
        <w:spacing w:line="360" w:lineRule="auto"/>
        <w:jc w:val="left"/>
        <w:rPr>
          <w:rFonts w:ascii="Times New Roman" w:hAnsi="Times New Roman" w:eastAsia="宋体" w:cs="Times New Roman"/>
          <w:b/>
          <w:bCs/>
          <w:color w:val="000000" w:themeColor="text1"/>
          <w:szCs w:val="21"/>
        </w:rPr>
      </w:pPr>
    </w:p>
    <w:p w14:paraId="1E49A871">
      <w:pPr>
        <w:spacing w:line="360" w:lineRule="auto"/>
        <w:jc w:val="left"/>
        <w:rPr>
          <w:rFonts w:ascii="Times New Roman" w:hAnsi="Times New Roman" w:eastAsia="宋体" w:cs="Times New Roman"/>
          <w:b/>
          <w:bCs/>
          <w:color w:val="000000" w:themeColor="text1"/>
          <w:szCs w:val="21"/>
        </w:rPr>
      </w:pPr>
    </w:p>
    <w:p w14:paraId="1302944B">
      <w:pPr>
        <w:spacing w:line="360" w:lineRule="auto"/>
        <w:jc w:val="left"/>
        <w:rPr>
          <w:rFonts w:ascii="Times New Roman" w:hAnsi="Times New Roman" w:eastAsia="宋体" w:cs="Times New Roman"/>
          <w:b/>
          <w:bCs/>
          <w:color w:val="000000" w:themeColor="text1"/>
          <w:szCs w:val="21"/>
        </w:rPr>
      </w:pPr>
    </w:p>
    <w:p w14:paraId="1F47340A">
      <w:pPr>
        <w:spacing w:line="360" w:lineRule="auto"/>
        <w:jc w:val="left"/>
        <w:rPr>
          <w:rFonts w:ascii="Times New Roman" w:hAnsi="Times New Roman" w:eastAsia="宋体" w:cs="Times New Roman"/>
          <w:b/>
          <w:bCs/>
          <w:color w:val="000000" w:themeColor="text1"/>
          <w:szCs w:val="21"/>
        </w:rPr>
      </w:pPr>
    </w:p>
    <w:p w14:paraId="6BA2FF08">
      <w:pPr>
        <w:spacing w:line="360" w:lineRule="auto"/>
        <w:jc w:val="left"/>
        <w:rPr>
          <w:rFonts w:ascii="Times New Roman" w:hAnsi="Times New Roman" w:eastAsia="宋体" w:cs="Times New Roman"/>
          <w:b/>
          <w:bCs/>
          <w:color w:val="000000" w:themeColor="text1"/>
          <w:szCs w:val="21"/>
        </w:rPr>
      </w:pPr>
    </w:p>
    <w:p w14:paraId="75BC9237">
      <w:pPr>
        <w:spacing w:line="360" w:lineRule="auto"/>
        <w:jc w:val="left"/>
        <w:rPr>
          <w:rFonts w:ascii="Times New Roman" w:hAnsi="Times New Roman" w:eastAsia="宋体" w:cs="Times New Roman"/>
          <w:b/>
          <w:bCs/>
          <w:color w:val="000000" w:themeColor="text1"/>
          <w:szCs w:val="21"/>
        </w:rPr>
      </w:pPr>
    </w:p>
    <w:p w14:paraId="78EB7E17">
      <w:pPr>
        <w:spacing w:line="360" w:lineRule="auto"/>
        <w:jc w:val="left"/>
        <w:rPr>
          <w:rFonts w:ascii="Times New Roman" w:hAnsi="Times New Roman" w:eastAsia="宋体" w:cs="Times New Roman"/>
          <w:b/>
          <w:bCs/>
          <w:color w:val="000000" w:themeColor="text1"/>
          <w:szCs w:val="21"/>
        </w:rPr>
      </w:pPr>
    </w:p>
    <w:p w14:paraId="0181F3A5">
      <w:pPr>
        <w:spacing w:line="360" w:lineRule="auto"/>
        <w:jc w:val="left"/>
        <w:rPr>
          <w:rFonts w:ascii="Times New Roman" w:hAnsi="Times New Roman" w:eastAsia="宋体" w:cs="Times New Roman"/>
          <w:b/>
          <w:bCs/>
          <w:color w:val="000000" w:themeColor="text1"/>
          <w:szCs w:val="21"/>
        </w:rPr>
      </w:pPr>
    </w:p>
    <w:p w14:paraId="4B86AE03">
      <w:pPr>
        <w:spacing w:line="360" w:lineRule="auto"/>
        <w:jc w:val="left"/>
        <w:rPr>
          <w:rFonts w:ascii="Times New Roman" w:hAnsi="Times New Roman" w:eastAsia="宋体" w:cs="Times New Roman"/>
          <w:b/>
          <w:bCs/>
          <w:color w:val="000000" w:themeColor="text1"/>
          <w:szCs w:val="21"/>
        </w:rPr>
      </w:pPr>
    </w:p>
    <w:p w14:paraId="782AB0DB">
      <w:pPr>
        <w:spacing w:line="360" w:lineRule="auto"/>
        <w:jc w:val="left"/>
        <w:rPr>
          <w:rFonts w:ascii="Times New Roman" w:hAnsi="Times New Roman" w:eastAsia="宋体" w:cs="Times New Roman"/>
          <w:b/>
          <w:bCs/>
          <w:color w:val="000000" w:themeColor="text1"/>
          <w:szCs w:val="21"/>
        </w:rPr>
      </w:pPr>
    </w:p>
    <w:p w14:paraId="25254DC7">
      <w:pPr>
        <w:spacing w:line="360" w:lineRule="auto"/>
        <w:jc w:val="left"/>
        <w:rPr>
          <w:rFonts w:ascii="Times New Roman" w:hAnsi="Times New Roman" w:eastAsia="宋体" w:cs="Times New Roman"/>
          <w:b/>
          <w:bCs/>
          <w:color w:val="000000" w:themeColor="text1"/>
          <w:szCs w:val="21"/>
        </w:rPr>
      </w:pPr>
    </w:p>
    <w:p w14:paraId="4595DA64">
      <w:pPr>
        <w:spacing w:line="360" w:lineRule="auto"/>
        <w:jc w:val="left"/>
        <w:rPr>
          <w:rFonts w:ascii="Times New Roman" w:hAnsi="Times New Roman" w:eastAsia="宋体" w:cs="Times New Roman"/>
          <w:b/>
          <w:bCs/>
          <w:color w:val="000000" w:themeColor="text1"/>
          <w:szCs w:val="21"/>
        </w:rPr>
      </w:pPr>
    </w:p>
    <w:p w14:paraId="57A5B909">
      <w:pPr>
        <w:spacing w:line="360" w:lineRule="auto"/>
        <w:jc w:val="left"/>
        <w:rPr>
          <w:rFonts w:ascii="Times New Roman" w:hAnsi="Times New Roman" w:eastAsia="宋体" w:cs="Times New Roman"/>
          <w:b/>
          <w:bCs/>
          <w:color w:val="000000" w:themeColor="text1"/>
          <w:szCs w:val="21"/>
        </w:rPr>
      </w:pPr>
    </w:p>
    <w:p w14:paraId="3B358475">
      <w:pPr>
        <w:spacing w:line="360" w:lineRule="auto"/>
        <w:jc w:val="left"/>
        <w:rPr>
          <w:rFonts w:ascii="Times New Roman" w:hAnsi="Times New Roman" w:eastAsia="宋体" w:cs="Times New Roman"/>
          <w:b/>
          <w:bCs/>
          <w:color w:val="000000" w:themeColor="text1"/>
          <w:szCs w:val="21"/>
        </w:rPr>
      </w:pPr>
    </w:p>
    <w:p w14:paraId="049BAC4F">
      <w:pPr>
        <w:spacing w:line="360" w:lineRule="auto"/>
        <w:jc w:val="left"/>
        <w:rPr>
          <w:rFonts w:ascii="Times New Roman" w:hAnsi="Times New Roman" w:eastAsia="宋体" w:cs="Times New Roman"/>
          <w:b/>
          <w:bCs/>
          <w:color w:val="000000" w:themeColor="text1"/>
          <w:szCs w:val="21"/>
        </w:rPr>
      </w:pPr>
    </w:p>
    <w:p w14:paraId="3A79A7C2">
      <w:pPr>
        <w:jc w:val="center"/>
        <w:rPr>
          <w:rFonts w:hint="eastAsia" w:ascii="Times New Roman" w:hAnsi="Times New Roman" w:eastAsia="宋体" w:cs="Times New Roman"/>
          <w:color w:val="000000" w:themeColor="text1"/>
          <w:sz w:val="32"/>
          <w:szCs w:val="32"/>
          <w:lang w:eastAsia="zh-CN"/>
        </w:rPr>
      </w:pPr>
      <w:r>
        <w:rPr>
          <w:rFonts w:ascii="Times New Roman" w:hAnsi="Times New Roman" w:cs="Times New Roman"/>
          <w:b/>
          <w:bCs/>
          <w:color w:val="000000" w:themeColor="text1"/>
          <w:sz w:val="32"/>
          <w:szCs w:val="32"/>
        </w:rPr>
        <w:t>第五章合同主要条款</w:t>
      </w:r>
      <w:r>
        <w:rPr>
          <w:rFonts w:hint="eastAsia" w:ascii="Times New Roman" w:hAnsi="Times New Roman" w:cs="Times New Roman"/>
          <w:b/>
          <w:bCs/>
          <w:color w:val="000000" w:themeColor="text1"/>
          <w:sz w:val="32"/>
          <w:szCs w:val="32"/>
          <w:lang w:eastAsia="zh-CN"/>
        </w:rPr>
        <w:t>（</w:t>
      </w:r>
      <w:r>
        <w:rPr>
          <w:rFonts w:hint="eastAsia" w:ascii="Times New Roman" w:hAnsi="Times New Roman" w:cs="Times New Roman"/>
          <w:b/>
          <w:bCs/>
          <w:color w:val="000000" w:themeColor="text1"/>
          <w:sz w:val="32"/>
          <w:szCs w:val="32"/>
          <w:lang w:val="en-US" w:eastAsia="zh-CN"/>
        </w:rPr>
        <w:t>标项一</w:t>
      </w:r>
      <w:r>
        <w:rPr>
          <w:rFonts w:hint="eastAsia" w:ascii="Times New Roman" w:hAnsi="Times New Roman" w:cs="Times New Roman"/>
          <w:b/>
          <w:bCs/>
          <w:color w:val="000000" w:themeColor="text1"/>
          <w:sz w:val="32"/>
          <w:szCs w:val="32"/>
          <w:lang w:eastAsia="zh-CN"/>
        </w:rPr>
        <w:t>）</w:t>
      </w:r>
    </w:p>
    <w:p w14:paraId="1BDE68C7">
      <w:pPr>
        <w:pStyle w:val="17"/>
        <w:spacing w:line="360" w:lineRule="auto"/>
        <w:ind w:right="-341" w:firstLine="0" w:firstLineChars="0"/>
        <w:jc w:val="center"/>
        <w:rPr>
          <w:color w:val="000000" w:themeColor="text1"/>
        </w:rPr>
      </w:pPr>
      <w:r>
        <w:rPr>
          <w:color w:val="000000" w:themeColor="text1"/>
        </w:rPr>
        <w:t>（此合同仅供参</w:t>
      </w:r>
      <w:r>
        <w:rPr>
          <w:color w:val="000000" w:themeColor="text1"/>
          <w:szCs w:val="22"/>
        </w:rPr>
        <w:t>考,以最终双方签订的合同为准）</w:t>
      </w:r>
    </w:p>
    <w:p w14:paraId="3EFB8B32">
      <w:pPr>
        <w:snapToGrid w:val="0"/>
        <w:spacing w:line="360" w:lineRule="auto"/>
        <w:textAlignment w:val="baseline"/>
        <w:rPr>
          <w:color w:val="000000" w:themeColor="text1"/>
          <w:sz w:val="20"/>
          <w:highlight w:val="none"/>
          <w:u w:val="single"/>
        </w:rPr>
      </w:pPr>
      <w:r>
        <w:rPr>
          <w:color w:val="000000" w:themeColor="text1"/>
          <w:highlight w:val="none"/>
        </w:rPr>
        <w:t>甲方（采购单位）：</w:t>
      </w:r>
    </w:p>
    <w:p w14:paraId="3EDC9B0A">
      <w:pPr>
        <w:snapToGrid w:val="0"/>
        <w:spacing w:line="360" w:lineRule="auto"/>
        <w:textAlignment w:val="baseline"/>
        <w:rPr>
          <w:rFonts w:ascii="宋体" w:hAnsi="宋体"/>
          <w:color w:val="000000" w:themeColor="text1"/>
          <w:spacing w:val="4"/>
          <w:sz w:val="20"/>
          <w:highlight w:val="none"/>
        </w:rPr>
      </w:pPr>
      <w:r>
        <w:rPr>
          <w:color w:val="000000" w:themeColor="text1"/>
          <w:highlight w:val="none"/>
        </w:rPr>
        <w:t>乙方（中标单位）：</w:t>
      </w:r>
    </w:p>
    <w:p w14:paraId="19F1E5A5">
      <w:pPr>
        <w:spacing w:line="288" w:lineRule="auto"/>
        <w:ind w:firstLine="396" w:firstLineChars="200"/>
        <w:jc w:val="left"/>
        <w:rPr>
          <w:rFonts w:ascii="宋体" w:hAnsi="宋体" w:cs="宋体"/>
          <w:color w:val="000000" w:themeColor="text1"/>
          <w:spacing w:val="-6"/>
          <w:highlight w:val="none"/>
        </w:rPr>
      </w:pPr>
      <w:r>
        <w:rPr>
          <w:rFonts w:hint="eastAsia" w:ascii="宋体" w:hAnsi="宋体" w:cs="宋体"/>
          <w:color w:val="000000" w:themeColor="text1"/>
          <w:spacing w:val="-6"/>
          <w:highlight w:val="none"/>
        </w:rPr>
        <w:t>本章所述《合同主要条款》为指引性文件。在合同签订时，采购人有权合理修改本合同条款。若采购人和成交人双方同意，合同格式也可以按照其他形式。合同条款的基本内容与本章所述《合同主要条款》要求的内同相一致，同时采购文件及其答疑、补充、修改；成交人的响应文件正本；供应商在评审答疑时的书面澄清或说明；成交通知书等文件是构成合同不可分割的部分。</w:t>
      </w:r>
    </w:p>
    <w:p w14:paraId="302FA6C7">
      <w:pPr>
        <w:spacing w:line="288" w:lineRule="auto"/>
        <w:ind w:firstLine="396" w:firstLineChars="200"/>
        <w:jc w:val="left"/>
        <w:rPr>
          <w:rFonts w:ascii="宋体" w:hAnsi="宋体" w:cs="宋体"/>
          <w:color w:val="000000" w:themeColor="text1"/>
          <w:spacing w:val="-6"/>
          <w:highlight w:val="none"/>
        </w:rPr>
      </w:pPr>
    </w:p>
    <w:p w14:paraId="62F2D89B">
      <w:pPr>
        <w:spacing w:line="288" w:lineRule="auto"/>
        <w:ind w:firstLine="396" w:firstLineChars="200"/>
        <w:jc w:val="left"/>
        <w:rPr>
          <w:rFonts w:hint="eastAsia" w:ascii="宋体" w:hAnsi="宋体" w:eastAsia="宋体" w:cs="宋体"/>
          <w:color w:val="000000" w:themeColor="text1"/>
          <w:spacing w:val="-6"/>
          <w:highlight w:val="none"/>
          <w:lang w:eastAsia="zh-CN"/>
        </w:rPr>
      </w:pPr>
      <w:r>
        <w:rPr>
          <w:rFonts w:hint="eastAsia" w:ascii="宋体" w:hAnsi="宋体" w:cs="宋体"/>
          <w:color w:val="000000" w:themeColor="text1"/>
          <w:spacing w:val="-6"/>
          <w:highlight w:val="none"/>
        </w:rPr>
        <w:t>项目名称：</w:t>
      </w:r>
      <w:r>
        <w:rPr>
          <w:rFonts w:hint="eastAsia" w:ascii="宋体" w:hAnsi="宋体"/>
          <w:color w:val="000000" w:themeColor="text1"/>
          <w:szCs w:val="24"/>
          <w:highlight w:val="none"/>
          <w:lang w:eastAsia="zh-CN"/>
        </w:rPr>
        <w:t>舟山生态大楼颗粒物组分站2025年度运维服务项目</w:t>
      </w:r>
    </w:p>
    <w:p w14:paraId="68F9D58B">
      <w:pPr>
        <w:spacing w:line="288" w:lineRule="auto"/>
        <w:ind w:firstLine="396" w:firstLineChars="200"/>
        <w:jc w:val="left"/>
        <w:rPr>
          <w:rFonts w:ascii="宋体" w:hAnsi="宋体" w:cs="宋体"/>
          <w:color w:val="000000" w:themeColor="text1"/>
          <w:spacing w:val="-6"/>
          <w:highlight w:val="none"/>
        </w:rPr>
      </w:pPr>
      <w:r>
        <w:rPr>
          <w:rFonts w:hint="eastAsia" w:ascii="宋体" w:hAnsi="宋体" w:cs="宋体"/>
          <w:color w:val="000000" w:themeColor="text1"/>
          <w:spacing w:val="-6"/>
          <w:highlight w:val="none"/>
        </w:rPr>
        <w:t>项目编号：</w:t>
      </w:r>
    </w:p>
    <w:p w14:paraId="7D78CD74">
      <w:pPr>
        <w:spacing w:line="288" w:lineRule="auto"/>
        <w:ind w:firstLine="396" w:firstLineChars="200"/>
        <w:jc w:val="left"/>
        <w:rPr>
          <w:rFonts w:ascii="宋体" w:hAnsi="宋体" w:cs="宋体"/>
          <w:color w:val="000000" w:themeColor="text1"/>
          <w:spacing w:val="-6"/>
          <w:highlight w:val="none"/>
        </w:rPr>
      </w:pPr>
      <w:r>
        <w:rPr>
          <w:rFonts w:hint="eastAsia" w:ascii="宋体" w:hAnsi="宋体" w:cs="宋体"/>
          <w:color w:val="000000" w:themeColor="text1"/>
          <w:spacing w:val="-6"/>
          <w:highlight w:val="none"/>
        </w:rPr>
        <w:t>甲方（采购人）：</w:t>
      </w:r>
    </w:p>
    <w:p w14:paraId="2A20585E">
      <w:pPr>
        <w:spacing w:line="288" w:lineRule="auto"/>
        <w:ind w:firstLine="396" w:firstLineChars="200"/>
        <w:jc w:val="left"/>
        <w:rPr>
          <w:rFonts w:ascii="宋体" w:hAnsi="宋体" w:cs="宋体"/>
          <w:color w:val="000000" w:themeColor="text1"/>
          <w:spacing w:val="-6"/>
          <w:highlight w:val="none"/>
        </w:rPr>
      </w:pPr>
      <w:r>
        <w:rPr>
          <w:rFonts w:hint="eastAsia" w:ascii="宋体" w:hAnsi="宋体" w:cs="宋体"/>
          <w:color w:val="000000" w:themeColor="text1"/>
          <w:spacing w:val="-6"/>
          <w:highlight w:val="none"/>
        </w:rPr>
        <w:t>乙方（供应商）：</w:t>
      </w:r>
    </w:p>
    <w:p w14:paraId="05CB4F90">
      <w:pPr>
        <w:spacing w:line="288" w:lineRule="auto"/>
        <w:ind w:firstLine="396" w:firstLineChars="200"/>
        <w:jc w:val="left"/>
        <w:rPr>
          <w:rFonts w:ascii="宋体" w:hAnsi="宋体" w:cs="宋体"/>
          <w:color w:val="000000" w:themeColor="text1"/>
          <w:spacing w:val="-6"/>
          <w:highlight w:val="none"/>
        </w:rPr>
      </w:pPr>
    </w:p>
    <w:p w14:paraId="4B890DFC">
      <w:pPr>
        <w:spacing w:line="288" w:lineRule="auto"/>
        <w:ind w:firstLine="396" w:firstLineChars="200"/>
        <w:jc w:val="left"/>
        <w:rPr>
          <w:rFonts w:ascii="宋体" w:hAnsi="宋体" w:cs="宋体"/>
          <w:color w:val="000000" w:themeColor="text1"/>
          <w:highlight w:val="none"/>
        </w:rPr>
      </w:pPr>
      <w:r>
        <w:rPr>
          <w:rFonts w:hint="eastAsia" w:ascii="宋体" w:hAnsi="宋体" w:cs="宋体"/>
          <w:color w:val="000000" w:themeColor="text1"/>
          <w:spacing w:val="-6"/>
          <w:highlight w:val="none"/>
        </w:rPr>
        <w:t>甲、乙双方根据项目采购的结果，签署本合同。</w:t>
      </w:r>
    </w:p>
    <w:p w14:paraId="44CF452F">
      <w:pPr>
        <w:widowControl/>
        <w:jc w:val="left"/>
        <w:rPr>
          <w:rFonts w:ascii="宋体" w:hAnsi="宋体" w:cs="宋体"/>
          <w:b/>
          <w:color w:val="000000" w:themeColor="text1"/>
          <w:kern w:val="0"/>
          <w:highlight w:val="none"/>
        </w:rPr>
      </w:pPr>
    </w:p>
    <w:p w14:paraId="5B223B4C">
      <w:pPr>
        <w:widowControl/>
        <w:numPr>
          <w:ilvl w:val="0"/>
          <w:numId w:val="10"/>
        </w:numPr>
        <w:ind w:firstLine="422" w:firstLineChars="200"/>
        <w:jc w:val="left"/>
        <w:rPr>
          <w:rFonts w:ascii="宋体" w:hAnsi="宋体" w:cs="宋体"/>
          <w:b/>
          <w:color w:val="000000" w:themeColor="text1"/>
          <w:kern w:val="0"/>
          <w:highlight w:val="none"/>
        </w:rPr>
      </w:pPr>
      <w:r>
        <w:rPr>
          <w:rFonts w:hint="eastAsia" w:ascii="宋体" w:hAnsi="宋体" w:cs="宋体"/>
          <w:b/>
          <w:color w:val="000000" w:themeColor="text1"/>
          <w:kern w:val="0"/>
          <w:highlight w:val="none"/>
        </w:rPr>
        <w:t>服务内容及合同价格</w:t>
      </w:r>
    </w:p>
    <w:p w14:paraId="5CF9FC66">
      <w:pPr>
        <w:pStyle w:val="2"/>
        <w:rPr>
          <w:rFonts w:ascii="宋体" w:hAnsi="宋体" w:cs="宋体"/>
          <w:color w:val="000000" w:themeColor="text1"/>
          <w:spacing w:val="-6"/>
          <w:sz w:val="21"/>
          <w:szCs w:val="21"/>
          <w:highlight w:val="none"/>
        </w:rPr>
      </w:pPr>
      <w:r>
        <w:rPr>
          <w:rFonts w:hint="eastAsia" w:ascii="宋体" w:hAnsi="宋体" w:cs="宋体"/>
          <w:color w:val="000000" w:themeColor="text1"/>
          <w:spacing w:val="-6"/>
          <w:sz w:val="21"/>
          <w:szCs w:val="21"/>
          <w:highlight w:val="none"/>
        </w:rPr>
        <w:t>1、服务内容：</w:t>
      </w:r>
      <w:r>
        <w:rPr>
          <w:rFonts w:hint="eastAsia" w:ascii="宋体" w:hAnsi="宋体" w:cs="宋体"/>
          <w:color w:val="000000" w:themeColor="text1"/>
          <w:spacing w:val="-6"/>
          <w:kern w:val="0"/>
          <w:sz w:val="21"/>
          <w:szCs w:val="21"/>
          <w:highlight w:val="none"/>
        </w:rPr>
        <w:t>大气颗粒物组分监测网自动</w:t>
      </w:r>
      <w:r>
        <w:rPr>
          <w:rFonts w:ascii="宋体" w:hAnsi="宋体" w:cs="宋体"/>
          <w:color w:val="000000" w:themeColor="text1"/>
          <w:spacing w:val="-6"/>
          <w:kern w:val="0"/>
          <w:sz w:val="21"/>
          <w:szCs w:val="21"/>
          <w:highlight w:val="none"/>
        </w:rPr>
        <w:t>站运行维护</w:t>
      </w:r>
      <w:r>
        <w:rPr>
          <w:rFonts w:hint="eastAsia" w:ascii="宋体" w:hAnsi="宋体" w:cs="宋体"/>
          <w:color w:val="000000" w:themeColor="text1"/>
          <w:spacing w:val="-6"/>
          <w:sz w:val="21"/>
          <w:szCs w:val="21"/>
          <w:highlight w:val="none"/>
        </w:rPr>
        <w:t>，详见采购需求。</w:t>
      </w:r>
    </w:p>
    <w:p w14:paraId="5289AD0D">
      <w:pPr>
        <w:pStyle w:val="168"/>
        <w:snapToGrid w:val="0"/>
        <w:spacing w:line="360" w:lineRule="auto"/>
        <w:ind w:firstLine="396" w:firstLineChars="200"/>
        <w:rPr>
          <w:rFonts w:ascii="宋体" w:hAnsi="宋体"/>
          <w:color w:val="000000" w:themeColor="text1"/>
          <w:spacing w:val="-6"/>
          <w:sz w:val="21"/>
          <w:szCs w:val="21"/>
          <w:highlight w:val="none"/>
          <w:lang w:eastAsia="zh-CN"/>
        </w:rPr>
      </w:pPr>
      <w:r>
        <w:rPr>
          <w:rFonts w:hint="eastAsia" w:ascii="宋体" w:hAnsi="宋体" w:eastAsia="宋体"/>
          <w:color w:val="000000" w:themeColor="text1"/>
          <w:spacing w:val="-6"/>
          <w:sz w:val="21"/>
          <w:szCs w:val="21"/>
          <w:highlight w:val="none"/>
          <w:lang w:eastAsia="zh-CN"/>
        </w:rPr>
        <w:t>2、合同金额为（大写）元（￥元）人民币。</w:t>
      </w:r>
    </w:p>
    <w:p w14:paraId="31919578">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二、合同价款的支付</w:t>
      </w:r>
    </w:p>
    <w:p w14:paraId="2DFE3BD7">
      <w:pPr>
        <w:pStyle w:val="22"/>
        <w:spacing w:before="0" w:beforeAutospacing="0" w:after="0" w:afterAutospacing="0" w:line="360" w:lineRule="auto"/>
        <w:ind w:firstLine="420" w:firstLineChars="200"/>
        <w:jc w:val="both"/>
        <w:rPr>
          <w:rFonts w:ascii="宋体" w:hAnsi="宋体" w:cs="宋体"/>
          <w:b/>
          <w:bCs/>
          <w:color w:val="000000" w:themeColor="text1"/>
          <w:sz w:val="21"/>
          <w:szCs w:val="21"/>
          <w:highlight w:val="none"/>
        </w:rPr>
      </w:pPr>
      <w:r>
        <w:rPr>
          <w:rFonts w:hint="eastAsia" w:ascii="宋体" w:hAnsi="宋体" w:cs="宋体"/>
          <w:color w:val="000000" w:themeColor="text1"/>
          <w:sz w:val="21"/>
          <w:szCs w:val="21"/>
          <w:highlight w:val="none"/>
        </w:rPr>
        <w:t>1、本合同中甲乙双方之间所发生的一切费用以人民币进行结算。</w:t>
      </w:r>
    </w:p>
    <w:p w14:paraId="7E39B908">
      <w:pPr>
        <w:widowControl/>
        <w:spacing w:line="360" w:lineRule="auto"/>
        <w:ind w:firstLine="420" w:firstLineChars="200"/>
        <w:jc w:val="left"/>
        <w:rPr>
          <w:rFonts w:ascii="宋体" w:hAnsi="宋体" w:cs="宋体"/>
          <w:color w:val="000000" w:themeColor="text1"/>
          <w:kern w:val="0"/>
          <w:highlight w:val="none"/>
        </w:rPr>
      </w:pPr>
      <w:r>
        <w:rPr>
          <w:rFonts w:hint="eastAsia" w:ascii="宋体" w:hAnsi="宋体" w:cs="宋体"/>
          <w:color w:val="000000" w:themeColor="text1"/>
          <w:kern w:val="0"/>
          <w:highlight w:val="none"/>
        </w:rPr>
        <w:t>2、支付方式：</w:t>
      </w:r>
    </w:p>
    <w:p w14:paraId="17FA34A1">
      <w:pPr>
        <w:adjustRightInd w:val="0"/>
        <w:snapToGrid w:val="0"/>
        <w:spacing w:line="360" w:lineRule="auto"/>
        <w:ind w:firstLine="420" w:firstLineChars="200"/>
        <w:rPr>
          <w:rFonts w:ascii="宋体" w:hAnsi="宋体" w:cs="宋体"/>
          <w:color w:val="000000" w:themeColor="text1"/>
          <w:highlight w:val="none"/>
        </w:rPr>
      </w:pPr>
      <w:r>
        <w:rPr>
          <w:rFonts w:hint="eastAsia" w:ascii="宋体" w:hAnsi="宋体" w:cs="宋体"/>
          <w:color w:val="000000" w:themeColor="text1"/>
          <w:highlight w:val="none"/>
        </w:rPr>
        <w:t>合同签订后7个工作日内，支付合同总价的70%作为预付款，服务期满并通过考核，支付合同总价剩余的30%，如有罚款，则在余款中扣除。</w:t>
      </w:r>
    </w:p>
    <w:p w14:paraId="26FFEDA8">
      <w:pPr>
        <w:adjustRightInd w:val="0"/>
        <w:snapToGrid w:val="0"/>
        <w:spacing w:line="360" w:lineRule="auto"/>
        <w:ind w:firstLine="420" w:firstLineChars="200"/>
        <w:rPr>
          <w:rFonts w:ascii="宋体" w:hAnsi="宋体" w:cs="宋体"/>
          <w:color w:val="000000" w:themeColor="text1"/>
          <w:highlight w:val="none"/>
          <w:lang w:val="en-GB"/>
        </w:rPr>
      </w:pPr>
      <w:r>
        <w:rPr>
          <w:rFonts w:hint="eastAsia" w:ascii="宋体" w:hAnsi="宋体" w:cs="宋体"/>
          <w:color w:val="000000" w:themeColor="text1"/>
          <w:highlight w:val="none"/>
        </w:rPr>
        <w:t>3、</w:t>
      </w:r>
      <w:r>
        <w:rPr>
          <w:rFonts w:hint="eastAsia" w:ascii="宋体" w:hAnsi="宋体" w:cs="宋体"/>
          <w:color w:val="000000" w:themeColor="text1"/>
          <w:highlight w:val="none"/>
          <w:lang w:val="en-GB"/>
        </w:rPr>
        <w:t>付款按财政政策执行，因服务商未按合同履行维保任务或考核不合格以及不符合财政资金支付时间要求等原因造成不能及时付款的，采购方不承担责任。</w:t>
      </w:r>
    </w:p>
    <w:p w14:paraId="5874CF57">
      <w:pPr>
        <w:pStyle w:val="25"/>
        <w:spacing w:line="360" w:lineRule="auto"/>
        <w:ind w:firstLine="211"/>
        <w:rPr>
          <w:b/>
          <w:bCs/>
          <w:color w:val="000000" w:themeColor="text1"/>
          <w:highlight w:val="none"/>
        </w:rPr>
      </w:pPr>
      <w:r>
        <w:rPr>
          <w:rFonts w:hint="eastAsia"/>
          <w:b/>
          <w:bCs/>
          <w:color w:val="000000" w:themeColor="text1"/>
          <w:highlight w:val="none"/>
        </w:rPr>
        <w:t>注：付款前乙方应按甲方开具正规发票。</w:t>
      </w:r>
    </w:p>
    <w:p w14:paraId="506CAFBF">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4、甲方应付合同款至以下乙方指定的银行账户：</w:t>
      </w:r>
    </w:p>
    <w:p w14:paraId="5434F6F7">
      <w:pPr>
        <w:widowControl/>
        <w:spacing w:line="360" w:lineRule="auto"/>
        <w:ind w:firstLine="420" w:firstLineChars="200"/>
        <w:jc w:val="left"/>
        <w:rPr>
          <w:rFonts w:ascii="宋体" w:hAnsi="宋体" w:cs="宋体"/>
          <w:color w:val="000000" w:themeColor="text1"/>
          <w:highlight w:val="none"/>
          <w:u w:val="single"/>
        </w:rPr>
      </w:pPr>
      <w:r>
        <w:rPr>
          <w:rFonts w:hint="eastAsia" w:ascii="宋体" w:hAnsi="宋体" w:cs="宋体"/>
          <w:color w:val="000000" w:themeColor="text1"/>
          <w:kern w:val="0"/>
          <w:highlight w:val="none"/>
        </w:rPr>
        <w:t>开户名称：</w:t>
      </w:r>
      <w:r>
        <w:rPr>
          <w:rFonts w:hint="eastAsia" w:ascii="宋体" w:hAnsi="宋体" w:cs="宋体"/>
          <w:color w:val="000000" w:themeColor="text1"/>
          <w:kern w:val="0"/>
          <w:highlight w:val="none"/>
          <w:u w:val="single"/>
        </w:rPr>
        <w:t>【】</w:t>
      </w:r>
    </w:p>
    <w:p w14:paraId="44B800F6">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开户银行：</w:t>
      </w:r>
      <w:r>
        <w:rPr>
          <w:rFonts w:hint="eastAsia" w:ascii="宋体" w:hAnsi="宋体" w:cs="宋体"/>
          <w:color w:val="000000" w:themeColor="text1"/>
          <w:kern w:val="0"/>
          <w:highlight w:val="none"/>
          <w:u w:val="single"/>
        </w:rPr>
        <w:t>【】</w:t>
      </w:r>
    </w:p>
    <w:p w14:paraId="4E225A15">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账号：</w:t>
      </w:r>
      <w:r>
        <w:rPr>
          <w:rFonts w:hint="eastAsia" w:ascii="宋体" w:hAnsi="宋体" w:cs="宋体"/>
          <w:color w:val="000000" w:themeColor="text1"/>
          <w:kern w:val="0"/>
          <w:highlight w:val="none"/>
          <w:u w:val="single"/>
        </w:rPr>
        <w:t>【】</w:t>
      </w:r>
    </w:p>
    <w:p w14:paraId="264658A9">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三、本合同履行期限、地点</w:t>
      </w:r>
    </w:p>
    <w:p w14:paraId="7FDCC0D0">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履行期限：【】</w:t>
      </w:r>
    </w:p>
    <w:p w14:paraId="16109C44">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履行地点：【】</w:t>
      </w:r>
    </w:p>
    <w:p w14:paraId="123EAFCA">
      <w:pPr>
        <w:widowControl/>
        <w:spacing w:line="360" w:lineRule="auto"/>
        <w:ind w:firstLine="422" w:firstLineChars="200"/>
        <w:jc w:val="left"/>
        <w:rPr>
          <w:rFonts w:ascii="宋体" w:hAnsi="宋体" w:cs="宋体"/>
          <w:b/>
          <w:color w:val="000000" w:themeColor="text1"/>
          <w:kern w:val="0"/>
          <w:highlight w:val="none"/>
        </w:rPr>
      </w:pPr>
      <w:r>
        <w:rPr>
          <w:rFonts w:hint="eastAsia" w:ascii="宋体" w:hAnsi="宋体" w:cs="宋体"/>
          <w:b/>
          <w:color w:val="000000" w:themeColor="text1"/>
          <w:kern w:val="0"/>
          <w:highlight w:val="none"/>
        </w:rPr>
        <w:t>四、运维需求及内容</w:t>
      </w:r>
    </w:p>
    <w:p w14:paraId="6D36256B">
      <w:pPr>
        <w:adjustRightInd w:val="0"/>
        <w:snapToGrid w:val="0"/>
        <w:spacing w:line="360" w:lineRule="auto"/>
        <w:ind w:firstLine="51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1</w:t>
      </w:r>
      <w:r>
        <w:rPr>
          <w:rFonts w:ascii="Times New Roman" w:hAnsi="宋体" w:eastAsia="宋体" w:cs="Times New Roman"/>
          <w:b/>
          <w:color w:val="000000" w:themeColor="text1"/>
          <w:szCs w:val="21"/>
        </w:rPr>
        <w:t>、站点仪器设备配置情况见表</w:t>
      </w:r>
      <w:r>
        <w:rPr>
          <w:rFonts w:ascii="Times New Roman" w:hAnsi="Times New Roman" w:eastAsia="宋体" w:cs="Times New Roman"/>
          <w:b/>
          <w:color w:val="000000" w:themeColor="text1"/>
          <w:szCs w:val="21"/>
        </w:rPr>
        <w:t>1</w:t>
      </w:r>
      <w:r>
        <w:rPr>
          <w:rFonts w:ascii="Times New Roman" w:hAnsi="宋体" w:eastAsia="宋体" w:cs="Times New Roman"/>
          <w:b/>
          <w:color w:val="000000" w:themeColor="text1"/>
          <w:szCs w:val="21"/>
        </w:rPr>
        <w:t>。</w:t>
      </w:r>
    </w:p>
    <w:p w14:paraId="70F6C3E4">
      <w:pPr>
        <w:spacing w:beforeLines="50" w:line="360" w:lineRule="auto"/>
        <w:jc w:val="center"/>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表</w:t>
      </w:r>
      <w:r>
        <w:rPr>
          <w:rFonts w:ascii="Times New Roman" w:hAnsi="Times New Roman" w:eastAsia="宋体" w:cs="Times New Roman"/>
          <w:b/>
          <w:color w:val="000000" w:themeColor="text1"/>
          <w:szCs w:val="21"/>
        </w:rPr>
        <w:t xml:space="preserve">1 </w:t>
      </w:r>
      <w:r>
        <w:rPr>
          <w:rFonts w:ascii="Times New Roman" w:hAnsi="宋体" w:eastAsia="宋体" w:cs="Times New Roman"/>
          <w:b/>
          <w:color w:val="000000" w:themeColor="text1"/>
          <w:szCs w:val="21"/>
        </w:rPr>
        <w:t>舟山生态大楼颗粒物组分站点仪器配置情况一览表</w:t>
      </w:r>
    </w:p>
    <w:p w14:paraId="5C6C6297">
      <w:pPr>
        <w:ind w:firstLine="284"/>
        <w:rPr>
          <w:rFonts w:ascii="Times New Roman" w:hAnsi="Times New Roman" w:eastAsia="宋体" w:cs="Times New Roman"/>
          <w:color w:val="000000" w:themeColor="text1"/>
          <w:szCs w:val="21"/>
        </w:rPr>
      </w:pPr>
    </w:p>
    <w:tbl>
      <w:tblPr>
        <w:tblStyle w:val="169"/>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16"/>
        <w:gridCol w:w="2146"/>
        <w:gridCol w:w="1083"/>
        <w:gridCol w:w="1936"/>
      </w:tblGrid>
      <w:tr w14:paraId="219D4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vAlign w:val="center"/>
          </w:tcPr>
          <w:p w14:paraId="2AA409EC">
            <w:pPr>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序号</w:t>
            </w:r>
          </w:p>
        </w:tc>
        <w:tc>
          <w:tcPr>
            <w:tcW w:w="2116" w:type="dxa"/>
            <w:vAlign w:val="center"/>
          </w:tcPr>
          <w:p w14:paraId="52FA6E4D">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设备名称</w:t>
            </w:r>
          </w:p>
        </w:tc>
        <w:tc>
          <w:tcPr>
            <w:tcW w:w="2146" w:type="dxa"/>
            <w:vAlign w:val="center"/>
          </w:tcPr>
          <w:p w14:paraId="74DC2D6D">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品牌型号</w:t>
            </w:r>
          </w:p>
        </w:tc>
        <w:tc>
          <w:tcPr>
            <w:tcW w:w="1083" w:type="dxa"/>
            <w:vAlign w:val="center"/>
          </w:tcPr>
          <w:p w14:paraId="1FA602BD">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数量</w:t>
            </w:r>
          </w:p>
        </w:tc>
        <w:tc>
          <w:tcPr>
            <w:tcW w:w="1936" w:type="dxa"/>
            <w:vAlign w:val="center"/>
          </w:tcPr>
          <w:p w14:paraId="42BD162B">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设备投入运行时间</w:t>
            </w:r>
          </w:p>
        </w:tc>
      </w:tr>
      <w:tr w14:paraId="6A67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vAlign w:val="center"/>
          </w:tcPr>
          <w:p w14:paraId="0EBEF01F">
            <w:pPr>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1</w:t>
            </w:r>
          </w:p>
        </w:tc>
        <w:tc>
          <w:tcPr>
            <w:tcW w:w="2116" w:type="dxa"/>
            <w:vAlign w:val="center"/>
          </w:tcPr>
          <w:p w14:paraId="5D791543">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PM</w:t>
            </w:r>
            <w:r>
              <w:rPr>
                <w:rFonts w:ascii="Times New Roman" w:hAnsi="Times New Roman" w:eastAsia="宋体" w:cs="Times New Roman"/>
                <w:color w:val="000000" w:themeColor="text1"/>
                <w:kern w:val="0"/>
                <w:sz w:val="20"/>
                <w:szCs w:val="21"/>
                <w:vertAlign w:val="subscript"/>
              </w:rPr>
              <w:t>2.5</w:t>
            </w:r>
            <w:r>
              <w:rPr>
                <w:rFonts w:ascii="Times New Roman" w:hAnsi="宋体" w:eastAsia="宋体" w:cs="Times New Roman"/>
                <w:color w:val="000000" w:themeColor="text1"/>
                <w:kern w:val="0"/>
                <w:sz w:val="20"/>
                <w:szCs w:val="21"/>
              </w:rPr>
              <w:t>在线分析仪</w:t>
            </w:r>
          </w:p>
        </w:tc>
        <w:tc>
          <w:tcPr>
            <w:tcW w:w="2146" w:type="dxa"/>
            <w:vAlign w:val="center"/>
          </w:tcPr>
          <w:p w14:paraId="35E34592">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赛默飞</w:t>
            </w:r>
            <w:r>
              <w:rPr>
                <w:rFonts w:ascii="Times New Roman" w:hAnsi="Times New Roman" w:eastAsia="宋体" w:cs="Times New Roman"/>
                <w:color w:val="000000" w:themeColor="text1"/>
                <w:kern w:val="0"/>
                <w:sz w:val="20"/>
                <w:szCs w:val="21"/>
              </w:rPr>
              <w:t>5030i</w:t>
            </w:r>
          </w:p>
        </w:tc>
        <w:tc>
          <w:tcPr>
            <w:tcW w:w="1083" w:type="dxa"/>
            <w:vAlign w:val="center"/>
          </w:tcPr>
          <w:p w14:paraId="40372BC3">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1</w:t>
            </w:r>
            <w:r>
              <w:rPr>
                <w:rFonts w:ascii="Times New Roman" w:hAnsi="宋体" w:eastAsia="宋体" w:cs="Times New Roman"/>
                <w:color w:val="000000" w:themeColor="text1"/>
                <w:kern w:val="0"/>
                <w:sz w:val="20"/>
                <w:szCs w:val="21"/>
              </w:rPr>
              <w:t>套</w:t>
            </w:r>
          </w:p>
        </w:tc>
        <w:tc>
          <w:tcPr>
            <w:tcW w:w="1936" w:type="dxa"/>
            <w:vAlign w:val="center"/>
          </w:tcPr>
          <w:p w14:paraId="4AA875CB">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2021</w:t>
            </w:r>
            <w:r>
              <w:rPr>
                <w:rFonts w:ascii="Times New Roman" w:hAnsi="宋体" w:eastAsia="宋体" w:cs="Times New Roman"/>
                <w:color w:val="000000" w:themeColor="text1"/>
                <w:kern w:val="0"/>
                <w:sz w:val="20"/>
                <w:szCs w:val="21"/>
              </w:rPr>
              <w:t>年</w:t>
            </w:r>
          </w:p>
        </w:tc>
      </w:tr>
      <w:tr w14:paraId="3A86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75" w:type="dxa"/>
            <w:vAlign w:val="center"/>
          </w:tcPr>
          <w:p w14:paraId="315836C8">
            <w:pPr>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2</w:t>
            </w:r>
          </w:p>
        </w:tc>
        <w:tc>
          <w:tcPr>
            <w:tcW w:w="2116" w:type="dxa"/>
            <w:vAlign w:val="center"/>
          </w:tcPr>
          <w:p w14:paraId="75E2C5C5">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在线离子色谱仪</w:t>
            </w:r>
          </w:p>
        </w:tc>
        <w:tc>
          <w:tcPr>
            <w:tcW w:w="2146" w:type="dxa"/>
            <w:vAlign w:val="center"/>
          </w:tcPr>
          <w:p w14:paraId="1E38FF5E">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ThermoFisher URG9000D</w:t>
            </w:r>
          </w:p>
        </w:tc>
        <w:tc>
          <w:tcPr>
            <w:tcW w:w="1083" w:type="dxa"/>
            <w:vAlign w:val="center"/>
          </w:tcPr>
          <w:p w14:paraId="2D53D3D4">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1</w:t>
            </w:r>
            <w:r>
              <w:rPr>
                <w:rFonts w:ascii="Times New Roman" w:hAnsi="宋体" w:eastAsia="宋体" w:cs="Times New Roman"/>
                <w:color w:val="000000" w:themeColor="text1"/>
                <w:kern w:val="0"/>
                <w:sz w:val="20"/>
                <w:szCs w:val="21"/>
              </w:rPr>
              <w:t>套</w:t>
            </w:r>
          </w:p>
        </w:tc>
        <w:tc>
          <w:tcPr>
            <w:tcW w:w="1936" w:type="dxa"/>
            <w:vAlign w:val="center"/>
          </w:tcPr>
          <w:p w14:paraId="35700AC3">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2021</w:t>
            </w:r>
            <w:r>
              <w:rPr>
                <w:rFonts w:ascii="Times New Roman" w:hAnsi="宋体" w:eastAsia="宋体" w:cs="Times New Roman"/>
                <w:color w:val="000000" w:themeColor="text1"/>
                <w:kern w:val="0"/>
                <w:sz w:val="20"/>
                <w:szCs w:val="21"/>
              </w:rPr>
              <w:t>年</w:t>
            </w:r>
          </w:p>
        </w:tc>
      </w:tr>
      <w:tr w14:paraId="3C37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75" w:type="dxa"/>
            <w:vAlign w:val="center"/>
          </w:tcPr>
          <w:p w14:paraId="5B29F8D0">
            <w:pPr>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3</w:t>
            </w:r>
          </w:p>
        </w:tc>
        <w:tc>
          <w:tcPr>
            <w:tcW w:w="2116" w:type="dxa"/>
            <w:vAlign w:val="center"/>
          </w:tcPr>
          <w:p w14:paraId="4E220207">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在线无机元素分析仪</w:t>
            </w:r>
          </w:p>
        </w:tc>
        <w:tc>
          <w:tcPr>
            <w:tcW w:w="2146" w:type="dxa"/>
            <w:vAlign w:val="center"/>
          </w:tcPr>
          <w:p w14:paraId="17F043CB">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COOPER ENVIRONMENTAL</w:t>
            </w:r>
          </w:p>
          <w:p w14:paraId="7328D9BD">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CES Xact625</w:t>
            </w:r>
          </w:p>
        </w:tc>
        <w:tc>
          <w:tcPr>
            <w:tcW w:w="1083" w:type="dxa"/>
            <w:vAlign w:val="center"/>
          </w:tcPr>
          <w:p w14:paraId="04F41981">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1</w:t>
            </w:r>
            <w:r>
              <w:rPr>
                <w:rFonts w:ascii="Times New Roman" w:hAnsi="宋体" w:eastAsia="宋体" w:cs="Times New Roman"/>
                <w:color w:val="000000" w:themeColor="text1"/>
                <w:kern w:val="0"/>
                <w:sz w:val="20"/>
                <w:szCs w:val="21"/>
              </w:rPr>
              <w:t>套</w:t>
            </w:r>
          </w:p>
        </w:tc>
        <w:tc>
          <w:tcPr>
            <w:tcW w:w="1936" w:type="dxa"/>
            <w:vAlign w:val="center"/>
          </w:tcPr>
          <w:p w14:paraId="143D945C">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2021</w:t>
            </w:r>
            <w:r>
              <w:rPr>
                <w:rFonts w:ascii="Times New Roman" w:hAnsi="宋体" w:eastAsia="宋体" w:cs="Times New Roman"/>
                <w:color w:val="000000" w:themeColor="text1"/>
                <w:kern w:val="0"/>
                <w:sz w:val="20"/>
                <w:szCs w:val="21"/>
              </w:rPr>
              <w:t>年</w:t>
            </w:r>
          </w:p>
        </w:tc>
      </w:tr>
      <w:tr w14:paraId="2A0B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5" w:type="dxa"/>
            <w:vAlign w:val="center"/>
          </w:tcPr>
          <w:p w14:paraId="47D16FDF">
            <w:pPr>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4</w:t>
            </w:r>
          </w:p>
        </w:tc>
        <w:tc>
          <w:tcPr>
            <w:tcW w:w="2116" w:type="dxa"/>
            <w:vAlign w:val="center"/>
          </w:tcPr>
          <w:p w14:paraId="09691CA1">
            <w:pPr>
              <w:ind w:firstLine="32" w:firstLineChars="16"/>
              <w:jc w:val="center"/>
              <w:rPr>
                <w:rFonts w:ascii="Times New Roman" w:hAnsi="Times New Roman" w:eastAsia="宋体" w:cs="Times New Roman"/>
                <w:color w:val="000000" w:themeColor="text1"/>
                <w:kern w:val="0"/>
                <w:sz w:val="20"/>
                <w:szCs w:val="21"/>
              </w:rPr>
            </w:pPr>
            <w:r>
              <w:rPr>
                <w:rFonts w:ascii="Times New Roman" w:hAnsi="宋体" w:eastAsia="宋体" w:cs="Times New Roman"/>
                <w:color w:val="000000" w:themeColor="text1"/>
                <w:kern w:val="0"/>
                <w:sz w:val="20"/>
                <w:szCs w:val="21"/>
              </w:rPr>
              <w:t>在线碳组分分析仪</w:t>
            </w:r>
          </w:p>
        </w:tc>
        <w:tc>
          <w:tcPr>
            <w:tcW w:w="2146" w:type="dxa"/>
            <w:vAlign w:val="center"/>
          </w:tcPr>
          <w:p w14:paraId="33EADC7D">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MAGEE CASS</w:t>
            </w:r>
          </w:p>
        </w:tc>
        <w:tc>
          <w:tcPr>
            <w:tcW w:w="1083" w:type="dxa"/>
            <w:vAlign w:val="center"/>
          </w:tcPr>
          <w:p w14:paraId="31965421">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1</w:t>
            </w:r>
            <w:r>
              <w:rPr>
                <w:rFonts w:ascii="Times New Roman" w:hAnsi="宋体" w:eastAsia="宋体" w:cs="Times New Roman"/>
                <w:color w:val="000000" w:themeColor="text1"/>
                <w:kern w:val="0"/>
                <w:sz w:val="20"/>
                <w:szCs w:val="21"/>
              </w:rPr>
              <w:t>套</w:t>
            </w:r>
          </w:p>
        </w:tc>
        <w:tc>
          <w:tcPr>
            <w:tcW w:w="1936" w:type="dxa"/>
            <w:vAlign w:val="center"/>
          </w:tcPr>
          <w:p w14:paraId="20A3BE5B">
            <w:pPr>
              <w:ind w:firstLine="32" w:firstLineChars="16"/>
              <w:jc w:val="cente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2021</w:t>
            </w:r>
            <w:r>
              <w:rPr>
                <w:rFonts w:ascii="Times New Roman" w:hAnsi="宋体" w:eastAsia="宋体" w:cs="Times New Roman"/>
                <w:color w:val="000000" w:themeColor="text1"/>
                <w:kern w:val="0"/>
                <w:sz w:val="20"/>
                <w:szCs w:val="21"/>
              </w:rPr>
              <w:t>年</w:t>
            </w:r>
          </w:p>
        </w:tc>
      </w:tr>
    </w:tbl>
    <w:p w14:paraId="36F4B034">
      <w:pPr>
        <w:rPr>
          <w:rFonts w:hint="eastAsia" w:ascii="宋体" w:hAnsi="宋体" w:cs="宋体"/>
          <w:color w:val="000000" w:themeColor="text1"/>
          <w:sz w:val="21"/>
          <w:szCs w:val="21"/>
          <w:highlight w:val="none"/>
        </w:rPr>
      </w:pPr>
    </w:p>
    <w:p w14:paraId="0B469140">
      <w:pPr>
        <w:spacing w:line="360" w:lineRule="auto"/>
        <w:ind w:firstLine="284"/>
        <w:rPr>
          <w:rFonts w:ascii="Times New Roman" w:hAnsi="Times New Roman" w:eastAsia="宋体" w:cs="Times New Roman"/>
          <w:b/>
          <w:bCs/>
          <w:color w:val="000000" w:themeColor="text1"/>
          <w:kern w:val="0"/>
          <w:szCs w:val="21"/>
        </w:rPr>
      </w:pPr>
      <w:r>
        <w:rPr>
          <w:rFonts w:ascii="Times New Roman" w:hAnsi="Times New Roman" w:eastAsia="宋体" w:cs="Times New Roman"/>
          <w:b/>
          <w:bCs/>
          <w:color w:val="000000" w:themeColor="text1"/>
          <w:kern w:val="0"/>
          <w:szCs w:val="21"/>
        </w:rPr>
        <w:t>2</w:t>
      </w:r>
      <w:r>
        <w:rPr>
          <w:rFonts w:ascii="Times New Roman" w:hAnsi="宋体" w:eastAsia="宋体" w:cs="Times New Roman"/>
          <w:b/>
          <w:bCs/>
          <w:color w:val="000000" w:themeColor="text1"/>
          <w:kern w:val="0"/>
          <w:szCs w:val="21"/>
        </w:rPr>
        <w:t>、运维管理内容</w:t>
      </w:r>
    </w:p>
    <w:p w14:paraId="15578CF2">
      <w:pPr>
        <w:spacing w:line="360" w:lineRule="auto"/>
        <w:ind w:firstLine="482"/>
        <w:rPr>
          <w:rFonts w:ascii="Times New Roman" w:hAnsi="Times New Roman" w:eastAsia="宋体" w:cs="Times New Roman"/>
          <w:bCs/>
          <w:color w:val="000000" w:themeColor="text1"/>
          <w:kern w:val="0"/>
          <w:szCs w:val="21"/>
        </w:rPr>
      </w:pPr>
      <w:r>
        <w:rPr>
          <w:rFonts w:ascii="Times New Roman" w:hAnsi="Times New Roman" w:eastAsia="宋体" w:cs="Times New Roman"/>
          <w:b/>
          <w:color w:val="000000" w:themeColor="text1"/>
          <w:szCs w:val="21"/>
        </w:rPr>
        <w:t>2.1</w:t>
      </w:r>
      <w:r>
        <w:rPr>
          <w:rFonts w:ascii="Times New Roman" w:hAnsi="宋体" w:eastAsia="宋体" w:cs="Times New Roman"/>
          <w:bCs/>
          <w:color w:val="000000" w:themeColor="text1"/>
          <w:kern w:val="0"/>
          <w:szCs w:val="21"/>
        </w:rPr>
        <w:t>运维能力</w:t>
      </w:r>
    </w:p>
    <w:p w14:paraId="1F1D5724">
      <w:pPr>
        <w:spacing w:line="360" w:lineRule="auto"/>
        <w:ind w:firstLine="284"/>
        <w:rPr>
          <w:rFonts w:ascii="Times New Roman" w:hAnsi="Times New Roman" w:eastAsia="宋体" w:cs="Times New Roman"/>
          <w:bCs/>
          <w:color w:val="000000" w:themeColor="text1"/>
          <w:kern w:val="0"/>
          <w:szCs w:val="21"/>
        </w:rPr>
      </w:pPr>
      <w:r>
        <w:rPr>
          <w:rFonts w:ascii="Times New Roman" w:hAnsi="宋体" w:eastAsia="宋体" w:cs="Times New Roman"/>
          <w:bCs/>
          <w:color w:val="000000" w:themeColor="text1"/>
          <w:kern w:val="0"/>
          <w:szCs w:val="21"/>
        </w:rPr>
        <w:t>投标商自行提供运维方案，包括耗材更换以及日常运维计划。如数据有效率不能达标，应针对以其实际情况增加运维频次。</w:t>
      </w:r>
    </w:p>
    <w:p w14:paraId="4486AF92">
      <w:pPr>
        <w:spacing w:line="360" w:lineRule="auto"/>
        <w:ind w:firstLine="284"/>
        <w:rPr>
          <w:rFonts w:ascii="Times New Roman" w:hAnsi="Times New Roman" w:eastAsia="宋体" w:cs="Times New Roman"/>
          <w:bCs/>
          <w:color w:val="000000" w:themeColor="text1"/>
          <w:kern w:val="0"/>
          <w:szCs w:val="21"/>
        </w:rPr>
      </w:pPr>
      <w:r>
        <w:rPr>
          <w:rFonts w:ascii="Times New Roman" w:hAnsi="宋体" w:eastAsia="宋体" w:cs="Times New Roman"/>
          <w:bCs/>
          <w:color w:val="000000" w:themeColor="text1"/>
          <w:kern w:val="0"/>
          <w:szCs w:val="21"/>
        </w:rPr>
        <w:t>运维技术人员须在正式运维前熟练操作其标项内所包含的仪器，因运维不当造成仪器损坏由该中标商承担相应责任并赔偿损失。用户有权对中标商安排的技术人员进行技术考核，如不能满足实际维护能力要求，不遵守管理制度，影响运维工作开展，用户有权要求更换技术人员，中标商在收到要求更换运维技术人员的文件两周之内进行更换。合同期内运维技术人员的一切开支由中标商负责（如食宿、差旅费等）。</w:t>
      </w:r>
    </w:p>
    <w:p w14:paraId="2D90AC60">
      <w:pPr>
        <w:spacing w:line="360" w:lineRule="auto"/>
        <w:ind w:firstLine="284"/>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 xml:space="preserve">2.2 </w:t>
      </w:r>
      <w:r>
        <w:rPr>
          <w:rFonts w:ascii="Times New Roman" w:hAnsi="宋体" w:eastAsia="宋体" w:cs="Times New Roman"/>
          <w:b/>
          <w:color w:val="000000" w:themeColor="text1"/>
          <w:szCs w:val="21"/>
        </w:rPr>
        <w:t>保密原则</w:t>
      </w:r>
    </w:p>
    <w:p w14:paraId="24009C73">
      <w:pPr>
        <w:spacing w:line="360" w:lineRule="auto"/>
        <w:ind w:firstLine="480"/>
        <w:rPr>
          <w:rFonts w:ascii="Times New Roman" w:hAnsi="Times New Roman" w:eastAsia="宋体" w:cs="Times New Roman"/>
          <w:bCs/>
          <w:color w:val="000000" w:themeColor="text1"/>
          <w:szCs w:val="21"/>
        </w:rPr>
      </w:pPr>
      <w:r>
        <w:rPr>
          <w:rFonts w:ascii="Times New Roman" w:hAnsi="宋体" w:eastAsia="宋体" w:cs="Times New Roman"/>
          <w:color w:val="000000" w:themeColor="text1"/>
          <w:szCs w:val="21"/>
        </w:rPr>
        <w:t>运维技术人员在维护期间须遵守用户的相应管理制度，并与用户签订保密协议。如因违反管理规定或保密协议，用户有权追究中标商及该名运维技术人员的相应责任并赔偿相应损失。</w:t>
      </w:r>
    </w:p>
    <w:p w14:paraId="78261813">
      <w:pPr>
        <w:spacing w:line="360" w:lineRule="auto"/>
        <w:ind w:firstLine="284"/>
        <w:rPr>
          <w:rFonts w:ascii="Times New Roman" w:hAnsi="Times New Roman" w:eastAsia="宋体" w:cs="Times New Roman"/>
          <w:b/>
          <w:color w:val="000000" w:themeColor="text1"/>
          <w:szCs w:val="21"/>
        </w:rPr>
      </w:pPr>
      <w:r>
        <w:rPr>
          <w:rFonts w:ascii="Times New Roman" w:hAnsi="Times New Roman" w:eastAsia="宋体" w:cs="Times New Roman"/>
          <w:b/>
          <w:bCs/>
          <w:color w:val="000000" w:themeColor="text1"/>
          <w:szCs w:val="21"/>
        </w:rPr>
        <w:t xml:space="preserve">2.3 </w:t>
      </w:r>
      <w:r>
        <w:rPr>
          <w:rFonts w:ascii="Times New Roman" w:hAnsi="宋体" w:eastAsia="宋体" w:cs="Times New Roman"/>
          <w:b/>
          <w:color w:val="000000" w:themeColor="text1"/>
          <w:szCs w:val="21"/>
        </w:rPr>
        <w:t>仪器故障处理</w:t>
      </w:r>
    </w:p>
    <w:p w14:paraId="43A2B64F">
      <w:pPr>
        <w:spacing w:line="360" w:lineRule="auto"/>
        <w:ind w:firstLine="480"/>
        <w:rPr>
          <w:rFonts w:ascii="Times New Roman" w:hAnsi="Times New Roman" w:eastAsia="宋体" w:cs="Times New Roman"/>
          <w:color w:val="000000" w:themeColor="text1"/>
          <w:szCs w:val="21"/>
        </w:rPr>
      </w:pPr>
      <w:r>
        <w:rPr>
          <w:rFonts w:ascii="Times New Roman" w:hAnsi="宋体" w:eastAsia="宋体" w:cs="Times New Roman"/>
          <w:color w:val="000000" w:themeColor="text1"/>
          <w:szCs w:val="21"/>
        </w:rPr>
        <w:t>当项目运维清单中设备发生故障时，须向浙江省海洋生态环境监测中心报告，中标商须承担所有维修费用，故障须尽快解决，故障超过</w:t>
      </w:r>
      <w:r>
        <w:rPr>
          <w:rFonts w:ascii="Times New Roman" w:hAnsi="Times New Roman" w:eastAsia="宋体" w:cs="Times New Roman"/>
          <w:color w:val="000000" w:themeColor="text1"/>
          <w:szCs w:val="21"/>
        </w:rPr>
        <w:t>7</w:t>
      </w:r>
      <w:r>
        <w:rPr>
          <w:rFonts w:ascii="Times New Roman" w:hAnsi="宋体" w:eastAsia="宋体" w:cs="Times New Roman"/>
          <w:color w:val="000000" w:themeColor="text1"/>
          <w:szCs w:val="21"/>
        </w:rPr>
        <w:t>天须说明原因并提供维修证明，维修时间最迟不得超过</w:t>
      </w:r>
      <w:r>
        <w:rPr>
          <w:rFonts w:ascii="Times New Roman" w:hAnsi="Times New Roman" w:eastAsia="宋体" w:cs="Times New Roman"/>
          <w:color w:val="000000" w:themeColor="text1"/>
          <w:szCs w:val="21"/>
        </w:rPr>
        <w:t>1</w:t>
      </w:r>
      <w:r>
        <w:rPr>
          <w:rFonts w:ascii="Times New Roman" w:hAnsi="宋体" w:eastAsia="宋体" w:cs="Times New Roman"/>
          <w:color w:val="000000" w:themeColor="text1"/>
          <w:szCs w:val="21"/>
        </w:rPr>
        <w:t>个月，如在一个月内无法修复的设备，须提供相当性能、功能的整机或备件。</w:t>
      </w:r>
    </w:p>
    <w:p w14:paraId="19FA0BBC">
      <w:pPr>
        <w:spacing w:line="360" w:lineRule="auto"/>
        <w:ind w:firstLine="284"/>
        <w:rPr>
          <w:rFonts w:ascii="Times New Roman" w:hAnsi="Times New Roman" w:eastAsia="宋体" w:cs="Times New Roman"/>
          <w:b/>
          <w:color w:val="000000" w:themeColor="text1"/>
          <w:szCs w:val="21"/>
        </w:rPr>
      </w:pPr>
      <w:r>
        <w:rPr>
          <w:rFonts w:ascii="Times New Roman" w:hAnsi="Times New Roman" w:eastAsia="宋体" w:cs="Times New Roman"/>
          <w:b/>
          <w:bCs/>
          <w:color w:val="000000" w:themeColor="text1"/>
          <w:szCs w:val="21"/>
        </w:rPr>
        <w:t xml:space="preserve">2.4 </w:t>
      </w:r>
      <w:r>
        <w:rPr>
          <w:rFonts w:ascii="Times New Roman" w:hAnsi="宋体" w:eastAsia="宋体" w:cs="Times New Roman"/>
          <w:b/>
          <w:color w:val="000000" w:themeColor="text1"/>
          <w:szCs w:val="21"/>
        </w:rPr>
        <w:t>运维记录</w:t>
      </w:r>
      <w:r>
        <w:rPr>
          <w:rFonts w:ascii="Times New Roman" w:hAnsi="宋体" w:eastAsia="宋体" w:cs="Times New Roman"/>
          <w:b/>
          <w:bCs/>
          <w:color w:val="000000" w:themeColor="text1"/>
          <w:szCs w:val="21"/>
        </w:rPr>
        <w:t>、耗材及配件</w:t>
      </w:r>
      <w:r>
        <w:rPr>
          <w:rFonts w:ascii="Times New Roman" w:hAnsi="宋体" w:eastAsia="宋体" w:cs="Times New Roman"/>
          <w:b/>
          <w:color w:val="000000" w:themeColor="text1"/>
          <w:szCs w:val="21"/>
        </w:rPr>
        <w:t>管理</w:t>
      </w:r>
    </w:p>
    <w:p w14:paraId="602E262F">
      <w:pPr>
        <w:spacing w:line="360" w:lineRule="auto"/>
        <w:ind w:firstLine="480"/>
        <w:rPr>
          <w:rFonts w:ascii="Times New Roman" w:hAnsi="Times New Roman" w:eastAsia="宋体" w:cs="Times New Roman"/>
          <w:color w:val="000000" w:themeColor="text1"/>
          <w:szCs w:val="21"/>
        </w:rPr>
      </w:pPr>
      <w:r>
        <w:rPr>
          <w:rFonts w:ascii="Times New Roman" w:hAnsi="宋体" w:eastAsia="宋体" w:cs="Times New Roman"/>
          <w:color w:val="000000" w:themeColor="text1"/>
          <w:szCs w:val="21"/>
        </w:rPr>
        <w:t>中标商须按照甲方的要求填写仪器运维表格，做好空气站运行管理记录和存档。每次到站房运维后须为每台仪器填写运维表格，包括仪器原始设置、报警、维修、更换、保养、仪器校准、标气使用、标液配置、采样管清洁等运行维护内容。填写完成后须上交给甲方。</w:t>
      </w:r>
    </w:p>
    <w:p w14:paraId="363C58BE">
      <w:pPr>
        <w:spacing w:line="360" w:lineRule="auto"/>
        <w:ind w:firstLine="480"/>
        <w:rPr>
          <w:rFonts w:ascii="Times New Roman" w:hAnsi="Times New Roman" w:eastAsia="宋体" w:cs="Times New Roman"/>
          <w:color w:val="000000" w:themeColor="text1"/>
          <w:szCs w:val="21"/>
        </w:rPr>
      </w:pPr>
      <w:r>
        <w:rPr>
          <w:rFonts w:ascii="Times New Roman" w:hAnsi="宋体" w:eastAsia="宋体" w:cs="Times New Roman"/>
          <w:color w:val="000000" w:themeColor="text1"/>
          <w:szCs w:val="21"/>
        </w:rPr>
        <w:t>运维过程中的耗材、备品备件需采用原厂件，如确实采购不到原厂件的，需向业主方报备并采购具有相同技术指标的耗材或配件。每次更换下来的耗材、配件须保存好，标注更换日期，经甲方认可后方可处理。每季度提交一次运维报告，年度运维完成后提交总报告。</w:t>
      </w:r>
    </w:p>
    <w:p w14:paraId="058691F0">
      <w:pPr>
        <w:ind w:firstLine="480"/>
        <w:rPr>
          <w:rFonts w:ascii="宋体" w:hAnsi="宋体" w:cs="宋体"/>
          <w:color w:val="000000" w:themeColor="text1"/>
          <w:highlight w:val="none"/>
        </w:rPr>
      </w:pPr>
    </w:p>
    <w:p w14:paraId="66CACED8">
      <w:pPr>
        <w:pStyle w:val="4"/>
        <w:rPr>
          <w:rFonts w:ascii="宋体" w:hAnsi="宋体" w:cs="宋体"/>
          <w:color w:val="000000" w:themeColor="text1"/>
          <w:sz w:val="21"/>
          <w:szCs w:val="21"/>
          <w:highlight w:val="none"/>
        </w:rPr>
      </w:pPr>
      <w:r>
        <w:rPr>
          <w:rFonts w:hint="eastAsia" w:ascii="宋体" w:hAnsi="宋体" w:cs="宋体"/>
          <w:color w:val="000000" w:themeColor="text1"/>
          <w:sz w:val="21"/>
          <w:szCs w:val="21"/>
          <w:highlight w:val="none"/>
        </w:rPr>
        <w:t>3仪器设备维护要求</w:t>
      </w:r>
    </w:p>
    <w:p w14:paraId="02BBD452">
      <w:pPr>
        <w:spacing w:line="360" w:lineRule="auto"/>
        <w:ind w:firstLine="480"/>
        <w:rPr>
          <w:rFonts w:ascii="Times New Roman" w:hAnsi="Times New Roman" w:eastAsia="宋体" w:cs="Times New Roman"/>
          <w:b/>
          <w:bCs/>
          <w:color w:val="000000" w:themeColor="text1"/>
          <w:kern w:val="0"/>
          <w:szCs w:val="21"/>
        </w:rPr>
      </w:pPr>
      <w:r>
        <w:rPr>
          <w:rFonts w:ascii="Times New Roman" w:hAnsi="宋体" w:eastAsia="宋体" w:cs="Times New Roman"/>
          <w:bCs/>
          <w:color w:val="000000" w:themeColor="text1"/>
          <w:kern w:val="0"/>
          <w:szCs w:val="21"/>
        </w:rPr>
        <w:t>按照</w:t>
      </w:r>
      <w:r>
        <w:rPr>
          <w:rFonts w:ascii="Times New Roman" w:hAnsi="宋体" w:eastAsia="宋体" w:cs="Times New Roman"/>
          <w:color w:val="000000" w:themeColor="text1"/>
          <w:szCs w:val="21"/>
        </w:rPr>
        <w:t>《环境空气质量监测技术规范》</w:t>
      </w:r>
      <w:r>
        <w:rPr>
          <w:rFonts w:ascii="Times New Roman" w:hAnsi="宋体" w:eastAsia="宋体" w:cs="Times New Roman"/>
          <w:bCs/>
          <w:color w:val="000000" w:themeColor="text1"/>
          <w:kern w:val="0"/>
          <w:szCs w:val="21"/>
        </w:rPr>
        <w:t>、《环境空气颗粒物（</w:t>
      </w:r>
      <w:r>
        <w:rPr>
          <w:rFonts w:ascii="Times New Roman" w:hAnsi="Times New Roman" w:eastAsia="宋体" w:cs="Times New Roman"/>
          <w:bCs/>
          <w:color w:val="000000" w:themeColor="text1"/>
          <w:kern w:val="0"/>
          <w:szCs w:val="21"/>
        </w:rPr>
        <w:t>PM</w:t>
      </w:r>
      <w:r>
        <w:rPr>
          <w:rFonts w:ascii="Times New Roman" w:hAnsi="Times New Roman" w:eastAsia="宋体" w:cs="Times New Roman"/>
          <w:bCs/>
          <w:color w:val="000000" w:themeColor="text1"/>
          <w:kern w:val="0"/>
          <w:szCs w:val="21"/>
          <w:vertAlign w:val="subscript"/>
        </w:rPr>
        <w:t>10</w:t>
      </w:r>
      <w:r>
        <w:rPr>
          <w:rFonts w:ascii="Times New Roman" w:hAnsi="宋体" w:eastAsia="宋体" w:cs="Times New Roman"/>
          <w:bCs/>
          <w:color w:val="000000" w:themeColor="text1"/>
          <w:kern w:val="0"/>
          <w:szCs w:val="21"/>
        </w:rPr>
        <w:t>和</w:t>
      </w:r>
      <w:r>
        <w:rPr>
          <w:rFonts w:ascii="Times New Roman" w:hAnsi="Times New Roman" w:eastAsia="宋体" w:cs="Times New Roman"/>
          <w:bCs/>
          <w:color w:val="000000" w:themeColor="text1"/>
          <w:kern w:val="0"/>
          <w:szCs w:val="21"/>
        </w:rPr>
        <w:t>PM</w:t>
      </w:r>
      <w:r>
        <w:rPr>
          <w:rFonts w:ascii="Times New Roman" w:hAnsi="Times New Roman" w:eastAsia="宋体" w:cs="Times New Roman"/>
          <w:bCs/>
          <w:color w:val="000000" w:themeColor="text1"/>
          <w:kern w:val="0"/>
          <w:szCs w:val="21"/>
          <w:vertAlign w:val="subscript"/>
        </w:rPr>
        <w:t>2.5</w:t>
      </w:r>
      <w:r>
        <w:rPr>
          <w:rFonts w:ascii="Times New Roman" w:hAnsi="宋体" w:eastAsia="宋体" w:cs="Times New Roman"/>
          <w:bCs/>
          <w:color w:val="000000" w:themeColor="text1"/>
          <w:kern w:val="0"/>
          <w:szCs w:val="21"/>
        </w:rPr>
        <w:t>）连续自动监测系统运行和质控技术规范》</w:t>
      </w:r>
      <w:r>
        <w:rPr>
          <w:rFonts w:ascii="Times New Roman" w:hAnsi="Times New Roman" w:eastAsia="宋体" w:cs="Times New Roman"/>
          <w:bCs/>
          <w:color w:val="000000" w:themeColor="text1"/>
          <w:kern w:val="0"/>
          <w:szCs w:val="21"/>
        </w:rPr>
        <w:t>(HJ 817-2018</w:t>
      </w:r>
      <w:r>
        <w:rPr>
          <w:rFonts w:ascii="Times New Roman" w:hAnsi="宋体" w:eastAsia="宋体" w:cs="Times New Roman"/>
          <w:bCs/>
          <w:color w:val="000000" w:themeColor="text1"/>
          <w:kern w:val="0"/>
          <w:szCs w:val="21"/>
        </w:rPr>
        <w:t>部分代替</w:t>
      </w:r>
      <w:r>
        <w:rPr>
          <w:rFonts w:ascii="Times New Roman" w:hAnsi="Times New Roman" w:eastAsia="宋体" w:cs="Times New Roman"/>
          <w:bCs/>
          <w:color w:val="000000" w:themeColor="text1"/>
          <w:kern w:val="0"/>
          <w:szCs w:val="21"/>
        </w:rPr>
        <w:t xml:space="preserve"> HJ/T 193-2005)</w:t>
      </w:r>
      <w:r>
        <w:rPr>
          <w:rFonts w:ascii="Times New Roman" w:hAnsi="宋体" w:eastAsia="宋体" w:cs="Times New Roman"/>
          <w:bCs/>
          <w:color w:val="000000" w:themeColor="text1"/>
          <w:kern w:val="0"/>
          <w:szCs w:val="21"/>
        </w:rPr>
        <w:t>、《环境空气颗粒物（</w:t>
      </w:r>
      <w:r>
        <w:rPr>
          <w:rFonts w:ascii="Times New Roman" w:hAnsi="Times New Roman" w:eastAsia="宋体" w:cs="Times New Roman"/>
          <w:bCs/>
          <w:color w:val="000000" w:themeColor="text1"/>
          <w:kern w:val="0"/>
          <w:szCs w:val="21"/>
        </w:rPr>
        <w:t>PM</w:t>
      </w:r>
      <w:r>
        <w:rPr>
          <w:rFonts w:ascii="Times New Roman" w:hAnsi="Times New Roman" w:eastAsia="宋体" w:cs="Times New Roman"/>
          <w:bCs/>
          <w:color w:val="000000" w:themeColor="text1"/>
          <w:kern w:val="0"/>
          <w:szCs w:val="21"/>
          <w:vertAlign w:val="subscript"/>
        </w:rPr>
        <w:t>2.5</w:t>
      </w:r>
      <w:r>
        <w:rPr>
          <w:rFonts w:ascii="Times New Roman" w:hAnsi="宋体" w:eastAsia="宋体" w:cs="Times New Roman"/>
          <w:bCs/>
          <w:color w:val="000000" w:themeColor="text1"/>
          <w:kern w:val="0"/>
          <w:szCs w:val="21"/>
        </w:rPr>
        <w:t>）中水溶性离子连续自动监测技术规范》（</w:t>
      </w:r>
      <w:r>
        <w:rPr>
          <w:rFonts w:ascii="Times New Roman" w:hAnsi="Times New Roman" w:eastAsia="宋体" w:cs="Times New Roman"/>
          <w:bCs/>
          <w:color w:val="000000" w:themeColor="text1"/>
          <w:kern w:val="0"/>
          <w:szCs w:val="21"/>
        </w:rPr>
        <w:t>HJ 1328—2023</w:t>
      </w:r>
      <w:r>
        <w:rPr>
          <w:rFonts w:ascii="Times New Roman" w:hAnsi="宋体" w:eastAsia="宋体" w:cs="Times New Roman"/>
          <w:bCs/>
          <w:color w:val="000000" w:themeColor="text1"/>
          <w:kern w:val="0"/>
          <w:szCs w:val="21"/>
        </w:rPr>
        <w:t>）、《环境空气颗粒物（</w:t>
      </w:r>
      <w:r>
        <w:rPr>
          <w:rFonts w:ascii="Times New Roman" w:hAnsi="Times New Roman" w:eastAsia="宋体" w:cs="Times New Roman"/>
          <w:bCs/>
          <w:color w:val="000000" w:themeColor="text1"/>
          <w:kern w:val="0"/>
          <w:szCs w:val="21"/>
        </w:rPr>
        <w:t>PM</w:t>
      </w:r>
      <w:r>
        <w:rPr>
          <w:rFonts w:ascii="Times New Roman" w:hAnsi="Times New Roman" w:eastAsia="宋体" w:cs="Times New Roman"/>
          <w:bCs/>
          <w:color w:val="000000" w:themeColor="text1"/>
          <w:kern w:val="0"/>
          <w:szCs w:val="21"/>
          <w:vertAlign w:val="subscript"/>
        </w:rPr>
        <w:t>2.5</w:t>
      </w:r>
      <w:r>
        <w:rPr>
          <w:rFonts w:ascii="Times New Roman" w:hAnsi="宋体" w:eastAsia="宋体" w:cs="Times New Roman"/>
          <w:bCs/>
          <w:color w:val="000000" w:themeColor="text1"/>
          <w:kern w:val="0"/>
          <w:szCs w:val="21"/>
        </w:rPr>
        <w:t>）中无机元素连续自动监测技术规范》（</w:t>
      </w:r>
      <w:r>
        <w:rPr>
          <w:rFonts w:ascii="Times New Roman" w:hAnsi="Times New Roman" w:eastAsia="宋体" w:cs="Times New Roman"/>
          <w:bCs/>
          <w:color w:val="000000" w:themeColor="text1"/>
          <w:kern w:val="0"/>
          <w:szCs w:val="21"/>
        </w:rPr>
        <w:t>HJ 1329—2023</w:t>
      </w:r>
      <w:r>
        <w:rPr>
          <w:rFonts w:ascii="Times New Roman" w:hAnsi="宋体" w:eastAsia="宋体" w:cs="Times New Roman"/>
          <w:bCs/>
          <w:color w:val="000000" w:themeColor="text1"/>
          <w:kern w:val="0"/>
          <w:szCs w:val="21"/>
        </w:rPr>
        <w:t>）、《环境空气颗粒物（</w:t>
      </w:r>
      <w:r>
        <w:rPr>
          <w:rFonts w:ascii="Times New Roman" w:hAnsi="Times New Roman" w:eastAsia="宋体" w:cs="Times New Roman"/>
          <w:bCs/>
          <w:color w:val="000000" w:themeColor="text1"/>
          <w:kern w:val="0"/>
          <w:szCs w:val="21"/>
        </w:rPr>
        <w:t>PM</w:t>
      </w:r>
      <w:r>
        <w:rPr>
          <w:rFonts w:ascii="Times New Roman" w:hAnsi="Times New Roman" w:eastAsia="宋体" w:cs="Times New Roman"/>
          <w:bCs/>
          <w:color w:val="000000" w:themeColor="text1"/>
          <w:kern w:val="0"/>
          <w:szCs w:val="21"/>
          <w:vertAlign w:val="subscript"/>
        </w:rPr>
        <w:t>2.5</w:t>
      </w:r>
      <w:r>
        <w:rPr>
          <w:rFonts w:ascii="Times New Roman" w:hAnsi="宋体" w:eastAsia="宋体" w:cs="Times New Roman"/>
          <w:bCs/>
          <w:color w:val="000000" w:themeColor="text1"/>
          <w:kern w:val="0"/>
          <w:szCs w:val="21"/>
        </w:rPr>
        <w:t>）中有机碳和元素碳连续自动监测技术规范》（</w:t>
      </w:r>
      <w:r>
        <w:rPr>
          <w:rFonts w:ascii="Times New Roman" w:hAnsi="Times New Roman" w:eastAsia="宋体" w:cs="Times New Roman"/>
          <w:bCs/>
          <w:color w:val="000000" w:themeColor="text1"/>
          <w:kern w:val="0"/>
          <w:szCs w:val="21"/>
        </w:rPr>
        <w:t>HJ 1327—2023</w:t>
      </w:r>
      <w:r>
        <w:rPr>
          <w:rFonts w:ascii="Times New Roman" w:hAnsi="宋体" w:eastAsia="宋体" w:cs="Times New Roman"/>
          <w:bCs/>
          <w:color w:val="000000" w:themeColor="text1"/>
          <w:kern w:val="0"/>
          <w:szCs w:val="21"/>
        </w:rPr>
        <w:t>）、《浙江省环境空气质量自动监测系统运行管理实施细则》等要求进行运行维护及管理，包括日常维护、日常数据检查、仪器维修、故障处理等服务。</w:t>
      </w:r>
    </w:p>
    <w:p w14:paraId="19748785">
      <w:pPr>
        <w:spacing w:line="360" w:lineRule="auto"/>
        <w:ind w:firstLine="284"/>
        <w:rPr>
          <w:rFonts w:ascii="Times New Roman" w:hAnsi="Times New Roman" w:eastAsia="宋体" w:cs="Times New Roman"/>
          <w:b/>
          <w:bCs/>
          <w:color w:val="000000" w:themeColor="text1"/>
          <w:kern w:val="0"/>
          <w:szCs w:val="21"/>
        </w:rPr>
      </w:pPr>
      <w:r>
        <w:rPr>
          <w:rFonts w:hint="eastAsia" w:ascii="Times New Roman" w:hAnsi="Times New Roman" w:eastAsia="宋体" w:cs="Times New Roman"/>
          <w:b/>
          <w:bCs/>
          <w:color w:val="000000" w:themeColor="text1"/>
          <w:kern w:val="0"/>
          <w:szCs w:val="21"/>
          <w:lang w:val="en-US" w:eastAsia="zh-CN"/>
        </w:rPr>
        <w:t>3</w:t>
      </w:r>
      <w:r>
        <w:rPr>
          <w:rFonts w:ascii="Times New Roman" w:hAnsi="Times New Roman" w:eastAsia="宋体" w:cs="Times New Roman"/>
          <w:b/>
          <w:bCs/>
          <w:color w:val="000000" w:themeColor="text1"/>
          <w:kern w:val="0"/>
          <w:szCs w:val="21"/>
        </w:rPr>
        <w:t>.2</w:t>
      </w:r>
      <w:r>
        <w:rPr>
          <w:rFonts w:ascii="Times New Roman" w:hAnsi="宋体" w:eastAsia="宋体" w:cs="Times New Roman"/>
          <w:b/>
          <w:bCs/>
          <w:color w:val="000000" w:themeColor="text1"/>
          <w:kern w:val="0"/>
          <w:szCs w:val="21"/>
        </w:rPr>
        <w:t>监测站房及辅助设备日常巡检</w:t>
      </w:r>
    </w:p>
    <w:p w14:paraId="2818A3AA">
      <w:pPr>
        <w:spacing w:line="360" w:lineRule="auto"/>
        <w:ind w:firstLine="480"/>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监测站房及辅助设备</w:t>
      </w:r>
      <w:r>
        <w:rPr>
          <w:rFonts w:ascii="Times New Roman" w:hAnsi="宋体" w:eastAsia="宋体" w:cs="Times New Roman"/>
          <w:color w:val="000000" w:themeColor="text1"/>
          <w:szCs w:val="21"/>
        </w:rPr>
        <w:t>日常</w:t>
      </w:r>
      <w:r>
        <w:rPr>
          <w:rFonts w:ascii="Times New Roman" w:hAnsi="Calibri" w:eastAsia="宋体" w:cs="Times New Roman"/>
          <w:color w:val="000000" w:themeColor="text1"/>
          <w:szCs w:val="21"/>
        </w:rPr>
        <w:t>巡检应满足</w:t>
      </w:r>
      <w:r>
        <w:rPr>
          <w:rFonts w:ascii="Times New Roman" w:hAnsi="Times New Roman" w:eastAsia="宋体" w:cs="Times New Roman"/>
          <w:color w:val="000000" w:themeColor="text1"/>
          <w:szCs w:val="21"/>
        </w:rPr>
        <w:t>HJ 817 中的相关要求。应对站房及辅助设备定期巡检，每周至少巡检1 次，巡检工作主要包括：</w:t>
      </w:r>
    </w:p>
    <w:p w14:paraId="1CAD980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a）检查站房内温度是否保持在25 ℃±5 ℃范围内，相对湿度不高于80%，在冬、夏季节应注意站房内外温差，及时调整站房内温度或对采样管采取适当的温控措施，防止因温差造成采样装置出现冷凝水；</w:t>
      </w:r>
    </w:p>
    <w:p w14:paraId="43626326">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）检查站房排风、排气装置是否正常工作；</w:t>
      </w:r>
    </w:p>
    <w:p w14:paraId="73618C78">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）检查采样头、采样管的完好性；</w:t>
      </w:r>
    </w:p>
    <w:p w14:paraId="4445FCCD">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）检查数据采集、传输与网络通信是否正常；</w:t>
      </w:r>
    </w:p>
    <w:p w14:paraId="62057DD1">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w:t>
      </w:r>
      <w:r>
        <w:rPr>
          <w:rFonts w:ascii="Times New Roman" w:hAnsi="Calibri" w:eastAsia="宋体" w:cs="Times New Roman"/>
          <w:color w:val="000000" w:themeColor="text1"/>
          <w:szCs w:val="21"/>
        </w:rPr>
        <w:t>）检查气瓶固定装置是否牢靠；</w:t>
      </w:r>
    </w:p>
    <w:p w14:paraId="02CBD990">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w:t>
      </w:r>
      <w:r>
        <w:rPr>
          <w:rFonts w:ascii="Times New Roman" w:hAnsi="Calibri" w:eastAsia="宋体" w:cs="Times New Roman"/>
          <w:color w:val="000000" w:themeColor="text1"/>
          <w:szCs w:val="21"/>
        </w:rPr>
        <w:t>）检查各种运维工具、仪器耗材、备件是否完好齐全；</w:t>
      </w:r>
    </w:p>
    <w:p w14:paraId="1F78DBDB">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w:t>
      </w:r>
      <w:r>
        <w:rPr>
          <w:rFonts w:ascii="Times New Roman" w:hAnsi="Calibri" w:eastAsia="宋体" w:cs="Times New Roman"/>
          <w:color w:val="000000" w:themeColor="text1"/>
          <w:szCs w:val="21"/>
        </w:rPr>
        <w:t>）检查空调、电源等辅助设备的运行状况是否正常，检查站房空调机的过滤网是否清洁；</w:t>
      </w:r>
    </w:p>
    <w:p w14:paraId="7820CFD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w:t>
      </w:r>
      <w:r>
        <w:rPr>
          <w:rFonts w:ascii="Times New Roman" w:hAnsi="Calibri" w:eastAsia="宋体" w:cs="Times New Roman"/>
          <w:color w:val="000000" w:themeColor="text1"/>
          <w:szCs w:val="21"/>
        </w:rPr>
        <w:t>）检查各种消防、安全设施是否完好齐全，是否在有效期内；</w:t>
      </w:r>
    </w:p>
    <w:p w14:paraId="40BBCC3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i</w:t>
      </w:r>
      <w:r>
        <w:rPr>
          <w:rFonts w:ascii="Times New Roman" w:hAnsi="Calibri" w:eastAsia="宋体" w:cs="Times New Roman"/>
          <w:color w:val="000000" w:themeColor="text1"/>
          <w:szCs w:val="21"/>
        </w:rPr>
        <w:t>）及时清除站房周围的杂草和积水；</w:t>
      </w:r>
    </w:p>
    <w:p w14:paraId="5907ED1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j</w:t>
      </w:r>
      <w:r>
        <w:rPr>
          <w:rFonts w:ascii="Times New Roman" w:hAnsi="Calibri" w:eastAsia="宋体" w:cs="Times New Roman"/>
          <w:color w:val="000000" w:themeColor="text1"/>
          <w:szCs w:val="21"/>
        </w:rPr>
        <w:t>）检查防雷设施是否正常，站房是否有漏雨现象；</w:t>
      </w:r>
    </w:p>
    <w:p w14:paraId="37174DE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k</w:t>
      </w:r>
      <w:r>
        <w:rPr>
          <w:rFonts w:ascii="Times New Roman" w:hAnsi="Calibri" w:eastAsia="宋体" w:cs="Times New Roman"/>
          <w:color w:val="000000" w:themeColor="text1"/>
          <w:szCs w:val="21"/>
        </w:rPr>
        <w:t>）检查仪器、工控机时间与北京时间是否一致，数据采集时间与平台展示时间是否同步；</w:t>
      </w:r>
    </w:p>
    <w:p w14:paraId="5016869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l</w:t>
      </w:r>
      <w:r>
        <w:rPr>
          <w:rFonts w:ascii="Times New Roman" w:hAnsi="Calibri" w:eastAsia="宋体" w:cs="Times New Roman"/>
          <w:color w:val="000000" w:themeColor="text1"/>
          <w:szCs w:val="21"/>
        </w:rPr>
        <w:t>）做好每周巡检记录，并定期存档。</w:t>
      </w:r>
    </w:p>
    <w:p w14:paraId="14790DC4">
      <w:pPr>
        <w:ind w:firstLine="284"/>
        <w:rPr>
          <w:rFonts w:ascii="Times New Roman" w:hAnsi="Times New Roman" w:eastAsia="宋体" w:cs="Times New Roman"/>
          <w:color w:val="000000" w:themeColor="text1"/>
          <w:szCs w:val="21"/>
        </w:rPr>
      </w:pPr>
      <w:r>
        <w:rPr>
          <w:rFonts w:hint="eastAsia" w:ascii="Times New Roman" w:hAnsi="Times New Roman" w:eastAsia="宋体" w:cs="Times New Roman"/>
          <w:b/>
          <w:bCs/>
          <w:color w:val="000000" w:themeColor="text1"/>
          <w:kern w:val="0"/>
          <w:szCs w:val="21"/>
          <w:lang w:val="en-US" w:eastAsia="zh-CN"/>
        </w:rPr>
        <w:t>3</w:t>
      </w:r>
      <w:r>
        <w:rPr>
          <w:rFonts w:ascii="Times New Roman" w:hAnsi="Times New Roman" w:eastAsia="宋体" w:cs="Times New Roman"/>
          <w:b/>
          <w:bCs/>
          <w:color w:val="000000" w:themeColor="text1"/>
          <w:kern w:val="0"/>
          <w:szCs w:val="21"/>
        </w:rPr>
        <w:t>.3 PM</w:t>
      </w:r>
      <w:r>
        <w:rPr>
          <w:rFonts w:ascii="Times New Roman" w:hAnsi="Times New Roman" w:eastAsia="宋体" w:cs="Times New Roman"/>
          <w:b/>
          <w:bCs/>
          <w:color w:val="000000" w:themeColor="text1"/>
          <w:kern w:val="0"/>
          <w:szCs w:val="21"/>
          <w:vertAlign w:val="subscript"/>
        </w:rPr>
        <w:t>2.5</w:t>
      </w:r>
      <w:r>
        <w:rPr>
          <w:rFonts w:ascii="Times New Roman" w:hAnsi="宋体" w:eastAsia="宋体" w:cs="Times New Roman"/>
          <w:b/>
          <w:bCs/>
          <w:color w:val="000000" w:themeColor="text1"/>
          <w:kern w:val="0"/>
          <w:szCs w:val="21"/>
        </w:rPr>
        <w:t>在线分析仪</w:t>
      </w:r>
    </w:p>
    <w:p w14:paraId="1C41B130">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w:t>
      </w:r>
      <w:r>
        <w:rPr>
          <w:rFonts w:ascii="Times New Roman" w:hAnsi="Calibri" w:eastAsia="宋体" w:cs="Times New Roman"/>
          <w:color w:val="000000" w:themeColor="text1"/>
          <w:szCs w:val="21"/>
        </w:rPr>
        <w:t>）每日：查看平台数据；</w:t>
      </w:r>
    </w:p>
    <w:p w14:paraId="4D3C91DD">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r>
        <w:rPr>
          <w:rFonts w:ascii="Times New Roman" w:hAnsi="Calibri" w:eastAsia="宋体" w:cs="Times New Roman"/>
          <w:color w:val="000000" w:themeColor="text1"/>
          <w:szCs w:val="21"/>
        </w:rPr>
        <w:t>）每周：</w:t>
      </w: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查看仪器运行和联网状况；</w:t>
      </w:r>
    </w:p>
    <w:p w14:paraId="302DA35C">
      <w:pPr>
        <w:spacing w:line="440" w:lineRule="exact"/>
        <w:ind w:left="909" w:leftChars="433" w:firstLine="525" w:firstLineChars="25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检查纸带是否有破损或边缘不光滑的情况；</w:t>
      </w:r>
    </w:p>
    <w:p w14:paraId="6ADAFED7">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．查看仪器上历史报警信息，与工控机历史数据进行对应，去除无效数据；</w:t>
      </w:r>
    </w:p>
    <w:p w14:paraId="1D714D6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r>
        <w:rPr>
          <w:rFonts w:ascii="Times New Roman" w:hAnsi="Calibri" w:eastAsia="宋体" w:cs="Times New Roman"/>
          <w:color w:val="000000" w:themeColor="text1"/>
          <w:szCs w:val="21"/>
        </w:rPr>
        <w:t>）两周：精度检查；</w:t>
      </w:r>
    </w:p>
    <w:p w14:paraId="5F23379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4</w:t>
      </w:r>
      <w:r>
        <w:rPr>
          <w:rFonts w:ascii="Times New Roman" w:hAnsi="Calibri" w:eastAsia="宋体" w:cs="Times New Roman"/>
          <w:color w:val="000000" w:themeColor="text1"/>
          <w:szCs w:val="21"/>
        </w:rPr>
        <w:t>）每月：</w:t>
      </w: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流量检查及校准；</w:t>
      </w:r>
    </w:p>
    <w:p w14:paraId="3FA9F7E9">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清洗喷嘴；</w:t>
      </w:r>
    </w:p>
    <w:p w14:paraId="5C032D3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r>
        <w:rPr>
          <w:rFonts w:ascii="Times New Roman" w:hAnsi="Calibri" w:eastAsia="宋体" w:cs="Times New Roman"/>
          <w:color w:val="000000" w:themeColor="text1"/>
          <w:szCs w:val="21"/>
        </w:rPr>
        <w:t>）两月：清洗采样切割器；</w:t>
      </w:r>
    </w:p>
    <w:p w14:paraId="4D392939">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w:t>
      </w:r>
      <w:r>
        <w:rPr>
          <w:rFonts w:ascii="Times New Roman" w:hAnsi="Calibri" w:eastAsia="宋体" w:cs="Times New Roman"/>
          <w:color w:val="000000" w:themeColor="text1"/>
          <w:szCs w:val="21"/>
        </w:rPr>
        <w:t>）半年：</w:t>
      </w: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更换纸带；</w:t>
      </w:r>
    </w:p>
    <w:p w14:paraId="17EDFC0C">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浊度校准；</w:t>
      </w:r>
    </w:p>
    <w:p w14:paraId="428F55FA">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标准膜校准；</w:t>
      </w:r>
    </w:p>
    <w:p w14:paraId="323C8AAC">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．清洗反应室；</w:t>
      </w:r>
    </w:p>
    <w:p w14:paraId="2714FC54">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7</w:t>
      </w:r>
      <w:r>
        <w:rPr>
          <w:rFonts w:ascii="Times New Roman" w:hAnsi="Calibri" w:eastAsia="宋体" w:cs="Times New Roman"/>
          <w:color w:val="000000" w:themeColor="text1"/>
          <w:szCs w:val="21"/>
        </w:rPr>
        <w:t>）每年：</w:t>
      </w: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温度与压力传感器校准；</w:t>
      </w:r>
    </w:p>
    <w:p w14:paraId="24BFCA8F">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质量传感器校准；</w:t>
      </w:r>
    </w:p>
    <w:p w14:paraId="5F0C40B5">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更换泵刮板；</w:t>
      </w:r>
    </w:p>
    <w:p w14:paraId="3B304145">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．更换泵过滤器；</w:t>
      </w:r>
    </w:p>
    <w:p w14:paraId="21DF3A0F">
      <w:pPr>
        <w:spacing w:line="440" w:lineRule="exact"/>
        <w:ind w:left="1673" w:leftChars="718" w:hanging="165" w:hangingChars="79"/>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w:t>
      </w:r>
      <w:r>
        <w:rPr>
          <w:rFonts w:ascii="Times New Roman" w:hAnsi="Calibri" w:eastAsia="宋体" w:cs="Times New Roman"/>
          <w:color w:val="000000" w:themeColor="text1"/>
          <w:szCs w:val="21"/>
        </w:rPr>
        <w:t>．更换</w:t>
      </w:r>
      <w:r>
        <w:rPr>
          <w:rFonts w:ascii="Times New Roman" w:hAnsi="Times New Roman" w:eastAsia="宋体" w:cs="Times New Roman"/>
          <w:color w:val="000000" w:themeColor="text1"/>
          <w:szCs w:val="21"/>
        </w:rPr>
        <w:t>O</w:t>
      </w:r>
      <w:r>
        <w:rPr>
          <w:rFonts w:ascii="Times New Roman" w:hAnsi="Calibri" w:eastAsia="宋体" w:cs="Times New Roman"/>
          <w:color w:val="000000" w:themeColor="text1"/>
          <w:szCs w:val="21"/>
        </w:rPr>
        <w:t>型圈。</w:t>
      </w:r>
    </w:p>
    <w:p w14:paraId="7748897C">
      <w:pPr>
        <w:ind w:firstLine="284"/>
        <w:rPr>
          <w:rFonts w:ascii="Times New Roman" w:hAnsi="Times New Roman" w:eastAsia="宋体" w:cs="Times New Roman"/>
          <w:color w:val="000000" w:themeColor="text1"/>
          <w:szCs w:val="21"/>
        </w:rPr>
      </w:pPr>
      <w:r>
        <w:rPr>
          <w:rFonts w:hint="eastAsia" w:ascii="Times New Roman" w:hAnsi="Times New Roman" w:eastAsia="宋体" w:cs="Times New Roman"/>
          <w:b/>
          <w:bCs/>
          <w:color w:val="000000" w:themeColor="text1"/>
          <w:kern w:val="0"/>
          <w:szCs w:val="21"/>
          <w:lang w:val="en-US" w:eastAsia="zh-CN"/>
        </w:rPr>
        <w:t>3</w:t>
      </w:r>
      <w:r>
        <w:rPr>
          <w:rFonts w:ascii="Times New Roman" w:hAnsi="Times New Roman" w:eastAsia="宋体" w:cs="Times New Roman"/>
          <w:b/>
          <w:bCs/>
          <w:color w:val="000000" w:themeColor="text1"/>
          <w:kern w:val="0"/>
          <w:szCs w:val="21"/>
        </w:rPr>
        <w:t>.4</w:t>
      </w:r>
      <w:r>
        <w:rPr>
          <w:rFonts w:ascii="Times New Roman" w:hAnsi="宋体" w:eastAsia="宋体" w:cs="Times New Roman"/>
          <w:b/>
          <w:bCs/>
          <w:color w:val="000000" w:themeColor="text1"/>
          <w:kern w:val="0"/>
          <w:szCs w:val="21"/>
        </w:rPr>
        <w:t>在线离子色谱仪</w:t>
      </w:r>
    </w:p>
    <w:p w14:paraId="0AB5ED54">
      <w:pPr>
        <w:spacing w:line="440" w:lineRule="exact"/>
        <w:ind w:left="1257" w:leftChars="150" w:hanging="942" w:hangingChars="447"/>
        <w:rPr>
          <w:rFonts w:ascii="Times New Roman" w:hAnsi="Times New Roman" w:eastAsia="宋体" w:cs="Times New Roman"/>
          <w:b/>
          <w:color w:val="000000" w:themeColor="text1"/>
          <w:szCs w:val="21"/>
        </w:rPr>
      </w:pPr>
      <w:r>
        <w:rPr>
          <w:rFonts w:ascii="Times New Roman" w:hAnsi="Calibri" w:eastAsia="宋体" w:cs="Times New Roman"/>
          <w:b/>
          <w:color w:val="000000" w:themeColor="text1"/>
          <w:szCs w:val="21"/>
        </w:rPr>
        <w:t>每日维护工作要求：</w:t>
      </w:r>
    </w:p>
    <w:p w14:paraId="7AD822EC">
      <w:pPr>
        <w:spacing w:line="440" w:lineRule="exact"/>
        <w:ind w:left="705" w:leftChars="198" w:hanging="289" w:hangingChars="138"/>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）每日检查仪器采样流量、</w:t>
      </w:r>
      <w:r>
        <w:rPr>
          <w:rFonts w:ascii="Times New Roman" w:hAnsi="Times New Roman" w:eastAsia="宋体" w:cs="Times New Roman"/>
          <w:color w:val="000000" w:themeColor="text1"/>
          <w:szCs w:val="21"/>
        </w:rPr>
        <w:t>色谱柱</w:t>
      </w:r>
      <w:r>
        <w:rPr>
          <w:rFonts w:ascii="Times New Roman" w:hAnsi="Calibri" w:eastAsia="宋体" w:cs="Times New Roman"/>
          <w:color w:val="000000" w:themeColor="text1"/>
          <w:szCs w:val="21"/>
        </w:rPr>
        <w:t>压、柱温、电导率、目标离子色谱峰出峰时间和峰宽等工作参数；如在现场，还应查看管路是否有气泡或漏液，溶蚀器滤膜是否有气泡，系统中设置的样品序列是否足够，淋洗液是否充足；</w:t>
      </w:r>
    </w:p>
    <w:p w14:paraId="31220550">
      <w:pPr>
        <w:spacing w:line="440" w:lineRule="exact"/>
        <w:ind w:left="705" w:leftChars="198" w:hanging="289" w:hangingChars="138"/>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）以</w:t>
      </w:r>
      <w:r>
        <w:rPr>
          <w:rFonts w:ascii="Times New Roman" w:hAnsi="Times New Roman" w:eastAsia="宋体" w:cs="Times New Roman"/>
          <w:color w:val="000000" w:themeColor="text1"/>
          <w:szCs w:val="21"/>
        </w:rPr>
        <w:t>PM</w:t>
      </w:r>
      <w:r>
        <w:rPr>
          <w:rFonts w:ascii="Times New Roman" w:hAnsi="Times New Roman" w:eastAsia="宋体" w:cs="Times New Roman"/>
          <w:color w:val="000000" w:themeColor="text1"/>
          <w:szCs w:val="21"/>
          <w:vertAlign w:val="subscript"/>
        </w:rPr>
        <w:t xml:space="preserve">2.5 </w:t>
      </w:r>
      <w:r>
        <w:rPr>
          <w:rFonts w:ascii="Times New Roman" w:hAnsi="Calibri" w:eastAsia="宋体" w:cs="Times New Roman"/>
          <w:color w:val="000000" w:themeColor="text1"/>
          <w:szCs w:val="21"/>
        </w:rPr>
        <w:t>或</w:t>
      </w:r>
      <w:r>
        <w:rPr>
          <w:rFonts w:ascii="Times New Roman" w:hAnsi="Times New Roman" w:eastAsia="宋体" w:cs="Times New Roman"/>
          <w:color w:val="000000" w:themeColor="text1"/>
          <w:szCs w:val="21"/>
        </w:rPr>
        <w:t>PM</w:t>
      </w:r>
      <w:r>
        <w:rPr>
          <w:rFonts w:ascii="Times New Roman" w:hAnsi="Times New Roman" w:eastAsia="宋体" w:cs="Times New Roman"/>
          <w:color w:val="000000" w:themeColor="text1"/>
          <w:szCs w:val="21"/>
          <w:vertAlign w:val="subscript"/>
        </w:rPr>
        <w:t>10</w:t>
      </w:r>
      <w:r>
        <w:rPr>
          <w:rFonts w:ascii="Times New Roman" w:hAnsi="Calibri" w:eastAsia="宋体" w:cs="Times New Roman"/>
          <w:color w:val="000000" w:themeColor="text1"/>
          <w:szCs w:val="21"/>
        </w:rPr>
        <w:t>为首要污染物的重污染天气预警发布后，可根据仪器数据质量情况</w:t>
      </w:r>
      <w:r>
        <w:rPr>
          <w:rFonts w:ascii="Times New Roman" w:hAnsi="Times New Roman" w:eastAsia="宋体" w:cs="Times New Roman"/>
          <w:color w:val="000000" w:themeColor="text1"/>
          <w:szCs w:val="21"/>
        </w:rPr>
        <w:t xml:space="preserve">24 h </w:t>
      </w:r>
      <w:r>
        <w:rPr>
          <w:rFonts w:ascii="Times New Roman" w:hAnsi="Calibri" w:eastAsia="宋体" w:cs="Times New Roman"/>
          <w:color w:val="000000" w:themeColor="text1"/>
          <w:szCs w:val="21"/>
        </w:rPr>
        <w:t>内全面检查仪器</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次；必要时校准或调整并避开重污染时段，重污染过程或沙尘影响结束后应及时清理采样头和切割器，并核查流量；</w:t>
      </w:r>
    </w:p>
    <w:p w14:paraId="080D2EB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）每日检查仪器监测结果，发现异常数据及时排查原因；</w:t>
      </w:r>
    </w:p>
    <w:p w14:paraId="4FF4564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）做好每日维护记录，并定期存档。</w:t>
      </w:r>
    </w:p>
    <w:p w14:paraId="33BE739C">
      <w:pPr>
        <w:spacing w:line="440" w:lineRule="exact"/>
        <w:ind w:left="1257" w:leftChars="150" w:hanging="942" w:hangingChars="447"/>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每周维护工作要求：</w:t>
      </w:r>
    </w:p>
    <w:p w14:paraId="41F319F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）每周至少现场检查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次仪器运行状态；</w:t>
      </w:r>
    </w:p>
    <w:p w14:paraId="6EBA3EF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次监测仪器散热风扇污染情况，及时清洁；</w:t>
      </w:r>
    </w:p>
    <w:p w14:paraId="375553FF">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次户外缓冲瓶，及时清理积水；</w:t>
      </w:r>
    </w:p>
    <w:p w14:paraId="239BA6E0">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次蒸汽发生器水位是否正常、样品收集装置是否充满吸收液、管路是否有气泡与漏液；</w:t>
      </w:r>
    </w:p>
    <w:p w14:paraId="41A92EA3">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次溶蚀器是否正常，当发现漏液、有气泡或污染时，应及时分析原因，更换过滤器等耗材或备件；</w:t>
      </w:r>
    </w:p>
    <w:p w14:paraId="33DAC1B2">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w:t>
      </w:r>
      <w:r>
        <w:rPr>
          <w:rFonts w:ascii="Times New Roman" w:hAnsi="Calibri" w:eastAsia="宋体" w:cs="Times New Roman"/>
          <w:color w:val="000000" w:themeColor="text1"/>
          <w:szCs w:val="21"/>
        </w:rPr>
        <w:t>）对于颗粒物流路，每周至少更换</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次过滤器；对于气体流路，如配有过滤器的，每两周至少更换</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次过滤器；可根据仪器说明书要求及当地污染程度增加过滤器更换频次，新过滤器使用前应活化；</w:t>
      </w:r>
    </w:p>
    <w:p w14:paraId="3F7580A3">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次色谱柱柱效，当发现色谱柱柱效下降较多，如</w:t>
      </w:r>
      <w:r>
        <w:rPr>
          <w:rFonts w:ascii="Times New Roman" w:hAnsi="Times New Roman" w:eastAsia="宋体" w:cs="Times New Roman"/>
          <w:color w:val="000000" w:themeColor="text1"/>
          <w:szCs w:val="21"/>
        </w:rPr>
        <w:t>NO</w:t>
      </w:r>
      <w:r>
        <w:rPr>
          <w:rFonts w:ascii="Times New Roman" w:hAnsi="Times New Roman" w:eastAsia="宋体" w:cs="Times New Roman"/>
          <w:color w:val="000000" w:themeColor="text1"/>
          <w:szCs w:val="21"/>
          <w:vertAlign w:val="subscript"/>
        </w:rPr>
        <w:t>3</w:t>
      </w:r>
      <w:r>
        <w:rPr>
          <w:rFonts w:ascii="Times New Roman" w:hAnsi="Times New Roman" w:eastAsia="宋体" w:cs="Times New Roman"/>
          <w:color w:val="000000" w:themeColor="text1"/>
          <w:szCs w:val="21"/>
          <w:vertAlign w:val="superscript"/>
        </w:rPr>
        <w:t>-</w:t>
      </w:r>
      <w:r>
        <w:rPr>
          <w:rFonts w:ascii="Times New Roman" w:hAnsi="Calibri" w:eastAsia="宋体" w:cs="Times New Roman"/>
          <w:color w:val="000000" w:themeColor="text1"/>
          <w:szCs w:val="21"/>
        </w:rPr>
        <w:t>和</w:t>
      </w:r>
      <w:r>
        <w:rPr>
          <w:rFonts w:ascii="Times New Roman" w:hAnsi="Times New Roman" w:eastAsia="宋体" w:cs="Times New Roman"/>
          <w:color w:val="000000" w:themeColor="text1"/>
          <w:szCs w:val="21"/>
        </w:rPr>
        <w:t>SO</w:t>
      </w:r>
      <w:r>
        <w:rPr>
          <w:rFonts w:ascii="Times New Roman" w:hAnsi="Times New Roman" w:eastAsia="宋体" w:cs="Times New Roman"/>
          <w:color w:val="000000" w:themeColor="text1"/>
          <w:szCs w:val="21"/>
          <w:vertAlign w:val="subscript"/>
        </w:rPr>
        <w:t>4</w:t>
      </w:r>
      <w:r>
        <w:rPr>
          <w:rFonts w:ascii="Times New Roman" w:hAnsi="Times New Roman" w:eastAsia="宋体" w:cs="Times New Roman"/>
          <w:color w:val="000000" w:themeColor="text1"/>
          <w:szCs w:val="21"/>
          <w:vertAlign w:val="superscript"/>
        </w:rPr>
        <w:t>2-</w:t>
      </w:r>
      <w:r>
        <w:rPr>
          <w:rFonts w:ascii="Times New Roman" w:hAnsi="Calibri" w:eastAsia="宋体" w:cs="Times New Roman"/>
          <w:color w:val="000000" w:themeColor="text1"/>
          <w:szCs w:val="21"/>
        </w:rPr>
        <w:t>色谱峰之间的分离度小于</w:t>
      </w:r>
      <w:r>
        <w:rPr>
          <w:rFonts w:ascii="Times New Roman" w:hAnsi="Times New Roman" w:eastAsia="宋体" w:cs="Times New Roman"/>
          <w:color w:val="000000" w:themeColor="text1"/>
          <w:szCs w:val="21"/>
        </w:rPr>
        <w:t>1.2</w:t>
      </w:r>
      <w:r>
        <w:rPr>
          <w:rFonts w:ascii="Times New Roman" w:hAnsi="Calibri" w:eastAsia="宋体" w:cs="Times New Roman"/>
          <w:color w:val="000000" w:themeColor="text1"/>
          <w:szCs w:val="21"/>
        </w:rPr>
        <w:t>、</w:t>
      </w:r>
      <w:r>
        <w:rPr>
          <w:rFonts w:ascii="Times New Roman" w:hAnsi="Times New Roman" w:eastAsia="宋体" w:cs="Times New Roman"/>
          <w:color w:val="000000" w:themeColor="text1"/>
          <w:szCs w:val="21"/>
        </w:rPr>
        <w:t>Na</w:t>
      </w:r>
      <w:r>
        <w:rPr>
          <w:rFonts w:ascii="Times New Roman" w:hAnsi="Times New Roman" w:eastAsia="宋体" w:cs="Times New Roman"/>
          <w:color w:val="000000" w:themeColor="text1"/>
          <w:szCs w:val="21"/>
          <w:vertAlign w:val="superscript"/>
        </w:rPr>
        <w:t>+</w:t>
      </w:r>
      <w:r>
        <w:rPr>
          <w:rFonts w:ascii="Times New Roman" w:hAnsi="Calibri" w:eastAsia="宋体" w:cs="Times New Roman"/>
          <w:color w:val="000000" w:themeColor="text1"/>
          <w:szCs w:val="21"/>
        </w:rPr>
        <w:t>和</w:t>
      </w:r>
      <w:r>
        <w:rPr>
          <w:rFonts w:ascii="Times New Roman" w:hAnsi="Times New Roman" w:eastAsia="宋体" w:cs="Times New Roman"/>
          <w:color w:val="000000" w:themeColor="text1"/>
          <w:szCs w:val="21"/>
        </w:rPr>
        <w:t>NH</w:t>
      </w:r>
      <w:r>
        <w:rPr>
          <w:rFonts w:ascii="Times New Roman" w:hAnsi="Times New Roman" w:eastAsia="宋体" w:cs="Times New Roman"/>
          <w:color w:val="000000" w:themeColor="text1"/>
          <w:szCs w:val="21"/>
          <w:vertAlign w:val="subscript"/>
        </w:rPr>
        <w:t xml:space="preserve">4 </w:t>
      </w:r>
      <w:r>
        <w:rPr>
          <w:rFonts w:ascii="Times New Roman" w:hAnsi="Times New Roman" w:eastAsia="宋体" w:cs="Times New Roman"/>
          <w:color w:val="000000" w:themeColor="text1"/>
          <w:szCs w:val="21"/>
          <w:vertAlign w:val="superscript"/>
        </w:rPr>
        <w:t>+</w:t>
      </w:r>
      <w:r>
        <w:rPr>
          <w:rFonts w:ascii="Times New Roman" w:hAnsi="Calibri" w:eastAsia="宋体" w:cs="Times New Roman"/>
          <w:color w:val="000000" w:themeColor="text1"/>
          <w:szCs w:val="21"/>
        </w:rPr>
        <w:t>色谱峰之间的分离度小于</w:t>
      </w:r>
      <w:r>
        <w:rPr>
          <w:rFonts w:ascii="Times New Roman" w:hAnsi="Times New Roman" w:eastAsia="宋体" w:cs="Times New Roman"/>
          <w:color w:val="000000" w:themeColor="text1"/>
          <w:szCs w:val="21"/>
        </w:rPr>
        <w:t xml:space="preserve">1.5 </w:t>
      </w:r>
      <w:r>
        <w:rPr>
          <w:rFonts w:ascii="Times New Roman" w:hAnsi="Calibri" w:eastAsia="宋体" w:cs="Times New Roman"/>
          <w:color w:val="000000" w:themeColor="text1"/>
          <w:szCs w:val="21"/>
        </w:rPr>
        <w:t>或</w:t>
      </w:r>
      <w:r>
        <w:rPr>
          <w:rFonts w:ascii="Times New Roman" w:hAnsi="Times New Roman" w:eastAsia="宋体" w:cs="Times New Roman"/>
          <w:color w:val="000000" w:themeColor="text1"/>
          <w:szCs w:val="21"/>
        </w:rPr>
        <w:t>Na</w:t>
      </w:r>
      <w:r>
        <w:rPr>
          <w:rFonts w:ascii="Times New Roman" w:hAnsi="Times New Roman" w:eastAsia="宋体" w:cs="Times New Roman"/>
          <w:color w:val="000000" w:themeColor="text1"/>
          <w:szCs w:val="21"/>
          <w:vertAlign w:val="superscript"/>
        </w:rPr>
        <w:t>+</w:t>
      </w:r>
      <w:r>
        <w:rPr>
          <w:rFonts w:ascii="Times New Roman" w:hAnsi="Calibri" w:eastAsia="宋体" w:cs="Times New Roman"/>
          <w:color w:val="000000" w:themeColor="text1"/>
          <w:szCs w:val="21"/>
        </w:rPr>
        <w:t>和水负峰</w:t>
      </w:r>
      <w:r>
        <w:rPr>
          <w:rFonts w:ascii="Times New Roman" w:hAnsi="Times New Roman" w:eastAsia="宋体" w:cs="Times New Roman"/>
          <w:color w:val="000000" w:themeColor="text1"/>
          <w:szCs w:val="21"/>
        </w:rPr>
        <w:t>/</w:t>
      </w:r>
      <w:r>
        <w:rPr>
          <w:rFonts w:ascii="Times New Roman" w:hAnsi="Calibri" w:eastAsia="宋体" w:cs="Times New Roman"/>
          <w:color w:val="000000" w:themeColor="text1"/>
          <w:szCs w:val="21"/>
        </w:rPr>
        <w:t>系统峰分离度小于</w:t>
      </w:r>
      <w:r>
        <w:rPr>
          <w:rFonts w:ascii="Times New Roman" w:hAnsi="Times New Roman" w:eastAsia="宋体" w:cs="Times New Roman"/>
          <w:color w:val="000000" w:themeColor="text1"/>
          <w:szCs w:val="21"/>
        </w:rPr>
        <w:t xml:space="preserve">1.5 </w:t>
      </w:r>
      <w:r>
        <w:rPr>
          <w:rFonts w:ascii="Times New Roman" w:hAnsi="Calibri" w:eastAsia="宋体" w:cs="Times New Roman"/>
          <w:color w:val="000000" w:themeColor="text1"/>
          <w:szCs w:val="21"/>
        </w:rPr>
        <w:t>时，应及时更换相应的色谱柱与保护柱；</w:t>
      </w:r>
    </w:p>
    <w:p w14:paraId="2C025332">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次采样泵是否运转正常；</w:t>
      </w:r>
    </w:p>
    <w:p w14:paraId="50412D22">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i</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次采样和排气管路是否有漏气或堵塞现象，流路管路是否洁净和畅通，及时发现并清除管路中的异物和气泡，必要时更换配件或耗材；</w:t>
      </w:r>
    </w:p>
    <w:p w14:paraId="68F2292B">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j</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次淋洗液液位，液位低于容器容积的</w:t>
      </w:r>
      <w:r>
        <w:rPr>
          <w:rFonts w:ascii="Times New Roman" w:hAnsi="Times New Roman" w:eastAsia="宋体" w:cs="Times New Roman"/>
          <w:color w:val="000000" w:themeColor="text1"/>
          <w:szCs w:val="21"/>
        </w:rPr>
        <w:t xml:space="preserve">1/5 </w:t>
      </w:r>
      <w:r>
        <w:rPr>
          <w:rFonts w:ascii="Times New Roman" w:hAnsi="Calibri" w:eastAsia="宋体" w:cs="Times New Roman"/>
          <w:color w:val="000000" w:themeColor="text1"/>
          <w:szCs w:val="21"/>
        </w:rPr>
        <w:t>时应及时更换淋洗液，若使用淋洗液自动发生器，应及时添加去离子水；每次更换淋洗液后应检查目标离子的保留时间和背景电导率，查看保留时间漂移情况，如漂移超出</w:t>
      </w:r>
      <w:r>
        <w:rPr>
          <w:rFonts w:ascii="Times New Roman" w:hAnsi="Times New Roman" w:eastAsia="宋体" w:cs="Times New Roman"/>
          <w:color w:val="000000" w:themeColor="text1"/>
          <w:szCs w:val="21"/>
        </w:rPr>
        <w:t>0.5 min</w:t>
      </w:r>
      <w:r>
        <w:rPr>
          <w:rFonts w:ascii="Times New Roman" w:hAnsi="Calibri" w:eastAsia="宋体" w:cs="Times New Roman"/>
          <w:color w:val="000000" w:themeColor="text1"/>
          <w:szCs w:val="21"/>
        </w:rPr>
        <w:t>，应及时排查原因；</w:t>
      </w:r>
    </w:p>
    <w:p w14:paraId="47EC53D1">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k</w:t>
      </w:r>
      <w:r>
        <w:rPr>
          <w:rFonts w:ascii="Times New Roman" w:hAnsi="Calibri" w:eastAsia="宋体" w:cs="Times New Roman"/>
          <w:color w:val="000000" w:themeColor="text1"/>
          <w:szCs w:val="21"/>
        </w:rPr>
        <w:t>）每周至少检查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次废液桶，及时清空废液；</w:t>
      </w:r>
    </w:p>
    <w:p w14:paraId="12C5CA60">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l</w:t>
      </w:r>
      <w:r>
        <w:rPr>
          <w:rFonts w:ascii="Times New Roman" w:hAnsi="Calibri" w:eastAsia="宋体" w:cs="Times New Roman"/>
          <w:color w:val="000000" w:themeColor="text1"/>
          <w:szCs w:val="21"/>
        </w:rPr>
        <w:t>）每两周使用去离子水（电阻率应</w:t>
      </w:r>
      <w:r>
        <w:rPr>
          <w:rFonts w:ascii="Times New Roman" w:hAnsi="Times New Roman" w:eastAsia="宋体" w:cs="Times New Roman"/>
          <w:color w:val="000000" w:themeColor="text1"/>
          <w:szCs w:val="21"/>
        </w:rPr>
        <w:t>≥18 MΩ·cm</w:t>
      </w:r>
      <w:r>
        <w:rPr>
          <w:rFonts w:ascii="Times New Roman" w:hAnsi="Calibri" w:eastAsia="宋体" w:cs="Times New Roman"/>
          <w:color w:val="000000" w:themeColor="text1"/>
          <w:szCs w:val="21"/>
        </w:rPr>
        <w:t>，</w:t>
      </w:r>
      <w:r>
        <w:rPr>
          <w:rFonts w:ascii="Times New Roman" w:hAnsi="Times New Roman" w:eastAsia="宋体" w:cs="Times New Roman"/>
          <w:color w:val="000000" w:themeColor="text1"/>
          <w:szCs w:val="21"/>
        </w:rPr>
        <w:t>25 ℃</w:t>
      </w:r>
      <w:r>
        <w:rPr>
          <w:rFonts w:ascii="Times New Roman" w:hAnsi="Calibri" w:eastAsia="宋体" w:cs="Times New Roman"/>
          <w:color w:val="000000" w:themeColor="text1"/>
          <w:szCs w:val="21"/>
        </w:rPr>
        <w:t>）检查仪器基线与空白响应情况，如目标离子浓度高于仪器检出限，应及时排查后重新测试；</w:t>
      </w:r>
    </w:p>
    <w:p w14:paraId="0B09A60F">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m</w:t>
      </w:r>
      <w:r>
        <w:rPr>
          <w:rFonts w:ascii="Times New Roman" w:hAnsi="Calibri" w:eastAsia="宋体" w:cs="Times New Roman"/>
          <w:color w:val="000000" w:themeColor="text1"/>
          <w:szCs w:val="21"/>
        </w:rPr>
        <w:t>）执行仪器说明书规定的其他周维护内容；</w:t>
      </w:r>
    </w:p>
    <w:p w14:paraId="64D10E0F">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n</w:t>
      </w:r>
      <w:r>
        <w:rPr>
          <w:rFonts w:ascii="Times New Roman" w:hAnsi="Calibri" w:eastAsia="宋体" w:cs="Times New Roman"/>
          <w:color w:val="000000" w:themeColor="text1"/>
          <w:szCs w:val="21"/>
        </w:rPr>
        <w:t>）做好每周维护记录，并定期存档。</w:t>
      </w:r>
    </w:p>
    <w:p w14:paraId="303A188D">
      <w:pPr>
        <w:spacing w:line="440" w:lineRule="exact"/>
        <w:ind w:left="1257" w:leftChars="150" w:hanging="942" w:hangingChars="447"/>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每月维护工作要求：</w:t>
      </w:r>
    </w:p>
    <w:p w14:paraId="4D056D2B">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）每月至少清洁</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采样头；在颗粒物污染较重或植物飞絮、飞虫影响较大的季节，应增加采样头的检查和清洁频次；清洁时，应完全拆开采样头和切割器，用蒸馏水或无水乙醇清洁（无水乙醇清洁后需再用蒸馏水清洁一遍），待完全晾干或用风机吹干后重新组装，组装时应检查密封圈的密封情况；</w:t>
      </w:r>
    </w:p>
    <w:p w14:paraId="09CC6803">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）每月至少备份</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次原始数据；</w:t>
      </w:r>
    </w:p>
    <w:p w14:paraId="140D4D1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）执行仪器说明书规定的其他月维护内容；</w:t>
      </w:r>
    </w:p>
    <w:p w14:paraId="094759D2">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）做好每月维护记录，并定期存档。</w:t>
      </w:r>
    </w:p>
    <w:p w14:paraId="37913F00">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宋体" w:eastAsia="宋体" w:cs="Times New Roman"/>
          <w:b/>
          <w:color w:val="000000" w:themeColor="text1"/>
          <w:szCs w:val="21"/>
        </w:rPr>
        <w:t>季度维护工作要求：</w:t>
      </w:r>
    </w:p>
    <w:p w14:paraId="686626CD">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）采用溶蚀器滤膜的仪器，每季度至少更换</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次滤膜；</w:t>
      </w:r>
    </w:p>
    <w:p w14:paraId="6D0B3BE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）每季度至少清洁或更换</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次溶蚀器、蒸汽发生器、采样及流路管路，根据当地污染程度可增加清洁频次；采样管路清洁后应检查气密性，并核查采样流量；</w:t>
      </w:r>
    </w:p>
    <w:p w14:paraId="6EBF5AFF">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）执行仪器说明书规定的其他季度维护内容；</w:t>
      </w:r>
    </w:p>
    <w:p w14:paraId="7D130477">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）做好每季度维护记录，并定期存档。</w:t>
      </w:r>
    </w:p>
    <w:p w14:paraId="0F7C8797">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Calibri" w:eastAsia="宋体" w:cs="Times New Roman"/>
          <w:b/>
          <w:color w:val="000000" w:themeColor="text1"/>
          <w:szCs w:val="21"/>
        </w:rPr>
        <w:t>每半年维护工作要求：</w:t>
      </w:r>
    </w:p>
    <w:p w14:paraId="2DC8A75F">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）每半年至少更换</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次蠕动泵管和采样泵过滤器，根据实际情况可适当增加更换频次；</w:t>
      </w:r>
    </w:p>
    <w:p w14:paraId="38532B2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）执行仪器说明书规定的其他半年维护内容；</w:t>
      </w:r>
    </w:p>
    <w:p w14:paraId="3CFD6C8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）做好每半年维护记录，并定期存档。</w:t>
      </w:r>
    </w:p>
    <w:p w14:paraId="23456EC4">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Calibri" w:eastAsia="宋体" w:cs="Times New Roman"/>
          <w:b/>
          <w:color w:val="000000" w:themeColor="text1"/>
          <w:szCs w:val="21"/>
        </w:rPr>
        <w:t>每年维护工作要求：</w:t>
      </w:r>
    </w:p>
    <w:p w14:paraId="70C4648A">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）每年对仪器预防性维护</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次（或根据污染情况调整维护频次），检查与清洁样品采集单元和分析单元，更换必要的耗材与配件；维护后，应全面核查仪器状态，确保仪器在维护前后数据的准确性和可比性；</w:t>
      </w:r>
    </w:p>
    <w:p w14:paraId="0CE9483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）执行仪器说明书规定的其他年度维护内容；</w:t>
      </w:r>
    </w:p>
    <w:p w14:paraId="6DA8077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）做好每年维护记录，并定期存档。</w:t>
      </w:r>
    </w:p>
    <w:p w14:paraId="3C56C922">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Calibri" w:eastAsia="宋体" w:cs="Times New Roman"/>
          <w:b/>
          <w:color w:val="000000" w:themeColor="text1"/>
          <w:szCs w:val="21"/>
        </w:rPr>
        <w:t>故障检修</w:t>
      </w:r>
    </w:p>
    <w:p w14:paraId="78CFCFB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对出现故障的仪器应进行针对性的检查和维修。</w:t>
      </w:r>
    </w:p>
    <w:p w14:paraId="3B0C2D56">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）根据仪器维修手册要求，开展故障判断和检修；</w:t>
      </w:r>
    </w:p>
    <w:p w14:paraId="09292A88">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）对于在现场能够诊断明确并且可以通过简单更换备件解决的仪器故障，应及时检修并尽快恢复</w:t>
      </w:r>
    </w:p>
    <w:p w14:paraId="59A5E465">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正常运行；</w:t>
      </w:r>
    </w:p>
    <w:p w14:paraId="45236E7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）对于不能在现场完成故障检修的仪器，应及时送修；</w:t>
      </w:r>
    </w:p>
    <w:p w14:paraId="67DF5E3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）每次故障检修完成后，应核查或校准仪器；</w:t>
      </w:r>
    </w:p>
    <w:p w14:paraId="4B8198C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w:t>
      </w:r>
      <w:r>
        <w:rPr>
          <w:rFonts w:ascii="Times New Roman" w:hAnsi="Calibri" w:eastAsia="宋体" w:cs="Times New Roman"/>
          <w:color w:val="000000" w:themeColor="text1"/>
          <w:szCs w:val="21"/>
        </w:rPr>
        <w:t>）每次故障检修完成后，应记录检修、核查、校准情况并存档。</w:t>
      </w:r>
    </w:p>
    <w:p w14:paraId="5B627B6C">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Calibri" w:eastAsia="宋体" w:cs="Times New Roman"/>
          <w:b/>
          <w:color w:val="000000" w:themeColor="text1"/>
          <w:szCs w:val="21"/>
        </w:rPr>
        <w:t>质量保证和质量控制</w:t>
      </w:r>
    </w:p>
    <w:p w14:paraId="075EA6E9">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w:t>
      </w:r>
      <w:r>
        <w:rPr>
          <w:rFonts w:ascii="Times New Roman" w:hAnsi="Calibri" w:eastAsia="宋体" w:cs="Times New Roman"/>
          <w:color w:val="000000" w:themeColor="text1"/>
          <w:szCs w:val="21"/>
        </w:rPr>
        <w:t>）校准曲线中间点浓度核查</w:t>
      </w:r>
    </w:p>
    <w:p w14:paraId="3F99104A">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每周至少核查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次校准曲线中间点浓度，配制并测试校准曲线中间点浓度的标准溶液，相对误差应在</w:t>
      </w:r>
      <w:r>
        <w:rPr>
          <w:rFonts w:ascii="Times New Roman" w:hAnsi="Times New Roman" w:eastAsia="宋体" w:cs="Times New Roman"/>
          <w:color w:val="000000" w:themeColor="text1"/>
          <w:szCs w:val="21"/>
        </w:rPr>
        <w:t>±10%</w:t>
      </w:r>
      <w:r>
        <w:rPr>
          <w:rFonts w:ascii="Times New Roman" w:hAnsi="Calibri" w:eastAsia="宋体" w:cs="Times New Roman"/>
          <w:color w:val="000000" w:themeColor="text1"/>
          <w:szCs w:val="21"/>
        </w:rPr>
        <w:t>范围内，否则应及时排查原因，重新测试至相对误差达到要求。</w:t>
      </w:r>
    </w:p>
    <w:p w14:paraId="3167F3F6">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w:t>
      </w:r>
      <w:r>
        <w:rPr>
          <w:rFonts w:ascii="Times New Roman" w:hAnsi="Calibri" w:eastAsia="宋体" w:cs="Times New Roman"/>
          <w:color w:val="000000" w:themeColor="text1"/>
          <w:szCs w:val="21"/>
        </w:rPr>
        <w:t>）采样流量核查</w:t>
      </w:r>
    </w:p>
    <w:p w14:paraId="577861A3">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每月至少核查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次采样流量，使用经过计量检定合格的</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级标准流量计测试仪器采样流量，实测流量与仪器设定流量的相对误差应在</w:t>
      </w:r>
      <w:r>
        <w:rPr>
          <w:rFonts w:ascii="Times New Roman" w:hAnsi="Times New Roman" w:eastAsia="宋体" w:cs="Times New Roman"/>
          <w:color w:val="000000" w:themeColor="text1"/>
          <w:szCs w:val="21"/>
        </w:rPr>
        <w:t>±5%</w:t>
      </w:r>
      <w:r>
        <w:rPr>
          <w:rFonts w:ascii="Times New Roman" w:hAnsi="Calibri" w:eastAsia="宋体" w:cs="Times New Roman"/>
          <w:color w:val="000000" w:themeColor="text1"/>
          <w:szCs w:val="21"/>
        </w:rPr>
        <w:t>范围内，且示值流量与实测流量的示值误差应在</w:t>
      </w:r>
      <w:r>
        <w:rPr>
          <w:rFonts w:ascii="Times New Roman" w:hAnsi="Times New Roman" w:eastAsia="宋体" w:cs="Times New Roman"/>
          <w:color w:val="000000" w:themeColor="text1"/>
          <w:szCs w:val="21"/>
        </w:rPr>
        <w:t>±2%</w:t>
      </w:r>
      <w:r>
        <w:rPr>
          <w:rFonts w:ascii="Times New Roman" w:hAnsi="Calibri" w:eastAsia="宋体" w:cs="Times New Roman"/>
          <w:color w:val="000000" w:themeColor="text1"/>
          <w:szCs w:val="21"/>
        </w:rPr>
        <w:t>范围内，否则应及时调整仪器采样流量。</w:t>
      </w:r>
    </w:p>
    <w:p w14:paraId="7F7235A4">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w:t>
      </w:r>
      <w:r>
        <w:rPr>
          <w:rFonts w:ascii="Times New Roman" w:hAnsi="Calibri" w:eastAsia="宋体" w:cs="Times New Roman"/>
          <w:color w:val="000000" w:themeColor="text1"/>
          <w:szCs w:val="21"/>
        </w:rPr>
        <w:t>）温度测量示值核查</w:t>
      </w:r>
    </w:p>
    <w:p w14:paraId="5392F491">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每月至少核查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次温度测量示值，使用经过计量检定合格的</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级标准温度计测量环境温度，仪器显示的环境温度值与实测的环境温度值的误差应在</w:t>
      </w:r>
      <w:r>
        <w:rPr>
          <w:rFonts w:ascii="Times New Roman" w:hAnsi="Times New Roman" w:eastAsia="宋体" w:cs="Times New Roman"/>
          <w:color w:val="000000" w:themeColor="text1"/>
          <w:szCs w:val="21"/>
        </w:rPr>
        <w:t>±2 ℃</w:t>
      </w:r>
      <w:r>
        <w:rPr>
          <w:rFonts w:ascii="Times New Roman" w:hAnsi="Calibri" w:eastAsia="宋体" w:cs="Times New Roman"/>
          <w:color w:val="000000" w:themeColor="text1"/>
          <w:szCs w:val="21"/>
        </w:rPr>
        <w:t>范围内，否则应及时调整仪器环境温度示值。</w:t>
      </w:r>
    </w:p>
    <w:p w14:paraId="7FF0672F">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w:t>
      </w:r>
      <w:r>
        <w:rPr>
          <w:rFonts w:ascii="Times New Roman" w:hAnsi="Calibri" w:eastAsia="宋体" w:cs="Times New Roman"/>
          <w:color w:val="000000" w:themeColor="text1"/>
          <w:szCs w:val="21"/>
        </w:rPr>
        <w:t>）大气压测量示值核查</w:t>
      </w:r>
    </w:p>
    <w:p w14:paraId="5BD4B24F">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每月至少核查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次大气压测量示值，使用经过计量检定合格的</w:t>
      </w:r>
      <w:r>
        <w:rPr>
          <w:rFonts w:ascii="Times New Roman" w:hAnsi="Times New Roman" w:eastAsia="宋体" w:cs="Times New Roman"/>
          <w:color w:val="000000" w:themeColor="text1"/>
          <w:szCs w:val="21"/>
        </w:rPr>
        <w:t xml:space="preserve">0.5 </w:t>
      </w:r>
      <w:r>
        <w:rPr>
          <w:rFonts w:ascii="Times New Roman" w:hAnsi="Calibri" w:eastAsia="宋体" w:cs="Times New Roman"/>
          <w:color w:val="000000" w:themeColor="text1"/>
          <w:szCs w:val="21"/>
        </w:rPr>
        <w:t>级标准气压计测量环境大气压，仪器显示的环境大气压值与实测的环境大气压值的误差应在</w:t>
      </w:r>
      <w:r>
        <w:rPr>
          <w:rFonts w:ascii="Times New Roman" w:hAnsi="Times New Roman" w:eastAsia="宋体" w:cs="Times New Roman"/>
          <w:color w:val="000000" w:themeColor="text1"/>
          <w:szCs w:val="21"/>
        </w:rPr>
        <w:t xml:space="preserve">±1 kPa </w:t>
      </w:r>
      <w:r>
        <w:rPr>
          <w:rFonts w:ascii="Times New Roman" w:hAnsi="Calibri" w:eastAsia="宋体" w:cs="Times New Roman"/>
          <w:color w:val="000000" w:themeColor="text1"/>
          <w:szCs w:val="21"/>
        </w:rPr>
        <w:t>范围内，否则应及时调整仪器环境大气压示值。</w:t>
      </w:r>
    </w:p>
    <w:p w14:paraId="0BC180F3">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w:t>
      </w:r>
      <w:r>
        <w:rPr>
          <w:rFonts w:ascii="Times New Roman" w:hAnsi="Calibri" w:eastAsia="宋体" w:cs="Times New Roman"/>
          <w:color w:val="000000" w:themeColor="text1"/>
          <w:szCs w:val="21"/>
        </w:rPr>
        <w:t>）仪器空白核查</w:t>
      </w:r>
    </w:p>
    <w:p w14:paraId="2BA882E8">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每月至少核查</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仪器空白，在未启动采样泵的状态下，采用手动进样的方式，将去离子水注入离子色谱系统，所有目标离子的仪器空白应小于等于仪器检出限，否则应及时排查原因，重新测试至仪器空白达到要求。每次重启系统后应核查仪器空白。</w:t>
      </w:r>
    </w:p>
    <w:p w14:paraId="595ADF9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w:t>
      </w:r>
      <w:r>
        <w:rPr>
          <w:rFonts w:ascii="Times New Roman" w:hAnsi="Calibri" w:eastAsia="宋体" w:cs="Times New Roman"/>
          <w:color w:val="000000" w:themeColor="text1"/>
          <w:szCs w:val="21"/>
        </w:rPr>
        <w:t>）校准曲线的建立</w:t>
      </w:r>
    </w:p>
    <w:p w14:paraId="462D694A">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使用外标法定量的仪器，每月至少建立</w:t>
      </w:r>
      <w:r>
        <w:rPr>
          <w:rFonts w:ascii="Times New Roman" w:hAnsi="Times New Roman" w:eastAsia="宋体" w:cs="Times New Roman"/>
          <w:color w:val="000000" w:themeColor="text1"/>
          <w:szCs w:val="21"/>
        </w:rPr>
        <w:t xml:space="preserve">1 </w:t>
      </w:r>
      <w:r>
        <w:rPr>
          <w:rFonts w:ascii="Times New Roman" w:hAnsi="Calibri" w:eastAsia="宋体" w:cs="Times New Roman"/>
          <w:color w:val="000000" w:themeColor="text1"/>
          <w:szCs w:val="21"/>
        </w:rPr>
        <w:t>次校准曲线。当仪器更换定量环、色谱柱、抑制器等核心部件后，应重新建立校准曲线，并更新分析软件中的样品序列。校准曲线至少含</w:t>
      </w:r>
      <w:r>
        <w:rPr>
          <w:rFonts w:ascii="Times New Roman" w:hAnsi="Times New Roman" w:eastAsia="宋体" w:cs="Times New Roman"/>
          <w:color w:val="000000" w:themeColor="text1"/>
          <w:szCs w:val="21"/>
        </w:rPr>
        <w:t xml:space="preserve">6 </w:t>
      </w:r>
      <w:r>
        <w:rPr>
          <w:rFonts w:ascii="Times New Roman" w:hAnsi="Calibri" w:eastAsia="宋体" w:cs="Times New Roman"/>
          <w:color w:val="000000" w:themeColor="text1"/>
          <w:szCs w:val="21"/>
        </w:rPr>
        <w:t>个校准点（包括零浓度），曲线不强制过零点（环境样品浓度较低的情况下可强制过零点），校准曲线线性相关系数应满足</w:t>
      </w:r>
      <w:r>
        <w:rPr>
          <w:rFonts w:ascii="Times New Roman" w:hAnsi="Times New Roman" w:eastAsia="宋体" w:cs="Times New Roman"/>
          <w:i/>
          <w:iCs/>
          <w:color w:val="000000" w:themeColor="text1"/>
          <w:szCs w:val="21"/>
        </w:rPr>
        <w:t>r</w:t>
      </w:r>
      <w:r>
        <w:rPr>
          <w:rFonts w:ascii="Times New Roman" w:hAnsi="Times New Roman" w:eastAsia="宋体" w:cs="Times New Roman"/>
          <w:color w:val="000000" w:themeColor="text1"/>
          <w:szCs w:val="21"/>
        </w:rPr>
        <w:t>≥0.995</w:t>
      </w:r>
      <w:r>
        <w:rPr>
          <w:rFonts w:ascii="Times New Roman" w:hAnsi="Calibri" w:eastAsia="宋体" w:cs="Times New Roman"/>
          <w:color w:val="000000" w:themeColor="text1"/>
          <w:szCs w:val="21"/>
        </w:rPr>
        <w:t>，否则应重新建立校准曲线。</w:t>
      </w:r>
    </w:p>
    <w:p w14:paraId="11EC8B19">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w:t>
      </w:r>
      <w:r>
        <w:rPr>
          <w:rFonts w:ascii="Times New Roman" w:hAnsi="Calibri" w:eastAsia="宋体" w:cs="Times New Roman"/>
          <w:color w:val="000000" w:themeColor="text1"/>
          <w:szCs w:val="21"/>
        </w:rPr>
        <w:t>）正确度核查</w:t>
      </w:r>
    </w:p>
    <w:p w14:paraId="778A43C1">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每次建立完校准曲线后，使用有证标准物质测定所有目标离子，重复测量</w:t>
      </w:r>
      <w:r>
        <w:rPr>
          <w:rFonts w:ascii="Times New Roman" w:hAnsi="Times New Roman" w:eastAsia="宋体" w:cs="Times New Roman"/>
          <w:color w:val="000000" w:themeColor="text1"/>
          <w:szCs w:val="21"/>
        </w:rPr>
        <w:t xml:space="preserve">3 </w:t>
      </w:r>
      <w:r>
        <w:rPr>
          <w:rFonts w:ascii="Times New Roman" w:hAnsi="Calibri" w:eastAsia="宋体" w:cs="Times New Roman"/>
          <w:color w:val="000000" w:themeColor="text1"/>
          <w:szCs w:val="21"/>
        </w:rPr>
        <w:t>次，测定均值与理论值的相对误差应在</w:t>
      </w:r>
      <w:r>
        <w:rPr>
          <w:rFonts w:ascii="Times New Roman" w:hAnsi="Times New Roman" w:eastAsia="宋体" w:cs="Times New Roman"/>
          <w:color w:val="000000" w:themeColor="text1"/>
          <w:szCs w:val="21"/>
        </w:rPr>
        <w:t>±10%</w:t>
      </w:r>
      <w:r>
        <w:rPr>
          <w:rFonts w:ascii="Times New Roman" w:hAnsi="Calibri" w:eastAsia="宋体" w:cs="Times New Roman"/>
          <w:color w:val="000000" w:themeColor="text1"/>
          <w:szCs w:val="21"/>
        </w:rPr>
        <w:t>范围内，否则应及时排查原因，重新测试至正确度达到要求。</w:t>
      </w:r>
    </w:p>
    <w:p w14:paraId="18309132">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w:t>
      </w:r>
      <w:r>
        <w:rPr>
          <w:rFonts w:ascii="Times New Roman" w:hAnsi="Calibri" w:eastAsia="宋体" w:cs="Times New Roman"/>
          <w:color w:val="000000" w:themeColor="text1"/>
          <w:szCs w:val="21"/>
        </w:rPr>
        <w:t>）数据一致性核查</w:t>
      </w:r>
    </w:p>
    <w:p w14:paraId="3BC21B9E">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每半年至少核查</w:t>
      </w:r>
      <w:r>
        <w:rPr>
          <w:rFonts w:ascii="Times New Roman" w:hAnsi="Times New Roman" w:eastAsia="宋体" w:cs="Times New Roman"/>
          <w:color w:val="000000" w:themeColor="text1"/>
          <w:szCs w:val="21"/>
        </w:rPr>
        <w:t>1</w:t>
      </w:r>
      <w:r>
        <w:rPr>
          <w:rFonts w:ascii="Times New Roman" w:hAnsi="Calibri" w:eastAsia="宋体" w:cs="Times New Roman"/>
          <w:color w:val="000000" w:themeColor="text1"/>
          <w:szCs w:val="21"/>
        </w:rPr>
        <w:t>次数据一致性。不应采用模拟量传输等可能导致数据偏差的方式，数据采集仪记录的数据与仪器显示和存储的数据应一致，否则应及时检查仪器和数据采集仪的参数设置等是否正常。每次更换仪器后，应核查数据一致性。</w:t>
      </w:r>
    </w:p>
    <w:p w14:paraId="00F4900C">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i</w:t>
      </w:r>
      <w:r>
        <w:rPr>
          <w:rFonts w:ascii="Times New Roman" w:hAnsi="Calibri" w:eastAsia="宋体" w:cs="Times New Roman"/>
          <w:color w:val="000000" w:themeColor="text1"/>
          <w:szCs w:val="21"/>
        </w:rPr>
        <w:t>）计量溯源性要求</w:t>
      </w:r>
    </w:p>
    <w:p w14:paraId="33582FE7">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计量器具（如流量计、温度计、气压计等）应检定或校准合格，并在有效期内。标准溶液应使用有效期内的有证标准物质配制。</w:t>
      </w:r>
    </w:p>
    <w:p w14:paraId="1A61340E">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j</w:t>
      </w:r>
      <w:r>
        <w:rPr>
          <w:rFonts w:ascii="Times New Roman" w:hAnsi="Calibri" w:eastAsia="宋体" w:cs="Times New Roman"/>
          <w:color w:val="000000" w:themeColor="text1"/>
          <w:szCs w:val="21"/>
        </w:rPr>
        <w:t>）质控记录</w:t>
      </w:r>
    </w:p>
    <w:p w14:paraId="1023EE42">
      <w:pPr>
        <w:spacing w:line="440" w:lineRule="exact"/>
        <w:ind w:left="422" w:leftChars="201" w:firstLine="411" w:firstLineChars="196"/>
        <w:rPr>
          <w:rFonts w:ascii="Times New Roman" w:hAnsi="Times New Roman" w:eastAsia="宋体" w:cs="Times New Roman"/>
          <w:color w:val="000000" w:themeColor="text1"/>
          <w:szCs w:val="21"/>
        </w:rPr>
      </w:pPr>
      <w:r>
        <w:rPr>
          <w:rFonts w:ascii="Times New Roman" w:hAnsi="Calibri" w:eastAsia="宋体" w:cs="Times New Roman"/>
          <w:color w:val="000000" w:themeColor="text1"/>
          <w:szCs w:val="21"/>
        </w:rPr>
        <w:t>质控工作应填写记录表。</w:t>
      </w:r>
    </w:p>
    <w:p w14:paraId="2D716E59">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数据有效性判断</w:t>
      </w:r>
    </w:p>
    <w:p w14:paraId="69F18A06">
      <w:pPr>
        <w:spacing w:line="440" w:lineRule="exact"/>
        <w:ind w:left="848" w:leftChars="199" w:hanging="430" w:hangingChars="205"/>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数据有效性判断要求如下：</w:t>
      </w:r>
    </w:p>
    <w:p w14:paraId="32B63D89">
      <w:pPr>
        <w:spacing w:line="440" w:lineRule="exact"/>
        <w:ind w:left="846" w:leftChars="299" w:hanging="218" w:hangingChars="10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a）仪器正常运行时获取的经审核符合质控要求的监测数据为有效数据，应全部参与统计；</w:t>
      </w:r>
    </w:p>
    <w:p w14:paraId="516F4B8D">
      <w:pPr>
        <w:spacing w:line="440" w:lineRule="exact"/>
        <w:ind w:left="206" w:leftChars="98"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b）核查、维护保养仪器或仪器出现故障等非正常监测期间的数据为无效数据；仪器启动至预热完成时段内的数据为无效数据；</w:t>
      </w:r>
    </w:p>
    <w:p w14:paraId="5732E1D2">
      <w:pPr>
        <w:spacing w:line="440" w:lineRule="exact"/>
        <w:ind w:left="206" w:leftChars="98"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c）监测频次一般不低于每小时1组数据，低浓度环境条件下，如1 h采样的监测结果低于方法检出限，则可延长采样时长；</w:t>
      </w:r>
    </w:p>
    <w:p w14:paraId="2D06C898">
      <w:pPr>
        <w:spacing w:line="440" w:lineRule="exact"/>
        <w:ind w:firstLine="630" w:firstLineChars="3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d）低浓度环境条件下仪器正常运行出现的零值或负值为有效数据，应采用二分之一方法检出限作为修正后的值参与统计；在运行不稳定或其他监测质量不受控情况下出现的零值或负值为无效数据，不参与统计；</w:t>
      </w:r>
    </w:p>
    <w:p w14:paraId="5ACD21BE">
      <w:pPr>
        <w:spacing w:line="440" w:lineRule="exact"/>
        <w:ind w:left="846" w:leftChars="299" w:hanging="218" w:hangingChars="10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e）对于缺失和判断为无效的数据均应注明原因，并保留原始记录；</w:t>
      </w:r>
    </w:p>
    <w:p w14:paraId="01435787">
      <w:pPr>
        <w:spacing w:line="440" w:lineRule="exact"/>
        <w:ind w:left="846" w:leftChars="299" w:hanging="218" w:hangingChars="10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f）对于保留时间漂移或积分错误的目标离子峰，应重新手动积分，并回补数据；</w:t>
      </w:r>
    </w:p>
    <w:p w14:paraId="172C2922">
      <w:pPr>
        <w:spacing w:line="440" w:lineRule="exact"/>
        <w:ind w:left="206" w:leftChars="98"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每月监测数据有效率为每月实际获得的有效数据量与每月应有数据量的比值，其结果应不低于75%；每月应有数据量为每月总小时数与目标离子数量的乘积，总小时数应扣除停电等不可抗力因素导致数据缺失的小时数。</w:t>
      </w:r>
    </w:p>
    <w:p w14:paraId="71DEA31B">
      <w:pPr>
        <w:spacing w:line="440" w:lineRule="exact"/>
        <w:ind w:left="850" w:leftChars="199" w:hanging="432" w:hangingChars="205"/>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废液处置</w:t>
      </w:r>
    </w:p>
    <w:p w14:paraId="2468A501">
      <w:pPr>
        <w:spacing w:line="440" w:lineRule="exact"/>
        <w:ind w:left="846" w:leftChars="299" w:hanging="218" w:hangingChars="10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监测过程中产生的废液应集中收集，分类保存，并做好相应的标识，依法处置。</w:t>
      </w:r>
    </w:p>
    <w:p w14:paraId="33A8D768">
      <w:pPr>
        <w:spacing w:line="440" w:lineRule="exact"/>
        <w:ind w:left="850" w:leftChars="199" w:hanging="432" w:hangingChars="205"/>
        <w:rPr>
          <w:rFonts w:ascii="Times New Roman" w:hAnsi="Times New Roman" w:eastAsia="宋体" w:cs="Times New Roman"/>
          <w:b/>
          <w:bCs/>
          <w:color w:val="000000" w:themeColor="text1"/>
          <w:kern w:val="0"/>
          <w:szCs w:val="21"/>
        </w:rPr>
      </w:pPr>
      <w:r>
        <w:rPr>
          <w:rFonts w:hint="eastAsia" w:ascii="Times New Roman" w:hAnsi="Times New Roman" w:eastAsia="宋体" w:cs="Times New Roman"/>
          <w:b/>
          <w:bCs/>
          <w:color w:val="000000" w:themeColor="text1"/>
          <w:kern w:val="0"/>
          <w:szCs w:val="21"/>
          <w:lang w:val="en-US" w:eastAsia="zh-CN"/>
        </w:rPr>
        <w:t>3</w:t>
      </w:r>
      <w:r>
        <w:rPr>
          <w:rFonts w:ascii="Times New Roman" w:hAnsi="Times New Roman" w:eastAsia="宋体" w:cs="Times New Roman"/>
          <w:b/>
          <w:bCs/>
          <w:color w:val="000000" w:themeColor="text1"/>
          <w:kern w:val="0"/>
          <w:szCs w:val="21"/>
        </w:rPr>
        <w:t>.5在线无机元素分析仪</w:t>
      </w:r>
    </w:p>
    <w:p w14:paraId="4CA89870">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每日维护</w:t>
      </w:r>
    </w:p>
    <w:p w14:paraId="0FF9E7D0">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a）每日检查环境大气压、环境温度、仪器采样流量、X射线管温度等工作参数，如有报警应及时处理；</w:t>
      </w:r>
    </w:p>
    <w:p w14:paraId="1AEEF254">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b）如仪器具备具备自动质控功能，每日需检查仪器自动质控数据，包括内标值、流量质控结果等，如有异常应及时排查原因；</w:t>
      </w:r>
    </w:p>
    <w:p w14:paraId="19BC323C">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c）以PM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或PM</w:t>
      </w:r>
      <w:r>
        <w:rPr>
          <w:rFonts w:ascii="Times New Roman" w:hAnsi="Times New Roman" w:eastAsia="宋体" w:cs="Times New Roman"/>
          <w:color w:val="000000" w:themeColor="text1"/>
          <w:szCs w:val="21"/>
          <w:vertAlign w:val="subscript"/>
        </w:rPr>
        <w:t>10</w:t>
      </w:r>
      <w:r>
        <w:rPr>
          <w:rFonts w:ascii="Times New Roman" w:hAnsi="Times New Roman" w:eastAsia="宋体" w:cs="Times New Roman"/>
          <w:color w:val="000000" w:themeColor="text1"/>
          <w:szCs w:val="21"/>
        </w:rPr>
        <w:t>为首要污染物的重污染天气预警发布后，可根据仪器数据质量情况24h内全面检查仪器1次；必要时校准或调整并避开重污染时段，重污染过程或沙尘影响结束后应及时清理采样头和切割器，并核查流量；</w:t>
      </w:r>
    </w:p>
    <w:p w14:paraId="11DC360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d）做好每日远程检查记录，并定期存档。</w:t>
      </w:r>
    </w:p>
    <w:p w14:paraId="02690768">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每周维护</w:t>
      </w:r>
    </w:p>
    <w:p w14:paraId="3AC91CB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a）每周至少现场检查1次仪器运行状态；</w:t>
      </w:r>
    </w:p>
    <w:p w14:paraId="4B75283B">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b）每周至少检查1次纸带位置是否正常，采样斑点是否圆滑、均匀、完整；检查纸带剩余长度，如长度不足7d用量应及时更换；</w:t>
      </w:r>
    </w:p>
    <w:p w14:paraId="2D3C3925">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c）每周至少检查1次X射线管温度是否在正常范围内，如出现X射线管温度逐渐升高的现象，应及时清洁主机机箱的风扇防尘网；</w:t>
      </w:r>
    </w:p>
    <w:p w14:paraId="1466A42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d）每周至少检查1次采样管的加热温度是否正常；</w:t>
      </w:r>
    </w:p>
    <w:p w14:paraId="2750CA3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e）执行仪器说明书规定的其他周维护内容；</w:t>
      </w:r>
    </w:p>
    <w:p w14:paraId="10816EE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f）做好每周维护记录，并定期存档。</w:t>
      </w:r>
    </w:p>
    <w:p w14:paraId="5A64146E">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每月维护</w:t>
      </w:r>
    </w:p>
    <w:p w14:paraId="3C7C423C">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a）每月至少清洁1次采样喷嘴压头及纸带下的垫块，在污染较重的季节或连续污染天气后应增加清洁频次，使用棉签棒蘸取无水乙醇清洁；</w:t>
      </w:r>
    </w:p>
    <w:p w14:paraId="2FDA2444">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每月至少清洁1次采样头；在颗粒物污染较重或植物飞絮、飞虫影响较大的季节，应增加采样头的检查和清洁频次；清洁时，应完全拆开采样头和切割器，用蒸馏水或无水乙醇清洁（无水乙醇清洁后需再用蒸馏水清洁一遍），待完全晾干或用风机吹干后重新组装，组装时应检查密封圈的密封情况；</w:t>
      </w:r>
    </w:p>
    <w:p w14:paraId="3FD6198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c）每月至少备份1次原始数据；</w:t>
      </w:r>
    </w:p>
    <w:p w14:paraId="3E425CA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d）执行仪器说明书规定的其他月维护内容；</w:t>
      </w:r>
    </w:p>
    <w:p w14:paraId="6EFD21B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e）做好每月维护记录，并定期存档。</w:t>
      </w:r>
    </w:p>
    <w:p w14:paraId="67BC93B7">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每年维护</w:t>
      </w:r>
    </w:p>
    <w:p w14:paraId="29280A23">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a）每年至少清洁1次采样管路，根据当地污染程度可增加清洁频次；采样管路清洁后应检查气密性，并核查采样流量；</w:t>
      </w:r>
    </w:p>
    <w:p w14:paraId="3A33BD7A">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b）每年对仪器预防性维护1次（或根据污染情况调整维护频次），检查与清洁样品采集单元和分析单元，更换必要的耗材与配件；维护后，应全面核查仪器状态，确保仪器在维护前后数据的准确性和可比性；</w:t>
      </w:r>
    </w:p>
    <w:p w14:paraId="7EBBD9B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c）执行仪器说明书规定的其他年度维护内容；</w:t>
      </w:r>
    </w:p>
    <w:p w14:paraId="60C82FF7">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d）做好每年维护记录，并定期存档。</w:t>
      </w:r>
    </w:p>
    <w:p w14:paraId="7C15D3FB">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故障检修</w:t>
      </w:r>
    </w:p>
    <w:p w14:paraId="3A60FB1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出现故障的仪器应检查和维修，具体要求如下：</w:t>
      </w:r>
    </w:p>
    <w:p w14:paraId="5EEC0AF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a）根据仪器维修手册要求，开展故障判断和检修；</w:t>
      </w:r>
    </w:p>
    <w:p w14:paraId="50DE9660">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b）对于在现场能够诊断明确并且可以通过简单更换备件解决的仪器故障，应及时检修并尽快恢复正常运行；</w:t>
      </w:r>
    </w:p>
    <w:p w14:paraId="265B6B67">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c）对于不能在现场完成故障检修的仪器，应及时送修；</w:t>
      </w:r>
    </w:p>
    <w:p w14:paraId="234FFAC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d）每次故障检修完成后，应核查或校准仪器；</w:t>
      </w:r>
    </w:p>
    <w:p w14:paraId="67EB4E7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e）每次故障检修完成后，应记录检修、核查、校准情况并存档。</w:t>
      </w:r>
    </w:p>
    <w:p w14:paraId="2475E50C">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质量保证和质量控制</w:t>
      </w:r>
    </w:p>
    <w:p w14:paraId="2D76EBB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质量保证和质量控制的主要内容与频次要求如下，各站点可根据仪器实际运行情况进行调整。</w:t>
      </w:r>
    </w:p>
    <w:p w14:paraId="3EC87782">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a）仪器空白核查</w:t>
      </w:r>
    </w:p>
    <w:p w14:paraId="40305FF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次更换纸带后需核查仪器空白，所有目标元素的空白值应小于等于仪器测定下限，至少70%的目标元素空白值应小于等于仪器检出限，否则应及时排查原因，重新测试至仪器空白达到要求。每次重启系统后应核查仪器空白。</w:t>
      </w:r>
    </w:p>
    <w:p w14:paraId="476F648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b）采样流量核查</w:t>
      </w:r>
    </w:p>
    <w:p w14:paraId="46BEC5A5">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采样流量，使用经过计量检定合格的1级标准流量计测试仪器采样流量，实测流量与仪器设定流量的相对误差应在±5%范围内，且示值流量与实测流量的示值误差应在±2%范围内，否则应及时调整仪器采样流量。</w:t>
      </w:r>
    </w:p>
    <w:p w14:paraId="5BF5CE7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c）温度测量示值核查</w:t>
      </w:r>
    </w:p>
    <w:p w14:paraId="77681539">
      <w:pPr>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每月至少核查1次温度测量示值，使用经过计量检定合格的1级标准温度计测量环境温度，仪器显示的环境温度值与实测的环境温度值的误差应在±2℃范围内，否则应及时调整仪器环境温度示值。</w:t>
      </w:r>
    </w:p>
    <w:p w14:paraId="09CB331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d）大气压测量示值核查</w:t>
      </w:r>
    </w:p>
    <w:p w14:paraId="407B5F9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每月至少核查1次大气压测量示值，使用经过计量检定合格的0.5级标准气压计测量环境大气压，仪器显示的环境大气压值与实测的环境大气压值的误差应在±1kPa范围内，否则应及时调整仪器环境大气压示值。</w:t>
      </w:r>
    </w:p>
    <w:p w14:paraId="1119B0C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e）正确度核查</w:t>
      </w:r>
    </w:p>
    <w:p w14:paraId="7614F6C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每季度至少使用标准膜核查1次正确度，选取1种元素核查1个浓度的正确度，实测值与理论值的相对误差应在±10%范围内，否则应及时排查原因，重新测试至正确度达到要求。</w:t>
      </w:r>
    </w:p>
    <w:p w14:paraId="4D85278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每年至少使用标准膜对全部目标元素核查1次正确度，至少70%的目标元素实测值与理论值的相对误差应在±10%范围内，否则应及时校准或调整。</w:t>
      </w:r>
    </w:p>
    <w:p w14:paraId="330C722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f）元素特征X射线能量核查</w:t>
      </w:r>
    </w:p>
    <w:p w14:paraId="43F701C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季度至少核查1次元素特征X射线能量，选择1～2种元素（种类自定），重复测量3次，计算目标元素测定均值，元素特征X射线能量相对误差应在±0.5%范围内，否则应及时调整能量，如无法调整应及时更换X射线管等部件。</w:t>
      </w:r>
    </w:p>
    <w:p w14:paraId="6898CC6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g）湿度传感器核查</w:t>
      </w:r>
    </w:p>
    <w:p w14:paraId="3832E91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每半年至少核查1次仪器湿度传感器，使用经过计量检定合格的1级标准湿度计测量环境湿度，仪器显示的环境湿度值与实测的环境湿度值的误差应在±4%范围内，否则应及时校准仪器的环境湿度示值。</w:t>
      </w:r>
    </w:p>
    <w:p w14:paraId="4676B2E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h）校准曲线的建立</w:t>
      </w:r>
    </w:p>
    <w:p w14:paraId="7FC19A2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年至少对目标元素建立1次校准曲线。当仪器更换核心部件后，应重新建立校准曲线。使用空白纸带及2种以上不同浓度的标准膜建立校准曲线，校准曲线线性相关系数应满足r≥0.98，否则应重新建立校准曲线。曲线浓度设定参见HJ829的相关要求，并结合实际环境浓度水平设定。</w:t>
      </w:r>
    </w:p>
    <w:p w14:paraId="766784C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i）数据一致性核查</w:t>
      </w:r>
    </w:p>
    <w:p w14:paraId="68EC4BC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半年至少核查1次数据一致性。不应采用模拟量传输等可能导致数据偏差的方式，数据采集仪记录的数据与仪器显示和存储的数据应一致，否则应及时检查仪器和数据采集仪的参数设置等是否正常。每次更换仪器后，应核查数据一致性。</w:t>
      </w:r>
    </w:p>
    <w:p w14:paraId="139A71D9">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j）计量溯源性要求</w:t>
      </w:r>
    </w:p>
    <w:p w14:paraId="790BFA97">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计量器具（如流量计、温度计、气压计、湿度计等）应检定或校准合格，并在有效期内。标准膜应可溯源至权威计量机构，并在有效期内。</w:t>
      </w:r>
    </w:p>
    <w:p w14:paraId="717B4A22">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k）质控记录</w:t>
      </w:r>
    </w:p>
    <w:p w14:paraId="4921AE2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质控工作应填写记录表，记录表参见附录E。</w:t>
      </w:r>
    </w:p>
    <w:p w14:paraId="2409E31C">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数据有效性判断</w:t>
      </w:r>
    </w:p>
    <w:p w14:paraId="3154007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数据有效性判断要求如下：</w:t>
      </w:r>
    </w:p>
    <w:p w14:paraId="55C1B0A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a）仪器正常运行时获取的经审核符合质控要求的监测数据为有效数据，应全部参与统计；</w:t>
      </w:r>
    </w:p>
    <w:p w14:paraId="5F5C8397">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b）核查、维护保养仪器或仪器出现故障等非正常监测期间的数据为无效数据；仪器启动至预热完成时段内的数据为无效数据；</w:t>
      </w:r>
    </w:p>
    <w:p w14:paraId="11231C0F">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c）监测频次一般不低于每小时1组数据，低浓度环境条件下，如1h采样多种无机元素监测结果均低于方法检出限，则可延长采样时长；</w:t>
      </w:r>
    </w:p>
    <w:p w14:paraId="435D55A5">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d）低浓度环境条件下仪器正常运行出现的零值或负值应标记为未检出，不参与统计；在运行不稳定或其他监测质量不受控的情况下出现的零值或负值为无效数据，不参与统计；</w:t>
      </w:r>
    </w:p>
    <w:p w14:paraId="104F8C3A">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e）对于缺失和判断为无效的数据均应注明原因，并保留原始记录；</w:t>
      </w:r>
    </w:p>
    <w:p w14:paraId="7EC93A02">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每月监测数据为每月实际获得的有效数据量与每月应有数据量的比值，其结果应不低于75%；每月应有数据量为每月总小时数与目标元素数量的乘积，总小时数应扣除停电等不可抗力因素导致数据缺失的小时数。</w:t>
      </w:r>
    </w:p>
    <w:p w14:paraId="446D9C5F">
      <w:pPr>
        <w:spacing w:line="440" w:lineRule="exact"/>
        <w:ind w:left="850" w:leftChars="199" w:hanging="432" w:hangingChars="205"/>
        <w:rPr>
          <w:rFonts w:ascii="Times New Roman" w:hAnsi="Times New Roman" w:eastAsia="宋体" w:cs="Times New Roman"/>
          <w:b/>
          <w:bCs/>
          <w:color w:val="000000" w:themeColor="text1"/>
          <w:kern w:val="0"/>
          <w:szCs w:val="21"/>
        </w:rPr>
      </w:pPr>
      <w:r>
        <w:rPr>
          <w:rFonts w:hint="eastAsia" w:ascii="Times New Roman" w:hAnsi="Times New Roman" w:eastAsia="宋体" w:cs="Times New Roman"/>
          <w:b/>
          <w:bCs/>
          <w:color w:val="000000" w:themeColor="text1"/>
          <w:kern w:val="0"/>
          <w:szCs w:val="21"/>
          <w:lang w:val="en-US" w:eastAsia="zh-CN"/>
        </w:rPr>
        <w:t>3</w:t>
      </w:r>
      <w:r>
        <w:rPr>
          <w:rFonts w:ascii="Times New Roman" w:hAnsi="Times New Roman" w:eastAsia="宋体" w:cs="Times New Roman"/>
          <w:b/>
          <w:bCs/>
          <w:color w:val="000000" w:themeColor="text1"/>
          <w:kern w:val="0"/>
          <w:szCs w:val="21"/>
        </w:rPr>
        <w:t>.6在线碳组分分析仪</w:t>
      </w:r>
    </w:p>
    <w:p w14:paraId="1F5E620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本仪器为热学-光学衰减法，日常维护工作要求如下：</w:t>
      </w:r>
    </w:p>
    <w:p w14:paraId="1E090C45">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每日远程监控内容：</w:t>
      </w:r>
    </w:p>
    <w:p w14:paraId="075224DE">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a）每日检查仪器的运行状态参数，如有异常及时处理；</w:t>
      </w:r>
    </w:p>
    <w:p w14:paraId="63B7DB9E">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b）以PM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或PM</w:t>
      </w:r>
      <w:r>
        <w:rPr>
          <w:rFonts w:ascii="Times New Roman" w:hAnsi="Times New Roman" w:eastAsia="宋体" w:cs="Times New Roman"/>
          <w:color w:val="000000" w:themeColor="text1"/>
          <w:szCs w:val="21"/>
          <w:vertAlign w:val="subscript"/>
        </w:rPr>
        <w:t>10</w:t>
      </w:r>
      <w:r>
        <w:rPr>
          <w:rFonts w:ascii="Times New Roman" w:hAnsi="Times New Roman" w:eastAsia="宋体" w:cs="Times New Roman"/>
          <w:color w:val="000000" w:themeColor="text1"/>
          <w:szCs w:val="21"/>
        </w:rPr>
        <w:t>为首要污染物的重污染天气预警发布后，可根据仪器数据质量情况24h内全面检查仪器1次；必要时校准或调整并避开重污染时段，重污染过程或沙尘天气结束后应及时清理采样头和切割器、更换采样滤膜，并核查流量；</w:t>
      </w:r>
    </w:p>
    <w:p w14:paraId="3DBFA92F">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c）每日检查仪器监测结果，发现异常数据及时排查原因；</w:t>
      </w:r>
    </w:p>
    <w:p w14:paraId="7C6883BA">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d）做好每日远程检查记录，并定期存档。</w:t>
      </w:r>
    </w:p>
    <w:p w14:paraId="11A4B241">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每周维护内容：</w:t>
      </w:r>
    </w:p>
    <w:p w14:paraId="4C213E61">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周至少巡检1次现场，检查仪器运行状态，检查EC样品采集单元的纸带剩余量，如更换纸带则需要测试仪器稳定性和气密性；每周更换TC的采样滤膜（可根据实际污染情况调整更换频次），并测试气密性和仪器空白，TC仪器空白应≤0.3μg；</w:t>
      </w:r>
    </w:p>
    <w:p w14:paraId="29C056CD">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b）检查集水装置状态，及时清理积水；</w:t>
      </w:r>
    </w:p>
    <w:p w14:paraId="7B6D0522">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c）执行仪器说明书规定的其他周维护内容；</w:t>
      </w:r>
    </w:p>
    <w:p w14:paraId="3B6DA153">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d）做好每周维护记录，并定期存档。</w:t>
      </w:r>
    </w:p>
    <w:p w14:paraId="104265E1">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每月维护内容：</w:t>
      </w:r>
    </w:p>
    <w:p w14:paraId="14F01638">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月至少清洁1次采样头，在颗粒物污染较重或植物飞絮、飞虫影响较大的季节，应增加采样头的检查和清洁频次；清洁时，应完全拆开采样头和切割器，用蒸馏水或无水乙醇清洁（无水乙醇清洁后需再用蒸馏水清洁一遍），待完全晾干或用风机吹干后重新组装，组装时应检查密封圈的密封情况；</w:t>
      </w:r>
    </w:p>
    <w:p w14:paraId="72CC4174">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b）每月至少备份1次原始数据；</w:t>
      </w:r>
    </w:p>
    <w:p w14:paraId="2FBB906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c）每月至少清理1次仪器散热风扇滤网；</w:t>
      </w:r>
    </w:p>
    <w:p w14:paraId="422B0A42">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d）每月至少测量1次溶蚀器吸收效率，低于70%则需更换溶蚀器碳膜（块）；</w:t>
      </w:r>
    </w:p>
    <w:p w14:paraId="67935A0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e）执行仪器说明书规定的其他月维护内容；</w:t>
      </w:r>
    </w:p>
    <w:p w14:paraId="4DFCC9B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f）做好每月维护记录，并定期存档。</w:t>
      </w:r>
    </w:p>
    <w:p w14:paraId="32BA5F0F">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每季度维护内容：</w:t>
      </w:r>
    </w:p>
    <w:p w14:paraId="480EA362">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a）每季度至少清洁1次溶蚀器和采样管路，根据当地污染程度可增加清洁频次；采样管路清洁后应检查气密性，并核查采样流量；</w:t>
      </w:r>
    </w:p>
    <w:p w14:paraId="08854A1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b）每季度至少更换1次溶蚀器碳膜（块）等耗材，根据当地污染程度可增加更换频次；</w:t>
      </w:r>
    </w:p>
    <w:p w14:paraId="38641E5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c）每季度至少更换1次分析单元的一次性过滤器；</w:t>
      </w:r>
    </w:p>
    <w:p w14:paraId="77DDF7D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d）每季度至少测量1次EC系统空白；</w:t>
      </w:r>
    </w:p>
    <w:p w14:paraId="787C654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e）执行仪器说明书规定的其他季度维护内容；</w:t>
      </w:r>
    </w:p>
    <w:p w14:paraId="3DAE917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f）做好每季度维护记录，并定期存档。</w:t>
      </w:r>
    </w:p>
    <w:p w14:paraId="46A4008B">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每半年维护内容：</w:t>
      </w:r>
    </w:p>
    <w:p w14:paraId="245C95F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a）每半年更换1次TC分析系统的一次性过滤器和辅助气体过滤器；</w:t>
      </w:r>
    </w:p>
    <w:p w14:paraId="04E3B75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b）执行仪器说明书规定的其他半年维护内容；</w:t>
      </w:r>
    </w:p>
    <w:p w14:paraId="0B3439E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c）做好每半年维护记录，并定期存档。</w:t>
      </w:r>
    </w:p>
    <w:p w14:paraId="34B2407C">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每年维护内容：</w:t>
      </w:r>
    </w:p>
    <w:p w14:paraId="77BBA68D">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a）每年对仪器预防性维护1次（或根据污染情况调整维护频次），检查与清洁样品采集单元和分析单元，更换必要的耗材与配件；维护后，应全面核查仪器状态，确保仪器在维护前后数据的准确性和可比性；</w:t>
      </w:r>
    </w:p>
    <w:p w14:paraId="5FF7A35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b）执行仪器说明书规定的其他年度维护内容；</w:t>
      </w:r>
    </w:p>
    <w:p w14:paraId="0A84A2A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c）做好每年维护记录，并定期存档。</w:t>
      </w:r>
    </w:p>
    <w:p w14:paraId="7FB5134F">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故障检修</w:t>
      </w:r>
    </w:p>
    <w:p w14:paraId="084EDCF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出现故障的仪器应检查和维修，具体要求如下：</w:t>
      </w:r>
    </w:p>
    <w:p w14:paraId="6E0D0689">
      <w:pPr>
        <w:spacing w:line="440" w:lineRule="exact"/>
        <w:ind w:firstLine="371" w:firstLineChars="177"/>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a）根据仪器维修手册要求，开展故障判断和检修；</w:t>
      </w:r>
    </w:p>
    <w:p w14:paraId="2104C80D">
      <w:pPr>
        <w:spacing w:line="440" w:lineRule="exact"/>
        <w:ind w:left="705" w:leftChars="202" w:hanging="281" w:hangingChars="134"/>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b）对于在现场能够诊断明确并且可以通过简单更换备件解决的仪器故障，应及时检修并尽快恢复正常运行；</w:t>
      </w:r>
    </w:p>
    <w:p w14:paraId="25BFB882">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c）对于不能在现场完成故障检修的仪器，应及时送修；</w:t>
      </w:r>
    </w:p>
    <w:p w14:paraId="06D13F7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d）每次故障检修完成后，应核查或校准仪器；</w:t>
      </w:r>
    </w:p>
    <w:p w14:paraId="00E82F4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e）每次故障检修完成后，应记录检修、核查、校准情况并存档。</w:t>
      </w:r>
    </w:p>
    <w:p w14:paraId="1828DE19">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质量保证和质量控制</w:t>
      </w:r>
    </w:p>
    <w:p w14:paraId="5C60FB1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a）校准曲线中间点浓度核查</w:t>
      </w:r>
    </w:p>
    <w:p w14:paraId="73F7DF3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热学-光学衰减法每月至少核查1次校准曲线中间点浓度。使用标准溶液或标准膜核查校准曲线中间点浓度，测量3次中间点浓度，相对误差应在±10%范围内，否则应及时排查原因，重新测试至相对误差达到要求。</w:t>
      </w:r>
    </w:p>
    <w:p w14:paraId="0DAF5CF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b）采样流量核查</w:t>
      </w:r>
    </w:p>
    <w:p w14:paraId="5603B8A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采样流量，使用经过计量检定合格的1级标准流量计测试仪器采样流量，实测流量与仪器设定流量的相对误差应在±5%范围内，且示值流量与实测流量的示值误差应在±2%范围内，否则应及时调整仪器采样流量。</w:t>
      </w:r>
    </w:p>
    <w:p w14:paraId="0066A575">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c）温度测量示值核查</w:t>
      </w:r>
    </w:p>
    <w:p w14:paraId="26D83847">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每月至少核查1次温度测量示值，使用经过计量检定合格的1级标准温度计测量环境温度，仪器显示的环境温度值与实测的环境温度值的误差应在±2℃范围内，否则应及时调整仪器环境温度示值。</w:t>
      </w:r>
    </w:p>
    <w:p w14:paraId="44C4C8A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d）大气压测量示值核查</w:t>
      </w:r>
    </w:p>
    <w:p w14:paraId="62E2C5D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每月至少核查1次大气压测量示值，使用经过计量检定合格的0.5级标准气压计测量环境大气压，仪器显示的环境大气压值与实测的环境大气压值的误差应在±1kPa范围内，否则应及时调整仪器环境大气压示值。</w:t>
      </w:r>
    </w:p>
    <w:p w14:paraId="4E10510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e）仪器空白核查</w:t>
      </w:r>
    </w:p>
    <w:p w14:paraId="78666D7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每月至少核查1次仪器空白，TC仪器空白应≤0.3µg，否则应及时排查原因，重新测试至仪器空白达到要求。每次重启系统后应核查仪器空白。</w:t>
      </w:r>
    </w:p>
    <w:p w14:paraId="511AFAF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f）校准曲线的建立</w:t>
      </w:r>
    </w:p>
    <w:p w14:paraId="6715E79B">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热学-光学衰减法每半年至少建立1次校准曲线。仪器更换核心部件后，应重新建立校准曲线。校准曲线至少含6个校准点（包括零浓度），校准曲线线性相关系数应满足r≥0.995，斜率应满足0.9≤k≤1.1，截距应满足-1µg≤b≤1µg，否则应重新建立校准曲线。</w:t>
      </w:r>
    </w:p>
    <w:p w14:paraId="71B5977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g）精密度核查</w:t>
      </w:r>
    </w:p>
    <w:p w14:paraId="170920B2">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每季度至少核查1次精密度，对校准曲线中间点浓度（含碳量约10.0μg）的标准样品重复测量6次，计算相对标准偏差，相对标准偏差RSD应≤5%，否则应及时排查原因，重新测试至精密度达到要求。</w:t>
      </w:r>
    </w:p>
    <w:p w14:paraId="355A892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h）正确度核查</w:t>
      </w:r>
    </w:p>
    <w:p w14:paraId="52EBD1B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每季度至少使用有证标准物质核查1次正确度，重复测量3次，计算测定均值，3次实测均值与理论值的相对误差应在±10%范围内，否则应及时排查原因，重新测试至正确度达到要求。</w:t>
      </w:r>
    </w:p>
    <w:p w14:paraId="023B8347">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i）辅助气体流量核查</w:t>
      </w:r>
    </w:p>
    <w:p w14:paraId="39162E1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半年至少对热学-光学校正法的辅助气体通道流量单点核查1次，使用经过计量检定合格的1级标准流量计测试辅助气体流量，如实测流量与设定流量的相对误差超过±10%，应及时调整。每年多点核查辅助气体通道流量，至少含4个校准点（包括零点），每个点重复读取3次测量值，实测流量与设定流量的线性相关系数应满足r≥0.999，斜率应满足0.95≤k≤1.05，截距应满足-1ml/min≤b≤1ml/min，否则应及时调整辅助气体流量。</w:t>
      </w:r>
    </w:p>
    <w:p w14:paraId="072D673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j）三峰测试</w:t>
      </w:r>
    </w:p>
    <w:p w14:paraId="1D9DC08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每半年至少对热学-光学校正法三峰测试1次，无氧、有氧和内标三个阶段的CO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峰面积相对标准偏差应≤5%，否则应及时排查原因，至三峰测试达到要求。</w:t>
      </w:r>
    </w:p>
    <w:p w14:paraId="75A6C87A">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k）数据一致性核查</w:t>
      </w:r>
    </w:p>
    <w:p w14:paraId="66F4BBBC">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每半年至少核查1次数据一致性。不应采用模拟量传输等可能导致数据偏差的方式，数据采集仪记</w:t>
      </w:r>
    </w:p>
    <w:p w14:paraId="0DBDB5E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录的数据与仪器显示和存储的数据应一致，否则应及时检查仪器和数据采集仪的参数设置等是否正常。每次更换仪器后，应核查数据一致性。</w:t>
      </w:r>
    </w:p>
    <w:p w14:paraId="6DEA4B3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l）计量溯源性要求</w:t>
      </w:r>
    </w:p>
    <w:p w14:paraId="7702D906">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计量器具（如流量计、温度计、气压计、湿度计等）应检定或校准合格，并在有效期内。标准溶液应使用有效期内的有证标准物质配制。</w:t>
      </w:r>
    </w:p>
    <w:p w14:paraId="3619B1C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m）质控记录</w:t>
      </w:r>
    </w:p>
    <w:p w14:paraId="6DF8D248">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质控工作应填写记录表，记录表参见附录D。</w:t>
      </w:r>
    </w:p>
    <w:p w14:paraId="31DB686A">
      <w:pPr>
        <w:spacing w:line="440" w:lineRule="exact"/>
        <w:ind w:firstLine="422" w:firstLineChars="200"/>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数据有效性判断</w:t>
      </w:r>
    </w:p>
    <w:p w14:paraId="64D9E63E">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数据有效性判断要求如下：</w:t>
      </w:r>
    </w:p>
    <w:p w14:paraId="02BA17C7">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a）仪器正常运行时获取的经审核符合质控要求的监测数据为有效数据，应全部参与统计；</w:t>
      </w:r>
    </w:p>
    <w:p w14:paraId="78AD34F4">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b）核查、维护保养仪器或仪器出现故障等非正常监测期间的数据为无效数据；仪器启动至预热完成时段内的数据为无效数据；</w:t>
      </w:r>
    </w:p>
    <w:p w14:paraId="51CEA931">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c）监测频次一般不低于每小时1组数据，低浓度环境条件下，如1h采样的监测结果低于方法检出限，则可延长采样时长；</w:t>
      </w:r>
    </w:p>
    <w:p w14:paraId="5D71AB9D">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d）低浓度环境条件下仪器正常运行出现的零值或负值为有效数据，应采用二分之一方法检出限作为修正后的值参与统计；在运行不稳定或其他监测质量不受控情况下出现的零值或负值为无效数据，不参与统计；</w:t>
      </w:r>
    </w:p>
    <w:p w14:paraId="1329AAB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e）对于缺失和判断为无效的数据均应注明原因，并保留原始记录；</w:t>
      </w:r>
    </w:p>
    <w:p w14:paraId="51CF15C0">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f）与上一时刻有效数据相比，如OC、EC分割点延后超过50s，或OC与EC浓度比值变幅超过100%，则需对数据标记存疑，并进一步审核图谱判断数据有效性；</w:t>
      </w:r>
    </w:p>
    <w:p w14:paraId="420EC7EF">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g）若OC、EC监测数据明显受碳酸盐的干扰（如沙尘天等），则该小时数据为无效数据；</w:t>
      </w:r>
    </w:p>
    <w:p w14:paraId="3025B055">
      <w:pPr>
        <w:spacing w:line="440" w:lineRule="exact"/>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h）每月监测数据有效率为每月实际获得的有效数据量与每月应有数据量的比值，其结果应不低于75%；每月应有数据量为每月总小时数与监测指标数量的乘积，总小时数应扣除停电等不可抗力因素导致数据缺失的小时数。</w:t>
      </w:r>
    </w:p>
    <w:p w14:paraId="779D411A">
      <w:pPr>
        <w:adjustRightInd w:val="0"/>
        <w:snapToGrid w:val="0"/>
        <w:spacing w:beforeLines="50" w:line="360" w:lineRule="auto"/>
        <w:ind w:firstLine="510"/>
        <w:rPr>
          <w:rFonts w:ascii="Times New Roman" w:hAnsi="Times New Roman" w:eastAsia="宋体" w:cs="Times New Roman"/>
          <w:b/>
          <w:color w:val="000000" w:themeColor="text1"/>
          <w:szCs w:val="21"/>
        </w:rPr>
      </w:pPr>
      <w:r>
        <w:rPr>
          <w:rFonts w:hint="eastAsia" w:ascii="Times New Roman" w:hAnsi="Times New Roman" w:eastAsia="宋体" w:cs="Times New Roman"/>
          <w:b/>
          <w:color w:val="000000" w:themeColor="text1"/>
          <w:szCs w:val="21"/>
          <w:lang w:val="en-US" w:eastAsia="zh-CN"/>
        </w:rPr>
        <w:t>3</w:t>
      </w:r>
      <w:r>
        <w:rPr>
          <w:rFonts w:ascii="Times New Roman" w:hAnsi="Times New Roman" w:eastAsia="宋体" w:cs="Times New Roman"/>
          <w:b/>
          <w:color w:val="000000" w:themeColor="text1"/>
          <w:szCs w:val="21"/>
        </w:rPr>
        <w:t>.7应急管理</w:t>
      </w:r>
    </w:p>
    <w:p w14:paraId="315729E7">
      <w:pPr>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出现监测数据异常、仪器故障或通讯故障，正常工作日应在3小时内、节假日应在4小时内（9:00算起）到达子站处理故障并将信息反馈采购方；故障严重不能及时解决时，应关闭故障仪器的数据采集通道并报告监测站。如因自身技术能力不足无法修复仪器，需委托仪器生产厂商服务的，由运维单位负责联系设备厂家维修，并由运维单位提供备机，保障站点正常运行。</w:t>
      </w:r>
    </w:p>
    <w:p w14:paraId="42B07070">
      <w:pPr>
        <w:adjustRightInd w:val="0"/>
        <w:snapToGrid w:val="0"/>
        <w:spacing w:beforeLines="50" w:line="360" w:lineRule="auto"/>
        <w:ind w:firstLine="510"/>
        <w:rPr>
          <w:rFonts w:ascii="Times New Roman" w:hAnsi="Times New Roman" w:eastAsia="宋体" w:cs="Times New Roman"/>
          <w:b/>
          <w:color w:val="000000" w:themeColor="text1"/>
          <w:szCs w:val="21"/>
        </w:rPr>
      </w:pPr>
      <w:r>
        <w:rPr>
          <w:rFonts w:hint="eastAsia" w:ascii="Times New Roman" w:hAnsi="Times New Roman" w:eastAsia="宋体" w:cs="Times New Roman"/>
          <w:b/>
          <w:color w:val="000000" w:themeColor="text1"/>
          <w:szCs w:val="21"/>
          <w:lang w:val="en-US" w:eastAsia="zh-CN"/>
        </w:rPr>
        <w:t>3</w:t>
      </w:r>
      <w:r>
        <w:rPr>
          <w:rFonts w:ascii="Times New Roman" w:hAnsi="Times New Roman" w:eastAsia="宋体" w:cs="Times New Roman"/>
          <w:b/>
          <w:color w:val="000000" w:themeColor="text1"/>
          <w:szCs w:val="21"/>
        </w:rPr>
        <w:t>.8数据要求</w:t>
      </w:r>
    </w:p>
    <w:p w14:paraId="52766652">
      <w:pPr>
        <w:spacing w:line="360" w:lineRule="auto"/>
        <w:ind w:firstLine="420" w:firstLineChars="200"/>
        <w:rPr>
          <w:rFonts w:ascii="Times New Roman" w:hAnsi="Times New Roman" w:eastAsia="宋体" w:cs="Times New Roman"/>
          <w:b/>
          <w:bCs/>
          <w:color w:val="000000" w:themeColor="text1"/>
          <w:szCs w:val="21"/>
        </w:rPr>
      </w:pPr>
      <w:r>
        <w:rPr>
          <w:rFonts w:ascii="Times New Roman" w:hAnsi="Times New Roman" w:eastAsia="宋体" w:cs="Times New Roman"/>
          <w:color w:val="000000" w:themeColor="text1"/>
          <w:szCs w:val="21"/>
        </w:rPr>
        <w:t>各台仪器有效数据获取率要求见表2（停电、搬迁及不可抗力造成的无效数据，不计入获取率统计）。</w:t>
      </w:r>
    </w:p>
    <w:p w14:paraId="6B128D31">
      <w:pPr>
        <w:ind w:firstLine="482"/>
        <w:contextualSpacing/>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表2  仪器年度运行质量目标</w:t>
      </w:r>
    </w:p>
    <w:tbl>
      <w:tblPr>
        <w:tblStyle w:val="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2739"/>
        <w:gridCol w:w="1616"/>
        <w:gridCol w:w="1016"/>
      </w:tblGrid>
      <w:tr w14:paraId="1874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6C499C5">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设备名称</w:t>
            </w:r>
          </w:p>
        </w:tc>
        <w:tc>
          <w:tcPr>
            <w:tcW w:w="0" w:type="auto"/>
            <w:vAlign w:val="center"/>
          </w:tcPr>
          <w:p w14:paraId="52EBB62C">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品牌型号</w:t>
            </w:r>
          </w:p>
        </w:tc>
        <w:tc>
          <w:tcPr>
            <w:tcW w:w="0" w:type="auto"/>
            <w:vAlign w:val="center"/>
          </w:tcPr>
          <w:p w14:paraId="767E2BD1">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有效数据获取率</w:t>
            </w:r>
          </w:p>
        </w:tc>
        <w:tc>
          <w:tcPr>
            <w:tcW w:w="0" w:type="auto"/>
            <w:vAlign w:val="center"/>
          </w:tcPr>
          <w:p w14:paraId="61037574">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运行时间</w:t>
            </w:r>
          </w:p>
        </w:tc>
      </w:tr>
      <w:tr w14:paraId="53DA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B5ABB7C">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PM</w:t>
            </w:r>
            <w:r>
              <w:rPr>
                <w:rFonts w:ascii="Times New Roman" w:hAnsi="Times New Roman" w:eastAsia="宋体" w:cs="Times New Roman"/>
                <w:color w:val="000000" w:themeColor="text1"/>
                <w:kern w:val="0"/>
                <w:sz w:val="20"/>
                <w:szCs w:val="21"/>
                <w:vertAlign w:val="subscript"/>
              </w:rPr>
              <w:t>2.5</w:t>
            </w:r>
            <w:r>
              <w:rPr>
                <w:rFonts w:ascii="Times New Roman" w:hAnsi="Times New Roman" w:eastAsia="宋体" w:cs="Times New Roman"/>
                <w:color w:val="000000" w:themeColor="text1"/>
                <w:kern w:val="0"/>
                <w:sz w:val="20"/>
                <w:szCs w:val="21"/>
              </w:rPr>
              <w:t>在线分析仪</w:t>
            </w:r>
          </w:p>
        </w:tc>
        <w:tc>
          <w:tcPr>
            <w:tcW w:w="0" w:type="auto"/>
            <w:vAlign w:val="center"/>
          </w:tcPr>
          <w:p w14:paraId="21FCA332">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赛默飞5030i</w:t>
            </w:r>
          </w:p>
        </w:tc>
        <w:tc>
          <w:tcPr>
            <w:tcW w:w="0" w:type="auto"/>
            <w:vAlign w:val="center"/>
          </w:tcPr>
          <w:p w14:paraId="29674794">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90%</w:t>
            </w:r>
          </w:p>
        </w:tc>
        <w:tc>
          <w:tcPr>
            <w:tcW w:w="0" w:type="auto"/>
            <w:vAlign w:val="center"/>
          </w:tcPr>
          <w:p w14:paraId="09BD5AA9">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全年</w:t>
            </w:r>
          </w:p>
        </w:tc>
      </w:tr>
      <w:tr w14:paraId="5C40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27C9D168">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在线离子色谱仪</w:t>
            </w:r>
          </w:p>
        </w:tc>
        <w:tc>
          <w:tcPr>
            <w:tcW w:w="0" w:type="auto"/>
            <w:vAlign w:val="center"/>
          </w:tcPr>
          <w:p w14:paraId="32C6F04B">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ThermoFisher URG9000D</w:t>
            </w:r>
          </w:p>
        </w:tc>
        <w:tc>
          <w:tcPr>
            <w:tcW w:w="0" w:type="auto"/>
            <w:vAlign w:val="center"/>
          </w:tcPr>
          <w:p w14:paraId="485EB822">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80%</w:t>
            </w:r>
          </w:p>
        </w:tc>
        <w:tc>
          <w:tcPr>
            <w:tcW w:w="0" w:type="auto"/>
            <w:vAlign w:val="center"/>
          </w:tcPr>
          <w:p w14:paraId="38818134">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全年</w:t>
            </w:r>
          </w:p>
        </w:tc>
      </w:tr>
      <w:tr w14:paraId="1363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DB0AD00">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在线无机元素分析仪</w:t>
            </w:r>
          </w:p>
        </w:tc>
        <w:tc>
          <w:tcPr>
            <w:tcW w:w="0" w:type="auto"/>
            <w:vAlign w:val="center"/>
          </w:tcPr>
          <w:p w14:paraId="1A4E44DC">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COOPERENVIRONMENTAL</w:t>
            </w:r>
          </w:p>
          <w:p w14:paraId="4B6F9DF4">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CES Xact625</w:t>
            </w:r>
          </w:p>
        </w:tc>
        <w:tc>
          <w:tcPr>
            <w:tcW w:w="0" w:type="auto"/>
            <w:vAlign w:val="center"/>
          </w:tcPr>
          <w:p w14:paraId="40431C4B">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80%</w:t>
            </w:r>
          </w:p>
        </w:tc>
        <w:tc>
          <w:tcPr>
            <w:tcW w:w="0" w:type="auto"/>
            <w:vAlign w:val="center"/>
          </w:tcPr>
          <w:p w14:paraId="61A19279">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全年</w:t>
            </w:r>
          </w:p>
        </w:tc>
      </w:tr>
      <w:tr w14:paraId="2EC06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453B343">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在线碳组分分析仪</w:t>
            </w:r>
          </w:p>
        </w:tc>
        <w:tc>
          <w:tcPr>
            <w:tcW w:w="0" w:type="auto"/>
            <w:vAlign w:val="center"/>
          </w:tcPr>
          <w:p w14:paraId="1B3C4CDD">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MAGEE CASS</w:t>
            </w:r>
          </w:p>
        </w:tc>
        <w:tc>
          <w:tcPr>
            <w:tcW w:w="0" w:type="auto"/>
            <w:vAlign w:val="center"/>
          </w:tcPr>
          <w:p w14:paraId="590ABA86">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90%</w:t>
            </w:r>
          </w:p>
        </w:tc>
        <w:tc>
          <w:tcPr>
            <w:tcW w:w="0" w:type="auto"/>
            <w:vAlign w:val="center"/>
          </w:tcPr>
          <w:p w14:paraId="476104DE">
            <w:pPr>
              <w:rPr>
                <w:rFonts w:ascii="Times New Roman" w:hAnsi="Times New Roman" w:eastAsia="宋体" w:cs="Times New Roman"/>
                <w:color w:val="000000" w:themeColor="text1"/>
                <w:kern w:val="0"/>
                <w:sz w:val="20"/>
                <w:szCs w:val="21"/>
              </w:rPr>
            </w:pPr>
            <w:r>
              <w:rPr>
                <w:rFonts w:ascii="Times New Roman" w:hAnsi="Times New Roman" w:eastAsia="宋体" w:cs="Times New Roman"/>
                <w:color w:val="000000" w:themeColor="text1"/>
                <w:kern w:val="0"/>
                <w:sz w:val="20"/>
                <w:szCs w:val="21"/>
              </w:rPr>
              <w:t>全年</w:t>
            </w:r>
          </w:p>
        </w:tc>
      </w:tr>
    </w:tbl>
    <w:p w14:paraId="16F624F8">
      <w:pPr>
        <w:adjustRightInd w:val="0"/>
        <w:snapToGrid w:val="0"/>
        <w:spacing w:beforeLines="50" w:line="360" w:lineRule="auto"/>
        <w:ind w:firstLine="510"/>
        <w:rPr>
          <w:rFonts w:ascii="Times New Roman" w:hAnsi="Times New Roman" w:eastAsia="宋体" w:cs="Times New Roman"/>
          <w:b/>
          <w:color w:val="000000" w:themeColor="text1"/>
          <w:szCs w:val="21"/>
        </w:rPr>
      </w:pPr>
      <w:r>
        <w:rPr>
          <w:rFonts w:hint="eastAsia" w:ascii="Times New Roman" w:hAnsi="Times New Roman" w:eastAsia="宋体" w:cs="Times New Roman"/>
          <w:b/>
          <w:color w:val="000000" w:themeColor="text1"/>
          <w:szCs w:val="21"/>
          <w:lang w:val="en-US" w:eastAsia="zh-CN"/>
        </w:rPr>
        <w:t>3</w:t>
      </w:r>
      <w:r>
        <w:rPr>
          <w:rFonts w:ascii="Times New Roman" w:hAnsi="Times New Roman" w:eastAsia="宋体" w:cs="Times New Roman"/>
          <w:b/>
          <w:color w:val="000000" w:themeColor="text1"/>
          <w:szCs w:val="21"/>
        </w:rPr>
        <w:t>.10总结汇报</w:t>
      </w:r>
    </w:p>
    <w:p w14:paraId="7AA90C05">
      <w:pPr>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全年运行总结报告：运维满12个月时，提供一份全年运行总结报告（含整体运行状况、故障处理与原因分析、故障预防措施、异常监测数据分析等内容）。</w:t>
      </w:r>
    </w:p>
    <w:p w14:paraId="37683D15">
      <w:pPr>
        <w:adjustRightInd w:val="0"/>
        <w:snapToGrid w:val="0"/>
        <w:spacing w:beforeLines="50" w:line="360" w:lineRule="auto"/>
        <w:ind w:firstLine="510"/>
        <w:rPr>
          <w:rFonts w:ascii="Times New Roman" w:hAnsi="Times New Roman" w:eastAsia="宋体" w:cs="Times New Roman"/>
          <w:b/>
          <w:color w:val="000000" w:themeColor="text1"/>
          <w:szCs w:val="21"/>
        </w:rPr>
      </w:pPr>
      <w:r>
        <w:rPr>
          <w:rFonts w:hint="eastAsia" w:ascii="Times New Roman" w:hAnsi="Times New Roman" w:eastAsia="宋体" w:cs="Times New Roman"/>
          <w:b/>
          <w:color w:val="000000" w:themeColor="text1"/>
          <w:szCs w:val="21"/>
          <w:lang w:val="en-US" w:eastAsia="zh-CN"/>
        </w:rPr>
        <w:t>3</w:t>
      </w:r>
      <w:r>
        <w:rPr>
          <w:rFonts w:ascii="Times New Roman" w:hAnsi="Times New Roman" w:eastAsia="宋体" w:cs="Times New Roman"/>
          <w:b/>
          <w:color w:val="000000" w:themeColor="text1"/>
          <w:szCs w:val="21"/>
        </w:rPr>
        <w:t>.11其他：</w:t>
      </w:r>
    </w:p>
    <w:p w14:paraId="58D296C6">
      <w:pPr>
        <w:spacing w:line="360" w:lineRule="auto"/>
        <w:ind w:firstLine="315" w:firstLineChars="15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（1）配合中国环境监测总站、浙江省生态环境监测中心等上级领导部门进行气站质量保证和质量控制工作。</w:t>
      </w:r>
    </w:p>
    <w:p w14:paraId="43721507">
      <w:pPr>
        <w:spacing w:line="360" w:lineRule="auto"/>
        <w:ind w:firstLine="315" w:firstLineChars="15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（2）随时接受中国环境监测总站、浙江省生态环境监测中心等上级领导部门的工作考核及质量考核。</w:t>
      </w:r>
    </w:p>
    <w:p w14:paraId="4D6643F9">
      <w:pPr>
        <w:adjustRightInd w:val="0"/>
        <w:snapToGrid w:val="0"/>
        <w:spacing w:beforeLines="50" w:line="360" w:lineRule="auto"/>
        <w:ind w:firstLine="510" w:firstLineChars="0"/>
        <w:rPr>
          <w:rFonts w:hint="eastAsia" w:ascii="宋体" w:hAnsi="宋体" w:eastAsia="宋体" w:cs="宋体"/>
          <w:b/>
          <w:bCs/>
          <w:color w:val="000000" w:themeColor="text1"/>
          <w:kern w:val="0"/>
          <w:sz w:val="21"/>
          <w:highlight w:val="none"/>
        </w:rPr>
      </w:pPr>
      <w:r>
        <w:rPr>
          <w:rFonts w:hint="eastAsia" w:ascii="宋体" w:hAnsi="宋体" w:cs="宋体"/>
          <w:b/>
          <w:bCs/>
          <w:color w:val="000000" w:themeColor="text1"/>
          <w:kern w:val="0"/>
          <w:sz w:val="21"/>
          <w:highlight w:val="none"/>
          <w:lang w:val="en-US" w:eastAsia="zh-CN"/>
        </w:rPr>
        <w:t>4</w:t>
      </w:r>
      <w:r>
        <w:rPr>
          <w:rFonts w:hint="eastAsia" w:ascii="宋体" w:hAnsi="宋体" w:eastAsia="宋体" w:cs="宋体"/>
          <w:b/>
          <w:bCs/>
          <w:color w:val="000000" w:themeColor="text1"/>
          <w:kern w:val="0"/>
          <w:sz w:val="21"/>
          <w:highlight w:val="none"/>
        </w:rPr>
        <w:t>投标方还应做到的其它工作</w:t>
      </w:r>
    </w:p>
    <w:p w14:paraId="6A543272">
      <w:pPr>
        <w:adjustRightInd/>
        <w:snapToGrid/>
        <w:spacing w:line="240" w:lineRule="auto"/>
        <w:ind w:firstLine="480"/>
        <w:rPr>
          <w:rFonts w:hint="eastAsia" w:ascii="宋体" w:hAnsi="宋体" w:eastAsia="宋体" w:cs="宋体"/>
          <w:bCs/>
          <w:color w:val="000000" w:themeColor="text1"/>
          <w:sz w:val="21"/>
          <w:highlight w:val="none"/>
        </w:rPr>
      </w:pPr>
      <w:r>
        <w:rPr>
          <w:rFonts w:hint="eastAsia" w:ascii="宋体" w:hAnsi="宋体" w:cs="宋体"/>
          <w:bCs/>
          <w:color w:val="000000" w:themeColor="text1"/>
          <w:sz w:val="21"/>
          <w:highlight w:val="none"/>
          <w:lang w:val="en-US" w:eastAsia="zh-CN"/>
        </w:rPr>
        <w:t>4</w:t>
      </w:r>
      <w:r>
        <w:rPr>
          <w:rFonts w:hint="eastAsia" w:ascii="宋体" w:hAnsi="宋体" w:eastAsia="宋体" w:cs="宋体"/>
          <w:bCs/>
          <w:color w:val="000000" w:themeColor="text1"/>
          <w:sz w:val="21"/>
          <w:highlight w:val="none"/>
          <w:lang w:val="en-US" w:eastAsia="zh-CN"/>
        </w:rPr>
        <w:t>.1.</w:t>
      </w:r>
      <w:r>
        <w:rPr>
          <w:rFonts w:hint="eastAsia" w:ascii="宋体" w:hAnsi="宋体" w:eastAsia="宋体" w:cs="宋体"/>
          <w:bCs/>
          <w:color w:val="000000" w:themeColor="text1"/>
          <w:sz w:val="21"/>
          <w:highlight w:val="none"/>
        </w:rPr>
        <w:t xml:space="preserve"> 在运行维护及管理期间，中标人必须遵守国家的有关法律、法规及其他规定，本着为业主方负责的精神，依照规范，科学管理，使各监测监控系统运行达到国家及行业颁布的技术标准和业主方要求的考核指标要求；使空气自动监测系统运行真正发挥其效能和作用。</w:t>
      </w:r>
    </w:p>
    <w:p w14:paraId="691C1CAC">
      <w:pPr>
        <w:adjustRightInd/>
        <w:snapToGrid/>
        <w:spacing w:line="240" w:lineRule="auto"/>
        <w:ind w:firstLine="480" w:firstLineChars="0"/>
        <w:rPr>
          <w:rFonts w:hint="eastAsia" w:ascii="宋体" w:hAnsi="宋体" w:eastAsia="宋体" w:cs="宋体"/>
          <w:bCs/>
          <w:color w:val="000000" w:themeColor="text1"/>
          <w:sz w:val="21"/>
          <w:highlight w:val="none"/>
        </w:rPr>
      </w:pPr>
      <w:r>
        <w:rPr>
          <w:rFonts w:hint="eastAsia" w:ascii="宋体" w:hAnsi="宋体" w:cs="宋体"/>
          <w:b w:val="0"/>
          <w:bCs/>
          <w:color w:val="000000" w:themeColor="text1"/>
          <w:sz w:val="21"/>
          <w:highlight w:val="none"/>
          <w:lang w:val="en-US" w:eastAsia="zh-CN"/>
        </w:rPr>
        <w:t>4</w:t>
      </w:r>
      <w:r>
        <w:rPr>
          <w:rFonts w:hint="eastAsia" w:ascii="宋体" w:hAnsi="宋体" w:eastAsia="宋体" w:cs="宋体"/>
          <w:b w:val="0"/>
          <w:bCs/>
          <w:color w:val="000000" w:themeColor="text1"/>
          <w:sz w:val="21"/>
          <w:highlight w:val="none"/>
          <w:lang w:val="en-US" w:eastAsia="zh-CN"/>
        </w:rPr>
        <w:t>.2.</w:t>
      </w:r>
      <w:r>
        <w:rPr>
          <w:rFonts w:hint="eastAsia" w:ascii="宋体" w:hAnsi="宋体" w:eastAsia="宋体" w:cs="宋体"/>
          <w:bCs/>
          <w:color w:val="000000" w:themeColor="text1"/>
          <w:sz w:val="21"/>
          <w:highlight w:val="none"/>
        </w:rPr>
        <w:t xml:space="preserve"> 委托运行维护及管理的全部资产（包括全部产权和建筑物、设备、软件、配套设施、空气自动站和配套监控系统产生的各类数据信息及相关文档资料）属业主方所有。未经业主方同意，中标人不得以任何方式对各类财产进行出售、抵押或转移；同时，在委托运营及管理期间，中标人有责任保证上述全部资产的完整、安全并处于良好状态。</w:t>
      </w:r>
    </w:p>
    <w:p w14:paraId="326E10AC">
      <w:pPr>
        <w:adjustRightInd/>
        <w:snapToGrid/>
        <w:spacing w:line="240" w:lineRule="auto"/>
        <w:ind w:firstLine="480" w:firstLineChars="0"/>
        <w:rPr>
          <w:rFonts w:hint="eastAsia" w:ascii="宋体" w:hAnsi="宋体" w:eastAsia="宋体" w:cs="宋体"/>
          <w:bCs/>
          <w:color w:val="000000" w:themeColor="text1"/>
          <w:sz w:val="21"/>
          <w:highlight w:val="none"/>
        </w:rPr>
      </w:pPr>
      <w:r>
        <w:rPr>
          <w:rFonts w:hint="eastAsia" w:ascii="宋体" w:hAnsi="宋体" w:cs="宋体"/>
          <w:bCs/>
          <w:color w:val="000000" w:themeColor="text1"/>
          <w:sz w:val="21"/>
          <w:highlight w:val="none"/>
          <w:lang w:val="en-US" w:eastAsia="zh-CN"/>
        </w:rPr>
        <w:t>4</w:t>
      </w:r>
      <w:r>
        <w:rPr>
          <w:rFonts w:hint="eastAsia" w:ascii="宋体" w:hAnsi="宋体" w:eastAsia="宋体" w:cs="宋体"/>
          <w:bCs/>
          <w:color w:val="000000" w:themeColor="text1"/>
          <w:sz w:val="21"/>
          <w:highlight w:val="none"/>
          <w:lang w:val="en-US" w:eastAsia="zh-CN"/>
        </w:rPr>
        <w:t>.3.</w:t>
      </w:r>
      <w:r>
        <w:rPr>
          <w:rFonts w:hint="eastAsia" w:ascii="宋体" w:hAnsi="宋体" w:eastAsia="宋体" w:cs="宋体"/>
          <w:bCs/>
          <w:color w:val="000000" w:themeColor="text1"/>
          <w:sz w:val="21"/>
          <w:highlight w:val="none"/>
        </w:rPr>
        <w:t xml:space="preserve"> 协助采购人做好固定资产的管理。</w:t>
      </w:r>
    </w:p>
    <w:p w14:paraId="5015CD00">
      <w:pPr>
        <w:spacing w:line="240" w:lineRule="auto"/>
        <w:ind w:firstLine="480" w:firstLineChars="0"/>
        <w:rPr>
          <w:rFonts w:hint="eastAsia" w:ascii="宋体" w:hAnsi="宋体" w:eastAsia="宋体" w:cs="宋体"/>
          <w:bCs/>
          <w:color w:val="000000" w:themeColor="text1"/>
          <w:sz w:val="21"/>
          <w:highlight w:val="none"/>
        </w:rPr>
      </w:pPr>
      <w:r>
        <w:rPr>
          <w:rFonts w:hint="eastAsia" w:ascii="宋体" w:hAnsi="宋体" w:cs="宋体"/>
          <w:bCs/>
          <w:color w:val="000000" w:themeColor="text1"/>
          <w:sz w:val="21"/>
          <w:highlight w:val="none"/>
          <w:lang w:val="en-US" w:eastAsia="zh-CN"/>
        </w:rPr>
        <w:t>4</w:t>
      </w:r>
      <w:r>
        <w:rPr>
          <w:rFonts w:hint="eastAsia" w:ascii="宋体" w:hAnsi="宋体" w:eastAsia="宋体" w:cs="宋体"/>
          <w:bCs/>
          <w:color w:val="000000" w:themeColor="text1"/>
          <w:sz w:val="21"/>
          <w:highlight w:val="none"/>
          <w:lang w:val="en-US" w:eastAsia="zh-CN"/>
        </w:rPr>
        <w:t>.4.</w:t>
      </w:r>
      <w:r>
        <w:rPr>
          <w:rFonts w:hint="eastAsia" w:ascii="宋体" w:hAnsi="宋体" w:eastAsia="宋体" w:cs="宋体"/>
          <w:bCs/>
          <w:color w:val="000000" w:themeColor="text1"/>
          <w:sz w:val="21"/>
          <w:highlight w:val="none"/>
        </w:rPr>
        <w:t>采购人要求的其它临时性任务应保质保量完成。</w:t>
      </w:r>
    </w:p>
    <w:p w14:paraId="1635B40D">
      <w:pPr>
        <w:spacing w:beforeLines="50" w:line="360" w:lineRule="auto"/>
        <w:ind w:firstLine="413" w:firstLineChars="196"/>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五、投标方还应做到的其它工作</w:t>
      </w:r>
    </w:p>
    <w:p w14:paraId="648BBDAB">
      <w:pPr>
        <w:adjustRightInd w:val="0"/>
        <w:snapToGrid w:val="0"/>
        <w:spacing w:line="360" w:lineRule="auto"/>
        <w:ind w:firstLine="51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5.1 在运行维护及管理期间，中标人必须遵守国家的有关法律、法规及其他规定，本着为业主方负责的精神，依照规范，科学管理，使各监测监控系统运行达到国家及行业颁布的技术标准和业主方要求的考核指标要求；使空气自动监测系统运行真正发挥其效能和作用。</w:t>
      </w:r>
    </w:p>
    <w:p w14:paraId="3DA22753">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5.2 委托运行维护及管理的全部资产（包括全部产权和建筑物、设备、软件、配套设施、空气自动站和配套监控系统产生的各类数据信息及相关文档资料）属业主方所有。未经业主方同意，中标人不得以任何方式对各类财产进行出售、抵押或转移；同时，在委托运营及管理期间，中标人有责任保证上述全部资产的完整、安全并处于良好状态。</w:t>
      </w:r>
    </w:p>
    <w:p w14:paraId="73916310">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5.3 协助采购人做好固定资产的管理。</w:t>
      </w:r>
    </w:p>
    <w:p w14:paraId="2A285D38">
      <w:pPr>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5.4采购人要求的其它临时性任务应保质保量完成。</w:t>
      </w:r>
    </w:p>
    <w:p w14:paraId="7C0B68FF">
      <w:pPr>
        <w:adjustRightInd w:val="0"/>
        <w:snapToGrid w:val="0"/>
        <w:spacing w:line="480" w:lineRule="exact"/>
        <w:ind w:firstLine="422" w:firstLineChars="200"/>
        <w:jc w:val="left"/>
        <w:rPr>
          <w:rFonts w:ascii="Times New Roman" w:hAnsi="Times New Roman" w:eastAsia="宋体" w:cs="Times New Roman"/>
          <w:b/>
          <w:color w:val="000000" w:themeColor="text1"/>
          <w:szCs w:val="21"/>
          <w:lang w:bidi="en-US"/>
        </w:rPr>
      </w:pPr>
      <w:r>
        <w:rPr>
          <w:rFonts w:ascii="Times New Roman" w:hAnsi="Times New Roman" w:eastAsia="宋体" w:cs="Times New Roman"/>
          <w:b/>
          <w:color w:val="000000" w:themeColor="text1"/>
          <w:szCs w:val="21"/>
        </w:rPr>
        <w:t>六、</w:t>
      </w:r>
      <w:r>
        <w:rPr>
          <w:rFonts w:ascii="Times New Roman" w:hAnsi="Times New Roman" w:eastAsia="宋体" w:cs="Times New Roman"/>
          <w:b/>
          <w:color w:val="000000" w:themeColor="text1"/>
          <w:szCs w:val="21"/>
          <w:lang w:bidi="en-US"/>
        </w:rPr>
        <w:t>数据归属及保密要求</w:t>
      </w:r>
    </w:p>
    <w:p w14:paraId="17FB4F4C">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6.1本项目所形成的数据及报告归采购人所有。未经采购人授权，中标单位无权使用监测数据或将数据和报告发送给任何第三方。</w:t>
      </w:r>
    </w:p>
    <w:p w14:paraId="20396E19">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6.2投标人应承担保密责任，在委托管理期间，对系统状况和数据严格保密，按照采购方的要求报告和传输监测数据。未经采购方同意，投标人不得以任何方式和渠道向外界传递任何与本项目有关的监测数据，不得利用本项目的任意资料对外开展技术交流、业务联系、数据交换等。投标人不能在境外使用、处理和存储该项目所包含的数据。</w:t>
      </w:r>
    </w:p>
    <w:p w14:paraId="5AE6BB8B">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6.3投标人在服务期间发生网络安全、人身安全、消防安全等重大问题的，应立即向相应驻市中心和采购方口头报告，随后进行书面报告。投标人的项目人员应与采购方签署年度网络安全、保密等协议，项目相关人员离职或调离，应该完成工作交接并留有记录，确保相关人员知晓网络安全管理规定和岗位网络安全责任。</w:t>
      </w:r>
    </w:p>
    <w:p w14:paraId="43604A3F">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6.4投标人应按照采购方的要求通过安全的方式按照指定的要求传输相关数据到采购方指定的平台，相关数据包括但是不限于以下数据：各类监测原始数据、重积分后数据、审核反演后数据以及各类图表等。未经采购方书面批准不得私自接入其他网络联通本项目网络。投标人应确保监测设备、数采平台、传输线路、监测数据等各个方面的网络信息安全。</w:t>
      </w:r>
    </w:p>
    <w:p w14:paraId="44447A9F">
      <w:pPr>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6.5投标人须保证所提供产品（包括但不限于产品运行所需的操作系统、数据库软件、办公软件、杀毒软件、工业软件）具有合法的版权或授权。投标人所提供的产品，如在本项目范围内使用过程中出现版权或使用权纠纷，应由投标人负责，采购方不承担责任。</w:t>
      </w:r>
    </w:p>
    <w:p w14:paraId="70DBCE89">
      <w:pPr>
        <w:spacing w:beforeLines="50" w:line="360" w:lineRule="auto"/>
        <w:ind w:firstLine="310" w:firstLineChars="147"/>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七、运维考核办法</w:t>
      </w:r>
    </w:p>
    <w:p w14:paraId="1F84838E">
      <w:pPr>
        <w:adjustRightInd w:val="0"/>
        <w:snapToGrid w:val="0"/>
        <w:spacing w:line="360" w:lineRule="auto"/>
        <w:ind w:firstLine="413" w:firstLineChars="196"/>
        <w:rPr>
          <w:rFonts w:ascii="Times New Roman" w:hAnsi="Times New Roman" w:eastAsia="宋体" w:cs="Times New Roman"/>
          <w:b/>
          <w:bCs/>
          <w:color w:val="000000" w:themeColor="text1"/>
          <w:szCs w:val="21"/>
        </w:rPr>
      </w:pPr>
      <w:r>
        <w:rPr>
          <w:rFonts w:ascii="Times New Roman" w:hAnsi="Times New Roman" w:eastAsia="宋体" w:cs="Times New Roman"/>
          <w:b/>
          <w:color w:val="000000" w:themeColor="text1"/>
          <w:szCs w:val="21"/>
        </w:rPr>
        <w:t>7.1</w:t>
      </w:r>
      <w:r>
        <w:rPr>
          <w:rFonts w:ascii="Times New Roman" w:hAnsi="Times New Roman" w:eastAsia="宋体" w:cs="Times New Roman"/>
          <w:b/>
          <w:bCs/>
          <w:color w:val="000000" w:themeColor="text1"/>
          <w:szCs w:val="21"/>
        </w:rPr>
        <w:t>管理方法与内容</w:t>
      </w:r>
    </w:p>
    <w:p w14:paraId="48A88E25">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1）考核由采购人组织实施，采取不定期的方式；</w:t>
      </w:r>
    </w:p>
    <w:p w14:paraId="6AD3A468">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2）检查</w:t>
      </w:r>
      <w:r>
        <w:rPr>
          <w:rFonts w:ascii="Times New Roman" w:hAnsi="Times New Roman" w:eastAsia="宋体" w:cs="Times New Roman"/>
          <w:color w:val="000000" w:themeColor="text1"/>
          <w:szCs w:val="21"/>
        </w:rPr>
        <w:t>运维方</w:t>
      </w:r>
      <w:r>
        <w:rPr>
          <w:rFonts w:ascii="Times New Roman" w:hAnsi="Times New Roman" w:eastAsia="宋体" w:cs="Times New Roman"/>
          <w:bCs/>
          <w:color w:val="000000" w:themeColor="text1"/>
          <w:szCs w:val="21"/>
        </w:rPr>
        <w:t>各项工作是否按相关程序及监测技术规范执行；</w:t>
      </w:r>
    </w:p>
    <w:p w14:paraId="76613A59">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3）不定期检查监测系统环境空气监测子站运行状况、仪器设备维护、维修和校准情况；</w:t>
      </w:r>
    </w:p>
    <w:p w14:paraId="750008F4">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4）不定期检查</w:t>
      </w:r>
      <w:r>
        <w:rPr>
          <w:rFonts w:ascii="Times New Roman" w:hAnsi="Times New Roman" w:eastAsia="宋体" w:cs="Times New Roman"/>
          <w:color w:val="000000" w:themeColor="text1"/>
          <w:szCs w:val="21"/>
        </w:rPr>
        <w:t>运维方</w:t>
      </w:r>
      <w:r>
        <w:rPr>
          <w:rFonts w:ascii="Times New Roman" w:hAnsi="Times New Roman" w:eastAsia="宋体" w:cs="Times New Roman"/>
          <w:bCs/>
          <w:color w:val="000000" w:themeColor="text1"/>
          <w:szCs w:val="21"/>
        </w:rPr>
        <w:t>的站点巡检记录、仪器质控记录、仪器自检记录、仪器维修、验收记录等；</w:t>
      </w:r>
    </w:p>
    <w:p w14:paraId="60340DE9">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5）对</w:t>
      </w:r>
      <w:r>
        <w:rPr>
          <w:rFonts w:ascii="Times New Roman" w:hAnsi="Times New Roman" w:eastAsia="宋体" w:cs="Times New Roman"/>
          <w:color w:val="000000" w:themeColor="text1"/>
          <w:szCs w:val="21"/>
        </w:rPr>
        <w:t>运维方</w:t>
      </w:r>
      <w:r>
        <w:rPr>
          <w:rFonts w:ascii="Times New Roman" w:hAnsi="Times New Roman" w:eastAsia="宋体" w:cs="Times New Roman"/>
          <w:bCs/>
          <w:color w:val="000000" w:themeColor="text1"/>
          <w:szCs w:val="21"/>
        </w:rPr>
        <w:t>使用的校准仪器及标准物质进行检查；</w:t>
      </w:r>
    </w:p>
    <w:p w14:paraId="7E6FB98B">
      <w:pPr>
        <w:adjustRightInd w:val="0"/>
        <w:snapToGrid w:val="0"/>
        <w:spacing w:line="360" w:lineRule="auto"/>
        <w:ind w:firstLine="411" w:firstLineChars="196"/>
        <w:rPr>
          <w:rFonts w:ascii="Times New Roman" w:hAnsi="Times New Roman" w:eastAsia="宋体" w:cs="Times New Roman"/>
          <w:color w:val="000000" w:themeColor="text1"/>
          <w:szCs w:val="21"/>
        </w:rPr>
      </w:pPr>
      <w:r>
        <w:rPr>
          <w:rFonts w:ascii="Times New Roman" w:hAnsi="Times New Roman" w:eastAsia="宋体" w:cs="Times New Roman"/>
          <w:bCs/>
          <w:color w:val="000000" w:themeColor="text1"/>
          <w:szCs w:val="21"/>
        </w:rPr>
        <w:t>6）审核</w:t>
      </w:r>
      <w:r>
        <w:rPr>
          <w:rFonts w:ascii="Times New Roman" w:hAnsi="Times New Roman" w:eastAsia="宋体" w:cs="Times New Roman"/>
          <w:color w:val="000000" w:themeColor="text1"/>
          <w:szCs w:val="21"/>
        </w:rPr>
        <w:t>运维方</w:t>
      </w:r>
      <w:r>
        <w:rPr>
          <w:rFonts w:ascii="Times New Roman" w:hAnsi="Times New Roman" w:eastAsia="宋体" w:cs="Times New Roman"/>
          <w:bCs/>
          <w:color w:val="000000" w:themeColor="text1"/>
          <w:szCs w:val="21"/>
        </w:rPr>
        <w:t>的质控报表，及时反馈质控结果。</w:t>
      </w:r>
    </w:p>
    <w:p w14:paraId="2A05B325">
      <w:pPr>
        <w:adjustRightInd w:val="0"/>
        <w:snapToGrid w:val="0"/>
        <w:spacing w:line="360" w:lineRule="auto"/>
        <w:ind w:firstLine="413" w:firstLineChars="196"/>
        <w:rPr>
          <w:rFonts w:ascii="Times New Roman" w:hAnsi="Times New Roman" w:eastAsia="宋体" w:cs="Times New Roman"/>
          <w:b/>
          <w:bCs/>
          <w:color w:val="000000" w:themeColor="text1"/>
          <w:szCs w:val="21"/>
        </w:rPr>
      </w:pPr>
      <w:r>
        <w:rPr>
          <w:rFonts w:ascii="Times New Roman" w:hAnsi="Times New Roman" w:eastAsia="宋体" w:cs="Times New Roman"/>
          <w:b/>
          <w:color w:val="000000" w:themeColor="text1"/>
          <w:szCs w:val="21"/>
        </w:rPr>
        <w:t>7.2</w:t>
      </w:r>
      <w:r>
        <w:rPr>
          <w:rFonts w:ascii="Times New Roman" w:hAnsi="Times New Roman" w:eastAsia="宋体" w:cs="Times New Roman"/>
          <w:b/>
          <w:bCs/>
          <w:color w:val="000000" w:themeColor="text1"/>
          <w:szCs w:val="21"/>
        </w:rPr>
        <w:t>考评要求</w:t>
      </w:r>
    </w:p>
    <w:p w14:paraId="3A120338">
      <w:pPr>
        <w:adjustRightInd w:val="0"/>
        <w:snapToGrid w:val="0"/>
        <w:spacing w:line="360" w:lineRule="auto"/>
        <w:ind w:firstLine="411" w:firstLineChars="196"/>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考评主要按照系统运行的数据有效率、日常运维情况、服务保障等情况进行考评。</w:t>
      </w:r>
    </w:p>
    <w:p w14:paraId="237AF308">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1）</w:t>
      </w:r>
      <w:r>
        <w:rPr>
          <w:rFonts w:hint="eastAsia" w:ascii="Times New Roman" w:hAnsi="Times New Roman" w:eastAsia="宋体" w:cs="Times New Roman"/>
          <w:bCs/>
          <w:color w:val="000000" w:themeColor="text1"/>
          <w:szCs w:val="21"/>
          <w:lang w:eastAsia="zh-CN"/>
        </w:rPr>
        <w:t>每半</w:t>
      </w:r>
      <w:r>
        <w:rPr>
          <w:rFonts w:ascii="Times New Roman" w:hAnsi="Times New Roman" w:eastAsia="宋体" w:cs="Times New Roman"/>
          <w:bCs/>
          <w:color w:val="000000" w:themeColor="text1"/>
          <w:szCs w:val="21"/>
        </w:rPr>
        <w:t>年度运维得分按照附表1《</w:t>
      </w:r>
      <w:r>
        <w:rPr>
          <w:rFonts w:hint="eastAsia" w:ascii="Times New Roman" w:hAnsi="Times New Roman" w:eastAsia="宋体" w:cs="Times New Roman"/>
          <w:bCs/>
          <w:color w:val="000000" w:themeColor="text1"/>
          <w:szCs w:val="21"/>
        </w:rPr>
        <w:t>颗粒物组分监测自动站运行管理考核综合评议表</w:t>
      </w:r>
      <w:r>
        <w:rPr>
          <w:rFonts w:ascii="Times New Roman" w:hAnsi="Times New Roman" w:eastAsia="宋体" w:cs="Times New Roman"/>
          <w:bCs/>
          <w:color w:val="000000" w:themeColor="text1"/>
          <w:szCs w:val="21"/>
        </w:rPr>
        <w:t>》得分核算；</w:t>
      </w:r>
    </w:p>
    <w:p w14:paraId="5B6A55B9">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2）惩罚办法</w:t>
      </w:r>
    </w:p>
    <w:p w14:paraId="54333504">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一旦发现供应商有伪造监测数据或人为干扰采样行为，采购人有权终止合同，并按已支付费用的双倍进行经济处罚，同时向上级有关部门如实上报情况。</w:t>
      </w:r>
    </w:p>
    <w:p w14:paraId="0FCC4FAB">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3）运维费支付</w:t>
      </w:r>
    </w:p>
    <w:p w14:paraId="64AB2EF6">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按</w:t>
      </w:r>
      <w:r>
        <w:rPr>
          <w:rFonts w:hint="eastAsia" w:ascii="Times New Roman" w:hAnsi="Times New Roman" w:eastAsia="宋体" w:cs="Times New Roman"/>
          <w:bCs/>
          <w:color w:val="000000" w:themeColor="text1"/>
          <w:szCs w:val="21"/>
          <w:lang w:eastAsia="zh-CN"/>
        </w:rPr>
        <w:t>半</w:t>
      </w:r>
      <w:r>
        <w:rPr>
          <w:rFonts w:ascii="Times New Roman" w:hAnsi="Times New Roman" w:eastAsia="宋体" w:cs="Times New Roman"/>
          <w:bCs/>
          <w:color w:val="000000" w:themeColor="text1"/>
          <w:szCs w:val="21"/>
        </w:rPr>
        <w:t>年度进行考核，其中</w:t>
      </w:r>
    </w:p>
    <w:p w14:paraId="6AC32A97">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（1）考核结果在80分以上，全额支付供应商当</w:t>
      </w:r>
      <w:r>
        <w:rPr>
          <w:rFonts w:hint="eastAsia" w:ascii="Times New Roman" w:hAnsi="Times New Roman" w:eastAsia="宋体" w:cs="Times New Roman"/>
          <w:bCs/>
          <w:color w:val="000000" w:themeColor="text1"/>
          <w:szCs w:val="21"/>
          <w:lang w:eastAsia="zh-CN"/>
        </w:rPr>
        <w:t>期</w:t>
      </w:r>
      <w:r>
        <w:rPr>
          <w:rFonts w:ascii="Times New Roman" w:hAnsi="Times New Roman" w:eastAsia="宋体" w:cs="Times New Roman"/>
          <w:bCs/>
          <w:color w:val="000000" w:themeColor="text1"/>
          <w:szCs w:val="21"/>
        </w:rPr>
        <w:t>运维费；</w:t>
      </w:r>
    </w:p>
    <w:p w14:paraId="2274BF6A">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（2）考核结果在70-80分之间，扣除供应商该站点当</w:t>
      </w:r>
      <w:r>
        <w:rPr>
          <w:rFonts w:hint="eastAsia" w:ascii="Times New Roman" w:hAnsi="Times New Roman" w:eastAsia="宋体" w:cs="Times New Roman"/>
          <w:bCs/>
          <w:color w:val="000000" w:themeColor="text1"/>
          <w:szCs w:val="21"/>
          <w:lang w:eastAsia="zh-CN"/>
        </w:rPr>
        <w:t>期</w:t>
      </w:r>
      <w:r>
        <w:rPr>
          <w:rFonts w:ascii="Times New Roman" w:hAnsi="Times New Roman" w:eastAsia="宋体" w:cs="Times New Roman"/>
          <w:bCs/>
          <w:color w:val="000000" w:themeColor="text1"/>
          <w:szCs w:val="21"/>
        </w:rPr>
        <w:t>运维费10%；</w:t>
      </w:r>
    </w:p>
    <w:p w14:paraId="6F98B6C9">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（3）考核结果在60-70分之间，扣除供应商该站点当</w:t>
      </w:r>
      <w:r>
        <w:rPr>
          <w:rFonts w:hint="eastAsia" w:ascii="Times New Roman" w:hAnsi="Times New Roman" w:eastAsia="宋体" w:cs="Times New Roman"/>
          <w:bCs/>
          <w:color w:val="000000" w:themeColor="text1"/>
          <w:szCs w:val="21"/>
          <w:lang w:eastAsia="zh-CN"/>
        </w:rPr>
        <w:t>期</w:t>
      </w:r>
      <w:r>
        <w:rPr>
          <w:rFonts w:ascii="Times New Roman" w:hAnsi="Times New Roman" w:eastAsia="宋体" w:cs="Times New Roman"/>
          <w:bCs/>
          <w:color w:val="000000" w:themeColor="text1"/>
          <w:szCs w:val="21"/>
        </w:rPr>
        <w:t>运维费30%；</w:t>
      </w:r>
    </w:p>
    <w:p w14:paraId="54F6E06B">
      <w:pPr>
        <w:adjustRightInd w:val="0"/>
        <w:snapToGrid w:val="0"/>
        <w:spacing w:line="360" w:lineRule="auto"/>
        <w:ind w:firstLine="411" w:firstLineChars="196"/>
        <w:rPr>
          <w:rFonts w:ascii="Times New Roman" w:hAnsi="Times New Roman" w:eastAsia="宋体" w:cs="Times New Roman"/>
          <w:bCs/>
          <w:color w:val="000000" w:themeColor="text1"/>
          <w:szCs w:val="21"/>
        </w:rPr>
      </w:pPr>
      <w:r>
        <w:rPr>
          <w:rFonts w:ascii="Times New Roman" w:hAnsi="Times New Roman" w:eastAsia="宋体" w:cs="Times New Roman"/>
          <w:bCs/>
          <w:color w:val="000000" w:themeColor="text1"/>
          <w:szCs w:val="21"/>
        </w:rPr>
        <w:t>（4）考核结果在60分以下，扣除供应商该站点当</w:t>
      </w:r>
      <w:r>
        <w:rPr>
          <w:rFonts w:hint="eastAsia" w:ascii="Times New Roman" w:hAnsi="Times New Roman" w:eastAsia="宋体" w:cs="Times New Roman"/>
          <w:bCs/>
          <w:color w:val="000000" w:themeColor="text1"/>
          <w:szCs w:val="21"/>
          <w:lang w:eastAsia="zh-CN"/>
        </w:rPr>
        <w:t>期</w:t>
      </w:r>
      <w:r>
        <w:rPr>
          <w:rFonts w:ascii="Times New Roman" w:hAnsi="Times New Roman" w:eastAsia="宋体" w:cs="Times New Roman"/>
          <w:bCs/>
          <w:color w:val="000000" w:themeColor="text1"/>
          <w:szCs w:val="21"/>
        </w:rPr>
        <w:t>运维费50%。</w:t>
      </w:r>
    </w:p>
    <w:p w14:paraId="1F9E9A2F">
      <w:pPr>
        <w:adjustRightInd w:val="0"/>
        <w:snapToGrid w:val="0"/>
        <w:spacing w:line="360" w:lineRule="auto"/>
        <w:ind w:firstLine="413" w:firstLineChars="196"/>
        <w:rPr>
          <w:rFonts w:ascii="Times New Roman" w:hAnsi="Times New Roman" w:eastAsia="宋体" w:cs="Times New Roman"/>
          <w:bCs/>
          <w:color w:val="000000" w:themeColor="text1"/>
          <w:szCs w:val="21"/>
        </w:rPr>
      </w:pPr>
      <w:r>
        <w:rPr>
          <w:rFonts w:ascii="Times New Roman" w:hAnsi="Times New Roman" w:eastAsia="宋体" w:cs="Times New Roman"/>
          <w:b/>
          <w:color w:val="000000" w:themeColor="text1"/>
          <w:szCs w:val="21"/>
        </w:rPr>
        <w:t>7.3</w:t>
      </w:r>
      <w:r>
        <w:rPr>
          <w:rFonts w:ascii="Times New Roman" w:hAnsi="Times New Roman" w:eastAsia="宋体" w:cs="Times New Roman"/>
          <w:bCs/>
          <w:color w:val="000000" w:themeColor="text1"/>
          <w:szCs w:val="21"/>
        </w:rPr>
        <w:t>如因惩罚措施而解除合同后，原供应商需对所运维的站点按接手时的仪器配置品牌型号进行修复，要求不低于交接时仪器状况；</w:t>
      </w:r>
    </w:p>
    <w:p w14:paraId="2B737523">
      <w:pPr>
        <w:adjustRightInd w:val="0"/>
        <w:snapToGrid w:val="0"/>
        <w:spacing w:line="360" w:lineRule="auto"/>
        <w:ind w:firstLine="413" w:firstLineChars="196"/>
        <w:rPr>
          <w:rFonts w:ascii="Times New Roman" w:hAnsi="Times New Roman" w:eastAsia="宋体" w:cs="Times New Roman"/>
          <w:color w:val="000000" w:themeColor="text1"/>
          <w:szCs w:val="21"/>
        </w:rPr>
      </w:pPr>
      <w:r>
        <w:rPr>
          <w:rFonts w:ascii="Times New Roman" w:hAnsi="Times New Roman" w:eastAsia="宋体" w:cs="Times New Roman"/>
          <w:b/>
          <w:bCs/>
          <w:color w:val="000000" w:themeColor="text1"/>
          <w:szCs w:val="21"/>
        </w:rPr>
        <w:t>7.4</w:t>
      </w:r>
      <w:r>
        <w:rPr>
          <w:rFonts w:ascii="Times New Roman" w:hAnsi="Times New Roman" w:eastAsia="宋体" w:cs="Times New Roman"/>
          <w:bCs/>
          <w:color w:val="000000" w:themeColor="text1"/>
          <w:szCs w:val="21"/>
        </w:rPr>
        <w:t>合同解除后对环境空气自动站进行资产后评估，若达不到7.3要求，新的托管方在修复并达到7.3考核要求时，所需费用由原中标方承担。</w:t>
      </w:r>
    </w:p>
    <w:p w14:paraId="6E01CDE1">
      <w:pPr>
        <w:adjustRightInd w:val="0"/>
        <w:snapToGrid w:val="0"/>
        <w:spacing w:line="240" w:lineRule="auto"/>
        <w:ind w:firstLine="413" w:firstLineChars="196"/>
        <w:rPr>
          <w:rFonts w:ascii="宋体" w:hAnsi="宋体" w:eastAsia="宋体" w:cs="宋体"/>
          <w:b/>
          <w:color w:val="000000" w:themeColor="text1"/>
          <w:sz w:val="21"/>
        </w:rPr>
      </w:pPr>
    </w:p>
    <w:p w14:paraId="2E0A9F79">
      <w:pPr>
        <w:widowControl/>
        <w:ind w:firstLine="480"/>
        <w:jc w:val="center"/>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国家大气颗粒物组分监测网自动站运行管理考核综合评议表</w:t>
      </w:r>
    </w:p>
    <w:tbl>
      <w:tblPr>
        <w:tblStyle w:val="27"/>
        <w:tblW w:w="900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10"/>
        <w:gridCol w:w="4961"/>
        <w:gridCol w:w="771"/>
        <w:gridCol w:w="962"/>
      </w:tblGrid>
      <w:tr w14:paraId="129CB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725" w:type="dxa"/>
            <w:tcBorders>
              <w:top w:val="single" w:color="auto" w:sz="4" w:space="0"/>
              <w:left w:val="single" w:color="auto" w:sz="4" w:space="0"/>
              <w:bottom w:val="single" w:color="auto" w:sz="4" w:space="0"/>
              <w:right w:val="single" w:color="auto" w:sz="4" w:space="0"/>
            </w:tcBorders>
            <w:vAlign w:val="center"/>
          </w:tcPr>
          <w:p w14:paraId="4FDBB744">
            <w:pPr>
              <w:jc w:val="center"/>
              <w:rPr>
                <w:rFonts w:ascii="宋体" w:hAnsi="宋体" w:eastAsia="宋体" w:cs="宋体"/>
                <w:b/>
                <w:color w:val="000000" w:themeColor="text1"/>
                <w:sz w:val="21"/>
                <w:szCs w:val="21"/>
              </w:rPr>
            </w:pPr>
            <w:r>
              <w:rPr>
                <w:rFonts w:hint="eastAsia" w:ascii="宋体" w:hAnsi="宋体" w:eastAsia="宋体" w:cs="宋体"/>
                <w:b/>
                <w:color w:val="000000" w:themeColor="text1"/>
                <w:sz w:val="21"/>
                <w:szCs w:val="21"/>
              </w:rPr>
              <w:t>序号</w:t>
            </w:r>
          </w:p>
        </w:tc>
        <w:tc>
          <w:tcPr>
            <w:tcW w:w="1510" w:type="dxa"/>
            <w:tcBorders>
              <w:top w:val="single" w:color="auto" w:sz="4" w:space="0"/>
              <w:left w:val="single" w:color="auto" w:sz="4" w:space="0"/>
              <w:bottom w:val="single" w:color="auto" w:sz="4" w:space="0"/>
              <w:right w:val="single" w:color="auto" w:sz="4" w:space="0"/>
            </w:tcBorders>
            <w:vAlign w:val="center"/>
          </w:tcPr>
          <w:p w14:paraId="4FC85EF6">
            <w:pPr>
              <w:jc w:val="center"/>
              <w:rPr>
                <w:rFonts w:ascii="宋体" w:hAnsi="宋体" w:eastAsia="宋体" w:cs="宋体"/>
                <w:b/>
                <w:color w:val="000000" w:themeColor="text1"/>
                <w:sz w:val="21"/>
                <w:szCs w:val="21"/>
              </w:rPr>
            </w:pPr>
            <w:r>
              <w:rPr>
                <w:rFonts w:hint="eastAsia" w:ascii="宋体" w:hAnsi="宋体" w:eastAsia="宋体" w:cs="宋体"/>
                <w:b/>
                <w:color w:val="000000" w:themeColor="text1"/>
                <w:sz w:val="21"/>
                <w:szCs w:val="21"/>
              </w:rPr>
              <w:t>检查项目</w:t>
            </w:r>
          </w:p>
        </w:tc>
        <w:tc>
          <w:tcPr>
            <w:tcW w:w="4961" w:type="dxa"/>
            <w:tcBorders>
              <w:top w:val="single" w:color="auto" w:sz="4" w:space="0"/>
              <w:left w:val="single" w:color="auto" w:sz="4" w:space="0"/>
              <w:bottom w:val="single" w:color="auto" w:sz="4" w:space="0"/>
              <w:right w:val="single" w:color="auto" w:sz="4" w:space="0"/>
            </w:tcBorders>
            <w:vAlign w:val="center"/>
          </w:tcPr>
          <w:p w14:paraId="48ED1B43">
            <w:pPr>
              <w:jc w:val="center"/>
              <w:rPr>
                <w:rFonts w:ascii="宋体" w:hAnsi="宋体" w:eastAsia="宋体" w:cs="宋体"/>
                <w:b/>
                <w:color w:val="000000" w:themeColor="text1"/>
                <w:sz w:val="21"/>
                <w:szCs w:val="21"/>
              </w:rPr>
            </w:pPr>
            <w:r>
              <w:rPr>
                <w:rFonts w:hint="eastAsia" w:ascii="宋体" w:hAnsi="宋体" w:eastAsia="宋体" w:cs="宋体"/>
                <w:b/>
                <w:color w:val="000000" w:themeColor="text1"/>
                <w:sz w:val="21"/>
                <w:szCs w:val="21"/>
              </w:rPr>
              <w:t>检查内容</w:t>
            </w:r>
          </w:p>
        </w:tc>
        <w:tc>
          <w:tcPr>
            <w:tcW w:w="771" w:type="dxa"/>
            <w:tcBorders>
              <w:top w:val="single" w:color="auto" w:sz="4" w:space="0"/>
              <w:left w:val="single" w:color="auto" w:sz="4" w:space="0"/>
              <w:bottom w:val="single" w:color="auto" w:sz="4" w:space="0"/>
              <w:right w:val="single" w:color="auto" w:sz="4" w:space="0"/>
            </w:tcBorders>
            <w:vAlign w:val="center"/>
          </w:tcPr>
          <w:p w14:paraId="7A4C7AE2">
            <w:pPr>
              <w:jc w:val="center"/>
              <w:rPr>
                <w:rFonts w:ascii="宋体" w:hAnsi="宋体" w:eastAsia="宋体" w:cs="宋体"/>
                <w:b/>
                <w:color w:val="000000" w:themeColor="text1"/>
                <w:sz w:val="21"/>
                <w:szCs w:val="21"/>
              </w:rPr>
            </w:pPr>
            <w:r>
              <w:rPr>
                <w:rFonts w:hint="eastAsia" w:ascii="宋体" w:hAnsi="宋体" w:eastAsia="宋体" w:cs="宋体"/>
                <w:b/>
                <w:color w:val="000000" w:themeColor="text1"/>
                <w:sz w:val="21"/>
                <w:szCs w:val="21"/>
              </w:rPr>
              <w:t>分值</w:t>
            </w:r>
          </w:p>
        </w:tc>
        <w:tc>
          <w:tcPr>
            <w:tcW w:w="962" w:type="dxa"/>
            <w:tcBorders>
              <w:top w:val="single" w:color="auto" w:sz="4" w:space="0"/>
              <w:left w:val="single" w:color="auto" w:sz="4" w:space="0"/>
              <w:bottom w:val="single" w:color="auto" w:sz="4" w:space="0"/>
              <w:right w:val="single" w:color="auto" w:sz="4" w:space="0"/>
            </w:tcBorders>
            <w:vAlign w:val="center"/>
          </w:tcPr>
          <w:p w14:paraId="3091F47B">
            <w:pPr>
              <w:jc w:val="center"/>
              <w:rPr>
                <w:rFonts w:ascii="宋体" w:hAnsi="宋体" w:eastAsia="宋体" w:cs="宋体"/>
                <w:b/>
                <w:color w:val="000000" w:themeColor="text1"/>
                <w:sz w:val="21"/>
                <w:szCs w:val="21"/>
              </w:rPr>
            </w:pPr>
            <w:r>
              <w:rPr>
                <w:rFonts w:hint="eastAsia" w:ascii="宋体" w:hAnsi="宋体" w:eastAsia="宋体" w:cs="宋体"/>
                <w:b/>
                <w:color w:val="000000" w:themeColor="text1"/>
                <w:sz w:val="21"/>
                <w:szCs w:val="21"/>
              </w:rPr>
              <w:t>评分</w:t>
            </w:r>
          </w:p>
        </w:tc>
      </w:tr>
      <w:tr w14:paraId="2327FB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25" w:type="dxa"/>
            <w:vMerge w:val="restart"/>
            <w:tcBorders>
              <w:top w:val="single" w:color="auto" w:sz="4" w:space="0"/>
              <w:left w:val="single" w:color="auto" w:sz="4" w:space="0"/>
              <w:bottom w:val="single" w:color="auto" w:sz="4" w:space="0"/>
              <w:right w:val="single" w:color="auto" w:sz="4" w:space="0"/>
            </w:tcBorders>
            <w:vAlign w:val="center"/>
          </w:tcPr>
          <w:p w14:paraId="28EC01F7">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1</w:t>
            </w:r>
          </w:p>
        </w:tc>
        <w:tc>
          <w:tcPr>
            <w:tcW w:w="1510" w:type="dxa"/>
            <w:vMerge w:val="restart"/>
            <w:tcBorders>
              <w:top w:val="single" w:color="auto" w:sz="4" w:space="0"/>
              <w:left w:val="single" w:color="auto" w:sz="4" w:space="0"/>
              <w:bottom w:val="single" w:color="auto" w:sz="4" w:space="0"/>
              <w:right w:val="single" w:color="auto" w:sz="4" w:space="0"/>
            </w:tcBorders>
            <w:vAlign w:val="center"/>
          </w:tcPr>
          <w:p w14:paraId="4938A36A">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子站内环境</w:t>
            </w:r>
          </w:p>
        </w:tc>
        <w:tc>
          <w:tcPr>
            <w:tcW w:w="4961" w:type="dxa"/>
            <w:tcBorders>
              <w:top w:val="single" w:color="auto" w:sz="4" w:space="0"/>
              <w:left w:val="single" w:color="auto" w:sz="4" w:space="0"/>
              <w:bottom w:val="single" w:color="auto" w:sz="4" w:space="0"/>
              <w:right w:val="single" w:color="auto" w:sz="4" w:space="0"/>
            </w:tcBorders>
            <w:vAlign w:val="center"/>
          </w:tcPr>
          <w:p w14:paraId="75798C23">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物品堆放,室内环境是否整洁</w:t>
            </w:r>
          </w:p>
        </w:tc>
        <w:tc>
          <w:tcPr>
            <w:tcW w:w="771" w:type="dxa"/>
            <w:tcBorders>
              <w:top w:val="single" w:color="auto" w:sz="4" w:space="0"/>
              <w:left w:val="single" w:color="auto" w:sz="4" w:space="0"/>
              <w:bottom w:val="single" w:color="auto" w:sz="4" w:space="0"/>
              <w:right w:val="single" w:color="auto" w:sz="4" w:space="0"/>
            </w:tcBorders>
            <w:vAlign w:val="center"/>
          </w:tcPr>
          <w:p w14:paraId="621E502B">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962" w:type="dxa"/>
            <w:tcBorders>
              <w:top w:val="single" w:color="auto" w:sz="4" w:space="0"/>
              <w:left w:val="single" w:color="auto" w:sz="4" w:space="0"/>
              <w:bottom w:val="single" w:color="auto" w:sz="4" w:space="0"/>
              <w:right w:val="single" w:color="auto" w:sz="4" w:space="0"/>
            </w:tcBorders>
            <w:vAlign w:val="center"/>
          </w:tcPr>
          <w:p w14:paraId="059856C8">
            <w:pPr>
              <w:jc w:val="center"/>
              <w:rPr>
                <w:rFonts w:ascii="宋体" w:hAnsi="宋体" w:eastAsia="宋体" w:cs="宋体"/>
                <w:color w:val="000000" w:themeColor="text1"/>
                <w:sz w:val="21"/>
                <w:szCs w:val="21"/>
              </w:rPr>
            </w:pPr>
          </w:p>
        </w:tc>
      </w:tr>
      <w:tr w14:paraId="0F7C3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25" w:type="dxa"/>
            <w:vMerge w:val="continue"/>
            <w:tcBorders>
              <w:top w:val="single" w:color="auto" w:sz="4" w:space="0"/>
              <w:left w:val="single" w:color="auto" w:sz="4" w:space="0"/>
              <w:bottom w:val="single" w:color="auto" w:sz="4" w:space="0"/>
              <w:right w:val="single" w:color="auto" w:sz="4" w:space="0"/>
            </w:tcBorders>
            <w:vAlign w:val="center"/>
          </w:tcPr>
          <w:p w14:paraId="1047CEEC">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293F8867">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2098E60C">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空调滤网是否清洁</w:t>
            </w:r>
          </w:p>
        </w:tc>
        <w:tc>
          <w:tcPr>
            <w:tcW w:w="771" w:type="dxa"/>
            <w:tcBorders>
              <w:top w:val="single" w:color="auto" w:sz="4" w:space="0"/>
              <w:left w:val="single" w:color="auto" w:sz="4" w:space="0"/>
              <w:bottom w:val="single" w:color="auto" w:sz="4" w:space="0"/>
              <w:right w:val="single" w:color="auto" w:sz="4" w:space="0"/>
            </w:tcBorders>
            <w:vAlign w:val="center"/>
          </w:tcPr>
          <w:p w14:paraId="495C3344">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962" w:type="dxa"/>
            <w:tcBorders>
              <w:top w:val="single" w:color="auto" w:sz="4" w:space="0"/>
              <w:left w:val="single" w:color="auto" w:sz="4" w:space="0"/>
              <w:bottom w:val="single" w:color="auto" w:sz="4" w:space="0"/>
              <w:right w:val="single" w:color="auto" w:sz="4" w:space="0"/>
            </w:tcBorders>
            <w:vAlign w:val="center"/>
          </w:tcPr>
          <w:p w14:paraId="7FDB47D6">
            <w:pPr>
              <w:jc w:val="center"/>
              <w:rPr>
                <w:rFonts w:ascii="宋体" w:hAnsi="宋体" w:eastAsia="宋体" w:cs="宋体"/>
                <w:color w:val="000000" w:themeColor="text1"/>
                <w:sz w:val="21"/>
                <w:szCs w:val="21"/>
              </w:rPr>
            </w:pPr>
          </w:p>
        </w:tc>
      </w:tr>
      <w:tr w14:paraId="04F64F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25" w:type="dxa"/>
            <w:vMerge w:val="continue"/>
            <w:tcBorders>
              <w:top w:val="single" w:color="auto" w:sz="4" w:space="0"/>
              <w:left w:val="single" w:color="auto" w:sz="4" w:space="0"/>
              <w:bottom w:val="single" w:color="auto" w:sz="4" w:space="0"/>
              <w:right w:val="single" w:color="auto" w:sz="4" w:space="0"/>
            </w:tcBorders>
            <w:vAlign w:val="center"/>
          </w:tcPr>
          <w:p w14:paraId="23F3A747">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5FBBE8F0">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21E2CE9A">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仪器表面是否有积灰，风扇口是否有积灰</w:t>
            </w:r>
          </w:p>
        </w:tc>
        <w:tc>
          <w:tcPr>
            <w:tcW w:w="771" w:type="dxa"/>
            <w:tcBorders>
              <w:top w:val="single" w:color="auto" w:sz="4" w:space="0"/>
              <w:left w:val="single" w:color="auto" w:sz="4" w:space="0"/>
              <w:bottom w:val="single" w:color="auto" w:sz="4" w:space="0"/>
              <w:right w:val="single" w:color="auto" w:sz="4" w:space="0"/>
            </w:tcBorders>
            <w:vAlign w:val="center"/>
          </w:tcPr>
          <w:p w14:paraId="75C39855">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962" w:type="dxa"/>
            <w:tcBorders>
              <w:top w:val="single" w:color="auto" w:sz="4" w:space="0"/>
              <w:left w:val="single" w:color="auto" w:sz="4" w:space="0"/>
              <w:bottom w:val="single" w:color="auto" w:sz="4" w:space="0"/>
              <w:right w:val="single" w:color="auto" w:sz="4" w:space="0"/>
            </w:tcBorders>
            <w:vAlign w:val="center"/>
          </w:tcPr>
          <w:p w14:paraId="1330C12C">
            <w:pPr>
              <w:jc w:val="center"/>
              <w:rPr>
                <w:rFonts w:ascii="宋体" w:hAnsi="宋体" w:eastAsia="宋体" w:cs="宋体"/>
                <w:color w:val="000000" w:themeColor="text1"/>
                <w:sz w:val="21"/>
                <w:szCs w:val="21"/>
              </w:rPr>
            </w:pPr>
          </w:p>
        </w:tc>
      </w:tr>
      <w:tr w14:paraId="30A5A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14:paraId="2E4E44FE">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1510" w:type="dxa"/>
            <w:tcBorders>
              <w:top w:val="single" w:color="auto" w:sz="4" w:space="0"/>
              <w:left w:val="single" w:color="auto" w:sz="4" w:space="0"/>
              <w:bottom w:val="single" w:color="auto" w:sz="4" w:space="0"/>
              <w:right w:val="single" w:color="auto" w:sz="4" w:space="0"/>
            </w:tcBorders>
            <w:vAlign w:val="center"/>
          </w:tcPr>
          <w:p w14:paraId="41CCEF59">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子站外环境</w:t>
            </w:r>
          </w:p>
        </w:tc>
        <w:tc>
          <w:tcPr>
            <w:tcW w:w="4961" w:type="dxa"/>
            <w:tcBorders>
              <w:top w:val="single" w:color="auto" w:sz="4" w:space="0"/>
              <w:left w:val="single" w:color="auto" w:sz="4" w:space="0"/>
              <w:bottom w:val="single" w:color="auto" w:sz="4" w:space="0"/>
              <w:right w:val="single" w:color="auto" w:sz="4" w:space="0"/>
            </w:tcBorders>
            <w:vAlign w:val="center"/>
          </w:tcPr>
          <w:p w14:paraId="171B09A8">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子站和采样口周边环境是否整洁</w:t>
            </w:r>
          </w:p>
        </w:tc>
        <w:tc>
          <w:tcPr>
            <w:tcW w:w="771" w:type="dxa"/>
            <w:tcBorders>
              <w:top w:val="single" w:color="auto" w:sz="4" w:space="0"/>
              <w:left w:val="single" w:color="auto" w:sz="4" w:space="0"/>
              <w:bottom w:val="single" w:color="auto" w:sz="4" w:space="0"/>
              <w:right w:val="single" w:color="auto" w:sz="4" w:space="0"/>
            </w:tcBorders>
            <w:vAlign w:val="center"/>
          </w:tcPr>
          <w:p w14:paraId="1EDC271F">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962" w:type="dxa"/>
            <w:tcBorders>
              <w:top w:val="single" w:color="auto" w:sz="4" w:space="0"/>
              <w:left w:val="single" w:color="auto" w:sz="4" w:space="0"/>
              <w:bottom w:val="single" w:color="auto" w:sz="4" w:space="0"/>
              <w:right w:val="single" w:color="auto" w:sz="4" w:space="0"/>
            </w:tcBorders>
            <w:vAlign w:val="center"/>
          </w:tcPr>
          <w:p w14:paraId="72CF55D2">
            <w:pPr>
              <w:jc w:val="center"/>
              <w:rPr>
                <w:rFonts w:ascii="宋体" w:hAnsi="宋体" w:eastAsia="宋体" w:cs="宋体"/>
                <w:color w:val="000000" w:themeColor="text1"/>
                <w:sz w:val="21"/>
                <w:szCs w:val="21"/>
              </w:rPr>
            </w:pPr>
          </w:p>
        </w:tc>
      </w:tr>
      <w:tr w14:paraId="13D8A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restart"/>
            <w:tcBorders>
              <w:top w:val="single" w:color="auto" w:sz="4" w:space="0"/>
              <w:left w:val="single" w:color="auto" w:sz="4" w:space="0"/>
              <w:bottom w:val="single" w:color="auto" w:sz="4" w:space="0"/>
              <w:right w:val="single" w:color="auto" w:sz="4" w:space="0"/>
            </w:tcBorders>
            <w:vAlign w:val="center"/>
          </w:tcPr>
          <w:p w14:paraId="0E621459">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1510" w:type="dxa"/>
            <w:vMerge w:val="restart"/>
            <w:tcBorders>
              <w:top w:val="single" w:color="auto" w:sz="4" w:space="0"/>
              <w:left w:val="single" w:color="auto" w:sz="4" w:space="0"/>
              <w:bottom w:val="single" w:color="auto" w:sz="4" w:space="0"/>
              <w:right w:val="single" w:color="auto" w:sz="4" w:space="0"/>
            </w:tcBorders>
            <w:vAlign w:val="center"/>
          </w:tcPr>
          <w:p w14:paraId="499348BC">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采样系统</w:t>
            </w:r>
          </w:p>
        </w:tc>
        <w:tc>
          <w:tcPr>
            <w:tcW w:w="4961" w:type="dxa"/>
            <w:tcBorders>
              <w:top w:val="single" w:color="auto" w:sz="4" w:space="0"/>
              <w:left w:val="single" w:color="auto" w:sz="4" w:space="0"/>
              <w:bottom w:val="single" w:color="auto" w:sz="4" w:space="0"/>
              <w:right w:val="single" w:color="auto" w:sz="4" w:space="0"/>
            </w:tcBorders>
            <w:vAlign w:val="center"/>
          </w:tcPr>
          <w:p w14:paraId="2CD74601">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切割器是否清洁</w:t>
            </w:r>
          </w:p>
        </w:tc>
        <w:tc>
          <w:tcPr>
            <w:tcW w:w="771" w:type="dxa"/>
            <w:tcBorders>
              <w:top w:val="single" w:color="auto" w:sz="4" w:space="0"/>
              <w:left w:val="single" w:color="auto" w:sz="4" w:space="0"/>
              <w:bottom w:val="single" w:color="auto" w:sz="4" w:space="0"/>
              <w:right w:val="single" w:color="auto" w:sz="4" w:space="0"/>
            </w:tcBorders>
            <w:vAlign w:val="center"/>
          </w:tcPr>
          <w:p w14:paraId="0BE0539E">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962" w:type="dxa"/>
            <w:tcBorders>
              <w:top w:val="single" w:color="auto" w:sz="4" w:space="0"/>
              <w:left w:val="single" w:color="auto" w:sz="4" w:space="0"/>
              <w:bottom w:val="single" w:color="auto" w:sz="4" w:space="0"/>
              <w:right w:val="single" w:color="auto" w:sz="4" w:space="0"/>
            </w:tcBorders>
            <w:vAlign w:val="center"/>
          </w:tcPr>
          <w:p w14:paraId="4F5A3885">
            <w:pPr>
              <w:jc w:val="center"/>
              <w:rPr>
                <w:rFonts w:ascii="宋体" w:hAnsi="宋体" w:eastAsia="宋体" w:cs="宋体"/>
                <w:color w:val="000000" w:themeColor="text1"/>
                <w:sz w:val="21"/>
                <w:szCs w:val="21"/>
              </w:rPr>
            </w:pPr>
          </w:p>
        </w:tc>
      </w:tr>
      <w:tr w14:paraId="24BEE8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3FCAC370">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3A8AB9D5">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0BF7101C">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采样管是否清洁</w:t>
            </w:r>
          </w:p>
        </w:tc>
        <w:tc>
          <w:tcPr>
            <w:tcW w:w="771" w:type="dxa"/>
            <w:tcBorders>
              <w:top w:val="single" w:color="auto" w:sz="4" w:space="0"/>
              <w:left w:val="single" w:color="auto" w:sz="4" w:space="0"/>
              <w:bottom w:val="single" w:color="auto" w:sz="4" w:space="0"/>
              <w:right w:val="single" w:color="auto" w:sz="4" w:space="0"/>
            </w:tcBorders>
            <w:vAlign w:val="center"/>
          </w:tcPr>
          <w:p w14:paraId="03D23320">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962" w:type="dxa"/>
            <w:tcBorders>
              <w:top w:val="single" w:color="auto" w:sz="4" w:space="0"/>
              <w:left w:val="single" w:color="auto" w:sz="4" w:space="0"/>
              <w:bottom w:val="single" w:color="auto" w:sz="4" w:space="0"/>
              <w:right w:val="single" w:color="auto" w:sz="4" w:space="0"/>
            </w:tcBorders>
            <w:vAlign w:val="center"/>
          </w:tcPr>
          <w:p w14:paraId="09F4729B">
            <w:pPr>
              <w:jc w:val="center"/>
              <w:rPr>
                <w:rFonts w:ascii="宋体" w:hAnsi="宋体" w:eastAsia="宋体" w:cs="宋体"/>
                <w:color w:val="000000" w:themeColor="text1"/>
                <w:sz w:val="21"/>
                <w:szCs w:val="21"/>
              </w:rPr>
            </w:pPr>
          </w:p>
        </w:tc>
      </w:tr>
      <w:tr w14:paraId="60A9A1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restart"/>
            <w:tcBorders>
              <w:top w:val="single" w:color="auto" w:sz="4" w:space="0"/>
              <w:left w:val="single" w:color="auto" w:sz="4" w:space="0"/>
              <w:bottom w:val="single" w:color="auto" w:sz="4" w:space="0"/>
              <w:right w:val="single" w:color="auto" w:sz="4" w:space="0"/>
            </w:tcBorders>
            <w:vAlign w:val="center"/>
          </w:tcPr>
          <w:p w14:paraId="14FD6BDC">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1510" w:type="dxa"/>
            <w:vMerge w:val="restart"/>
            <w:tcBorders>
              <w:top w:val="single" w:color="auto" w:sz="4" w:space="0"/>
              <w:left w:val="single" w:color="auto" w:sz="4" w:space="0"/>
              <w:bottom w:val="single" w:color="auto" w:sz="4" w:space="0"/>
              <w:right w:val="single" w:color="auto" w:sz="4" w:space="0"/>
            </w:tcBorders>
            <w:vAlign w:val="center"/>
          </w:tcPr>
          <w:p w14:paraId="38BD79D4">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监测档案</w:t>
            </w:r>
          </w:p>
        </w:tc>
        <w:tc>
          <w:tcPr>
            <w:tcW w:w="4961" w:type="dxa"/>
            <w:tcBorders>
              <w:top w:val="single" w:color="auto" w:sz="4" w:space="0"/>
              <w:left w:val="single" w:color="auto" w:sz="4" w:space="0"/>
              <w:bottom w:val="single" w:color="auto" w:sz="4" w:space="0"/>
              <w:right w:val="single" w:color="auto" w:sz="4" w:space="0"/>
            </w:tcBorders>
            <w:vAlign w:val="center"/>
          </w:tcPr>
          <w:p w14:paraId="77081067">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设备巡检维护记录是否完整</w:t>
            </w:r>
          </w:p>
        </w:tc>
        <w:tc>
          <w:tcPr>
            <w:tcW w:w="771" w:type="dxa"/>
            <w:tcBorders>
              <w:top w:val="single" w:color="auto" w:sz="4" w:space="0"/>
              <w:left w:val="single" w:color="auto" w:sz="4" w:space="0"/>
              <w:bottom w:val="single" w:color="auto" w:sz="4" w:space="0"/>
              <w:right w:val="single" w:color="auto" w:sz="4" w:space="0"/>
            </w:tcBorders>
            <w:vAlign w:val="center"/>
          </w:tcPr>
          <w:p w14:paraId="46F509C5">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962" w:type="dxa"/>
            <w:tcBorders>
              <w:top w:val="single" w:color="auto" w:sz="4" w:space="0"/>
              <w:left w:val="single" w:color="auto" w:sz="4" w:space="0"/>
              <w:bottom w:val="single" w:color="auto" w:sz="4" w:space="0"/>
              <w:right w:val="single" w:color="auto" w:sz="4" w:space="0"/>
            </w:tcBorders>
            <w:vAlign w:val="center"/>
          </w:tcPr>
          <w:p w14:paraId="1BE7FB66">
            <w:pPr>
              <w:jc w:val="center"/>
              <w:rPr>
                <w:rFonts w:ascii="宋体" w:hAnsi="宋体" w:eastAsia="宋体" w:cs="宋体"/>
                <w:color w:val="000000" w:themeColor="text1"/>
                <w:sz w:val="21"/>
                <w:szCs w:val="21"/>
              </w:rPr>
            </w:pPr>
          </w:p>
        </w:tc>
      </w:tr>
      <w:tr w14:paraId="001ABD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5" w:type="dxa"/>
            <w:vMerge w:val="continue"/>
            <w:tcBorders>
              <w:top w:val="single" w:color="auto" w:sz="4" w:space="0"/>
              <w:left w:val="single" w:color="auto" w:sz="4" w:space="0"/>
              <w:bottom w:val="single" w:color="auto" w:sz="4" w:space="0"/>
              <w:right w:val="single" w:color="auto" w:sz="4" w:space="0"/>
            </w:tcBorders>
            <w:vAlign w:val="center"/>
          </w:tcPr>
          <w:p w14:paraId="0DACCB43">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7525D2B5">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7DED931A">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颗粒物质控校准记录</w:t>
            </w:r>
          </w:p>
        </w:tc>
        <w:tc>
          <w:tcPr>
            <w:tcW w:w="771" w:type="dxa"/>
            <w:tcBorders>
              <w:top w:val="single" w:color="auto" w:sz="4" w:space="0"/>
              <w:left w:val="single" w:color="auto" w:sz="4" w:space="0"/>
              <w:bottom w:val="single" w:color="auto" w:sz="4" w:space="0"/>
              <w:right w:val="single" w:color="auto" w:sz="4" w:space="0"/>
            </w:tcBorders>
            <w:vAlign w:val="center"/>
          </w:tcPr>
          <w:p w14:paraId="212E126A">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962" w:type="dxa"/>
            <w:tcBorders>
              <w:top w:val="single" w:color="auto" w:sz="4" w:space="0"/>
              <w:left w:val="single" w:color="auto" w:sz="4" w:space="0"/>
              <w:bottom w:val="single" w:color="auto" w:sz="4" w:space="0"/>
              <w:right w:val="single" w:color="auto" w:sz="4" w:space="0"/>
            </w:tcBorders>
            <w:vAlign w:val="center"/>
          </w:tcPr>
          <w:p w14:paraId="489652D0">
            <w:pPr>
              <w:jc w:val="center"/>
              <w:rPr>
                <w:rFonts w:ascii="宋体" w:hAnsi="宋体" w:eastAsia="宋体" w:cs="宋体"/>
                <w:color w:val="000000" w:themeColor="text1"/>
                <w:sz w:val="21"/>
                <w:szCs w:val="21"/>
              </w:rPr>
            </w:pPr>
          </w:p>
        </w:tc>
      </w:tr>
      <w:tr w14:paraId="348E36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7CFF81C3">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05A7DA63">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6BCCCEEC">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在线离子色谱仪质控校准记录</w:t>
            </w:r>
          </w:p>
        </w:tc>
        <w:tc>
          <w:tcPr>
            <w:tcW w:w="771" w:type="dxa"/>
            <w:tcBorders>
              <w:top w:val="single" w:color="auto" w:sz="4" w:space="0"/>
              <w:left w:val="single" w:color="auto" w:sz="4" w:space="0"/>
              <w:bottom w:val="single" w:color="auto" w:sz="4" w:space="0"/>
              <w:right w:val="single" w:color="auto" w:sz="4" w:space="0"/>
            </w:tcBorders>
            <w:vAlign w:val="center"/>
          </w:tcPr>
          <w:p w14:paraId="547B0E1D">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313E951D">
            <w:pPr>
              <w:jc w:val="center"/>
              <w:rPr>
                <w:rFonts w:ascii="宋体" w:hAnsi="宋体" w:eastAsia="宋体" w:cs="宋体"/>
                <w:color w:val="000000" w:themeColor="text1"/>
                <w:sz w:val="21"/>
                <w:szCs w:val="21"/>
              </w:rPr>
            </w:pPr>
          </w:p>
        </w:tc>
      </w:tr>
      <w:tr w14:paraId="433578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7A7FF484">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1980E376">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7A63C49F">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在线无机元素分析仪质控校准记录</w:t>
            </w:r>
          </w:p>
        </w:tc>
        <w:tc>
          <w:tcPr>
            <w:tcW w:w="771" w:type="dxa"/>
            <w:tcBorders>
              <w:top w:val="single" w:color="auto" w:sz="4" w:space="0"/>
              <w:left w:val="single" w:color="auto" w:sz="4" w:space="0"/>
              <w:bottom w:val="single" w:color="auto" w:sz="4" w:space="0"/>
              <w:right w:val="single" w:color="auto" w:sz="4" w:space="0"/>
            </w:tcBorders>
            <w:vAlign w:val="center"/>
          </w:tcPr>
          <w:p w14:paraId="15C46FEA">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79DB6DAB">
            <w:pPr>
              <w:jc w:val="center"/>
              <w:rPr>
                <w:rFonts w:ascii="宋体" w:hAnsi="宋体" w:eastAsia="宋体" w:cs="宋体"/>
                <w:color w:val="000000" w:themeColor="text1"/>
                <w:sz w:val="21"/>
                <w:szCs w:val="21"/>
              </w:rPr>
            </w:pPr>
          </w:p>
        </w:tc>
      </w:tr>
      <w:tr w14:paraId="43DA7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48A00306">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312154C9">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117A6589">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在线碳组分分析仪质控校准记录</w:t>
            </w:r>
          </w:p>
        </w:tc>
        <w:tc>
          <w:tcPr>
            <w:tcW w:w="771" w:type="dxa"/>
            <w:tcBorders>
              <w:top w:val="single" w:color="auto" w:sz="4" w:space="0"/>
              <w:left w:val="single" w:color="auto" w:sz="4" w:space="0"/>
              <w:bottom w:val="single" w:color="auto" w:sz="4" w:space="0"/>
              <w:right w:val="single" w:color="auto" w:sz="4" w:space="0"/>
            </w:tcBorders>
            <w:vAlign w:val="center"/>
          </w:tcPr>
          <w:p w14:paraId="1F06EF49">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05A0ABB7">
            <w:pPr>
              <w:jc w:val="center"/>
              <w:rPr>
                <w:rFonts w:ascii="宋体" w:hAnsi="宋体" w:eastAsia="宋体" w:cs="宋体"/>
                <w:color w:val="000000" w:themeColor="text1"/>
                <w:sz w:val="21"/>
                <w:szCs w:val="21"/>
              </w:rPr>
            </w:pPr>
          </w:p>
        </w:tc>
      </w:tr>
      <w:tr w14:paraId="43E0AC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378FB363">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01E240B8">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1AD9C920">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标气使用记录</w:t>
            </w:r>
          </w:p>
        </w:tc>
        <w:tc>
          <w:tcPr>
            <w:tcW w:w="771" w:type="dxa"/>
            <w:tcBorders>
              <w:top w:val="single" w:color="auto" w:sz="4" w:space="0"/>
              <w:left w:val="single" w:color="auto" w:sz="4" w:space="0"/>
              <w:bottom w:val="single" w:color="auto" w:sz="4" w:space="0"/>
              <w:right w:val="single" w:color="auto" w:sz="4" w:space="0"/>
            </w:tcBorders>
            <w:vAlign w:val="center"/>
          </w:tcPr>
          <w:p w14:paraId="295F8268">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962" w:type="dxa"/>
            <w:tcBorders>
              <w:top w:val="single" w:color="auto" w:sz="4" w:space="0"/>
              <w:left w:val="single" w:color="auto" w:sz="4" w:space="0"/>
              <w:bottom w:val="single" w:color="auto" w:sz="4" w:space="0"/>
              <w:right w:val="single" w:color="auto" w:sz="4" w:space="0"/>
            </w:tcBorders>
            <w:vAlign w:val="center"/>
          </w:tcPr>
          <w:p w14:paraId="4BFD07B6">
            <w:pPr>
              <w:jc w:val="center"/>
              <w:rPr>
                <w:rFonts w:ascii="宋体" w:hAnsi="宋体" w:eastAsia="宋体" w:cs="宋体"/>
                <w:color w:val="000000" w:themeColor="text1"/>
                <w:sz w:val="21"/>
                <w:szCs w:val="21"/>
              </w:rPr>
            </w:pPr>
          </w:p>
        </w:tc>
      </w:tr>
      <w:tr w14:paraId="509E59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146A51E5">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3FF9B920">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564D860E">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设备维修记录</w:t>
            </w:r>
          </w:p>
        </w:tc>
        <w:tc>
          <w:tcPr>
            <w:tcW w:w="771" w:type="dxa"/>
            <w:tcBorders>
              <w:top w:val="single" w:color="auto" w:sz="4" w:space="0"/>
              <w:left w:val="single" w:color="auto" w:sz="4" w:space="0"/>
              <w:bottom w:val="single" w:color="auto" w:sz="4" w:space="0"/>
              <w:right w:val="single" w:color="auto" w:sz="4" w:space="0"/>
            </w:tcBorders>
            <w:vAlign w:val="center"/>
          </w:tcPr>
          <w:p w14:paraId="78E88334">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962" w:type="dxa"/>
            <w:tcBorders>
              <w:top w:val="single" w:color="auto" w:sz="4" w:space="0"/>
              <w:left w:val="single" w:color="auto" w:sz="4" w:space="0"/>
              <w:bottom w:val="single" w:color="auto" w:sz="4" w:space="0"/>
              <w:right w:val="single" w:color="auto" w:sz="4" w:space="0"/>
            </w:tcBorders>
            <w:vAlign w:val="center"/>
          </w:tcPr>
          <w:p w14:paraId="6FBBB9FA">
            <w:pPr>
              <w:jc w:val="center"/>
              <w:rPr>
                <w:rFonts w:ascii="宋体" w:hAnsi="宋体" w:eastAsia="宋体" w:cs="宋体"/>
                <w:color w:val="000000" w:themeColor="text1"/>
                <w:sz w:val="21"/>
                <w:szCs w:val="21"/>
              </w:rPr>
            </w:pPr>
          </w:p>
        </w:tc>
      </w:tr>
      <w:tr w14:paraId="287058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1E519920">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23A1A4A9">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759B5076">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耗品耗材更换记录</w:t>
            </w:r>
          </w:p>
        </w:tc>
        <w:tc>
          <w:tcPr>
            <w:tcW w:w="771" w:type="dxa"/>
            <w:tcBorders>
              <w:top w:val="single" w:color="auto" w:sz="4" w:space="0"/>
              <w:left w:val="single" w:color="auto" w:sz="4" w:space="0"/>
              <w:bottom w:val="single" w:color="auto" w:sz="4" w:space="0"/>
              <w:right w:val="single" w:color="auto" w:sz="4" w:space="0"/>
            </w:tcBorders>
            <w:vAlign w:val="center"/>
          </w:tcPr>
          <w:p w14:paraId="29B72ABF">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962" w:type="dxa"/>
            <w:tcBorders>
              <w:top w:val="single" w:color="auto" w:sz="4" w:space="0"/>
              <w:left w:val="single" w:color="auto" w:sz="4" w:space="0"/>
              <w:bottom w:val="single" w:color="auto" w:sz="4" w:space="0"/>
              <w:right w:val="single" w:color="auto" w:sz="4" w:space="0"/>
            </w:tcBorders>
            <w:vAlign w:val="center"/>
          </w:tcPr>
          <w:p w14:paraId="223861F3">
            <w:pPr>
              <w:jc w:val="center"/>
              <w:rPr>
                <w:rFonts w:ascii="宋体" w:hAnsi="宋体" w:eastAsia="宋体" w:cs="宋体"/>
                <w:color w:val="000000" w:themeColor="text1"/>
                <w:sz w:val="21"/>
                <w:szCs w:val="21"/>
              </w:rPr>
            </w:pPr>
          </w:p>
        </w:tc>
      </w:tr>
      <w:tr w14:paraId="12D0E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3D3DF43D">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70C69612">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0F70D9F1">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网络数据及设备运行情况巡查记录</w:t>
            </w:r>
          </w:p>
        </w:tc>
        <w:tc>
          <w:tcPr>
            <w:tcW w:w="771" w:type="dxa"/>
            <w:tcBorders>
              <w:top w:val="single" w:color="auto" w:sz="4" w:space="0"/>
              <w:left w:val="single" w:color="auto" w:sz="4" w:space="0"/>
              <w:bottom w:val="single" w:color="auto" w:sz="4" w:space="0"/>
              <w:right w:val="single" w:color="auto" w:sz="4" w:space="0"/>
            </w:tcBorders>
            <w:vAlign w:val="center"/>
          </w:tcPr>
          <w:p w14:paraId="047D8BA4">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2</w:t>
            </w:r>
          </w:p>
        </w:tc>
        <w:tc>
          <w:tcPr>
            <w:tcW w:w="962" w:type="dxa"/>
            <w:tcBorders>
              <w:top w:val="single" w:color="auto" w:sz="4" w:space="0"/>
              <w:left w:val="single" w:color="auto" w:sz="4" w:space="0"/>
              <w:bottom w:val="single" w:color="auto" w:sz="4" w:space="0"/>
              <w:right w:val="single" w:color="auto" w:sz="4" w:space="0"/>
            </w:tcBorders>
            <w:vAlign w:val="center"/>
          </w:tcPr>
          <w:p w14:paraId="05678F8E">
            <w:pPr>
              <w:jc w:val="center"/>
              <w:rPr>
                <w:rFonts w:ascii="宋体" w:hAnsi="宋体" w:eastAsia="宋体" w:cs="宋体"/>
                <w:color w:val="000000" w:themeColor="text1"/>
                <w:sz w:val="21"/>
                <w:szCs w:val="21"/>
              </w:rPr>
            </w:pPr>
          </w:p>
        </w:tc>
      </w:tr>
      <w:tr w14:paraId="53D1C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restart"/>
            <w:tcBorders>
              <w:top w:val="single" w:color="auto" w:sz="4" w:space="0"/>
              <w:left w:val="single" w:color="auto" w:sz="4" w:space="0"/>
              <w:bottom w:val="single" w:color="auto" w:sz="4" w:space="0"/>
              <w:right w:val="single" w:color="auto" w:sz="4" w:space="0"/>
            </w:tcBorders>
            <w:vAlign w:val="center"/>
          </w:tcPr>
          <w:p w14:paraId="176D70B2">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6</w:t>
            </w:r>
          </w:p>
        </w:tc>
        <w:tc>
          <w:tcPr>
            <w:tcW w:w="1510" w:type="dxa"/>
            <w:vMerge w:val="restart"/>
            <w:tcBorders>
              <w:top w:val="single" w:color="auto" w:sz="4" w:space="0"/>
              <w:left w:val="single" w:color="auto" w:sz="4" w:space="0"/>
              <w:bottom w:val="single" w:color="auto" w:sz="4" w:space="0"/>
              <w:right w:val="single" w:color="auto" w:sz="4" w:space="0"/>
            </w:tcBorders>
            <w:vAlign w:val="center"/>
          </w:tcPr>
          <w:p w14:paraId="5E1A5DB4">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总结报告</w:t>
            </w:r>
          </w:p>
        </w:tc>
        <w:tc>
          <w:tcPr>
            <w:tcW w:w="4961" w:type="dxa"/>
            <w:tcBorders>
              <w:top w:val="single" w:color="auto" w:sz="4" w:space="0"/>
              <w:left w:val="single" w:color="auto" w:sz="4" w:space="0"/>
              <w:bottom w:val="single" w:color="auto" w:sz="4" w:space="0"/>
              <w:right w:val="single" w:color="auto" w:sz="4" w:space="0"/>
            </w:tcBorders>
            <w:vAlign w:val="center"/>
          </w:tcPr>
          <w:p w14:paraId="5875058E">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月工作报告</w:t>
            </w:r>
          </w:p>
        </w:tc>
        <w:tc>
          <w:tcPr>
            <w:tcW w:w="771" w:type="dxa"/>
            <w:tcBorders>
              <w:top w:val="single" w:color="auto" w:sz="4" w:space="0"/>
              <w:left w:val="single" w:color="auto" w:sz="4" w:space="0"/>
              <w:bottom w:val="single" w:color="auto" w:sz="4" w:space="0"/>
              <w:right w:val="single" w:color="auto" w:sz="4" w:space="0"/>
            </w:tcBorders>
            <w:vAlign w:val="center"/>
          </w:tcPr>
          <w:p w14:paraId="5CADFAD5">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667F58B2">
            <w:pPr>
              <w:jc w:val="center"/>
              <w:rPr>
                <w:rFonts w:ascii="宋体" w:hAnsi="宋体" w:eastAsia="宋体" w:cs="宋体"/>
                <w:color w:val="000000" w:themeColor="text1"/>
                <w:sz w:val="21"/>
                <w:szCs w:val="21"/>
              </w:rPr>
            </w:pPr>
          </w:p>
        </w:tc>
      </w:tr>
      <w:tr w14:paraId="592E7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top w:val="single" w:color="auto" w:sz="4" w:space="0"/>
              <w:left w:val="single" w:color="auto" w:sz="4" w:space="0"/>
              <w:bottom w:val="single" w:color="auto" w:sz="4" w:space="0"/>
              <w:right w:val="single" w:color="auto" w:sz="4" w:space="0"/>
            </w:tcBorders>
            <w:vAlign w:val="center"/>
          </w:tcPr>
          <w:p w14:paraId="58513897">
            <w:pPr>
              <w:jc w:val="center"/>
              <w:rPr>
                <w:rFonts w:ascii="宋体" w:hAnsi="宋体" w:eastAsia="宋体" w:cs="宋体"/>
                <w:color w:val="000000" w:themeColor="text1"/>
                <w:sz w:val="21"/>
                <w:szCs w:val="21"/>
              </w:rPr>
            </w:pPr>
          </w:p>
        </w:tc>
        <w:tc>
          <w:tcPr>
            <w:tcW w:w="1510" w:type="dxa"/>
            <w:vMerge w:val="continue"/>
            <w:tcBorders>
              <w:top w:val="single" w:color="auto" w:sz="4" w:space="0"/>
              <w:left w:val="single" w:color="auto" w:sz="4" w:space="0"/>
              <w:bottom w:val="single" w:color="auto" w:sz="4" w:space="0"/>
              <w:right w:val="single" w:color="auto" w:sz="4" w:space="0"/>
            </w:tcBorders>
            <w:vAlign w:val="center"/>
          </w:tcPr>
          <w:p w14:paraId="1071BA13">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36E6B7D7">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总结报告</w:t>
            </w:r>
          </w:p>
        </w:tc>
        <w:tc>
          <w:tcPr>
            <w:tcW w:w="771" w:type="dxa"/>
            <w:tcBorders>
              <w:top w:val="single" w:color="auto" w:sz="4" w:space="0"/>
              <w:left w:val="single" w:color="auto" w:sz="4" w:space="0"/>
              <w:bottom w:val="single" w:color="auto" w:sz="4" w:space="0"/>
              <w:right w:val="single" w:color="auto" w:sz="4" w:space="0"/>
            </w:tcBorders>
            <w:vAlign w:val="center"/>
          </w:tcPr>
          <w:p w14:paraId="08E7818B">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7F549C87">
            <w:pPr>
              <w:jc w:val="center"/>
              <w:rPr>
                <w:rFonts w:ascii="宋体" w:hAnsi="宋体" w:eastAsia="宋体" w:cs="宋体"/>
                <w:color w:val="000000" w:themeColor="text1"/>
                <w:sz w:val="21"/>
                <w:szCs w:val="21"/>
              </w:rPr>
            </w:pPr>
          </w:p>
        </w:tc>
      </w:tr>
      <w:tr w14:paraId="0CDCE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vAlign w:val="center"/>
          </w:tcPr>
          <w:p w14:paraId="068CD443">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7</w:t>
            </w:r>
          </w:p>
        </w:tc>
        <w:tc>
          <w:tcPr>
            <w:tcW w:w="1510" w:type="dxa"/>
            <w:tcBorders>
              <w:top w:val="single" w:color="auto" w:sz="4" w:space="0"/>
              <w:left w:val="single" w:color="auto" w:sz="4" w:space="0"/>
              <w:bottom w:val="single" w:color="auto" w:sz="4" w:space="0"/>
              <w:right w:val="single" w:color="auto" w:sz="4" w:space="0"/>
            </w:tcBorders>
            <w:vAlign w:val="center"/>
          </w:tcPr>
          <w:p w14:paraId="6623EC24">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故障响应</w:t>
            </w:r>
          </w:p>
          <w:p w14:paraId="18E0C989">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及其他</w:t>
            </w:r>
          </w:p>
        </w:tc>
        <w:tc>
          <w:tcPr>
            <w:tcW w:w="4961" w:type="dxa"/>
            <w:tcBorders>
              <w:top w:val="single" w:color="auto" w:sz="4" w:space="0"/>
              <w:left w:val="single" w:color="auto" w:sz="4" w:space="0"/>
              <w:bottom w:val="single" w:color="auto" w:sz="4" w:space="0"/>
              <w:right w:val="single" w:color="auto" w:sz="4" w:space="0"/>
            </w:tcBorders>
            <w:vAlign w:val="center"/>
          </w:tcPr>
          <w:p w14:paraId="7E9713D7">
            <w:pP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采用扣分制，每次未及时响应扣1分，工作不符合要求的酌情扣分，扣完为止</w:t>
            </w:r>
          </w:p>
        </w:tc>
        <w:tc>
          <w:tcPr>
            <w:tcW w:w="771" w:type="dxa"/>
            <w:tcBorders>
              <w:top w:val="single" w:color="auto" w:sz="4" w:space="0"/>
              <w:left w:val="single" w:color="auto" w:sz="4" w:space="0"/>
              <w:bottom w:val="single" w:color="auto" w:sz="4" w:space="0"/>
              <w:right w:val="single" w:color="auto" w:sz="4" w:space="0"/>
            </w:tcBorders>
            <w:vAlign w:val="center"/>
          </w:tcPr>
          <w:p w14:paraId="691D375C">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8</w:t>
            </w:r>
          </w:p>
        </w:tc>
        <w:tc>
          <w:tcPr>
            <w:tcW w:w="962" w:type="dxa"/>
            <w:tcBorders>
              <w:top w:val="single" w:color="auto" w:sz="4" w:space="0"/>
              <w:left w:val="single" w:color="auto" w:sz="4" w:space="0"/>
              <w:bottom w:val="single" w:color="auto" w:sz="4" w:space="0"/>
              <w:right w:val="single" w:color="auto" w:sz="4" w:space="0"/>
            </w:tcBorders>
            <w:vAlign w:val="center"/>
          </w:tcPr>
          <w:p w14:paraId="45D0DD2A">
            <w:pPr>
              <w:jc w:val="center"/>
              <w:rPr>
                <w:rFonts w:ascii="宋体" w:hAnsi="宋体" w:eastAsia="宋体" w:cs="宋体"/>
                <w:color w:val="000000" w:themeColor="text1"/>
                <w:sz w:val="21"/>
                <w:szCs w:val="21"/>
              </w:rPr>
            </w:pPr>
          </w:p>
        </w:tc>
      </w:tr>
      <w:tr w14:paraId="312DBA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restart"/>
            <w:tcBorders>
              <w:top w:val="single" w:color="auto" w:sz="4" w:space="0"/>
              <w:left w:val="single" w:color="auto" w:sz="4" w:space="0"/>
              <w:right w:val="single" w:color="auto" w:sz="4" w:space="0"/>
            </w:tcBorders>
            <w:vAlign w:val="center"/>
          </w:tcPr>
          <w:p w14:paraId="6500224A">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8</w:t>
            </w:r>
          </w:p>
        </w:tc>
        <w:tc>
          <w:tcPr>
            <w:tcW w:w="1510" w:type="dxa"/>
            <w:vMerge w:val="restart"/>
            <w:tcBorders>
              <w:top w:val="single" w:color="auto" w:sz="4" w:space="0"/>
              <w:left w:val="single" w:color="auto" w:sz="4" w:space="0"/>
              <w:right w:val="single" w:color="auto" w:sz="4" w:space="0"/>
            </w:tcBorders>
            <w:vAlign w:val="center"/>
          </w:tcPr>
          <w:p w14:paraId="5DE376AA">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有效天数</w:t>
            </w:r>
          </w:p>
        </w:tc>
        <w:tc>
          <w:tcPr>
            <w:tcW w:w="4961" w:type="dxa"/>
            <w:tcBorders>
              <w:top w:val="single" w:color="auto" w:sz="4" w:space="0"/>
              <w:left w:val="single" w:color="auto" w:sz="4" w:space="0"/>
              <w:bottom w:val="single" w:color="auto" w:sz="4" w:space="0"/>
              <w:right w:val="single" w:color="auto" w:sz="4" w:space="0"/>
            </w:tcBorders>
            <w:vAlign w:val="center"/>
          </w:tcPr>
          <w:p w14:paraId="3482DC97">
            <w:pPr>
              <w:rPr>
                <w:rFonts w:ascii="宋体" w:hAnsi="宋体" w:eastAsia="宋体" w:cs="宋体"/>
                <w:color w:val="000000" w:themeColor="text1"/>
                <w:sz w:val="21"/>
                <w:szCs w:val="21"/>
              </w:rPr>
            </w:pPr>
            <w:r>
              <w:rPr>
                <w:rFonts w:ascii="Times New Roman" w:hAnsi="Times New Roman" w:eastAsia="宋体" w:cs="Times New Roman"/>
                <w:color w:val="000000" w:themeColor="text1"/>
                <w:szCs w:val="21"/>
              </w:rPr>
              <w:t>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在线分析仪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年有效天数</w:t>
            </w:r>
            <w:r>
              <w:rPr>
                <w:rFonts w:hint="eastAsia" w:ascii="Times New Roman" w:hAnsi="Times New Roman" w:eastAsia="宋体" w:cs="Times New Roman"/>
                <w:color w:val="000000" w:themeColor="text1"/>
                <w:szCs w:val="21"/>
              </w:rPr>
              <w:t>(每天有效小时数不少于20小时，下同)</w:t>
            </w:r>
            <w:r>
              <w:rPr>
                <w:rFonts w:ascii="Times New Roman" w:hAnsi="Times New Roman" w:eastAsia="宋体" w:cs="Times New Roman"/>
                <w:color w:val="000000" w:themeColor="text1"/>
                <w:szCs w:val="21"/>
              </w:rPr>
              <w:t>不少于</w:t>
            </w:r>
            <w:r>
              <w:rPr>
                <w:rFonts w:hint="eastAsia" w:ascii="Times New Roman" w:hAnsi="Times New Roman" w:eastAsia="宋体" w:cs="Times New Roman"/>
                <w:color w:val="000000" w:themeColor="text1"/>
                <w:szCs w:val="21"/>
                <w:lang w:val="en-US" w:eastAsia="zh-CN"/>
              </w:rPr>
              <w:t>162</w:t>
            </w:r>
            <w:r>
              <w:rPr>
                <w:rFonts w:ascii="Times New Roman" w:hAnsi="Times New Roman" w:eastAsia="宋体" w:cs="Times New Roman"/>
                <w:color w:val="000000" w:themeColor="text1"/>
                <w:szCs w:val="21"/>
              </w:rPr>
              <w:t>天，得满分，少于</w:t>
            </w:r>
            <w:r>
              <w:rPr>
                <w:rFonts w:hint="eastAsia" w:ascii="Times New Roman" w:hAnsi="Times New Roman" w:eastAsia="宋体" w:cs="Times New Roman"/>
                <w:color w:val="000000" w:themeColor="text1"/>
                <w:szCs w:val="21"/>
                <w:lang w:val="en-US" w:eastAsia="zh-CN"/>
              </w:rPr>
              <w:t>162</w:t>
            </w:r>
            <w:r>
              <w:rPr>
                <w:rFonts w:ascii="Times New Roman" w:hAnsi="Times New Roman" w:eastAsia="宋体" w:cs="Times New Roman"/>
                <w:color w:val="000000" w:themeColor="text1"/>
                <w:szCs w:val="21"/>
              </w:rPr>
              <w:t>天每少1天扣0.25分，扣完为止</w:t>
            </w:r>
          </w:p>
        </w:tc>
        <w:tc>
          <w:tcPr>
            <w:tcW w:w="771" w:type="dxa"/>
            <w:tcBorders>
              <w:top w:val="single" w:color="auto" w:sz="4" w:space="0"/>
              <w:left w:val="single" w:color="auto" w:sz="4" w:space="0"/>
              <w:bottom w:val="single" w:color="auto" w:sz="4" w:space="0"/>
              <w:right w:val="single" w:color="auto" w:sz="4" w:space="0"/>
            </w:tcBorders>
            <w:vAlign w:val="center"/>
          </w:tcPr>
          <w:p w14:paraId="04A82C54">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962" w:type="dxa"/>
            <w:tcBorders>
              <w:top w:val="single" w:color="auto" w:sz="4" w:space="0"/>
              <w:left w:val="single" w:color="auto" w:sz="4" w:space="0"/>
              <w:bottom w:val="single" w:color="auto" w:sz="4" w:space="0"/>
              <w:right w:val="single" w:color="auto" w:sz="4" w:space="0"/>
            </w:tcBorders>
            <w:vAlign w:val="center"/>
          </w:tcPr>
          <w:p w14:paraId="1897881C">
            <w:pPr>
              <w:jc w:val="center"/>
              <w:rPr>
                <w:rFonts w:ascii="宋体" w:hAnsi="宋体" w:eastAsia="宋体" w:cs="宋体"/>
                <w:color w:val="000000" w:themeColor="text1"/>
                <w:sz w:val="21"/>
                <w:szCs w:val="21"/>
              </w:rPr>
            </w:pPr>
          </w:p>
        </w:tc>
      </w:tr>
      <w:tr w14:paraId="466D0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right w:val="single" w:color="auto" w:sz="4" w:space="0"/>
            </w:tcBorders>
            <w:vAlign w:val="center"/>
          </w:tcPr>
          <w:p w14:paraId="39331559">
            <w:pPr>
              <w:jc w:val="center"/>
              <w:rPr>
                <w:rFonts w:ascii="宋体" w:hAnsi="宋体" w:eastAsia="宋体" w:cs="宋体"/>
                <w:color w:val="000000" w:themeColor="text1"/>
                <w:sz w:val="21"/>
                <w:szCs w:val="21"/>
              </w:rPr>
            </w:pPr>
          </w:p>
        </w:tc>
        <w:tc>
          <w:tcPr>
            <w:tcW w:w="1510" w:type="dxa"/>
            <w:vMerge w:val="continue"/>
            <w:tcBorders>
              <w:left w:val="single" w:color="auto" w:sz="4" w:space="0"/>
              <w:right w:val="single" w:color="auto" w:sz="4" w:space="0"/>
            </w:tcBorders>
            <w:vAlign w:val="center"/>
          </w:tcPr>
          <w:p w14:paraId="639CA8D1">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0C8221B0">
            <w:pPr>
              <w:rPr>
                <w:rFonts w:ascii="宋体" w:hAnsi="宋体" w:eastAsia="宋体" w:cs="宋体"/>
                <w:color w:val="000000" w:themeColor="text1"/>
                <w:sz w:val="21"/>
                <w:szCs w:val="21"/>
              </w:rPr>
            </w:pPr>
            <w:r>
              <w:rPr>
                <w:rFonts w:ascii="Times New Roman" w:hAnsi="Times New Roman" w:eastAsia="宋体" w:cs="Times New Roman"/>
                <w:color w:val="000000" w:themeColor="text1"/>
                <w:szCs w:val="21"/>
              </w:rPr>
              <w:t>在线离子色谱仪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年有效天数不少于</w:t>
            </w:r>
            <w:r>
              <w:rPr>
                <w:rFonts w:hint="eastAsia" w:ascii="Times New Roman" w:hAnsi="Times New Roman" w:eastAsia="宋体" w:cs="Times New Roman"/>
                <w:color w:val="000000" w:themeColor="text1"/>
                <w:szCs w:val="21"/>
                <w:lang w:val="en-US" w:eastAsia="zh-CN"/>
              </w:rPr>
              <w:t>144</w:t>
            </w:r>
            <w:r>
              <w:rPr>
                <w:rFonts w:ascii="Times New Roman" w:hAnsi="Times New Roman" w:eastAsia="宋体" w:cs="Times New Roman"/>
                <w:color w:val="000000" w:themeColor="text1"/>
                <w:szCs w:val="21"/>
              </w:rPr>
              <w:t>天，得满分，少于</w:t>
            </w:r>
            <w:r>
              <w:rPr>
                <w:rFonts w:hint="eastAsia" w:ascii="Times New Roman" w:hAnsi="Times New Roman" w:eastAsia="宋体" w:cs="Times New Roman"/>
                <w:color w:val="000000" w:themeColor="text1"/>
                <w:szCs w:val="21"/>
                <w:lang w:val="en-US" w:eastAsia="zh-CN"/>
              </w:rPr>
              <w:t>144</w:t>
            </w:r>
            <w:r>
              <w:rPr>
                <w:rFonts w:ascii="Times New Roman" w:hAnsi="Times New Roman" w:eastAsia="宋体" w:cs="Times New Roman"/>
                <w:color w:val="000000" w:themeColor="text1"/>
                <w:szCs w:val="21"/>
              </w:rPr>
              <w:t>天每少1天扣0.25分，扣完为止</w:t>
            </w:r>
          </w:p>
        </w:tc>
        <w:tc>
          <w:tcPr>
            <w:tcW w:w="771" w:type="dxa"/>
            <w:tcBorders>
              <w:top w:val="single" w:color="auto" w:sz="4" w:space="0"/>
              <w:left w:val="single" w:color="auto" w:sz="4" w:space="0"/>
              <w:bottom w:val="single" w:color="auto" w:sz="4" w:space="0"/>
              <w:right w:val="single" w:color="auto" w:sz="4" w:space="0"/>
            </w:tcBorders>
            <w:vAlign w:val="center"/>
          </w:tcPr>
          <w:p w14:paraId="2B5FB470">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50209C8B">
            <w:pPr>
              <w:jc w:val="center"/>
              <w:rPr>
                <w:rFonts w:ascii="宋体" w:hAnsi="宋体" w:eastAsia="宋体" w:cs="宋体"/>
                <w:color w:val="000000" w:themeColor="text1"/>
                <w:sz w:val="21"/>
                <w:szCs w:val="21"/>
              </w:rPr>
            </w:pPr>
          </w:p>
        </w:tc>
      </w:tr>
      <w:tr w14:paraId="7E60B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right w:val="single" w:color="auto" w:sz="4" w:space="0"/>
            </w:tcBorders>
            <w:vAlign w:val="center"/>
          </w:tcPr>
          <w:p w14:paraId="75821097">
            <w:pPr>
              <w:jc w:val="center"/>
              <w:rPr>
                <w:rFonts w:ascii="宋体" w:hAnsi="宋体" w:eastAsia="宋体" w:cs="宋体"/>
                <w:color w:val="000000" w:themeColor="text1"/>
                <w:sz w:val="21"/>
                <w:szCs w:val="21"/>
              </w:rPr>
            </w:pPr>
          </w:p>
        </w:tc>
        <w:tc>
          <w:tcPr>
            <w:tcW w:w="1510" w:type="dxa"/>
            <w:vMerge w:val="continue"/>
            <w:tcBorders>
              <w:left w:val="single" w:color="auto" w:sz="4" w:space="0"/>
              <w:right w:val="single" w:color="auto" w:sz="4" w:space="0"/>
            </w:tcBorders>
            <w:vAlign w:val="center"/>
          </w:tcPr>
          <w:p w14:paraId="3B384656">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22CE3385">
            <w:pPr>
              <w:rPr>
                <w:rFonts w:ascii="宋体" w:hAnsi="宋体" w:eastAsia="宋体" w:cs="宋体"/>
                <w:color w:val="000000" w:themeColor="text1"/>
                <w:sz w:val="21"/>
                <w:szCs w:val="21"/>
              </w:rPr>
            </w:pPr>
            <w:r>
              <w:rPr>
                <w:rFonts w:ascii="Times New Roman" w:hAnsi="Times New Roman" w:eastAsia="宋体" w:cs="Times New Roman"/>
                <w:color w:val="000000" w:themeColor="text1"/>
                <w:szCs w:val="21"/>
              </w:rPr>
              <w:t>在线无机元素分析</w:t>
            </w:r>
            <w:r>
              <w:rPr>
                <w:rFonts w:hint="eastAsia" w:ascii="Times New Roman" w:hAnsi="Times New Roman" w:eastAsia="宋体" w:cs="Times New Roman"/>
                <w:color w:val="000000" w:themeColor="text1"/>
                <w:szCs w:val="21"/>
                <w:lang w:eastAsia="zh-CN"/>
              </w:rPr>
              <w:t>仪半</w:t>
            </w:r>
            <w:r>
              <w:rPr>
                <w:rFonts w:ascii="Times New Roman" w:hAnsi="Times New Roman" w:eastAsia="宋体" w:cs="Times New Roman"/>
                <w:color w:val="000000" w:themeColor="text1"/>
                <w:szCs w:val="21"/>
              </w:rPr>
              <w:t>年有效天数不少于</w:t>
            </w:r>
            <w:r>
              <w:rPr>
                <w:rFonts w:hint="eastAsia" w:ascii="Times New Roman" w:hAnsi="Times New Roman" w:eastAsia="宋体" w:cs="Times New Roman"/>
                <w:color w:val="000000" w:themeColor="text1"/>
                <w:szCs w:val="21"/>
                <w:lang w:val="en-US" w:eastAsia="zh-CN"/>
              </w:rPr>
              <w:t>144</w:t>
            </w:r>
            <w:r>
              <w:rPr>
                <w:rFonts w:ascii="Times New Roman" w:hAnsi="Times New Roman" w:eastAsia="宋体" w:cs="Times New Roman"/>
                <w:color w:val="000000" w:themeColor="text1"/>
                <w:szCs w:val="21"/>
              </w:rPr>
              <w:t>天，得满分，少于</w:t>
            </w:r>
            <w:r>
              <w:rPr>
                <w:rFonts w:hint="eastAsia" w:ascii="Times New Roman" w:hAnsi="Times New Roman" w:eastAsia="宋体" w:cs="Times New Roman"/>
                <w:color w:val="000000" w:themeColor="text1"/>
                <w:szCs w:val="21"/>
                <w:lang w:val="en-US" w:eastAsia="zh-CN"/>
              </w:rPr>
              <w:t>144</w:t>
            </w:r>
            <w:r>
              <w:rPr>
                <w:rFonts w:ascii="Times New Roman" w:hAnsi="Times New Roman" w:eastAsia="宋体" w:cs="Times New Roman"/>
                <w:color w:val="000000" w:themeColor="text1"/>
                <w:szCs w:val="21"/>
              </w:rPr>
              <w:t>天每少1天扣0.25分，扣完为止</w:t>
            </w:r>
          </w:p>
        </w:tc>
        <w:tc>
          <w:tcPr>
            <w:tcW w:w="771" w:type="dxa"/>
            <w:tcBorders>
              <w:top w:val="single" w:color="auto" w:sz="4" w:space="0"/>
              <w:left w:val="single" w:color="auto" w:sz="4" w:space="0"/>
              <w:bottom w:val="single" w:color="auto" w:sz="4" w:space="0"/>
              <w:right w:val="single" w:color="auto" w:sz="4" w:space="0"/>
            </w:tcBorders>
            <w:vAlign w:val="center"/>
          </w:tcPr>
          <w:p w14:paraId="3F19FE9B">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0F6317B6">
            <w:pPr>
              <w:jc w:val="center"/>
              <w:rPr>
                <w:rFonts w:ascii="宋体" w:hAnsi="宋体" w:eastAsia="宋体" w:cs="宋体"/>
                <w:color w:val="000000" w:themeColor="text1"/>
                <w:sz w:val="21"/>
                <w:szCs w:val="21"/>
              </w:rPr>
            </w:pPr>
          </w:p>
        </w:tc>
      </w:tr>
      <w:tr w14:paraId="69FB9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bottom w:val="single" w:color="auto" w:sz="4" w:space="0"/>
              <w:right w:val="single" w:color="auto" w:sz="4" w:space="0"/>
            </w:tcBorders>
            <w:vAlign w:val="center"/>
          </w:tcPr>
          <w:p w14:paraId="479C8260">
            <w:pPr>
              <w:jc w:val="center"/>
              <w:rPr>
                <w:rFonts w:ascii="宋体" w:hAnsi="宋体" w:eastAsia="宋体" w:cs="宋体"/>
                <w:color w:val="000000" w:themeColor="text1"/>
                <w:sz w:val="21"/>
                <w:szCs w:val="21"/>
              </w:rPr>
            </w:pPr>
          </w:p>
        </w:tc>
        <w:tc>
          <w:tcPr>
            <w:tcW w:w="1510" w:type="dxa"/>
            <w:vMerge w:val="continue"/>
            <w:tcBorders>
              <w:left w:val="single" w:color="auto" w:sz="4" w:space="0"/>
              <w:bottom w:val="single" w:color="auto" w:sz="4" w:space="0"/>
              <w:right w:val="single" w:color="auto" w:sz="4" w:space="0"/>
            </w:tcBorders>
            <w:vAlign w:val="center"/>
          </w:tcPr>
          <w:p w14:paraId="53FBD586">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10D3284C">
            <w:pPr>
              <w:rPr>
                <w:rFonts w:ascii="宋体" w:hAnsi="宋体" w:eastAsia="宋体" w:cs="宋体"/>
                <w:color w:val="000000" w:themeColor="text1"/>
                <w:sz w:val="21"/>
                <w:szCs w:val="21"/>
              </w:rPr>
            </w:pPr>
            <w:r>
              <w:rPr>
                <w:rFonts w:ascii="Times New Roman" w:hAnsi="Times New Roman" w:eastAsia="宋体" w:cs="Times New Roman"/>
                <w:color w:val="000000" w:themeColor="text1"/>
                <w:szCs w:val="21"/>
              </w:rPr>
              <w:t>在线碳组分分析仪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年有效天数不少于</w:t>
            </w:r>
            <w:r>
              <w:rPr>
                <w:rFonts w:hint="eastAsia" w:ascii="Times New Roman" w:hAnsi="Times New Roman" w:eastAsia="宋体" w:cs="Times New Roman"/>
                <w:color w:val="000000" w:themeColor="text1"/>
                <w:szCs w:val="21"/>
                <w:lang w:val="en-US" w:eastAsia="zh-CN"/>
              </w:rPr>
              <w:t>162</w:t>
            </w:r>
            <w:r>
              <w:rPr>
                <w:rFonts w:ascii="Times New Roman" w:hAnsi="Times New Roman" w:eastAsia="宋体" w:cs="Times New Roman"/>
                <w:color w:val="000000" w:themeColor="text1"/>
                <w:szCs w:val="21"/>
              </w:rPr>
              <w:t>天，得满分，少于</w:t>
            </w:r>
            <w:r>
              <w:rPr>
                <w:rFonts w:hint="eastAsia" w:ascii="Times New Roman" w:hAnsi="Times New Roman" w:eastAsia="宋体" w:cs="Times New Roman"/>
                <w:color w:val="000000" w:themeColor="text1"/>
                <w:szCs w:val="21"/>
                <w:lang w:val="en-US" w:eastAsia="zh-CN"/>
              </w:rPr>
              <w:t>162</w:t>
            </w:r>
            <w:r>
              <w:rPr>
                <w:rFonts w:ascii="Times New Roman" w:hAnsi="Times New Roman" w:eastAsia="宋体" w:cs="Times New Roman"/>
                <w:color w:val="000000" w:themeColor="text1"/>
                <w:szCs w:val="21"/>
              </w:rPr>
              <w:t>天每少1天扣0.25分，扣完为止</w:t>
            </w:r>
          </w:p>
        </w:tc>
        <w:tc>
          <w:tcPr>
            <w:tcW w:w="771" w:type="dxa"/>
            <w:tcBorders>
              <w:top w:val="single" w:color="auto" w:sz="4" w:space="0"/>
              <w:left w:val="single" w:color="auto" w:sz="4" w:space="0"/>
              <w:bottom w:val="single" w:color="auto" w:sz="4" w:space="0"/>
              <w:right w:val="single" w:color="auto" w:sz="4" w:space="0"/>
            </w:tcBorders>
            <w:vAlign w:val="center"/>
          </w:tcPr>
          <w:p w14:paraId="4A31B9D2">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4BF2518E">
            <w:pPr>
              <w:jc w:val="center"/>
              <w:rPr>
                <w:rFonts w:ascii="宋体" w:hAnsi="宋体" w:eastAsia="宋体" w:cs="宋体"/>
                <w:color w:val="000000" w:themeColor="text1"/>
                <w:sz w:val="21"/>
                <w:szCs w:val="21"/>
              </w:rPr>
            </w:pPr>
          </w:p>
        </w:tc>
      </w:tr>
      <w:tr w14:paraId="385F6C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restart"/>
            <w:tcBorders>
              <w:top w:val="single" w:color="auto" w:sz="4" w:space="0"/>
              <w:left w:val="single" w:color="auto" w:sz="4" w:space="0"/>
              <w:right w:val="single" w:color="auto" w:sz="4" w:space="0"/>
            </w:tcBorders>
            <w:vAlign w:val="center"/>
          </w:tcPr>
          <w:p w14:paraId="1C659E05">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9</w:t>
            </w:r>
          </w:p>
        </w:tc>
        <w:tc>
          <w:tcPr>
            <w:tcW w:w="1510" w:type="dxa"/>
            <w:vMerge w:val="restart"/>
            <w:tcBorders>
              <w:top w:val="single" w:color="auto" w:sz="4" w:space="0"/>
              <w:left w:val="single" w:color="auto" w:sz="4" w:space="0"/>
              <w:right w:val="single" w:color="auto" w:sz="4" w:space="0"/>
            </w:tcBorders>
            <w:vAlign w:val="center"/>
          </w:tcPr>
          <w:p w14:paraId="36849764">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有效数据</w:t>
            </w:r>
          </w:p>
        </w:tc>
        <w:tc>
          <w:tcPr>
            <w:tcW w:w="4961" w:type="dxa"/>
            <w:tcBorders>
              <w:top w:val="single" w:color="auto" w:sz="4" w:space="0"/>
              <w:left w:val="single" w:color="auto" w:sz="4" w:space="0"/>
              <w:bottom w:val="single" w:color="auto" w:sz="4" w:space="0"/>
              <w:right w:val="single" w:color="auto" w:sz="4" w:space="0"/>
            </w:tcBorders>
            <w:vAlign w:val="center"/>
          </w:tcPr>
          <w:p w14:paraId="758322F3">
            <w:pPr>
              <w:rPr>
                <w:rFonts w:ascii="宋体" w:hAnsi="宋体" w:eastAsia="宋体" w:cs="宋体"/>
                <w:color w:val="000000" w:themeColor="text1"/>
                <w:sz w:val="21"/>
                <w:szCs w:val="21"/>
              </w:rPr>
            </w:pPr>
            <w:r>
              <w:rPr>
                <w:rFonts w:ascii="Times New Roman" w:hAnsi="Times New Roman" w:eastAsia="宋体" w:cs="Times New Roman"/>
                <w:color w:val="000000" w:themeColor="text1"/>
                <w:szCs w:val="21"/>
              </w:rPr>
              <w:t>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在线分析仪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年有效数据获取率不低于90%，得满分，低于90%每少1%扣0.5分，扣完为止</w:t>
            </w:r>
          </w:p>
        </w:tc>
        <w:tc>
          <w:tcPr>
            <w:tcW w:w="771" w:type="dxa"/>
            <w:tcBorders>
              <w:top w:val="single" w:color="auto" w:sz="4" w:space="0"/>
              <w:left w:val="single" w:color="auto" w:sz="4" w:space="0"/>
              <w:bottom w:val="single" w:color="auto" w:sz="4" w:space="0"/>
              <w:right w:val="single" w:color="auto" w:sz="4" w:space="0"/>
            </w:tcBorders>
            <w:vAlign w:val="center"/>
          </w:tcPr>
          <w:p w14:paraId="71D29043">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3</w:t>
            </w:r>
          </w:p>
        </w:tc>
        <w:tc>
          <w:tcPr>
            <w:tcW w:w="962" w:type="dxa"/>
            <w:tcBorders>
              <w:top w:val="single" w:color="auto" w:sz="4" w:space="0"/>
              <w:left w:val="single" w:color="auto" w:sz="4" w:space="0"/>
              <w:bottom w:val="single" w:color="auto" w:sz="4" w:space="0"/>
              <w:right w:val="single" w:color="auto" w:sz="4" w:space="0"/>
            </w:tcBorders>
            <w:vAlign w:val="center"/>
          </w:tcPr>
          <w:p w14:paraId="7989F01C">
            <w:pPr>
              <w:jc w:val="center"/>
              <w:rPr>
                <w:rFonts w:ascii="宋体" w:hAnsi="宋体" w:eastAsia="宋体" w:cs="宋体"/>
                <w:color w:val="000000" w:themeColor="text1"/>
                <w:sz w:val="21"/>
                <w:szCs w:val="21"/>
              </w:rPr>
            </w:pPr>
          </w:p>
        </w:tc>
      </w:tr>
      <w:tr w14:paraId="001BAC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right w:val="single" w:color="auto" w:sz="4" w:space="0"/>
            </w:tcBorders>
            <w:vAlign w:val="center"/>
          </w:tcPr>
          <w:p w14:paraId="0412B6F9">
            <w:pPr>
              <w:jc w:val="center"/>
              <w:rPr>
                <w:rFonts w:ascii="宋体" w:hAnsi="宋体" w:eastAsia="宋体" w:cs="宋体"/>
                <w:color w:val="000000" w:themeColor="text1"/>
                <w:sz w:val="21"/>
                <w:szCs w:val="21"/>
              </w:rPr>
            </w:pPr>
          </w:p>
        </w:tc>
        <w:tc>
          <w:tcPr>
            <w:tcW w:w="1510" w:type="dxa"/>
            <w:vMerge w:val="continue"/>
            <w:tcBorders>
              <w:left w:val="single" w:color="auto" w:sz="4" w:space="0"/>
              <w:right w:val="single" w:color="auto" w:sz="4" w:space="0"/>
            </w:tcBorders>
            <w:vAlign w:val="center"/>
          </w:tcPr>
          <w:p w14:paraId="79BB487A">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58F0E967">
            <w:pPr>
              <w:rPr>
                <w:rFonts w:ascii="宋体" w:hAnsi="宋体" w:eastAsia="宋体" w:cs="宋体"/>
                <w:color w:val="000000" w:themeColor="text1"/>
                <w:sz w:val="21"/>
                <w:szCs w:val="21"/>
              </w:rPr>
            </w:pPr>
            <w:r>
              <w:rPr>
                <w:rFonts w:ascii="Times New Roman" w:hAnsi="Times New Roman" w:eastAsia="宋体" w:cs="Times New Roman"/>
                <w:color w:val="000000" w:themeColor="text1"/>
                <w:szCs w:val="21"/>
              </w:rPr>
              <w:t>在线离子色谱仪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年有效数据获取率不低于80%，得满分，低于80%每少1%扣0.5分，扣完为止</w:t>
            </w:r>
          </w:p>
        </w:tc>
        <w:tc>
          <w:tcPr>
            <w:tcW w:w="771" w:type="dxa"/>
            <w:tcBorders>
              <w:top w:val="single" w:color="auto" w:sz="4" w:space="0"/>
              <w:left w:val="single" w:color="auto" w:sz="4" w:space="0"/>
              <w:bottom w:val="single" w:color="auto" w:sz="4" w:space="0"/>
              <w:right w:val="single" w:color="auto" w:sz="4" w:space="0"/>
            </w:tcBorders>
            <w:vAlign w:val="center"/>
          </w:tcPr>
          <w:p w14:paraId="7584040F">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43839238">
            <w:pPr>
              <w:jc w:val="center"/>
              <w:rPr>
                <w:rFonts w:ascii="宋体" w:hAnsi="宋体" w:eastAsia="宋体" w:cs="宋体"/>
                <w:color w:val="000000" w:themeColor="text1"/>
                <w:sz w:val="21"/>
                <w:szCs w:val="21"/>
              </w:rPr>
            </w:pPr>
          </w:p>
        </w:tc>
      </w:tr>
      <w:tr w14:paraId="75D89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right w:val="single" w:color="auto" w:sz="4" w:space="0"/>
            </w:tcBorders>
            <w:vAlign w:val="center"/>
          </w:tcPr>
          <w:p w14:paraId="661694D2">
            <w:pPr>
              <w:jc w:val="center"/>
              <w:rPr>
                <w:rFonts w:ascii="宋体" w:hAnsi="宋体" w:eastAsia="宋体" w:cs="宋体"/>
                <w:color w:val="000000" w:themeColor="text1"/>
                <w:sz w:val="21"/>
                <w:szCs w:val="21"/>
              </w:rPr>
            </w:pPr>
          </w:p>
        </w:tc>
        <w:tc>
          <w:tcPr>
            <w:tcW w:w="1510" w:type="dxa"/>
            <w:vMerge w:val="continue"/>
            <w:tcBorders>
              <w:left w:val="single" w:color="auto" w:sz="4" w:space="0"/>
              <w:right w:val="single" w:color="auto" w:sz="4" w:space="0"/>
            </w:tcBorders>
            <w:vAlign w:val="center"/>
          </w:tcPr>
          <w:p w14:paraId="620EA746">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536BEFDF">
            <w:pPr>
              <w:rPr>
                <w:rFonts w:ascii="宋体" w:hAnsi="宋体" w:eastAsia="宋体" w:cs="宋体"/>
                <w:color w:val="000000" w:themeColor="text1"/>
                <w:sz w:val="21"/>
                <w:szCs w:val="21"/>
              </w:rPr>
            </w:pPr>
            <w:r>
              <w:rPr>
                <w:rFonts w:ascii="Times New Roman" w:hAnsi="Times New Roman" w:eastAsia="宋体" w:cs="Times New Roman"/>
                <w:color w:val="000000" w:themeColor="text1"/>
                <w:szCs w:val="21"/>
              </w:rPr>
              <w:t>在线无机元素分析仪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年有效数据获取率不低于80%，得满分，低于80%每少1%扣0.5分，扣完为止</w:t>
            </w:r>
          </w:p>
        </w:tc>
        <w:tc>
          <w:tcPr>
            <w:tcW w:w="771" w:type="dxa"/>
            <w:tcBorders>
              <w:top w:val="single" w:color="auto" w:sz="4" w:space="0"/>
              <w:left w:val="single" w:color="auto" w:sz="4" w:space="0"/>
              <w:bottom w:val="single" w:color="auto" w:sz="4" w:space="0"/>
              <w:right w:val="single" w:color="auto" w:sz="4" w:space="0"/>
            </w:tcBorders>
            <w:vAlign w:val="center"/>
          </w:tcPr>
          <w:p w14:paraId="275E7D5E">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7AF8CB2D">
            <w:pPr>
              <w:jc w:val="center"/>
              <w:rPr>
                <w:rFonts w:ascii="宋体" w:hAnsi="宋体" w:eastAsia="宋体" w:cs="宋体"/>
                <w:color w:val="000000" w:themeColor="text1"/>
                <w:sz w:val="21"/>
                <w:szCs w:val="21"/>
              </w:rPr>
            </w:pPr>
          </w:p>
        </w:tc>
      </w:tr>
      <w:tr w14:paraId="6C26C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5" w:type="dxa"/>
            <w:vMerge w:val="continue"/>
            <w:tcBorders>
              <w:left w:val="single" w:color="auto" w:sz="4" w:space="0"/>
              <w:bottom w:val="single" w:color="auto" w:sz="4" w:space="0"/>
              <w:right w:val="single" w:color="auto" w:sz="4" w:space="0"/>
            </w:tcBorders>
            <w:vAlign w:val="center"/>
          </w:tcPr>
          <w:p w14:paraId="113FDB72">
            <w:pPr>
              <w:jc w:val="center"/>
              <w:rPr>
                <w:rFonts w:ascii="宋体" w:hAnsi="宋体" w:eastAsia="宋体" w:cs="宋体"/>
                <w:color w:val="000000" w:themeColor="text1"/>
                <w:sz w:val="21"/>
                <w:szCs w:val="21"/>
              </w:rPr>
            </w:pPr>
          </w:p>
        </w:tc>
        <w:tc>
          <w:tcPr>
            <w:tcW w:w="1510" w:type="dxa"/>
            <w:vMerge w:val="continue"/>
            <w:tcBorders>
              <w:left w:val="single" w:color="auto" w:sz="4" w:space="0"/>
              <w:bottom w:val="single" w:color="auto" w:sz="4" w:space="0"/>
              <w:right w:val="single" w:color="auto" w:sz="4" w:space="0"/>
            </w:tcBorders>
            <w:vAlign w:val="center"/>
          </w:tcPr>
          <w:p w14:paraId="0B2BC6A0">
            <w:pPr>
              <w:jc w:val="center"/>
              <w:rPr>
                <w:rFonts w:ascii="宋体" w:hAnsi="宋体" w:eastAsia="宋体" w:cs="宋体"/>
                <w:color w:val="000000" w:themeColor="text1"/>
                <w:sz w:val="21"/>
                <w:szCs w:val="21"/>
              </w:rPr>
            </w:pPr>
          </w:p>
        </w:tc>
        <w:tc>
          <w:tcPr>
            <w:tcW w:w="4961" w:type="dxa"/>
            <w:tcBorders>
              <w:top w:val="single" w:color="auto" w:sz="4" w:space="0"/>
              <w:left w:val="single" w:color="auto" w:sz="4" w:space="0"/>
              <w:bottom w:val="single" w:color="auto" w:sz="4" w:space="0"/>
              <w:right w:val="single" w:color="auto" w:sz="4" w:space="0"/>
            </w:tcBorders>
            <w:vAlign w:val="center"/>
          </w:tcPr>
          <w:p w14:paraId="0B2ACFC7">
            <w:pPr>
              <w:rPr>
                <w:rFonts w:ascii="宋体" w:hAnsi="宋体" w:eastAsia="宋体" w:cs="宋体"/>
                <w:color w:val="000000" w:themeColor="text1"/>
                <w:sz w:val="21"/>
                <w:szCs w:val="21"/>
              </w:rPr>
            </w:pPr>
            <w:r>
              <w:rPr>
                <w:rFonts w:ascii="Times New Roman" w:hAnsi="Times New Roman" w:eastAsia="宋体" w:cs="Times New Roman"/>
                <w:color w:val="000000" w:themeColor="text1"/>
                <w:szCs w:val="21"/>
              </w:rPr>
              <w:t>在线碳组分分析仪</w:t>
            </w:r>
            <w:r>
              <w:rPr>
                <w:rFonts w:hint="eastAsia" w:ascii="Times New Roman" w:hAnsi="Times New Roman" w:eastAsia="宋体" w:cs="Times New Roman"/>
                <w:color w:val="000000" w:themeColor="text1"/>
                <w:szCs w:val="21"/>
                <w:lang w:eastAsia="zh-CN"/>
              </w:rPr>
              <w:t>半</w:t>
            </w:r>
            <w:r>
              <w:rPr>
                <w:rFonts w:ascii="Times New Roman" w:hAnsi="Times New Roman" w:eastAsia="宋体" w:cs="Times New Roman"/>
                <w:color w:val="000000" w:themeColor="text1"/>
                <w:szCs w:val="21"/>
              </w:rPr>
              <w:t>年有效数据获取率不低于90%，得满分，低于90%每少1%扣0.5分，扣完为止</w:t>
            </w:r>
          </w:p>
        </w:tc>
        <w:tc>
          <w:tcPr>
            <w:tcW w:w="771" w:type="dxa"/>
            <w:tcBorders>
              <w:top w:val="single" w:color="auto" w:sz="4" w:space="0"/>
              <w:left w:val="single" w:color="auto" w:sz="4" w:space="0"/>
              <w:bottom w:val="single" w:color="auto" w:sz="4" w:space="0"/>
              <w:right w:val="single" w:color="auto" w:sz="4" w:space="0"/>
            </w:tcBorders>
            <w:vAlign w:val="center"/>
          </w:tcPr>
          <w:p w14:paraId="41689651">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5</w:t>
            </w:r>
          </w:p>
        </w:tc>
        <w:tc>
          <w:tcPr>
            <w:tcW w:w="962" w:type="dxa"/>
            <w:tcBorders>
              <w:top w:val="single" w:color="auto" w:sz="4" w:space="0"/>
              <w:left w:val="single" w:color="auto" w:sz="4" w:space="0"/>
              <w:bottom w:val="single" w:color="auto" w:sz="4" w:space="0"/>
              <w:right w:val="single" w:color="auto" w:sz="4" w:space="0"/>
            </w:tcBorders>
            <w:vAlign w:val="center"/>
          </w:tcPr>
          <w:p w14:paraId="72E235FB">
            <w:pPr>
              <w:jc w:val="center"/>
              <w:rPr>
                <w:rFonts w:ascii="宋体" w:hAnsi="宋体" w:eastAsia="宋体" w:cs="宋体"/>
                <w:color w:val="000000" w:themeColor="text1"/>
                <w:sz w:val="21"/>
                <w:szCs w:val="21"/>
              </w:rPr>
            </w:pPr>
          </w:p>
        </w:tc>
      </w:tr>
      <w:tr w14:paraId="3001F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35" w:type="dxa"/>
            <w:gridSpan w:val="2"/>
            <w:tcBorders>
              <w:top w:val="single" w:color="auto" w:sz="4" w:space="0"/>
              <w:left w:val="single" w:color="auto" w:sz="4" w:space="0"/>
              <w:bottom w:val="single" w:color="auto" w:sz="4" w:space="0"/>
              <w:right w:val="single" w:color="auto" w:sz="4" w:space="0"/>
            </w:tcBorders>
            <w:vAlign w:val="center"/>
          </w:tcPr>
          <w:p w14:paraId="3E6A0748">
            <w:pPr>
              <w:jc w:val="center"/>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备注</w:t>
            </w:r>
          </w:p>
        </w:tc>
        <w:tc>
          <w:tcPr>
            <w:tcW w:w="6694" w:type="dxa"/>
            <w:gridSpan w:val="3"/>
            <w:tcBorders>
              <w:top w:val="single" w:color="auto" w:sz="4" w:space="0"/>
              <w:left w:val="single" w:color="auto" w:sz="4" w:space="0"/>
              <w:bottom w:val="single" w:color="auto" w:sz="4" w:space="0"/>
              <w:right w:val="single" w:color="auto" w:sz="4" w:space="0"/>
            </w:tcBorders>
            <w:vAlign w:val="center"/>
          </w:tcPr>
          <w:p w14:paraId="5D4F6BB4">
            <w:pPr>
              <w:rPr>
                <w:rFonts w:ascii="宋体" w:hAnsi="宋体" w:eastAsia="宋体" w:cs="宋体"/>
                <w:color w:val="000000" w:themeColor="text1"/>
                <w:sz w:val="21"/>
                <w:szCs w:val="21"/>
              </w:rPr>
            </w:pPr>
          </w:p>
        </w:tc>
      </w:tr>
    </w:tbl>
    <w:p w14:paraId="04E6EAE4">
      <w:pPr>
        <w:widowControl/>
        <w:ind w:firstLine="480"/>
        <w:jc w:val="left"/>
        <w:rPr>
          <w:rFonts w:ascii="宋体" w:hAnsi="宋体" w:cs="宋体"/>
          <w:color w:val="000000" w:themeColor="text1"/>
          <w:highlight w:val="none"/>
        </w:rPr>
      </w:pPr>
    </w:p>
    <w:p w14:paraId="708A4B8F">
      <w:pPr>
        <w:adjustRightInd w:val="0"/>
        <w:snapToGrid w:val="0"/>
        <w:spacing w:line="360" w:lineRule="auto"/>
        <w:ind w:firstLine="310" w:firstLineChars="147"/>
        <w:rPr>
          <w:rFonts w:ascii="Times New Roman" w:hAnsi="Times New Roman" w:eastAsia="宋体" w:cs="Times New Roman"/>
          <w:b/>
          <w:color w:val="000000" w:themeColor="text1"/>
          <w:szCs w:val="21"/>
        </w:rPr>
      </w:pPr>
      <w:r>
        <w:rPr>
          <w:rFonts w:hint="eastAsia" w:ascii="宋体" w:hAnsi="宋体" w:cs="宋体"/>
          <w:b/>
          <w:color w:val="000000" w:themeColor="text1"/>
          <w:kern w:val="0"/>
          <w:highlight w:val="none"/>
          <w:lang w:val="en-US" w:eastAsia="zh-CN"/>
        </w:rPr>
        <w:t>八</w:t>
      </w:r>
      <w:r>
        <w:rPr>
          <w:rFonts w:hint="eastAsia" w:ascii="宋体" w:hAnsi="宋体" w:cs="宋体"/>
          <w:b/>
          <w:color w:val="000000" w:themeColor="text1"/>
          <w:kern w:val="0"/>
          <w:highlight w:val="none"/>
        </w:rPr>
        <w:t>、</w:t>
      </w:r>
      <w:r>
        <w:rPr>
          <w:rFonts w:ascii="Times New Roman" w:hAnsi="Times New Roman" w:eastAsia="宋体" w:cs="Times New Roman"/>
          <w:b/>
          <w:color w:val="000000" w:themeColor="text1"/>
          <w:szCs w:val="21"/>
        </w:rPr>
        <w:t>交接方式</w:t>
      </w:r>
    </w:p>
    <w:p w14:paraId="664AC40D">
      <w:pPr>
        <w:adjustRightInd w:val="0"/>
        <w:snapToGrid w:val="0"/>
        <w:spacing w:line="360" w:lineRule="auto"/>
        <w:ind w:firstLine="413" w:firstLineChars="196"/>
        <w:rPr>
          <w:rFonts w:ascii="Times New Roman" w:hAnsi="Times New Roman" w:eastAsia="宋体" w:cs="Times New Roman"/>
          <w:color w:val="000000" w:themeColor="text1"/>
          <w:szCs w:val="21"/>
        </w:rPr>
      </w:pPr>
      <w:r>
        <w:rPr>
          <w:rFonts w:ascii="Times New Roman" w:hAnsi="Times New Roman" w:eastAsia="宋体" w:cs="Times New Roman"/>
          <w:b/>
          <w:color w:val="000000" w:themeColor="text1"/>
          <w:szCs w:val="21"/>
        </w:rPr>
        <w:t>8.1</w:t>
      </w:r>
      <w:r>
        <w:rPr>
          <w:rFonts w:ascii="Times New Roman" w:hAnsi="Times New Roman" w:eastAsia="宋体" w:cs="Times New Roman"/>
          <w:color w:val="000000" w:themeColor="text1"/>
          <w:szCs w:val="21"/>
        </w:rPr>
        <w:t xml:space="preserve"> 业主方应在合同生效前向中标人提供环境空气自动监测系统的以下技术资料：</w:t>
      </w:r>
    </w:p>
    <w:p w14:paraId="04B3AA17">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(1)《国家环境空气质量监测城市自动监测站运行管理暂行规定》；</w:t>
      </w:r>
    </w:p>
    <w:p w14:paraId="7171C38B">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(2)系统仪器使用说明手册；</w:t>
      </w:r>
    </w:p>
    <w:p w14:paraId="69D4EC83">
      <w:pPr>
        <w:adjustRightInd w:val="0"/>
        <w:snapToGrid w:val="0"/>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(3)各仪器商、集成商联系方式。</w:t>
      </w:r>
    </w:p>
    <w:p w14:paraId="76941F61">
      <w:pPr>
        <w:adjustRightInd w:val="0"/>
        <w:snapToGrid w:val="0"/>
        <w:spacing w:line="360" w:lineRule="auto"/>
        <w:ind w:firstLine="413" w:firstLineChars="196"/>
        <w:rPr>
          <w:rFonts w:ascii="Times New Roman" w:hAnsi="Times New Roman" w:eastAsia="宋体" w:cs="Times New Roman"/>
          <w:color w:val="000000" w:themeColor="text1"/>
          <w:szCs w:val="21"/>
        </w:rPr>
      </w:pPr>
      <w:r>
        <w:rPr>
          <w:rFonts w:ascii="Times New Roman" w:hAnsi="Times New Roman" w:eastAsia="宋体" w:cs="Times New Roman"/>
          <w:b/>
          <w:color w:val="000000" w:themeColor="text1"/>
          <w:szCs w:val="21"/>
        </w:rPr>
        <w:t>8.2</w:t>
      </w:r>
      <w:r>
        <w:rPr>
          <w:rFonts w:ascii="Times New Roman" w:hAnsi="Times New Roman" w:eastAsia="宋体" w:cs="Times New Roman"/>
          <w:color w:val="000000" w:themeColor="text1"/>
          <w:szCs w:val="21"/>
        </w:rPr>
        <w:t xml:space="preserve"> 在合同生效前中标人应与业主方共同对环境空气自动监测系统的系统运行情况，仪器运行情况，数据采集情况进行实际考察，并且做好备案。</w:t>
      </w:r>
    </w:p>
    <w:p w14:paraId="55DC4190">
      <w:pPr>
        <w:widowControl/>
        <w:autoSpaceDE w:val="0"/>
        <w:autoSpaceDN w:val="0"/>
        <w:adjustRightInd w:val="0"/>
        <w:spacing w:line="360" w:lineRule="auto"/>
        <w:ind w:firstLine="413" w:firstLineChars="196"/>
        <w:jc w:val="left"/>
        <w:rPr>
          <w:rFonts w:ascii="宋体" w:hAnsi="宋体" w:cs="宋体"/>
          <w:color w:val="000000" w:themeColor="text1"/>
          <w:highlight w:val="none"/>
        </w:rPr>
      </w:pPr>
      <w:r>
        <w:rPr>
          <w:rFonts w:hint="eastAsia" w:ascii="宋体" w:hAnsi="宋体" w:cs="宋体"/>
          <w:b/>
          <w:color w:val="000000" w:themeColor="text1"/>
          <w:kern w:val="0"/>
          <w:highlight w:val="none"/>
          <w:lang w:val="en-US" w:eastAsia="zh-CN"/>
        </w:rPr>
        <w:t>九、</w:t>
      </w:r>
      <w:r>
        <w:rPr>
          <w:rFonts w:hint="eastAsia" w:ascii="宋体" w:hAnsi="宋体" w:cs="宋体"/>
          <w:b/>
          <w:color w:val="000000" w:themeColor="text1"/>
          <w:kern w:val="0"/>
          <w:highlight w:val="none"/>
        </w:rPr>
        <w:t>违约责任</w:t>
      </w:r>
    </w:p>
    <w:p w14:paraId="39A8D23A">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除合同规定的不可抗力外，如果乙方没有按照合同规定的时间提供服务，甲方可要求乙方支付违约金。违约金按合同款的0.5%/每周计收。但违约金的最高限额为合同价的5%。一周按7天计算，不足7天按一周计算。如果达到最高限额，甲方有权解除合同。</w:t>
      </w:r>
    </w:p>
    <w:p w14:paraId="25F36559">
      <w:pPr>
        <w:widowControl/>
        <w:spacing w:line="360" w:lineRule="auto"/>
        <w:jc w:val="left"/>
        <w:rPr>
          <w:rFonts w:ascii="宋体" w:hAnsi="宋体" w:cs="宋体"/>
          <w:color w:val="000000" w:themeColor="text1"/>
          <w:highlight w:val="none"/>
        </w:rPr>
      </w:pPr>
      <w:r>
        <w:rPr>
          <w:rFonts w:hint="eastAsia" w:ascii="宋体" w:hAnsi="宋体" w:cs="宋体"/>
          <w:color w:val="000000" w:themeColor="text1"/>
          <w:kern w:val="0"/>
          <w:highlight w:val="none"/>
        </w:rPr>
        <w:t>项目结束时验收不合格，乙方应在收到甲方通知后5日内退还甲方已支付的合同款，逾期退还合同款的，每日按未退还金额的0.1%支付违约金。</w:t>
      </w:r>
    </w:p>
    <w:p w14:paraId="18C3BA7D">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其他违约条款双方协商确定：【】</w:t>
      </w:r>
    </w:p>
    <w:p w14:paraId="1E694954">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lang w:val="en-US" w:eastAsia="zh-CN"/>
        </w:rPr>
        <w:t>十</w:t>
      </w:r>
      <w:r>
        <w:rPr>
          <w:rFonts w:hint="eastAsia" w:ascii="宋体" w:hAnsi="宋体" w:cs="宋体"/>
          <w:b/>
          <w:color w:val="000000" w:themeColor="text1"/>
          <w:kern w:val="0"/>
          <w:highlight w:val="none"/>
        </w:rPr>
        <w:t>、解决争议的方法</w:t>
      </w:r>
    </w:p>
    <w:p w14:paraId="2C766363">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因合同履行中发生的争议，可通过合同当事人双方友好协商解决。如自协商开始之起15日内得不到解决，双方应将争议提交政府采购监管部门调解。调解不成的，可申请/仲裁委员会进行仲裁或向</w:t>
      </w:r>
      <w:r>
        <w:rPr>
          <w:rFonts w:hint="eastAsia" w:ascii="宋体" w:hAnsi="宋体" w:cs="宋体"/>
          <w:color w:val="000000" w:themeColor="text1"/>
          <w:kern w:val="0"/>
          <w:highlight w:val="none"/>
          <w:u w:val="single"/>
        </w:rPr>
        <w:t>甲方所在地</w:t>
      </w:r>
      <w:r>
        <w:rPr>
          <w:rFonts w:hint="eastAsia" w:ascii="宋体" w:hAnsi="宋体" w:cs="宋体"/>
          <w:color w:val="000000" w:themeColor="text1"/>
          <w:kern w:val="0"/>
          <w:highlight w:val="none"/>
        </w:rPr>
        <w:t>人民法院提起诉讼。</w:t>
      </w:r>
    </w:p>
    <w:p w14:paraId="7748B648">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仲裁裁决为最终裁决，当事人一方在规定时间内不履行仲裁机构裁决的，另一方可以申请人民法院强制执行。</w:t>
      </w:r>
    </w:p>
    <w:p w14:paraId="22F3C4F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仲裁费用和诉讼费用除仲裁机构或人民法院另有裁决外，应由败诉方负担。</w:t>
      </w:r>
    </w:p>
    <w:p w14:paraId="33C1AAC4">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一</w:t>
      </w:r>
      <w:r>
        <w:rPr>
          <w:rFonts w:hint="eastAsia" w:ascii="宋体" w:hAnsi="宋体" w:cs="宋体"/>
          <w:b/>
          <w:color w:val="000000" w:themeColor="text1"/>
          <w:kern w:val="0"/>
          <w:highlight w:val="none"/>
        </w:rPr>
        <w:t>、违约解除合同</w:t>
      </w:r>
    </w:p>
    <w:p w14:paraId="2472EECC">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1、在乙方违约的情况下，甲方可向乙方发出书面通知，部分或全部终止合同。同时保留向乙方追诉的权利。</w:t>
      </w:r>
    </w:p>
    <w:p w14:paraId="60620F0A">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1.1乙方未能在合同规定的限期或甲方同意延长的限期内，提供全部或部分标的物的；</w:t>
      </w:r>
    </w:p>
    <w:p w14:paraId="32CBBDAF">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1.2乙方未能履行合同规定的其它主要义务的；</w:t>
      </w:r>
    </w:p>
    <w:p w14:paraId="19078B26">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1.3甲方认为乙方在本合同履行过程中有腐败和欺诈行为的。</w:t>
      </w:r>
    </w:p>
    <w:p w14:paraId="3ACF41C4">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1.3.1“腐败行为”和“欺诈行为”定义如下：</w:t>
      </w:r>
    </w:p>
    <w:p w14:paraId="48A1BB7D">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1.3.2“腐败行为”是指提供/给予/接受或索取任何有价值的东西来影响甲方在合同签定、履行过程中的行为。</w:t>
      </w:r>
    </w:p>
    <w:p w14:paraId="60288C09">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1.3.3“欺诈行为”是指为了影响合同签定、履行过程，以谎报事实的方法，损害甲方的利益的行为。</w:t>
      </w:r>
    </w:p>
    <w:p w14:paraId="136ECE5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2、甲方解除合同的，合同于甲方发出书面解除合同通知书送达乙方之日起解除。乙方应在合同解除后5日内退还甲方已支付的合同款，逾期退还合同款的，每日按未退还金额的0.1%支付违约金。</w:t>
      </w:r>
    </w:p>
    <w:p w14:paraId="6934FF31">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二</w:t>
      </w:r>
      <w:r>
        <w:rPr>
          <w:rFonts w:hint="eastAsia" w:ascii="宋体" w:hAnsi="宋体" w:cs="宋体"/>
          <w:b/>
          <w:color w:val="000000" w:themeColor="text1"/>
          <w:kern w:val="0"/>
          <w:highlight w:val="none"/>
        </w:rPr>
        <w:t>、破产终止合同</w:t>
      </w:r>
    </w:p>
    <w:p w14:paraId="0DD332CD">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555A1B5B">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三</w:t>
      </w:r>
      <w:r>
        <w:rPr>
          <w:rFonts w:hint="eastAsia" w:ascii="宋体" w:hAnsi="宋体" w:cs="宋体"/>
          <w:b/>
          <w:color w:val="000000" w:themeColor="text1"/>
          <w:kern w:val="0"/>
          <w:highlight w:val="none"/>
        </w:rPr>
        <w:t>、合同变更、解除</w:t>
      </w:r>
    </w:p>
    <w:p w14:paraId="4C6796BB">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76B12ED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2、有下列情形之一的，双方协商一致可以变更合同：</w:t>
      </w:r>
    </w:p>
    <w:p w14:paraId="77F1F946">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（1）发生不可预见的紧急情况，继续按照原合同履行不能实现采购目的，又不能从其他供应商处采购；</w:t>
      </w:r>
    </w:p>
    <w:p w14:paraId="5570CC13">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（2）因甲方的过错导致不能实现采购目的，重新采购费用和违约金、违约损失赔偿金额占合同金额比例过大，但违背社会公共利益的除外；</w:t>
      </w:r>
    </w:p>
    <w:p w14:paraId="7404D2E8">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（3）属于合同主要条款确定的事项，但变更不改变合同实质性内容；</w:t>
      </w:r>
    </w:p>
    <w:p w14:paraId="5A328007">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（4）合同主要条款以外的内容；</w:t>
      </w:r>
    </w:p>
    <w:p w14:paraId="6AEB0B78">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（5）法律、法规规定可以变更合同的其他情形。</w:t>
      </w:r>
    </w:p>
    <w:p w14:paraId="6E4504F9">
      <w:pPr>
        <w:widowControl/>
        <w:spacing w:line="360" w:lineRule="auto"/>
        <w:ind w:firstLine="630" w:firstLineChars="300"/>
        <w:jc w:val="left"/>
        <w:rPr>
          <w:rFonts w:ascii="宋体" w:hAnsi="宋体" w:cs="宋体"/>
          <w:color w:val="000000" w:themeColor="text1"/>
          <w:highlight w:val="none"/>
        </w:rPr>
      </w:pPr>
      <w:r>
        <w:rPr>
          <w:rFonts w:hint="eastAsia" w:ascii="宋体" w:hAnsi="宋体" w:cs="宋体"/>
          <w:color w:val="000000" w:themeColor="text1"/>
          <w:kern w:val="0"/>
          <w:highlight w:val="none"/>
        </w:rPr>
        <w:t>当事人协商一致变更合同的，应当报同级财政部门备案。</w:t>
      </w:r>
    </w:p>
    <w:p w14:paraId="326B61B7">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3、有下列情形之一的，政府采购合同的双方当事人可以解除合同：</w:t>
      </w:r>
    </w:p>
    <w:p w14:paraId="0C62F7D9">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（1）因不可抗力致使不能实现合同目的；</w:t>
      </w:r>
    </w:p>
    <w:p w14:paraId="1179EDA8">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（2）在履行期限届满之前，乙方明确表示或者以自己的行为表示不履行主要义务；</w:t>
      </w:r>
    </w:p>
    <w:p w14:paraId="0AD0392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（3）乙方迟延履行主要义务，经催告后在合理期限内仍未履行；</w:t>
      </w:r>
    </w:p>
    <w:p w14:paraId="2D0B14F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（4）乙方迟延履行义务或者有其他违约行为致使不能实现合同目的；</w:t>
      </w:r>
    </w:p>
    <w:p w14:paraId="4D7A8CC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（5）乙方转包，或者未经甲方同意采取分包方式履行合同；</w:t>
      </w:r>
    </w:p>
    <w:p w14:paraId="4153C9F3">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（6）法律、法规规定的其他情形。</w:t>
      </w:r>
    </w:p>
    <w:p w14:paraId="54D20630">
      <w:pPr>
        <w:widowControl/>
        <w:spacing w:line="360" w:lineRule="auto"/>
        <w:ind w:firstLine="630" w:firstLineChars="300"/>
        <w:jc w:val="left"/>
        <w:rPr>
          <w:rFonts w:ascii="宋体" w:hAnsi="宋体" w:cs="宋体"/>
          <w:color w:val="000000" w:themeColor="text1"/>
          <w:highlight w:val="none"/>
        </w:rPr>
      </w:pPr>
      <w:r>
        <w:rPr>
          <w:rFonts w:hint="eastAsia" w:ascii="宋体" w:hAnsi="宋体" w:cs="宋体"/>
          <w:color w:val="000000" w:themeColor="text1"/>
          <w:kern w:val="0"/>
          <w:highlight w:val="none"/>
        </w:rPr>
        <w:t>甲方解除合同的，应当报同级财政部门备案。</w:t>
      </w:r>
    </w:p>
    <w:p w14:paraId="744BE248">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四</w:t>
      </w:r>
      <w:r>
        <w:rPr>
          <w:rFonts w:hint="eastAsia" w:ascii="宋体" w:hAnsi="宋体" w:cs="宋体"/>
          <w:b/>
          <w:color w:val="000000" w:themeColor="text1"/>
          <w:kern w:val="0"/>
          <w:highlight w:val="none"/>
        </w:rPr>
        <w:t>、通知</w:t>
      </w:r>
    </w:p>
    <w:p w14:paraId="6B4E5EB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本合同任何一方给另一方的通知，都应以书面形式发送，而另一方也应以书面形式确认并发送到对方明确的地址。</w:t>
      </w:r>
    </w:p>
    <w:p w14:paraId="59C2BA0F">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五</w:t>
      </w:r>
      <w:r>
        <w:rPr>
          <w:rFonts w:hint="eastAsia" w:ascii="宋体" w:hAnsi="宋体" w:cs="宋体"/>
          <w:b/>
          <w:color w:val="000000" w:themeColor="text1"/>
          <w:kern w:val="0"/>
          <w:highlight w:val="none"/>
        </w:rPr>
        <w:t>、计量单位</w:t>
      </w:r>
    </w:p>
    <w:p w14:paraId="106CECAB">
      <w:pPr>
        <w:widowControl/>
        <w:spacing w:line="360" w:lineRule="auto"/>
        <w:jc w:val="left"/>
        <w:rPr>
          <w:rFonts w:ascii="宋体" w:hAnsi="宋体" w:cs="宋体"/>
          <w:color w:val="000000" w:themeColor="text1"/>
          <w:highlight w:val="none"/>
        </w:rPr>
      </w:pPr>
      <w:r>
        <w:rPr>
          <w:rFonts w:hint="eastAsia" w:ascii="宋体" w:hAnsi="宋体" w:cs="宋体"/>
          <w:color w:val="000000" w:themeColor="text1"/>
          <w:kern w:val="0"/>
          <w:highlight w:val="none"/>
        </w:rPr>
        <w:t>除技术规范中另有规定外，计量单位均使用国家法定计量单位。</w:t>
      </w:r>
    </w:p>
    <w:p w14:paraId="22CC363F">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六</w:t>
      </w:r>
      <w:r>
        <w:rPr>
          <w:rFonts w:hint="eastAsia" w:ascii="宋体" w:hAnsi="宋体" w:cs="宋体"/>
          <w:b/>
          <w:color w:val="000000" w:themeColor="text1"/>
          <w:kern w:val="0"/>
          <w:highlight w:val="none"/>
        </w:rPr>
        <w:t>、不可抗力</w:t>
      </w:r>
    </w:p>
    <w:p w14:paraId="0A0DF29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1、如果双方中任何一方遭遇法律规定的不可抗力，致使合同履行受阻时，履行合同的期限应予延长，延长的期限应相当于不可抗力所影响的时间。</w:t>
      </w:r>
    </w:p>
    <w:p w14:paraId="61495983">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2、受事故影响的一方应在不可抗力的事故发生后尽快书面形式通知另一方，并在事故发生后合同规定时间内，将有关部门出具的证明文件送达另一方。</w:t>
      </w:r>
    </w:p>
    <w:p w14:paraId="7736102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3、不可抗力使合同的某些内容有变更必要的，双方应通过协商达成进一步履行合同的协议，因不可抗力致使合同不能履行的，合同终止。</w:t>
      </w:r>
    </w:p>
    <w:p w14:paraId="6E65CE03">
      <w:pPr>
        <w:pStyle w:val="25"/>
        <w:spacing w:line="360" w:lineRule="auto"/>
        <w:ind w:left="420" w:firstLine="0" w:firstLineChars="0"/>
        <w:rPr>
          <w:rFonts w:ascii="宋体" w:hAnsi="宋体" w:cs="宋体"/>
          <w:color w:val="000000" w:themeColor="text1"/>
          <w:highlight w:val="none"/>
        </w:rPr>
      </w:pPr>
      <w:r>
        <w:rPr>
          <w:rFonts w:hint="eastAsia" w:ascii="宋体" w:hAnsi="宋体" w:cs="宋体"/>
          <w:b/>
          <w:bCs/>
          <w:color w:val="000000" w:themeColor="text1"/>
          <w:highlight w:val="none"/>
          <w:lang w:val="en-US" w:eastAsia="zh-CN"/>
        </w:rPr>
        <w:t>十七</w:t>
      </w:r>
      <w:r>
        <w:rPr>
          <w:rFonts w:hint="eastAsia" w:ascii="宋体" w:hAnsi="宋体" w:cs="宋体"/>
          <w:b/>
          <w:bCs/>
          <w:color w:val="000000" w:themeColor="text1"/>
          <w:highlight w:val="none"/>
        </w:rPr>
        <w:t>、合同生效及其它</w:t>
      </w:r>
    </w:p>
    <w:p w14:paraId="6B829B71">
      <w:pPr>
        <w:pStyle w:val="25"/>
        <w:spacing w:line="360" w:lineRule="auto"/>
        <w:ind w:firstLineChars="0"/>
        <w:rPr>
          <w:rFonts w:ascii="宋体" w:hAnsi="宋体" w:cs="宋体"/>
          <w:color w:val="000000" w:themeColor="text1"/>
          <w:highlight w:val="none"/>
        </w:rPr>
      </w:pPr>
      <w:r>
        <w:rPr>
          <w:rFonts w:hint="eastAsia" w:ascii="宋体" w:hAnsi="宋体" w:cs="宋体"/>
          <w:color w:val="000000" w:themeColor="text1"/>
          <w:highlight w:val="none"/>
        </w:rPr>
        <w:t>1、合同经双方法定代表人或授权委托代理人签字并加盖单位公章后生效。</w:t>
      </w:r>
    </w:p>
    <w:p w14:paraId="05F565CA">
      <w:pPr>
        <w:pStyle w:val="25"/>
        <w:spacing w:line="360" w:lineRule="auto"/>
        <w:ind w:firstLineChars="0"/>
        <w:rPr>
          <w:rFonts w:ascii="宋体" w:hAnsi="宋体" w:cs="宋体"/>
          <w:color w:val="000000" w:themeColor="text1"/>
          <w:highlight w:val="none"/>
        </w:rPr>
      </w:pPr>
      <w:r>
        <w:rPr>
          <w:rFonts w:hint="eastAsia" w:ascii="宋体" w:hAnsi="宋体" w:cs="宋体"/>
          <w:color w:val="000000" w:themeColor="text1"/>
          <w:highlight w:val="none"/>
        </w:rPr>
        <w:t>2、合同执行中涉及采购资金和采购内容修改或补充的，须签书面补充协议，方可作为主合同不可分割的一部分。</w:t>
      </w:r>
    </w:p>
    <w:p w14:paraId="39CF452F">
      <w:pPr>
        <w:pStyle w:val="25"/>
        <w:spacing w:line="360" w:lineRule="auto"/>
        <w:ind w:firstLineChars="0"/>
        <w:rPr>
          <w:rFonts w:ascii="宋体" w:hAnsi="宋体" w:cs="宋体"/>
          <w:color w:val="000000" w:themeColor="text1"/>
          <w:highlight w:val="none"/>
        </w:rPr>
      </w:pPr>
      <w:r>
        <w:rPr>
          <w:rFonts w:hint="eastAsia" w:ascii="宋体" w:hAnsi="宋体" w:cs="宋体"/>
          <w:color w:val="000000" w:themeColor="text1"/>
          <w:highlight w:val="none"/>
        </w:rPr>
        <w:t>3、本合同未尽事宜，遵照《中华人民共和国民法典》有关条文执行。</w:t>
      </w:r>
    </w:p>
    <w:p w14:paraId="1D3A68D1">
      <w:pPr>
        <w:pStyle w:val="25"/>
        <w:spacing w:line="360" w:lineRule="auto"/>
        <w:ind w:firstLineChars="0"/>
        <w:rPr>
          <w:rFonts w:ascii="宋体" w:hAnsi="宋体" w:cs="宋体"/>
          <w:color w:val="000000" w:themeColor="text1"/>
          <w:highlight w:val="none"/>
        </w:rPr>
      </w:pPr>
      <w:r>
        <w:rPr>
          <w:rFonts w:hint="eastAsia" w:ascii="宋体" w:hAnsi="宋体" w:cs="宋体"/>
          <w:color w:val="000000" w:themeColor="text1"/>
          <w:highlight w:val="none"/>
        </w:rPr>
        <w:t>4、本合同正本一式X份，具有同等法律效力，甲乙双方各执X份。</w:t>
      </w:r>
    </w:p>
    <w:p w14:paraId="37843BBA">
      <w:pPr>
        <w:pStyle w:val="25"/>
        <w:ind w:firstLineChars="0"/>
        <w:rPr>
          <w:rFonts w:ascii="宋体" w:hAnsi="宋体" w:cs="宋体"/>
          <w:color w:val="000000" w:themeColor="text1"/>
          <w:highlight w:val="none"/>
        </w:rPr>
      </w:pPr>
    </w:p>
    <w:p w14:paraId="02D99E38">
      <w:pPr>
        <w:pStyle w:val="25"/>
        <w:ind w:firstLineChars="0"/>
        <w:rPr>
          <w:rFonts w:ascii="宋体" w:hAnsi="宋体" w:cs="宋体"/>
          <w:color w:val="000000" w:themeColor="text1"/>
          <w:highlight w:val="none"/>
        </w:rPr>
      </w:pPr>
      <w:r>
        <w:rPr>
          <w:rFonts w:hint="eastAsia" w:ascii="宋体" w:hAnsi="宋体" w:cs="宋体"/>
          <w:color w:val="000000" w:themeColor="text1"/>
          <w:highlight w:val="none"/>
        </w:rPr>
        <w:t>甲方：（盖章）乙方：（盖章）</w:t>
      </w:r>
    </w:p>
    <w:p w14:paraId="528F2E17">
      <w:pPr>
        <w:pStyle w:val="25"/>
        <w:ind w:firstLineChars="0"/>
        <w:rPr>
          <w:rFonts w:ascii="宋体" w:hAnsi="宋体" w:cs="宋体"/>
          <w:color w:val="000000" w:themeColor="text1"/>
          <w:highlight w:val="none"/>
        </w:rPr>
      </w:pPr>
      <w:r>
        <w:rPr>
          <w:rFonts w:hint="eastAsia" w:ascii="宋体" w:hAnsi="宋体" w:cs="宋体"/>
          <w:color w:val="000000" w:themeColor="text1"/>
          <w:highlight w:val="none"/>
        </w:rPr>
        <w:t>地址：地址：</w:t>
      </w:r>
    </w:p>
    <w:p w14:paraId="46FA9A33">
      <w:pPr>
        <w:pStyle w:val="25"/>
        <w:ind w:firstLineChars="0"/>
        <w:rPr>
          <w:rFonts w:ascii="宋体" w:hAnsi="宋体" w:cs="宋体"/>
          <w:color w:val="000000" w:themeColor="text1"/>
          <w:highlight w:val="none"/>
        </w:rPr>
      </w:pPr>
      <w:r>
        <w:rPr>
          <w:rFonts w:hint="eastAsia" w:ascii="宋体" w:hAnsi="宋体" w:cs="宋体"/>
          <w:color w:val="000000" w:themeColor="text1"/>
          <w:highlight w:val="none"/>
        </w:rPr>
        <w:t>法定代表人或授权签字代表：法定代表人或授权签字代表：</w:t>
      </w:r>
    </w:p>
    <w:p w14:paraId="24BA35E8">
      <w:pPr>
        <w:pStyle w:val="25"/>
        <w:ind w:firstLineChars="0"/>
        <w:rPr>
          <w:rFonts w:ascii="宋体" w:hAnsi="宋体" w:cs="宋体"/>
          <w:color w:val="000000" w:themeColor="text1"/>
          <w:highlight w:val="none"/>
        </w:rPr>
      </w:pPr>
      <w:r>
        <w:rPr>
          <w:rFonts w:hint="eastAsia" w:ascii="宋体" w:hAnsi="宋体" w:cs="宋体"/>
          <w:color w:val="000000" w:themeColor="text1"/>
          <w:highlight w:val="none"/>
        </w:rPr>
        <w:t>签订日期：年月日签订日期：年月日</w:t>
      </w:r>
    </w:p>
    <w:p w14:paraId="60C935E6">
      <w:pPr>
        <w:pStyle w:val="25"/>
        <w:ind w:firstLineChars="0"/>
        <w:rPr>
          <w:rFonts w:ascii="宋体" w:hAnsi="宋体" w:cs="宋体"/>
          <w:color w:val="000000" w:themeColor="text1"/>
          <w:highlight w:val="none"/>
        </w:rPr>
      </w:pPr>
    </w:p>
    <w:p w14:paraId="1DDF1E7E">
      <w:pPr>
        <w:pStyle w:val="25"/>
        <w:ind w:firstLineChars="0"/>
        <w:rPr>
          <w:rFonts w:ascii="宋体" w:hAnsi="宋体" w:cs="宋体"/>
          <w:color w:val="000000" w:themeColor="text1"/>
          <w:highlight w:val="none"/>
        </w:rPr>
      </w:pPr>
      <w:r>
        <w:rPr>
          <w:rFonts w:hint="eastAsia" w:ascii="宋体" w:hAnsi="宋体" w:cs="宋体"/>
          <w:color w:val="000000" w:themeColor="text1"/>
          <w:highlight w:val="none"/>
        </w:rPr>
        <w:t>甲方收款银行：乙方收款银行：</w:t>
      </w:r>
    </w:p>
    <w:p w14:paraId="7235D730">
      <w:pPr>
        <w:pStyle w:val="25"/>
        <w:ind w:firstLineChars="0"/>
        <w:rPr>
          <w:rFonts w:ascii="宋体" w:hAnsi="宋体" w:cs="宋体"/>
          <w:color w:val="000000" w:themeColor="text1"/>
          <w:highlight w:val="none"/>
        </w:rPr>
      </w:pPr>
      <w:r>
        <w:rPr>
          <w:rFonts w:hint="eastAsia" w:ascii="宋体" w:hAnsi="宋体" w:cs="宋体"/>
          <w:color w:val="000000" w:themeColor="text1"/>
          <w:highlight w:val="none"/>
        </w:rPr>
        <w:t>甲方收款开户账号：乙方收款开户账号：</w:t>
      </w:r>
    </w:p>
    <w:p w14:paraId="6C6DD989">
      <w:pPr>
        <w:spacing w:line="360" w:lineRule="auto"/>
        <w:ind w:left="645"/>
        <w:rPr>
          <w:color w:val="000000" w:themeColor="text1"/>
          <w:highlight w:val="none"/>
        </w:rPr>
      </w:pPr>
      <w:r>
        <w:rPr>
          <w:b/>
          <w:color w:val="000000" w:themeColor="text1"/>
          <w:highlight w:val="none"/>
        </w:rPr>
        <w:t>注：本合同为示范文本，具体以中标人与采购人所签定正式合同为准。</w:t>
      </w:r>
    </w:p>
    <w:p w14:paraId="28551CB2">
      <w:pPr>
        <w:jc w:val="center"/>
        <w:rPr>
          <w:rFonts w:hint="eastAsia" w:ascii="Times New Roman" w:hAnsi="Times New Roman" w:eastAsia="宋体" w:cs="Times New Roman"/>
          <w:color w:val="000000" w:themeColor="text1"/>
          <w:sz w:val="32"/>
          <w:szCs w:val="32"/>
          <w:lang w:eastAsia="zh-CN"/>
        </w:rPr>
      </w:pPr>
      <w:r>
        <w:rPr>
          <w:rFonts w:hint="eastAsia" w:ascii="Times New Roman" w:hAnsi="Times New Roman" w:cs="Times New Roman"/>
          <w:b/>
          <w:bCs/>
          <w:color w:val="000000" w:themeColor="text1"/>
          <w:sz w:val="32"/>
          <w:szCs w:val="32"/>
          <w:lang w:eastAsia="zh-CN"/>
        </w:rPr>
        <w:t>（</w:t>
      </w:r>
      <w:r>
        <w:rPr>
          <w:rFonts w:hint="eastAsia" w:ascii="Times New Roman" w:hAnsi="Times New Roman" w:cs="Times New Roman"/>
          <w:b/>
          <w:bCs/>
          <w:color w:val="000000" w:themeColor="text1"/>
          <w:sz w:val="32"/>
          <w:szCs w:val="32"/>
          <w:lang w:val="en-US" w:eastAsia="zh-CN"/>
        </w:rPr>
        <w:t>标项二</w:t>
      </w:r>
      <w:r>
        <w:rPr>
          <w:rFonts w:hint="eastAsia" w:ascii="Times New Roman" w:hAnsi="Times New Roman" w:cs="Times New Roman"/>
          <w:b/>
          <w:bCs/>
          <w:color w:val="000000" w:themeColor="text1"/>
          <w:sz w:val="32"/>
          <w:szCs w:val="32"/>
          <w:lang w:eastAsia="zh-CN"/>
        </w:rPr>
        <w:t>）</w:t>
      </w:r>
    </w:p>
    <w:p w14:paraId="0D4EDF61">
      <w:pPr>
        <w:pStyle w:val="17"/>
        <w:spacing w:line="360" w:lineRule="auto"/>
        <w:ind w:right="-341" w:firstLine="0" w:firstLineChars="0"/>
        <w:jc w:val="center"/>
        <w:rPr>
          <w:color w:val="000000" w:themeColor="text1"/>
        </w:rPr>
      </w:pPr>
      <w:r>
        <w:rPr>
          <w:color w:val="000000" w:themeColor="text1"/>
        </w:rPr>
        <w:t>（此合同仅供参</w:t>
      </w:r>
      <w:r>
        <w:rPr>
          <w:color w:val="000000" w:themeColor="text1"/>
          <w:szCs w:val="22"/>
        </w:rPr>
        <w:t>考,以最终双方签订的合同为准）</w:t>
      </w:r>
    </w:p>
    <w:p w14:paraId="58DAE25E">
      <w:pPr>
        <w:widowControl/>
        <w:snapToGrid/>
        <w:spacing w:line="360" w:lineRule="auto"/>
        <w:ind w:firstLine="0" w:firstLineChars="0"/>
        <w:jc w:val="left"/>
        <w:textAlignment w:val="auto"/>
        <w:rPr>
          <w:rFonts w:ascii="Times New Roman" w:hAnsi="Times New Roman" w:cs="Times New Roman"/>
          <w:color w:val="000000" w:themeColor="text1"/>
          <w:sz w:val="21"/>
          <w:u w:val="none"/>
        </w:rPr>
      </w:pPr>
      <w:r>
        <w:rPr>
          <w:rFonts w:ascii="Times New Roman" w:hAnsi="Times New Roman" w:cs="Times New Roman"/>
          <w:color w:val="000000" w:themeColor="text1"/>
        </w:rPr>
        <w:t>甲方（采购单位）：</w:t>
      </w:r>
    </w:p>
    <w:p w14:paraId="475ECA37">
      <w:pPr>
        <w:widowControl/>
        <w:snapToGrid/>
        <w:spacing w:line="360" w:lineRule="auto"/>
        <w:ind w:firstLine="0" w:firstLineChars="0"/>
        <w:jc w:val="left"/>
        <w:textAlignment w:val="auto"/>
        <w:rPr>
          <w:rFonts w:ascii="Times New Roman" w:hAnsi="Times New Roman" w:cs="Times New Roman"/>
          <w:color w:val="000000" w:themeColor="text1"/>
          <w:spacing w:val="0"/>
          <w:sz w:val="21"/>
        </w:rPr>
      </w:pPr>
      <w:r>
        <w:rPr>
          <w:rFonts w:ascii="Times New Roman" w:hAnsi="Times New Roman" w:cs="Times New Roman"/>
          <w:color w:val="000000" w:themeColor="text1"/>
        </w:rPr>
        <w:t>乙方（中标单位）：</w:t>
      </w:r>
    </w:p>
    <w:p w14:paraId="1EC842FF">
      <w:pPr>
        <w:widowControl/>
        <w:spacing w:line="360" w:lineRule="auto"/>
        <w:ind w:firstLine="420" w:firstLineChars="200"/>
        <w:jc w:val="left"/>
        <w:rPr>
          <w:rFonts w:ascii="Times New Roman" w:hAnsi="Times New Roman" w:cs="Times New Roman"/>
          <w:color w:val="000000" w:themeColor="text1"/>
          <w:spacing w:val="0"/>
        </w:rPr>
      </w:pPr>
      <w:r>
        <w:rPr>
          <w:rFonts w:hint="default" w:ascii="Times New Roman" w:hAnsi="Times New Roman" w:cs="Times New Roman"/>
          <w:color w:val="000000" w:themeColor="text1"/>
          <w:spacing w:val="0"/>
        </w:rPr>
        <w:t>本章所述《合同主要条款》为指引性文件。在合同签订时，采购人有权合理修改本合同条款。若采购人和成交人双方同意，合同格式也可以按照其他形式。合同条款的基本内容与本章所述《合同主要条款》要求的内同相一致，同时采购文件及其答疑、补充、修改；成交人的响应文件正本；供应商在评审答疑时的书面澄清或说明；成交通知书等文件是构成合同不可分割的部分。</w:t>
      </w:r>
    </w:p>
    <w:p w14:paraId="69CEE51E">
      <w:pPr>
        <w:widowControl/>
        <w:spacing w:before="0" w:after="0" w:line="360" w:lineRule="auto"/>
        <w:ind w:firstLine="420" w:firstLineChars="200"/>
        <w:jc w:val="left"/>
        <w:rPr>
          <w:rFonts w:hint="default" w:ascii="Times New Roman" w:hAnsi="Times New Roman" w:eastAsia="宋体" w:cs="Times New Roman"/>
          <w:color w:val="000000" w:themeColor="text1"/>
          <w:spacing w:val="0"/>
          <w:lang w:eastAsia="zh-CN"/>
        </w:rPr>
      </w:pPr>
      <w:r>
        <w:rPr>
          <w:rFonts w:hint="default" w:ascii="Times New Roman" w:hAnsi="Times New Roman" w:cs="Times New Roman"/>
          <w:color w:val="000000" w:themeColor="text1"/>
          <w:spacing w:val="0"/>
        </w:rPr>
        <w:t>项目名称：</w:t>
      </w:r>
      <w:r>
        <w:rPr>
          <w:rFonts w:hint="default" w:ascii="Times New Roman" w:hAnsi="Times New Roman" w:cs="Times New Roman"/>
          <w:color w:val="000000" w:themeColor="text1"/>
          <w:spacing w:val="0"/>
          <w:lang w:eastAsia="zh-CN"/>
        </w:rPr>
        <w:t>舟山生态大楼颗粒物组分站、光化学站质控巡检项目</w:t>
      </w:r>
    </w:p>
    <w:p w14:paraId="7106A880">
      <w:pPr>
        <w:spacing w:line="240" w:lineRule="auto"/>
        <w:ind w:firstLine="396" w:firstLineChars="200"/>
        <w:jc w:val="left"/>
        <w:rPr>
          <w:rFonts w:ascii="宋体" w:hAnsi="宋体" w:cs="宋体"/>
          <w:color w:val="000000" w:themeColor="text1"/>
          <w:spacing w:val="-6"/>
          <w:highlight w:val="none"/>
        </w:rPr>
      </w:pPr>
      <w:r>
        <w:rPr>
          <w:rFonts w:hint="eastAsia" w:ascii="宋体" w:hAnsi="宋体" w:cs="宋体"/>
          <w:color w:val="000000" w:themeColor="text1"/>
          <w:spacing w:val="-6"/>
          <w:highlight w:val="none"/>
        </w:rPr>
        <w:t>项目编号：</w:t>
      </w:r>
    </w:p>
    <w:p w14:paraId="46062996">
      <w:pPr>
        <w:spacing w:line="240" w:lineRule="auto"/>
        <w:ind w:firstLine="396" w:firstLineChars="200"/>
        <w:jc w:val="left"/>
        <w:rPr>
          <w:rFonts w:ascii="宋体" w:hAnsi="宋体" w:cs="宋体"/>
          <w:color w:val="000000" w:themeColor="text1"/>
          <w:spacing w:val="-6"/>
          <w:highlight w:val="none"/>
        </w:rPr>
      </w:pPr>
    </w:p>
    <w:p w14:paraId="3EEEABBF">
      <w:pPr>
        <w:spacing w:line="240" w:lineRule="auto"/>
        <w:ind w:firstLine="396" w:firstLineChars="200"/>
        <w:jc w:val="left"/>
        <w:rPr>
          <w:rFonts w:ascii="宋体" w:hAnsi="宋体" w:cs="宋体"/>
          <w:color w:val="000000" w:themeColor="text1"/>
          <w:spacing w:val="-6"/>
          <w:highlight w:val="none"/>
        </w:rPr>
      </w:pPr>
      <w:r>
        <w:rPr>
          <w:rFonts w:hint="eastAsia" w:ascii="宋体" w:hAnsi="宋体" w:cs="宋体"/>
          <w:color w:val="000000" w:themeColor="text1"/>
          <w:spacing w:val="-6"/>
          <w:highlight w:val="none"/>
        </w:rPr>
        <w:t>甲、乙双方根据项目采购的结果，签署本合同。</w:t>
      </w:r>
    </w:p>
    <w:p w14:paraId="1CF0284C">
      <w:pPr>
        <w:widowControl/>
        <w:jc w:val="left"/>
        <w:rPr>
          <w:rFonts w:ascii="宋体" w:hAnsi="宋体" w:cs="宋体"/>
          <w:b/>
          <w:color w:val="000000" w:themeColor="text1"/>
          <w:kern w:val="0"/>
          <w:highlight w:val="none"/>
        </w:rPr>
      </w:pPr>
    </w:p>
    <w:p w14:paraId="273099F9">
      <w:pPr>
        <w:widowControl/>
        <w:numPr>
          <w:ilvl w:val="0"/>
          <w:numId w:val="10"/>
        </w:numPr>
        <w:ind w:firstLine="422" w:firstLineChars="200"/>
        <w:jc w:val="left"/>
        <w:rPr>
          <w:rFonts w:ascii="宋体" w:hAnsi="宋体" w:cs="宋体"/>
          <w:b/>
          <w:color w:val="000000" w:themeColor="text1"/>
          <w:kern w:val="0"/>
          <w:highlight w:val="none"/>
        </w:rPr>
      </w:pPr>
      <w:r>
        <w:rPr>
          <w:rFonts w:hint="eastAsia" w:ascii="宋体" w:hAnsi="宋体" w:cs="宋体"/>
          <w:b/>
          <w:color w:val="000000" w:themeColor="text1"/>
          <w:kern w:val="0"/>
          <w:highlight w:val="none"/>
        </w:rPr>
        <w:t>合同金额及支付方式</w:t>
      </w:r>
    </w:p>
    <w:p w14:paraId="42B04F98">
      <w:pPr>
        <w:pStyle w:val="168"/>
        <w:snapToGrid w:val="0"/>
        <w:spacing w:line="360" w:lineRule="auto"/>
        <w:ind w:firstLine="420" w:firstLineChars="200"/>
        <w:rPr>
          <w:rFonts w:ascii="Times New Roman" w:hAnsi="Times New Roman" w:eastAsia="宋体" w:cs="Times New Roman"/>
          <w:color w:val="000000" w:themeColor="text1"/>
          <w:spacing w:val="0"/>
          <w:kern w:val="2"/>
          <w:sz w:val="21"/>
          <w:szCs w:val="21"/>
          <w:lang w:eastAsia="zh-CN"/>
        </w:rPr>
      </w:pPr>
      <w:r>
        <w:rPr>
          <w:rFonts w:hint="default" w:ascii="Times New Roman" w:hAnsi="Times New Roman" w:eastAsia="宋体" w:cs="Times New Roman"/>
          <w:color w:val="000000" w:themeColor="text1"/>
          <w:spacing w:val="0"/>
          <w:kern w:val="2"/>
          <w:sz w:val="21"/>
          <w:szCs w:val="21"/>
          <w:lang w:eastAsia="zh-CN"/>
        </w:rPr>
        <w:t>1、合同金额为（大写）元（￥元）人民币。</w:t>
      </w:r>
    </w:p>
    <w:p w14:paraId="1DC70A8F">
      <w:pPr>
        <w:pStyle w:val="2"/>
        <w:widowControl/>
        <w:spacing w:line="360" w:lineRule="auto"/>
        <w:ind w:firstLine="420" w:firstLineChars="200"/>
        <w:rPr>
          <w:rFonts w:ascii="Times New Roman" w:hAnsi="Times New Roman" w:cs="Times New Roman"/>
          <w:color w:val="000000" w:themeColor="text1"/>
          <w:kern w:val="2"/>
          <w:sz w:val="21"/>
          <w:szCs w:val="21"/>
        </w:rPr>
      </w:pPr>
      <w:r>
        <w:rPr>
          <w:rFonts w:hint="default" w:ascii="Times New Roman" w:hAnsi="Times New Roman" w:cs="Times New Roman"/>
          <w:color w:val="000000" w:themeColor="text1"/>
          <w:kern w:val="2"/>
          <w:sz w:val="21"/>
          <w:szCs w:val="21"/>
        </w:rPr>
        <w:t>2、支付方式：</w:t>
      </w:r>
    </w:p>
    <w:p w14:paraId="0EB1EBD4">
      <w:pPr>
        <w:adjustRightInd w:val="0"/>
        <w:snapToGrid w:val="0"/>
        <w:spacing w:line="360" w:lineRule="auto"/>
        <w:ind w:firstLine="420" w:firstLineChars="200"/>
        <w:rPr>
          <w:rFonts w:ascii="Times New Roman" w:hAnsi="Times New Roman" w:cs="Times New Roman"/>
          <w:color w:val="000000" w:themeColor="text1"/>
        </w:rPr>
      </w:pPr>
      <w:r>
        <w:rPr>
          <w:rFonts w:hint="default" w:ascii="Times New Roman" w:hAnsi="Times New Roman" w:cs="Times New Roman"/>
          <w:color w:val="000000" w:themeColor="text1"/>
        </w:rPr>
        <w:t>合同签订后7个工作日内，支付合同总价的70%作为预付款，服务期满并通过考核，支付合同总价剩余的30%，如有罚款，则在余款中扣除。</w:t>
      </w:r>
    </w:p>
    <w:p w14:paraId="266D1310">
      <w:pPr>
        <w:adjustRightInd w:val="0"/>
        <w:snapToGrid w:val="0"/>
        <w:spacing w:line="360" w:lineRule="auto"/>
        <w:ind w:firstLine="420" w:firstLineChars="200"/>
        <w:rPr>
          <w:rFonts w:ascii="Times New Roman" w:hAnsi="Times New Roman" w:cs="Times New Roman"/>
          <w:color w:val="000000" w:themeColor="text1"/>
          <w:lang w:val="en-US"/>
        </w:rPr>
      </w:pPr>
      <w:r>
        <w:rPr>
          <w:rFonts w:hint="default" w:ascii="Times New Roman" w:hAnsi="Times New Roman" w:cs="Times New Roman"/>
          <w:color w:val="000000" w:themeColor="text1"/>
        </w:rPr>
        <w:t>3、</w:t>
      </w:r>
      <w:r>
        <w:rPr>
          <w:rFonts w:hint="default" w:ascii="Times New Roman" w:hAnsi="Times New Roman" w:cs="Times New Roman"/>
          <w:color w:val="000000" w:themeColor="text1"/>
          <w:lang w:val="en-US"/>
        </w:rPr>
        <w:t>付款按财政政策执行，因服务商未按合同履行维保任务或考核不合格以及不符合财政资金支付时间要求等原因造成不能及时付款的，采购方不承担责任。</w:t>
      </w:r>
    </w:p>
    <w:p w14:paraId="36DBC8C3">
      <w:pPr>
        <w:pStyle w:val="25"/>
        <w:spacing w:line="240" w:lineRule="auto"/>
        <w:ind w:firstLine="211"/>
        <w:rPr>
          <w:b/>
          <w:bCs/>
          <w:color w:val="000000" w:themeColor="text1"/>
          <w:highlight w:val="none"/>
        </w:rPr>
      </w:pPr>
      <w:r>
        <w:rPr>
          <w:rFonts w:hint="eastAsia"/>
          <w:b/>
          <w:bCs/>
          <w:color w:val="000000" w:themeColor="text1"/>
          <w:highlight w:val="none"/>
        </w:rPr>
        <w:t>注：付款前乙方应按甲方开具正规发票。</w:t>
      </w:r>
    </w:p>
    <w:p w14:paraId="5007B173">
      <w:pPr>
        <w:widowControl/>
        <w:spacing w:line="24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4、甲方应付合同款至以下乙方指定的银行账户：</w:t>
      </w:r>
    </w:p>
    <w:p w14:paraId="5788A6B8">
      <w:pPr>
        <w:widowControl/>
        <w:spacing w:line="240" w:lineRule="auto"/>
        <w:ind w:firstLine="420" w:firstLineChars="200"/>
        <w:jc w:val="left"/>
        <w:rPr>
          <w:rFonts w:ascii="宋体" w:hAnsi="宋体" w:cs="宋体"/>
          <w:color w:val="000000" w:themeColor="text1"/>
          <w:highlight w:val="none"/>
          <w:u w:val="single"/>
        </w:rPr>
      </w:pPr>
      <w:r>
        <w:rPr>
          <w:rFonts w:hint="eastAsia" w:ascii="宋体" w:hAnsi="宋体" w:cs="宋体"/>
          <w:color w:val="000000" w:themeColor="text1"/>
          <w:kern w:val="0"/>
          <w:highlight w:val="none"/>
        </w:rPr>
        <w:t>开户名称：</w:t>
      </w:r>
      <w:r>
        <w:rPr>
          <w:rFonts w:hint="eastAsia" w:ascii="宋体" w:hAnsi="宋体" w:cs="宋体"/>
          <w:color w:val="000000" w:themeColor="text1"/>
          <w:kern w:val="0"/>
          <w:highlight w:val="none"/>
          <w:u w:val="single"/>
        </w:rPr>
        <w:t>【】</w:t>
      </w:r>
    </w:p>
    <w:p w14:paraId="7EDE53BA">
      <w:pPr>
        <w:widowControl/>
        <w:spacing w:line="24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开户银行：</w:t>
      </w:r>
      <w:r>
        <w:rPr>
          <w:rFonts w:hint="eastAsia" w:ascii="宋体" w:hAnsi="宋体" w:cs="宋体"/>
          <w:color w:val="000000" w:themeColor="text1"/>
          <w:kern w:val="0"/>
          <w:highlight w:val="none"/>
          <w:u w:val="single"/>
        </w:rPr>
        <w:t>【】</w:t>
      </w:r>
    </w:p>
    <w:p w14:paraId="14BFA1A4">
      <w:pPr>
        <w:widowControl/>
        <w:spacing w:line="24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账号：</w:t>
      </w:r>
      <w:r>
        <w:rPr>
          <w:rFonts w:hint="eastAsia" w:ascii="宋体" w:hAnsi="宋体" w:cs="宋体"/>
          <w:color w:val="000000" w:themeColor="text1"/>
          <w:kern w:val="0"/>
          <w:highlight w:val="none"/>
          <w:u w:val="single"/>
        </w:rPr>
        <w:t>【】</w:t>
      </w:r>
    </w:p>
    <w:p w14:paraId="077B4D55">
      <w:pPr>
        <w:widowControl/>
        <w:spacing w:line="24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三、本合同履行期限、地点</w:t>
      </w:r>
    </w:p>
    <w:p w14:paraId="0945127B">
      <w:pPr>
        <w:widowControl/>
        <w:spacing w:line="24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履行期限：【】</w:t>
      </w:r>
    </w:p>
    <w:p w14:paraId="40918FC0">
      <w:pPr>
        <w:widowControl/>
        <w:spacing w:line="24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履行地点：【】</w:t>
      </w:r>
    </w:p>
    <w:p w14:paraId="164AF1AE">
      <w:pPr>
        <w:widowControl/>
        <w:spacing w:line="240" w:lineRule="auto"/>
        <w:ind w:firstLine="422" w:firstLineChars="200"/>
        <w:jc w:val="left"/>
        <w:rPr>
          <w:rFonts w:ascii="宋体" w:hAnsi="宋体" w:cs="宋体"/>
          <w:b/>
          <w:color w:val="000000" w:themeColor="text1"/>
          <w:kern w:val="0"/>
          <w:highlight w:val="none"/>
        </w:rPr>
      </w:pPr>
      <w:r>
        <w:rPr>
          <w:rFonts w:hint="eastAsia" w:ascii="宋体" w:hAnsi="宋体" w:cs="宋体"/>
          <w:b/>
          <w:color w:val="000000" w:themeColor="text1"/>
          <w:kern w:val="0"/>
          <w:highlight w:val="none"/>
        </w:rPr>
        <w:t>四、项目内容</w:t>
      </w:r>
    </w:p>
    <w:p w14:paraId="6E28C1A0">
      <w:pPr>
        <w:widowControl/>
        <w:adjustRightInd/>
        <w:snapToGrid/>
        <w:spacing w:before="0" w:after="0" w:line="360" w:lineRule="auto"/>
        <w:ind w:firstLine="420" w:firstLineChars="200"/>
        <w:rPr>
          <w:rFonts w:hint="eastAsia" w:ascii="宋体" w:hAnsi="宋体" w:cs="宋体"/>
          <w:color w:val="000000" w:themeColor="text1"/>
          <w:kern w:val="0"/>
          <w:szCs w:val="21"/>
          <w:highlight w:val="none"/>
        </w:rPr>
      </w:pPr>
      <w:r>
        <w:rPr>
          <w:rFonts w:ascii="Times New Roman" w:hAnsi="Times New Roman" w:eastAsia="宋体" w:cs="Times New Roman"/>
          <w:color w:val="000000" w:themeColor="text1"/>
          <w:szCs w:val="21"/>
        </w:rPr>
        <w:t>舟山市生态大楼颗粒物组分站包含4台颗粒物仪器：PM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颗粒物分析仪、颗粒物在线离子色谱仪、OC/EC分析仪和大气颗粒物重金属仪，光化学站包含</w:t>
      </w:r>
      <w:r>
        <w:rPr>
          <w:rFonts w:hint="eastAsia" w:ascii="Times New Roman" w:hAnsi="Times New Roman" w:eastAsia="宋体" w:cs="Times New Roman"/>
          <w:color w:val="000000" w:themeColor="text1"/>
          <w:szCs w:val="21"/>
        </w:rPr>
        <w:t>8</w:t>
      </w:r>
      <w:r>
        <w:rPr>
          <w:rFonts w:ascii="Times New Roman" w:hAnsi="Times New Roman" w:eastAsia="宋体" w:cs="Times New Roman"/>
          <w:color w:val="000000" w:themeColor="text1"/>
          <w:szCs w:val="21"/>
        </w:rPr>
        <w:t>台空气自动监测仪器：空气质量常规六参数分析仪、甲烷非甲烷总烃分析仪和VOCs在线分析仪。根据采购方需求，项目服务期间选择适当时间，对颗粒物站及光化学站进行一年2次常规巡检和1次现场质控检查，每次检查结束后完成现场检查报告（内容包括半年度及年度检查报告汇总、运维单位工作评价等）。</w:t>
      </w:r>
    </w:p>
    <w:p w14:paraId="74D9676F">
      <w:pPr>
        <w:pStyle w:val="167"/>
        <w:widowControl/>
        <w:numPr>
          <w:ilvl w:val="255"/>
          <w:numId w:val="0"/>
        </w:numPr>
        <w:spacing w:line="360" w:lineRule="auto"/>
        <w:ind w:left="42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五、技术要求</w:t>
      </w:r>
    </w:p>
    <w:p w14:paraId="70C046D3">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本项目工作开展需符合《环境空气质量监测技术规范》、《环境空气气态污染物（SO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、NO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、O</w:t>
      </w:r>
      <w:r>
        <w:rPr>
          <w:rFonts w:ascii="Times New Roman" w:hAnsi="Times New Roman" w:eastAsia="宋体" w:cs="Times New Roman"/>
          <w:color w:val="000000" w:themeColor="text1"/>
          <w:szCs w:val="21"/>
          <w:vertAlign w:val="subscript"/>
        </w:rPr>
        <w:t>3</w:t>
      </w:r>
      <w:r>
        <w:rPr>
          <w:rFonts w:ascii="Times New Roman" w:hAnsi="Times New Roman" w:eastAsia="宋体" w:cs="Times New Roman"/>
          <w:color w:val="000000" w:themeColor="text1"/>
          <w:szCs w:val="21"/>
        </w:rPr>
        <w:t>、CO）连续自动监测系统运行与质控技术规范》（HJ818-2018）、《环境空气颗粒物（PM</w:t>
      </w:r>
      <w:r>
        <w:rPr>
          <w:rFonts w:ascii="Times New Roman" w:hAnsi="Times New Roman" w:eastAsia="宋体" w:cs="Times New Roman"/>
          <w:color w:val="000000" w:themeColor="text1"/>
          <w:szCs w:val="21"/>
          <w:vertAlign w:val="subscript"/>
        </w:rPr>
        <w:t>10</w:t>
      </w:r>
      <w:r>
        <w:rPr>
          <w:rFonts w:ascii="Times New Roman" w:hAnsi="Times New Roman" w:eastAsia="宋体" w:cs="Times New Roman"/>
          <w:color w:val="000000" w:themeColor="text1"/>
          <w:szCs w:val="21"/>
        </w:rPr>
        <w:t>和PM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连续自动监测系统运行和质控技术规范》（HJ817-2018）、《国家环境空气监测网环境空气挥发性有机物连续自动监测质量控制技术规定(试行)》、《环境空气非甲烷总烃连续自动监测技术规定（试行）》、《环境空气颗粒物（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）中水溶性离子连续自动监测技术规范》（HJ 1328—2023）、《环境空气颗粒物（PM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）中无机元素连续自动监测技术规范》（HJ 1329—2023）、《环境空气颗粒物（PM</w:t>
      </w:r>
      <w:r>
        <w:rPr>
          <w:rFonts w:ascii="Times New Roman" w:hAnsi="Times New Roman" w:eastAsia="宋体" w:cs="Times New Roman"/>
          <w:color w:val="000000" w:themeColor="text1"/>
          <w:szCs w:val="21"/>
          <w:vertAlign w:val="subscript"/>
        </w:rPr>
        <w:t>2.5</w:t>
      </w:r>
      <w:r>
        <w:rPr>
          <w:rFonts w:ascii="Times New Roman" w:hAnsi="Times New Roman" w:eastAsia="宋体" w:cs="Times New Roman"/>
          <w:color w:val="000000" w:themeColor="text1"/>
          <w:szCs w:val="21"/>
        </w:rPr>
        <w:t>）中有机碳和元素碳连续自动监测技术规范》（HJ 1327—2023）、《浙江省环境空气质量自动监测系统运行管理细则》和《浙江省生态环境监测中心关于加强全省环境空气自动监测系统相关工作的通知》等相关技术规范和管理细则要求。</w:t>
      </w:r>
    </w:p>
    <w:p w14:paraId="15732357">
      <w:pPr>
        <w:widowControl/>
        <w:spacing w:line="360" w:lineRule="auto"/>
        <w:ind w:firstLine="420" w:firstLineChars="200"/>
        <w:rPr>
          <w:rFonts w:ascii="Times New Roman" w:hAnsi="Times New Roman" w:eastAsia="宋体" w:cs="Times New Roman"/>
          <w:color w:val="000000" w:themeColor="text1"/>
          <w:kern w:val="1"/>
          <w:szCs w:val="21"/>
        </w:rPr>
      </w:pPr>
      <w:r>
        <w:rPr>
          <w:rFonts w:ascii="Times New Roman" w:hAnsi="Times New Roman" w:eastAsia="宋体" w:cs="Times New Roman"/>
          <w:color w:val="000000" w:themeColor="text1"/>
          <w:szCs w:val="21"/>
        </w:rPr>
        <w:t>巡检内容：</w:t>
      </w:r>
      <w:r>
        <w:rPr>
          <w:rFonts w:ascii="Times New Roman" w:hAnsi="Times New Roman" w:eastAsia="宋体" w:cs="Times New Roman"/>
          <w:color w:val="000000" w:themeColor="text1"/>
          <w:kern w:val="1"/>
          <w:szCs w:val="21"/>
        </w:rPr>
        <w:t>站房及辅助设备巡查、监测系统巡查及运维情况巡查，确保所有环境空气自动监测站流量计、臭氧光度计、校准仪、</w:t>
      </w:r>
      <w:r>
        <w:rPr>
          <w:rFonts w:ascii="Times New Roman" w:hAnsi="Times New Roman" w:eastAsia="宋体" w:cs="Times New Roman"/>
          <w:color w:val="000000" w:themeColor="text1"/>
          <w:szCs w:val="21"/>
        </w:rPr>
        <w:t>SO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、CO、O</w:t>
      </w:r>
      <w:r>
        <w:rPr>
          <w:rFonts w:ascii="Times New Roman" w:hAnsi="Times New Roman" w:eastAsia="宋体" w:cs="Times New Roman"/>
          <w:color w:val="000000" w:themeColor="text1"/>
          <w:szCs w:val="21"/>
          <w:vertAlign w:val="subscript"/>
        </w:rPr>
        <w:t>3</w:t>
      </w:r>
      <w:r>
        <w:rPr>
          <w:rFonts w:ascii="Times New Roman" w:hAnsi="Times New Roman" w:eastAsia="宋体" w:cs="Times New Roman"/>
          <w:color w:val="000000" w:themeColor="text1"/>
          <w:szCs w:val="21"/>
        </w:rPr>
        <w:t>、NO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、NMHC、VOCs等气态仪器、</w:t>
      </w:r>
      <w:r>
        <w:rPr>
          <w:rFonts w:ascii="Times New Roman" w:hAnsi="Times New Roman" w:eastAsia="宋体" w:cs="Times New Roman"/>
          <w:color w:val="000000" w:themeColor="text1"/>
          <w:kern w:val="1"/>
          <w:szCs w:val="21"/>
        </w:rPr>
        <w:t>颗粒物在线监测设备等各项监测仪器正常稳定运行并与相关生态环境部门正常联网，且符合浙江省相关技术规范和管理细则要求，各类记录齐全，包括：每周巡查结果记录表、仪器设备维护记录表、备件耗材更换记录表、故障处理申报表、质控检查结果记录表、异常情况登记表等。</w:t>
      </w:r>
    </w:p>
    <w:p w14:paraId="6366BE65">
      <w:pPr>
        <w:widowControl/>
        <w:spacing w:line="360" w:lineRule="auto"/>
        <w:ind w:firstLine="420" w:firstLineChars="200"/>
        <w:rPr>
          <w:rFonts w:ascii="Times New Roman" w:hAnsi="Times New Roman" w:eastAsia="宋体" w:cs="Times New Roman"/>
          <w:color w:val="000000" w:themeColor="text1"/>
          <w:kern w:val="1"/>
          <w:szCs w:val="21"/>
        </w:rPr>
      </w:pPr>
      <w:r>
        <w:rPr>
          <w:rFonts w:ascii="Times New Roman" w:hAnsi="Times New Roman" w:eastAsia="宋体" w:cs="Times New Roman"/>
          <w:color w:val="000000" w:themeColor="text1"/>
          <w:szCs w:val="21"/>
        </w:rPr>
        <w:t>质控内容：</w:t>
      </w:r>
      <w:r>
        <w:rPr>
          <w:rFonts w:ascii="Times New Roman" w:hAnsi="Times New Roman" w:eastAsia="宋体" w:cs="Times New Roman"/>
          <w:color w:val="000000" w:themeColor="text1"/>
          <w:kern w:val="1"/>
          <w:szCs w:val="21"/>
        </w:rPr>
        <w:t>对环境空气自动监测站各项监测仪器进行现场质控考核及考核报告，其中</w:t>
      </w:r>
      <w:r>
        <w:rPr>
          <w:rFonts w:ascii="Times New Roman" w:hAnsi="Times New Roman" w:eastAsia="宋体" w:cs="Times New Roman"/>
          <w:color w:val="000000" w:themeColor="text1"/>
          <w:szCs w:val="21"/>
        </w:rPr>
        <w:t>流量计、臭氧光度计、校准仪等，与相关标准进行比对追溯校验，SO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、CO、O</w:t>
      </w:r>
      <w:r>
        <w:rPr>
          <w:rFonts w:ascii="Times New Roman" w:hAnsi="Times New Roman" w:eastAsia="宋体" w:cs="Times New Roman"/>
          <w:color w:val="000000" w:themeColor="text1"/>
          <w:szCs w:val="21"/>
          <w:vertAlign w:val="subscript"/>
        </w:rPr>
        <w:t>3</w:t>
      </w:r>
      <w:r>
        <w:rPr>
          <w:rFonts w:ascii="Times New Roman" w:hAnsi="Times New Roman" w:eastAsia="宋体" w:cs="Times New Roman"/>
          <w:color w:val="000000" w:themeColor="text1"/>
          <w:szCs w:val="21"/>
        </w:rPr>
        <w:t>、NO</w:t>
      </w:r>
      <w:r>
        <w:rPr>
          <w:rFonts w:ascii="Times New Roman" w:hAnsi="Times New Roman" w:eastAsia="宋体" w:cs="Times New Roman"/>
          <w:color w:val="000000" w:themeColor="text1"/>
          <w:szCs w:val="21"/>
          <w:vertAlign w:val="subscript"/>
        </w:rPr>
        <w:t>2</w:t>
      </w:r>
      <w:r>
        <w:rPr>
          <w:rFonts w:ascii="Times New Roman" w:hAnsi="Times New Roman" w:eastAsia="宋体" w:cs="Times New Roman"/>
          <w:color w:val="000000" w:themeColor="text1"/>
          <w:szCs w:val="21"/>
        </w:rPr>
        <w:t>、NMHC、VOCs、颗粒物在线离子色谱仪、OC/EC分析仪等仪器采取盲样考核，根据考核结果出具考核报告。</w:t>
      </w:r>
      <w:r>
        <w:rPr>
          <w:rFonts w:ascii="Times New Roman" w:hAnsi="Times New Roman" w:eastAsia="宋体" w:cs="Times New Roman"/>
          <w:color w:val="000000" w:themeColor="text1"/>
          <w:kern w:val="1"/>
          <w:szCs w:val="21"/>
        </w:rPr>
        <w:t>现场质控考核应符合国家、浙江省相关技术规定。</w:t>
      </w:r>
    </w:p>
    <w:p w14:paraId="595048EB">
      <w:pPr>
        <w:widowControl/>
        <w:spacing w:line="360" w:lineRule="auto"/>
        <w:ind w:firstLine="420" w:firstLineChars="200"/>
        <w:rPr>
          <w:rFonts w:ascii="Times New Roman" w:hAnsi="Times New Roman" w:eastAsia="宋体" w:cs="Times New Roman"/>
          <w:color w:val="000000" w:themeColor="text1"/>
          <w:kern w:val="1"/>
          <w:szCs w:val="21"/>
        </w:rPr>
      </w:pPr>
      <w:r>
        <w:rPr>
          <w:rFonts w:ascii="Times New Roman" w:hAnsi="Times New Roman" w:eastAsia="宋体" w:cs="Times New Roman"/>
          <w:bCs/>
          <w:color w:val="000000" w:themeColor="text1"/>
          <w:kern w:val="1"/>
          <w:szCs w:val="21"/>
        </w:rPr>
        <w:t>人员要求：</w:t>
      </w:r>
      <w:r>
        <w:rPr>
          <w:rFonts w:ascii="Times New Roman" w:hAnsi="Times New Roman" w:eastAsia="宋体" w:cs="Times New Roman"/>
          <w:color w:val="000000" w:themeColor="text1"/>
          <w:kern w:val="1"/>
          <w:szCs w:val="21"/>
        </w:rPr>
        <w:t>根据要求，供应商至少配备2名专业技术人员。</w:t>
      </w:r>
    </w:p>
    <w:p w14:paraId="6B178963">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bCs/>
          <w:color w:val="000000" w:themeColor="text1"/>
          <w:kern w:val="1"/>
          <w:szCs w:val="21"/>
        </w:rPr>
        <w:t>核查报告：在巡检作业结束后</w:t>
      </w:r>
      <w:r>
        <w:rPr>
          <w:rFonts w:hint="eastAsia" w:ascii="Times New Roman" w:hAnsi="Times New Roman" w:eastAsia="宋体" w:cs="Times New Roman"/>
          <w:bCs/>
          <w:color w:val="000000" w:themeColor="text1"/>
          <w:kern w:val="1"/>
          <w:szCs w:val="21"/>
          <w:lang w:val="en-US" w:eastAsia="zh-CN"/>
        </w:rPr>
        <w:t>1</w:t>
      </w:r>
      <w:r>
        <w:rPr>
          <w:rFonts w:ascii="Times New Roman" w:hAnsi="Times New Roman" w:eastAsia="宋体" w:cs="Times New Roman"/>
          <w:bCs/>
          <w:color w:val="000000" w:themeColor="text1"/>
          <w:kern w:val="1"/>
          <w:szCs w:val="21"/>
        </w:rPr>
        <w:t>个月内，服务方需提供巡检报告及改善建议，并视巡</w:t>
      </w:r>
      <w:r>
        <w:rPr>
          <w:rFonts w:ascii="Times New Roman" w:hAnsi="Times New Roman" w:eastAsia="宋体" w:cs="Times New Roman"/>
          <w:color w:val="000000" w:themeColor="text1"/>
          <w:kern w:val="0"/>
          <w:szCs w:val="21"/>
        </w:rPr>
        <w:t>检情况协助采购方进行故障排除。</w:t>
      </w:r>
    </w:p>
    <w:p w14:paraId="310FD158">
      <w:pPr>
        <w:pStyle w:val="167"/>
        <w:widowControl/>
        <w:spacing w:line="360" w:lineRule="auto"/>
        <w:ind w:left="420" w:firstLine="0" w:firstLineChars="0"/>
        <w:jc w:val="left"/>
        <w:rPr>
          <w:rFonts w:ascii="宋体" w:hAnsi="宋体" w:cs="宋体"/>
          <w:b/>
          <w:bCs/>
          <w:color w:val="000000" w:themeColor="text1"/>
          <w:kern w:val="0"/>
          <w:szCs w:val="21"/>
          <w:highlight w:val="none"/>
        </w:rPr>
      </w:pPr>
      <w:r>
        <w:rPr>
          <w:rFonts w:hint="eastAsia" w:ascii="宋体" w:hAnsi="宋体" w:cs="宋体"/>
          <w:b/>
          <w:bCs/>
          <w:color w:val="000000" w:themeColor="text1"/>
          <w:kern w:val="0"/>
          <w:szCs w:val="21"/>
          <w:highlight w:val="none"/>
        </w:rPr>
        <w:t>六、考核与惩罚办法</w:t>
      </w:r>
    </w:p>
    <w:p w14:paraId="472F40ED">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kern w:val="1"/>
          <w:szCs w:val="21"/>
        </w:rPr>
        <w:t>服务</w:t>
      </w:r>
      <w:r>
        <w:rPr>
          <w:rFonts w:ascii="Times New Roman" w:hAnsi="Times New Roman" w:eastAsia="宋体" w:cs="Times New Roman"/>
          <w:color w:val="000000" w:themeColor="text1"/>
          <w:szCs w:val="21"/>
        </w:rPr>
        <w:t>结束后，由采购人对中标方开展工作验收考核，就巡检报告的质量及时效性进行评分，考核80分为合格，小于80分为不合格。考核评议表见附表2。</w:t>
      </w:r>
    </w:p>
    <w:p w14:paraId="04570805">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1、一旦发现</w:t>
      </w:r>
      <w:r>
        <w:rPr>
          <w:rFonts w:ascii="Times New Roman" w:hAnsi="Times New Roman" w:eastAsia="宋体" w:cs="Times New Roman"/>
          <w:color w:val="000000" w:themeColor="text1"/>
          <w:kern w:val="1"/>
          <w:szCs w:val="21"/>
        </w:rPr>
        <w:t>服务</w:t>
      </w:r>
      <w:r>
        <w:rPr>
          <w:rFonts w:ascii="Times New Roman" w:hAnsi="Times New Roman" w:eastAsia="宋体" w:cs="Times New Roman"/>
          <w:color w:val="000000" w:themeColor="text1"/>
          <w:szCs w:val="21"/>
        </w:rPr>
        <w:t>过程中的数据和报告等公开发表或提供给第三方，业主方有权终止合同，并按已支付费用的双倍进行经济处罚。</w:t>
      </w:r>
    </w:p>
    <w:p w14:paraId="0864B2C8">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2、按一年对现场检查的质量及时效性进行考核，其中</w:t>
      </w:r>
    </w:p>
    <w:p w14:paraId="743CDABA">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（1）考核结果在80分以上，全额支付当年度费用；</w:t>
      </w:r>
    </w:p>
    <w:p w14:paraId="3F2C50E4">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（2）考核结果在70分-79分（含），扣除当年度费用的10%；</w:t>
      </w:r>
    </w:p>
    <w:p w14:paraId="0C2F1C86">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（3）考核结果在60分-69分（含），扣除当年度费用的30%；</w:t>
      </w:r>
    </w:p>
    <w:p w14:paraId="5223D50D">
      <w:pPr>
        <w:widowControl/>
        <w:spacing w:line="360" w:lineRule="auto"/>
        <w:ind w:firstLine="420" w:firstLineChars="20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（4）考核结果在60分以下，扣除当年度费用的50%。</w:t>
      </w:r>
    </w:p>
    <w:p w14:paraId="736A3669">
      <w:pPr>
        <w:widowControl/>
        <w:spacing w:line="240" w:lineRule="auto"/>
        <w:ind w:firstLine="420" w:firstLineChars="200"/>
        <w:rPr>
          <w:rFonts w:ascii="宋体" w:hAnsi="宋体" w:cs="宋体"/>
          <w:color w:val="000000" w:themeColor="text1"/>
          <w:kern w:val="0"/>
          <w:highlight w:val="none"/>
        </w:rPr>
      </w:pPr>
    </w:p>
    <w:p w14:paraId="607E6834">
      <w:pPr>
        <w:spacing w:line="240" w:lineRule="auto"/>
        <w:jc w:val="left"/>
        <w:rPr>
          <w:rFonts w:ascii="宋体" w:hAnsi="宋体" w:eastAsia="宋体" w:cs="宋体"/>
          <w:b/>
          <w:bCs/>
          <w:color w:val="000000" w:themeColor="text1"/>
          <w:kern w:val="44"/>
          <w:szCs w:val="21"/>
        </w:rPr>
      </w:pPr>
      <w:r>
        <w:rPr>
          <w:rFonts w:hint="eastAsia" w:ascii="宋体" w:hAnsi="宋体" w:cs="宋体"/>
          <w:b/>
          <w:bCs/>
          <w:color w:val="000000" w:themeColor="text1"/>
          <w:kern w:val="0"/>
          <w:szCs w:val="21"/>
          <w:highlight w:val="none"/>
          <w:lang w:val="en-US" w:eastAsia="zh-CN"/>
        </w:rPr>
        <w:t>七</w:t>
      </w:r>
      <w:r>
        <w:rPr>
          <w:rFonts w:hint="eastAsia" w:ascii="宋体" w:hAnsi="宋体" w:cs="宋体"/>
          <w:b/>
          <w:bCs/>
          <w:color w:val="000000" w:themeColor="text1"/>
          <w:kern w:val="0"/>
          <w:szCs w:val="21"/>
          <w:highlight w:val="none"/>
        </w:rPr>
        <w:t>、</w:t>
      </w:r>
      <w:r>
        <w:rPr>
          <w:rFonts w:hint="eastAsia" w:ascii="宋体" w:hAnsi="宋体" w:eastAsia="宋体" w:cs="宋体"/>
          <w:b/>
          <w:bCs/>
          <w:color w:val="000000" w:themeColor="text1"/>
          <w:kern w:val="44"/>
          <w:szCs w:val="21"/>
        </w:rPr>
        <w:t>履约验收</w:t>
      </w:r>
    </w:p>
    <w:p w14:paraId="4A6D5DCC">
      <w:pPr>
        <w:widowControl/>
        <w:spacing w:line="240" w:lineRule="auto"/>
        <w:ind w:firstLine="420" w:firstLineChars="200"/>
        <w:rPr>
          <w:rFonts w:hint="eastAsia" w:ascii="宋体" w:hAnsi="宋体" w:eastAsia="宋体" w:cs="宋体"/>
          <w:color w:val="000000" w:themeColor="text1"/>
          <w:kern w:val="0"/>
          <w:sz w:val="21"/>
          <w:szCs w:val="21"/>
          <w:highlight w:val="none"/>
        </w:rPr>
      </w:pPr>
      <w:r>
        <w:rPr>
          <w:rFonts w:hint="eastAsia" w:ascii="宋体" w:hAnsi="宋体" w:eastAsia="宋体" w:cs="宋体"/>
          <w:color w:val="000000" w:themeColor="text1"/>
          <w:kern w:val="0"/>
          <w:sz w:val="21"/>
          <w:szCs w:val="21"/>
          <w:highlight w:val="none"/>
        </w:rPr>
        <w:t>由招标方组织有关人员进行考核，结合考核情况和服务效果进行验收。</w:t>
      </w:r>
    </w:p>
    <w:p w14:paraId="3D80C82E">
      <w:pPr>
        <w:spacing w:before="156" w:after="156"/>
        <w:ind w:firstLine="480"/>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附表2</w:t>
      </w:r>
    </w:p>
    <w:p w14:paraId="12F14ABD">
      <w:pPr>
        <w:spacing w:before="156" w:after="156"/>
        <w:jc w:val="center"/>
        <w:rPr>
          <w:rFonts w:ascii="Times New Roman" w:hAnsi="Times New Roman" w:eastAsia="宋体" w:cs="Times New Roman"/>
          <w:b/>
          <w:color w:val="000000" w:themeColor="text1"/>
          <w:szCs w:val="21"/>
        </w:rPr>
      </w:pPr>
      <w:r>
        <w:rPr>
          <w:rFonts w:ascii="Times New Roman" w:hAnsi="Times New Roman" w:eastAsia="宋体" w:cs="Times New Roman"/>
          <w:b/>
          <w:color w:val="000000" w:themeColor="text1"/>
          <w:szCs w:val="21"/>
        </w:rPr>
        <w:t>舟山市生态大楼站颗粒物组分、光化学仪器质控巡检项目考核评议表</w:t>
      </w:r>
    </w:p>
    <w:tbl>
      <w:tblPr>
        <w:tblStyle w:val="27"/>
        <w:tblW w:w="84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418"/>
        <w:gridCol w:w="4415"/>
        <w:gridCol w:w="868"/>
        <w:gridCol w:w="993"/>
      </w:tblGrid>
      <w:tr w14:paraId="00EEB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32D201FB">
            <w:pPr>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序号</w:t>
            </w:r>
          </w:p>
        </w:tc>
        <w:tc>
          <w:tcPr>
            <w:tcW w:w="1418" w:type="dxa"/>
            <w:tcBorders>
              <w:top w:val="single" w:color="auto" w:sz="4" w:space="0"/>
              <w:left w:val="nil"/>
              <w:bottom w:val="single" w:color="auto" w:sz="4" w:space="0"/>
              <w:right w:val="single" w:color="auto" w:sz="4" w:space="0"/>
            </w:tcBorders>
            <w:vAlign w:val="center"/>
          </w:tcPr>
          <w:p w14:paraId="683DA2BF">
            <w:pP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检查项目</w:t>
            </w:r>
          </w:p>
        </w:tc>
        <w:tc>
          <w:tcPr>
            <w:tcW w:w="4415" w:type="dxa"/>
            <w:tcBorders>
              <w:top w:val="single" w:color="auto" w:sz="4" w:space="0"/>
              <w:left w:val="nil"/>
              <w:bottom w:val="single" w:color="auto" w:sz="4" w:space="0"/>
              <w:right w:val="single" w:color="auto" w:sz="4" w:space="0"/>
            </w:tcBorders>
            <w:vAlign w:val="center"/>
          </w:tcPr>
          <w:p w14:paraId="5C97CBC9">
            <w:pP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检查内容</w:t>
            </w:r>
          </w:p>
        </w:tc>
        <w:tc>
          <w:tcPr>
            <w:tcW w:w="868" w:type="dxa"/>
            <w:tcBorders>
              <w:top w:val="single" w:color="auto" w:sz="4" w:space="0"/>
              <w:left w:val="nil"/>
              <w:bottom w:val="single" w:color="auto" w:sz="4" w:space="0"/>
              <w:right w:val="single" w:color="auto" w:sz="4" w:space="0"/>
            </w:tcBorders>
            <w:vAlign w:val="center"/>
          </w:tcPr>
          <w:p w14:paraId="3B8EE309">
            <w:pPr>
              <w:jc w:val="cente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分值</w:t>
            </w:r>
          </w:p>
        </w:tc>
        <w:tc>
          <w:tcPr>
            <w:tcW w:w="993" w:type="dxa"/>
            <w:tcBorders>
              <w:top w:val="single" w:color="auto" w:sz="4" w:space="0"/>
              <w:left w:val="nil"/>
              <w:bottom w:val="single" w:color="auto" w:sz="4" w:space="0"/>
              <w:right w:val="single" w:color="auto" w:sz="4" w:space="0"/>
            </w:tcBorders>
            <w:vAlign w:val="center"/>
          </w:tcPr>
          <w:p w14:paraId="0BC0D154">
            <w:pPr>
              <w:rPr>
                <w:rFonts w:ascii="Times New Roman" w:hAnsi="Times New Roman" w:eastAsia="宋体" w:cs="Times New Roman"/>
                <w:b/>
                <w:bCs/>
                <w:color w:val="000000" w:themeColor="text1"/>
                <w:szCs w:val="21"/>
              </w:rPr>
            </w:pPr>
            <w:r>
              <w:rPr>
                <w:rFonts w:ascii="Times New Roman" w:hAnsi="Times New Roman" w:eastAsia="宋体" w:cs="Times New Roman"/>
                <w:b/>
                <w:bCs/>
                <w:color w:val="000000" w:themeColor="text1"/>
                <w:szCs w:val="21"/>
              </w:rPr>
              <w:t>评分</w:t>
            </w:r>
          </w:p>
        </w:tc>
      </w:tr>
      <w:tr w14:paraId="2B3524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77" w:type="dxa"/>
            <w:tcBorders>
              <w:top w:val="nil"/>
              <w:left w:val="single" w:color="auto" w:sz="4" w:space="0"/>
              <w:bottom w:val="single" w:color="auto" w:sz="4" w:space="0"/>
              <w:right w:val="single" w:color="auto" w:sz="4" w:space="0"/>
            </w:tcBorders>
            <w:vAlign w:val="center"/>
          </w:tcPr>
          <w:p w14:paraId="67EC823D">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w:t>
            </w:r>
          </w:p>
        </w:tc>
        <w:tc>
          <w:tcPr>
            <w:tcW w:w="1418" w:type="dxa"/>
            <w:tcBorders>
              <w:top w:val="nil"/>
              <w:left w:val="nil"/>
              <w:bottom w:val="single" w:color="auto" w:sz="4" w:space="0"/>
              <w:right w:val="single" w:color="auto" w:sz="4" w:space="0"/>
            </w:tcBorders>
            <w:vAlign w:val="center"/>
          </w:tcPr>
          <w:p w14:paraId="37BD137C">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检查全面性</w:t>
            </w:r>
          </w:p>
        </w:tc>
        <w:tc>
          <w:tcPr>
            <w:tcW w:w="4415" w:type="dxa"/>
            <w:tcBorders>
              <w:top w:val="single" w:color="auto" w:sz="4" w:space="0"/>
              <w:left w:val="nil"/>
              <w:bottom w:val="single" w:color="auto" w:sz="4" w:space="0"/>
              <w:right w:val="single" w:color="auto" w:sz="4" w:space="0"/>
            </w:tcBorders>
            <w:vAlign w:val="center"/>
          </w:tcPr>
          <w:p w14:paraId="55FAC5E1">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现场检查是否涵盖招标要求内容，少一个指标扣2分，扣完为止。</w:t>
            </w:r>
          </w:p>
        </w:tc>
        <w:tc>
          <w:tcPr>
            <w:tcW w:w="868" w:type="dxa"/>
            <w:tcBorders>
              <w:top w:val="single" w:color="auto" w:sz="4" w:space="0"/>
              <w:left w:val="nil"/>
              <w:bottom w:val="single" w:color="auto" w:sz="4" w:space="0"/>
              <w:right w:val="single" w:color="auto" w:sz="4" w:space="0"/>
            </w:tcBorders>
            <w:vAlign w:val="center"/>
          </w:tcPr>
          <w:p w14:paraId="0E0A0621">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30</w:t>
            </w:r>
          </w:p>
        </w:tc>
        <w:tc>
          <w:tcPr>
            <w:tcW w:w="993" w:type="dxa"/>
            <w:tcBorders>
              <w:top w:val="single" w:color="auto" w:sz="4" w:space="0"/>
              <w:left w:val="nil"/>
              <w:bottom w:val="single" w:color="auto" w:sz="4" w:space="0"/>
              <w:right w:val="single" w:color="auto" w:sz="4" w:space="0"/>
            </w:tcBorders>
            <w:vAlign w:val="center"/>
          </w:tcPr>
          <w:p w14:paraId="7C04C051">
            <w:pPr>
              <w:rPr>
                <w:rFonts w:ascii="Times New Roman" w:hAnsi="Times New Roman" w:eastAsia="宋体" w:cs="Times New Roman"/>
                <w:color w:val="000000" w:themeColor="text1"/>
                <w:szCs w:val="21"/>
              </w:rPr>
            </w:pPr>
          </w:p>
        </w:tc>
      </w:tr>
      <w:tr w14:paraId="4FEB8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CBE3C03">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w:t>
            </w:r>
          </w:p>
        </w:tc>
        <w:tc>
          <w:tcPr>
            <w:tcW w:w="1418" w:type="dxa"/>
            <w:tcBorders>
              <w:top w:val="single" w:color="auto" w:sz="4" w:space="0"/>
              <w:left w:val="nil"/>
              <w:bottom w:val="single" w:color="auto" w:sz="4" w:space="0"/>
              <w:right w:val="single" w:color="auto" w:sz="4" w:space="0"/>
            </w:tcBorders>
            <w:vAlign w:val="center"/>
          </w:tcPr>
          <w:p w14:paraId="6CD1299D">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检查规范性</w:t>
            </w:r>
          </w:p>
        </w:tc>
        <w:tc>
          <w:tcPr>
            <w:tcW w:w="4415" w:type="dxa"/>
            <w:tcBorders>
              <w:top w:val="single" w:color="auto" w:sz="4" w:space="0"/>
              <w:left w:val="nil"/>
              <w:bottom w:val="single" w:color="auto" w:sz="4" w:space="0"/>
              <w:right w:val="single" w:color="auto" w:sz="4" w:space="0"/>
            </w:tcBorders>
            <w:vAlign w:val="center"/>
          </w:tcPr>
          <w:p w14:paraId="5C0364EA">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现场检查方法和仪器是否符合规范要求，不符合一项扣2分，扣完为止。</w:t>
            </w:r>
          </w:p>
        </w:tc>
        <w:tc>
          <w:tcPr>
            <w:tcW w:w="868" w:type="dxa"/>
            <w:tcBorders>
              <w:top w:val="single" w:color="auto" w:sz="4" w:space="0"/>
              <w:left w:val="nil"/>
              <w:bottom w:val="single" w:color="auto" w:sz="4" w:space="0"/>
              <w:right w:val="single" w:color="auto" w:sz="4" w:space="0"/>
            </w:tcBorders>
            <w:vAlign w:val="center"/>
          </w:tcPr>
          <w:p w14:paraId="3D79CBEE">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30</w:t>
            </w:r>
          </w:p>
        </w:tc>
        <w:tc>
          <w:tcPr>
            <w:tcW w:w="993" w:type="dxa"/>
            <w:tcBorders>
              <w:top w:val="single" w:color="auto" w:sz="4" w:space="0"/>
              <w:left w:val="nil"/>
              <w:bottom w:val="single" w:color="auto" w:sz="4" w:space="0"/>
              <w:right w:val="single" w:color="auto" w:sz="4" w:space="0"/>
            </w:tcBorders>
            <w:vAlign w:val="center"/>
          </w:tcPr>
          <w:p w14:paraId="3DBC7341">
            <w:pPr>
              <w:rPr>
                <w:rFonts w:ascii="Times New Roman" w:hAnsi="Times New Roman" w:eastAsia="宋体" w:cs="Times New Roman"/>
                <w:color w:val="000000" w:themeColor="text1"/>
                <w:szCs w:val="21"/>
              </w:rPr>
            </w:pPr>
          </w:p>
        </w:tc>
      </w:tr>
      <w:tr w14:paraId="2ABA8B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2E37BAB">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3</w:t>
            </w:r>
          </w:p>
        </w:tc>
        <w:tc>
          <w:tcPr>
            <w:tcW w:w="1418" w:type="dxa"/>
            <w:tcBorders>
              <w:top w:val="single" w:color="auto" w:sz="4" w:space="0"/>
              <w:left w:val="nil"/>
              <w:bottom w:val="single" w:color="auto" w:sz="4" w:space="0"/>
              <w:right w:val="single" w:color="auto" w:sz="4" w:space="0"/>
            </w:tcBorders>
            <w:vAlign w:val="center"/>
          </w:tcPr>
          <w:p w14:paraId="2F6C7B87">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检查公正性</w:t>
            </w:r>
          </w:p>
        </w:tc>
        <w:tc>
          <w:tcPr>
            <w:tcW w:w="4415" w:type="dxa"/>
            <w:tcBorders>
              <w:top w:val="single" w:color="auto" w:sz="4" w:space="0"/>
              <w:left w:val="nil"/>
              <w:bottom w:val="single" w:color="auto" w:sz="4" w:space="0"/>
              <w:right w:val="single" w:color="auto" w:sz="4" w:space="0"/>
            </w:tcBorders>
            <w:vAlign w:val="center"/>
          </w:tcPr>
          <w:p w14:paraId="3865975A">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检查工作是否公平公正，有数据不真实的，徇私舞弊一处扣除5分，扣完为止。</w:t>
            </w:r>
          </w:p>
        </w:tc>
        <w:tc>
          <w:tcPr>
            <w:tcW w:w="868" w:type="dxa"/>
            <w:tcBorders>
              <w:top w:val="single" w:color="auto" w:sz="4" w:space="0"/>
              <w:left w:val="nil"/>
              <w:bottom w:val="single" w:color="auto" w:sz="4" w:space="0"/>
              <w:right w:val="single" w:color="auto" w:sz="4" w:space="0"/>
            </w:tcBorders>
            <w:vAlign w:val="center"/>
          </w:tcPr>
          <w:p w14:paraId="7214AC1F">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10</w:t>
            </w:r>
          </w:p>
        </w:tc>
        <w:tc>
          <w:tcPr>
            <w:tcW w:w="993" w:type="dxa"/>
            <w:tcBorders>
              <w:top w:val="single" w:color="auto" w:sz="4" w:space="0"/>
              <w:left w:val="nil"/>
              <w:bottom w:val="single" w:color="auto" w:sz="4" w:space="0"/>
              <w:right w:val="single" w:color="auto" w:sz="4" w:space="0"/>
            </w:tcBorders>
            <w:vAlign w:val="center"/>
          </w:tcPr>
          <w:p w14:paraId="7D82F005">
            <w:pPr>
              <w:rPr>
                <w:rFonts w:ascii="Times New Roman" w:hAnsi="Times New Roman" w:eastAsia="宋体" w:cs="Times New Roman"/>
                <w:color w:val="000000" w:themeColor="text1"/>
                <w:szCs w:val="21"/>
              </w:rPr>
            </w:pPr>
          </w:p>
        </w:tc>
      </w:tr>
      <w:tr w14:paraId="71EE5C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77" w:type="dxa"/>
            <w:tcBorders>
              <w:top w:val="nil"/>
              <w:left w:val="single" w:color="auto" w:sz="4" w:space="0"/>
              <w:bottom w:val="single" w:color="auto" w:sz="4" w:space="0"/>
              <w:right w:val="single" w:color="auto" w:sz="4" w:space="0"/>
            </w:tcBorders>
            <w:vAlign w:val="center"/>
          </w:tcPr>
          <w:p w14:paraId="46C1B3E6">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4</w:t>
            </w:r>
          </w:p>
        </w:tc>
        <w:tc>
          <w:tcPr>
            <w:tcW w:w="1418" w:type="dxa"/>
            <w:tcBorders>
              <w:top w:val="nil"/>
              <w:left w:val="nil"/>
              <w:bottom w:val="single" w:color="auto" w:sz="4" w:space="0"/>
              <w:right w:val="single" w:color="auto" w:sz="4" w:space="0"/>
            </w:tcBorders>
            <w:vAlign w:val="center"/>
          </w:tcPr>
          <w:p w14:paraId="0546D642">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报告及时性</w:t>
            </w:r>
          </w:p>
        </w:tc>
        <w:tc>
          <w:tcPr>
            <w:tcW w:w="4415" w:type="dxa"/>
            <w:tcBorders>
              <w:top w:val="single" w:color="auto" w:sz="4" w:space="0"/>
              <w:left w:val="nil"/>
              <w:bottom w:val="single" w:color="auto" w:sz="4" w:space="0"/>
              <w:right w:val="single" w:color="auto" w:sz="4" w:space="0"/>
            </w:tcBorders>
            <w:vAlign w:val="center"/>
          </w:tcPr>
          <w:p w14:paraId="65C81193">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根据检查报告要求，未经采购方同意延迟提交的，延迟扣10分。</w:t>
            </w:r>
          </w:p>
        </w:tc>
        <w:tc>
          <w:tcPr>
            <w:tcW w:w="868" w:type="dxa"/>
            <w:tcBorders>
              <w:top w:val="single" w:color="auto" w:sz="4" w:space="0"/>
              <w:left w:val="nil"/>
              <w:bottom w:val="single" w:color="auto" w:sz="4" w:space="0"/>
              <w:right w:val="single" w:color="auto" w:sz="4" w:space="0"/>
            </w:tcBorders>
            <w:vAlign w:val="center"/>
          </w:tcPr>
          <w:p w14:paraId="582F8003">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10</w:t>
            </w:r>
          </w:p>
        </w:tc>
        <w:tc>
          <w:tcPr>
            <w:tcW w:w="993" w:type="dxa"/>
            <w:tcBorders>
              <w:top w:val="single" w:color="auto" w:sz="4" w:space="0"/>
              <w:left w:val="nil"/>
              <w:bottom w:val="single" w:color="auto" w:sz="4" w:space="0"/>
              <w:right w:val="single" w:color="auto" w:sz="4" w:space="0"/>
            </w:tcBorders>
            <w:vAlign w:val="center"/>
          </w:tcPr>
          <w:p w14:paraId="311589A3">
            <w:pPr>
              <w:rPr>
                <w:rFonts w:ascii="Times New Roman" w:hAnsi="Times New Roman" w:eastAsia="宋体" w:cs="Times New Roman"/>
                <w:color w:val="000000" w:themeColor="text1"/>
                <w:szCs w:val="21"/>
              </w:rPr>
            </w:pPr>
          </w:p>
        </w:tc>
      </w:tr>
      <w:tr w14:paraId="38B53E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6DF0F8D">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5</w:t>
            </w:r>
          </w:p>
        </w:tc>
        <w:tc>
          <w:tcPr>
            <w:tcW w:w="1418" w:type="dxa"/>
            <w:tcBorders>
              <w:top w:val="single" w:color="auto" w:sz="4" w:space="0"/>
              <w:left w:val="nil"/>
              <w:bottom w:val="single" w:color="auto" w:sz="4" w:space="0"/>
              <w:right w:val="single" w:color="auto" w:sz="4" w:space="0"/>
            </w:tcBorders>
            <w:vAlign w:val="center"/>
          </w:tcPr>
          <w:p w14:paraId="6C6442B7">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报告质量</w:t>
            </w:r>
          </w:p>
        </w:tc>
        <w:tc>
          <w:tcPr>
            <w:tcW w:w="4415" w:type="dxa"/>
            <w:tcBorders>
              <w:top w:val="single" w:color="auto" w:sz="4" w:space="0"/>
              <w:left w:val="nil"/>
              <w:bottom w:val="single" w:color="auto" w:sz="4" w:space="0"/>
              <w:right w:val="single" w:color="auto" w:sz="4" w:space="0"/>
            </w:tcBorders>
            <w:vAlign w:val="center"/>
          </w:tcPr>
          <w:p w14:paraId="122A6559">
            <w:pP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供应商未认真履行合同要求，经采购方综合评估，提交的报告质量低劣，结论明显错误，每项扣5分，扣完为止。</w:t>
            </w:r>
          </w:p>
        </w:tc>
        <w:tc>
          <w:tcPr>
            <w:tcW w:w="868" w:type="dxa"/>
            <w:tcBorders>
              <w:top w:val="single" w:color="auto" w:sz="4" w:space="0"/>
              <w:left w:val="nil"/>
              <w:bottom w:val="single" w:color="auto" w:sz="4" w:space="0"/>
              <w:right w:val="single" w:color="auto" w:sz="4" w:space="0"/>
            </w:tcBorders>
            <w:vAlign w:val="center"/>
          </w:tcPr>
          <w:p w14:paraId="2ED2A11D">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20</w:t>
            </w:r>
          </w:p>
        </w:tc>
        <w:tc>
          <w:tcPr>
            <w:tcW w:w="993" w:type="dxa"/>
            <w:tcBorders>
              <w:top w:val="single" w:color="auto" w:sz="4" w:space="0"/>
              <w:left w:val="nil"/>
              <w:bottom w:val="single" w:color="auto" w:sz="4" w:space="0"/>
              <w:right w:val="single" w:color="auto" w:sz="4" w:space="0"/>
            </w:tcBorders>
            <w:vAlign w:val="center"/>
          </w:tcPr>
          <w:p w14:paraId="5352DF35">
            <w:pPr>
              <w:rPr>
                <w:rFonts w:ascii="Times New Roman" w:hAnsi="Times New Roman" w:eastAsia="宋体" w:cs="Times New Roman"/>
                <w:color w:val="000000" w:themeColor="text1"/>
                <w:szCs w:val="21"/>
              </w:rPr>
            </w:pPr>
          </w:p>
        </w:tc>
      </w:tr>
      <w:tr w14:paraId="4F0FC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195" w:type="dxa"/>
            <w:gridSpan w:val="2"/>
            <w:tcBorders>
              <w:top w:val="single" w:color="auto" w:sz="4" w:space="0"/>
              <w:left w:val="single" w:color="auto" w:sz="4" w:space="0"/>
              <w:bottom w:val="single" w:color="auto" w:sz="4" w:space="0"/>
              <w:right w:val="single" w:color="auto" w:sz="4" w:space="0"/>
            </w:tcBorders>
            <w:vAlign w:val="center"/>
          </w:tcPr>
          <w:p w14:paraId="66047E6F">
            <w:pPr>
              <w:jc w:val="center"/>
              <w:rPr>
                <w:rFonts w:ascii="Times New Roman" w:hAnsi="Times New Roman" w:eastAsia="宋体" w:cs="Times New Roman"/>
                <w:color w:val="000000" w:themeColor="text1"/>
                <w:szCs w:val="21"/>
              </w:rPr>
            </w:pPr>
            <w:r>
              <w:rPr>
                <w:rFonts w:ascii="Times New Roman" w:hAnsi="Times New Roman" w:eastAsia="宋体" w:cs="Times New Roman"/>
                <w:color w:val="000000" w:themeColor="text1"/>
                <w:szCs w:val="21"/>
              </w:rPr>
              <w:t>备注</w:t>
            </w:r>
          </w:p>
        </w:tc>
        <w:tc>
          <w:tcPr>
            <w:tcW w:w="6276" w:type="dxa"/>
            <w:gridSpan w:val="3"/>
            <w:tcBorders>
              <w:top w:val="single" w:color="auto" w:sz="4" w:space="0"/>
              <w:left w:val="nil"/>
              <w:bottom w:val="single" w:color="auto" w:sz="4" w:space="0"/>
              <w:right w:val="single" w:color="auto" w:sz="4" w:space="0"/>
            </w:tcBorders>
            <w:vAlign w:val="center"/>
          </w:tcPr>
          <w:p w14:paraId="55EE1FBE">
            <w:pPr>
              <w:jc w:val="center"/>
              <w:rPr>
                <w:rFonts w:ascii="Times New Roman" w:hAnsi="Times New Roman" w:eastAsia="宋体" w:cs="Times New Roman"/>
                <w:color w:val="000000" w:themeColor="text1"/>
                <w:szCs w:val="21"/>
              </w:rPr>
            </w:pPr>
          </w:p>
        </w:tc>
      </w:tr>
    </w:tbl>
    <w:p w14:paraId="41A068EE">
      <w:pPr>
        <w:widowControl/>
        <w:jc w:val="left"/>
        <w:rPr>
          <w:rFonts w:ascii="Times New Roman" w:hAnsi="Times New Roman" w:eastAsia="宋体" w:cs="Times New Roman"/>
          <w:b/>
          <w:bCs/>
          <w:color w:val="000000" w:themeColor="text1"/>
          <w:szCs w:val="21"/>
        </w:rPr>
      </w:pPr>
    </w:p>
    <w:p w14:paraId="6675D5E3">
      <w:pPr>
        <w:widowControl/>
        <w:autoSpaceDE w:val="0"/>
        <w:autoSpaceDN w:val="0"/>
        <w:adjustRightInd w:val="0"/>
        <w:spacing w:line="240" w:lineRule="auto"/>
        <w:ind w:firstLine="413" w:firstLineChars="196"/>
        <w:jc w:val="left"/>
        <w:rPr>
          <w:rFonts w:ascii="宋体" w:hAnsi="宋体" w:cs="宋体"/>
          <w:color w:val="000000" w:themeColor="text1"/>
          <w:highlight w:val="none"/>
        </w:rPr>
      </w:pPr>
      <w:r>
        <w:rPr>
          <w:rFonts w:hint="eastAsia" w:ascii="宋体" w:hAnsi="宋体" w:cs="宋体"/>
          <w:b/>
          <w:color w:val="000000" w:themeColor="text1"/>
          <w:kern w:val="0"/>
          <w:highlight w:val="none"/>
          <w:lang w:val="en-US" w:eastAsia="zh-CN"/>
        </w:rPr>
        <w:t>八、</w:t>
      </w:r>
      <w:r>
        <w:rPr>
          <w:rFonts w:hint="eastAsia" w:ascii="宋体" w:hAnsi="宋体" w:cs="宋体"/>
          <w:b/>
          <w:color w:val="000000" w:themeColor="text1"/>
          <w:kern w:val="0"/>
          <w:highlight w:val="none"/>
        </w:rPr>
        <w:t>违约责任</w:t>
      </w:r>
    </w:p>
    <w:p w14:paraId="399D0889">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除合同规定的不可抗力外，如果乙方没有按照合同规定的时间提供服务，甲方可要求乙方支付违约金。违约金按合同款的0.5%/每周计收。但违约金的最高限额为合同价的5%。一周按7天计算，不足7天按一周计算。如果达到最高限额，甲方有权解除合同。</w:t>
      </w:r>
    </w:p>
    <w:p w14:paraId="25BE99F2">
      <w:pPr>
        <w:widowControl/>
        <w:spacing w:line="360" w:lineRule="auto"/>
        <w:jc w:val="left"/>
        <w:rPr>
          <w:rFonts w:ascii="宋体" w:hAnsi="宋体" w:cs="宋体"/>
          <w:color w:val="000000" w:themeColor="text1"/>
          <w:highlight w:val="none"/>
        </w:rPr>
      </w:pPr>
      <w:r>
        <w:rPr>
          <w:rFonts w:hint="eastAsia" w:ascii="宋体" w:hAnsi="宋体" w:cs="宋体"/>
          <w:color w:val="000000" w:themeColor="text1"/>
          <w:kern w:val="0"/>
          <w:highlight w:val="none"/>
        </w:rPr>
        <w:t>项目结束时验收不合格，乙方应在收到甲方通知后5日内退还甲方已支付的合同款，逾期退还合同款的，每日按未退还金额的0.1%支付违约金。</w:t>
      </w:r>
    </w:p>
    <w:p w14:paraId="3096BD90">
      <w:pPr>
        <w:widowControl/>
        <w:spacing w:line="24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其他违约条款双方协商确定：【】</w:t>
      </w:r>
    </w:p>
    <w:p w14:paraId="6B13AFD0">
      <w:pPr>
        <w:widowControl/>
        <w:spacing w:line="24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lang w:val="en-US" w:eastAsia="zh-CN"/>
        </w:rPr>
        <w:t>九</w:t>
      </w:r>
      <w:r>
        <w:rPr>
          <w:rFonts w:hint="eastAsia" w:ascii="宋体" w:hAnsi="宋体" w:cs="宋体"/>
          <w:b/>
          <w:color w:val="000000" w:themeColor="text1"/>
          <w:kern w:val="0"/>
          <w:highlight w:val="none"/>
        </w:rPr>
        <w:t>、解决争议的方法</w:t>
      </w:r>
    </w:p>
    <w:p w14:paraId="43A6117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因合同履行中发生的争议，可通过合同当事人双方友好协商解决。如自协商开始之起15日内得不到解决，双方应将争议提交政府采购监管部门调解。调解不成的，可申请/仲裁委员会进行仲裁或向</w:t>
      </w:r>
      <w:r>
        <w:rPr>
          <w:rFonts w:hint="eastAsia" w:ascii="宋体" w:hAnsi="宋体" w:cs="宋体"/>
          <w:color w:val="000000" w:themeColor="text1"/>
          <w:kern w:val="0"/>
          <w:highlight w:val="none"/>
          <w:u w:val="single"/>
        </w:rPr>
        <w:t>甲方所在地</w:t>
      </w:r>
      <w:r>
        <w:rPr>
          <w:rFonts w:hint="eastAsia" w:ascii="宋体" w:hAnsi="宋体" w:cs="宋体"/>
          <w:color w:val="000000" w:themeColor="text1"/>
          <w:kern w:val="0"/>
          <w:highlight w:val="none"/>
        </w:rPr>
        <w:t>人民法院提起诉讼。</w:t>
      </w:r>
    </w:p>
    <w:p w14:paraId="0386AAA1">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仲裁裁决为最终裁决，当事人一方在规定时间内不履行仲裁机构裁决的，另一方可以申请人民法院强制执行。</w:t>
      </w:r>
    </w:p>
    <w:p w14:paraId="0E4295F3">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仲裁费用和诉讼费用除仲裁机构或人民法院另有裁决外，应由败诉方负担。</w:t>
      </w:r>
    </w:p>
    <w:p w14:paraId="25474A48">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十、违约解除合同</w:t>
      </w:r>
    </w:p>
    <w:p w14:paraId="169EA6C6">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1、在乙方违约的情况下，甲方可向乙方发出书面通知，部分或全部终止合同。同时保留向乙方追诉的权利。</w:t>
      </w:r>
    </w:p>
    <w:p w14:paraId="7252DEB4">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1.1乙方未能在合同规定的限期或甲方同意延长的限期内，提供全部或部分标的物的；</w:t>
      </w:r>
    </w:p>
    <w:p w14:paraId="4F961AA6">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1.2乙方未能履行合同规定的其它主要义务的；</w:t>
      </w:r>
    </w:p>
    <w:p w14:paraId="67FC939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1.3甲方认为乙方在本合同履行过程中有腐败和欺诈行为的。</w:t>
      </w:r>
    </w:p>
    <w:p w14:paraId="14DBB03C">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1.3.1“腐败行为”和“欺诈行为”定义如下：</w:t>
      </w:r>
    </w:p>
    <w:p w14:paraId="741AFF4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1.3.2“腐败行为”是指提供/给予/接受或索取任何有价值的东西来影响甲方在合同签定、履行过程中的行为。</w:t>
      </w:r>
    </w:p>
    <w:p w14:paraId="15E6EA84">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1.3.3“欺诈行为”是指为了影响合同签定、履行过程，以谎报事实的方法，损害甲方的利益的行为。</w:t>
      </w:r>
    </w:p>
    <w:p w14:paraId="206388E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2、甲方解除合同的，合同于甲方发出书面解除合同通知书送达乙方之日起解除。乙方应在合同解除后5日内退还甲方已支付的合同款，逾期退还合同款的，每日按未退还金额的0.1%支付违约金。</w:t>
      </w:r>
    </w:p>
    <w:p w14:paraId="55ECAA6A">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一</w:t>
      </w:r>
      <w:r>
        <w:rPr>
          <w:rFonts w:hint="eastAsia" w:ascii="宋体" w:hAnsi="宋体" w:cs="宋体"/>
          <w:b/>
          <w:color w:val="000000" w:themeColor="text1"/>
          <w:kern w:val="0"/>
          <w:highlight w:val="none"/>
        </w:rPr>
        <w:t>、破产终止合同</w:t>
      </w:r>
    </w:p>
    <w:p w14:paraId="1DE152A5">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7409E9FE">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二</w:t>
      </w:r>
      <w:r>
        <w:rPr>
          <w:rFonts w:hint="eastAsia" w:ascii="宋体" w:hAnsi="宋体" w:cs="宋体"/>
          <w:b/>
          <w:color w:val="000000" w:themeColor="text1"/>
          <w:kern w:val="0"/>
          <w:highlight w:val="none"/>
        </w:rPr>
        <w:t>、合同变更、解除</w:t>
      </w:r>
    </w:p>
    <w:p w14:paraId="661E0C10">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3CDEB6A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2、有下列情形之一的，双方协商一致可以变更合同：</w:t>
      </w:r>
    </w:p>
    <w:p w14:paraId="04553AA3">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（1）发生不可预见的紧急情况，继续按照原合同履行不能实现采购目的，又不能从其他供应商处采购；</w:t>
      </w:r>
    </w:p>
    <w:p w14:paraId="5BF9777B">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（2）因甲方的过错导致不能实现采购目的，重新采购费用和违约金、违约损失赔偿金额占合同金额比例过大，但违背社会公共利益的除外；</w:t>
      </w:r>
    </w:p>
    <w:p w14:paraId="18856D47">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（3）属于合同主要条款确定的事项，但变更不改变合同实质性内容；</w:t>
      </w:r>
    </w:p>
    <w:p w14:paraId="6A23E292">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（4）合同主要条款以外的内容；</w:t>
      </w:r>
    </w:p>
    <w:p w14:paraId="2B1A4FF4">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（5）法律、法规规定可以变更合同的其他情形。</w:t>
      </w:r>
    </w:p>
    <w:p w14:paraId="050D03FA">
      <w:pPr>
        <w:widowControl/>
        <w:spacing w:line="360" w:lineRule="auto"/>
        <w:ind w:firstLine="630" w:firstLineChars="300"/>
        <w:jc w:val="left"/>
        <w:rPr>
          <w:rFonts w:ascii="宋体" w:hAnsi="宋体" w:cs="宋体"/>
          <w:color w:val="000000" w:themeColor="text1"/>
          <w:highlight w:val="none"/>
        </w:rPr>
      </w:pPr>
      <w:r>
        <w:rPr>
          <w:rFonts w:hint="eastAsia" w:ascii="宋体" w:hAnsi="宋体" w:cs="宋体"/>
          <w:color w:val="000000" w:themeColor="text1"/>
          <w:kern w:val="0"/>
          <w:highlight w:val="none"/>
        </w:rPr>
        <w:t>当事人协商一致变更合同的，应当报同级财政部门备案。</w:t>
      </w:r>
    </w:p>
    <w:p w14:paraId="4C124AC5">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3、有下列情形之一的，政府采购合同的双方当事人可以解除合同：</w:t>
      </w:r>
    </w:p>
    <w:p w14:paraId="4F842F2E">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（1）因不可抗力致使不能实现合同目的；</w:t>
      </w:r>
    </w:p>
    <w:p w14:paraId="0A69E75D">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（2）在履行期限届满之前，乙方明确表示或者以自己的行为表示不履行主要义务；</w:t>
      </w:r>
    </w:p>
    <w:p w14:paraId="44B30715">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（3）乙方迟延履行主要义务，经催告后在合理期限内仍未履行；</w:t>
      </w:r>
    </w:p>
    <w:p w14:paraId="7178BC50">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（4）乙方迟延履行义务或者有其他违约行为致使不能实现合同目的；</w:t>
      </w:r>
    </w:p>
    <w:p w14:paraId="28B5035B">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（5）乙方转包，或者未经甲方同意采取分包方式履行合同；</w:t>
      </w:r>
    </w:p>
    <w:p w14:paraId="660030D9">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（6）法律、法规规定的其他情形。</w:t>
      </w:r>
    </w:p>
    <w:p w14:paraId="2560D9C5">
      <w:pPr>
        <w:widowControl/>
        <w:spacing w:line="360" w:lineRule="auto"/>
        <w:ind w:firstLine="630" w:firstLineChars="300"/>
        <w:jc w:val="left"/>
        <w:rPr>
          <w:rFonts w:ascii="宋体" w:hAnsi="宋体" w:cs="宋体"/>
          <w:color w:val="000000" w:themeColor="text1"/>
          <w:highlight w:val="none"/>
        </w:rPr>
      </w:pPr>
      <w:r>
        <w:rPr>
          <w:rFonts w:hint="eastAsia" w:ascii="宋体" w:hAnsi="宋体" w:cs="宋体"/>
          <w:color w:val="000000" w:themeColor="text1"/>
          <w:kern w:val="0"/>
          <w:highlight w:val="none"/>
        </w:rPr>
        <w:t>甲方解除合同的，应当报同级财政部门备案。</w:t>
      </w:r>
    </w:p>
    <w:p w14:paraId="18E4E576">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三</w:t>
      </w:r>
      <w:r>
        <w:rPr>
          <w:rFonts w:hint="eastAsia" w:ascii="宋体" w:hAnsi="宋体" w:cs="宋体"/>
          <w:b/>
          <w:color w:val="000000" w:themeColor="text1"/>
          <w:kern w:val="0"/>
          <w:highlight w:val="none"/>
        </w:rPr>
        <w:t>、通知</w:t>
      </w:r>
    </w:p>
    <w:p w14:paraId="5874738D">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本合同任何一方给另一方的通知，都应以书面形式发送，而另一方也应以书面形式确认并发送到对方明确的地址。</w:t>
      </w:r>
    </w:p>
    <w:p w14:paraId="0D783DBC">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四</w:t>
      </w:r>
      <w:r>
        <w:rPr>
          <w:rFonts w:hint="eastAsia" w:ascii="宋体" w:hAnsi="宋体" w:cs="宋体"/>
          <w:b/>
          <w:color w:val="000000" w:themeColor="text1"/>
          <w:kern w:val="0"/>
          <w:highlight w:val="none"/>
        </w:rPr>
        <w:t>、计量单位</w:t>
      </w:r>
    </w:p>
    <w:p w14:paraId="0EC328F0">
      <w:pPr>
        <w:widowControl/>
        <w:spacing w:line="360" w:lineRule="auto"/>
        <w:jc w:val="left"/>
        <w:rPr>
          <w:rFonts w:ascii="宋体" w:hAnsi="宋体" w:cs="宋体"/>
          <w:color w:val="000000" w:themeColor="text1"/>
          <w:highlight w:val="none"/>
        </w:rPr>
      </w:pPr>
      <w:r>
        <w:rPr>
          <w:rFonts w:hint="eastAsia" w:ascii="宋体" w:hAnsi="宋体" w:cs="宋体"/>
          <w:color w:val="000000" w:themeColor="text1"/>
          <w:kern w:val="0"/>
          <w:highlight w:val="none"/>
        </w:rPr>
        <w:t>除技术规范中另有规定外，计量单位均使用国家法定计量单位。</w:t>
      </w:r>
    </w:p>
    <w:p w14:paraId="480A5E9A">
      <w:pPr>
        <w:widowControl/>
        <w:spacing w:line="360" w:lineRule="auto"/>
        <w:ind w:firstLine="422" w:firstLineChars="200"/>
        <w:jc w:val="left"/>
        <w:rPr>
          <w:rFonts w:ascii="宋体" w:hAnsi="宋体" w:cs="宋体"/>
          <w:color w:val="000000" w:themeColor="text1"/>
          <w:highlight w:val="none"/>
        </w:rPr>
      </w:pPr>
      <w:r>
        <w:rPr>
          <w:rFonts w:hint="eastAsia" w:ascii="宋体" w:hAnsi="宋体" w:cs="宋体"/>
          <w:b/>
          <w:color w:val="000000" w:themeColor="text1"/>
          <w:kern w:val="0"/>
          <w:highlight w:val="none"/>
        </w:rPr>
        <w:t>十</w:t>
      </w:r>
      <w:r>
        <w:rPr>
          <w:rFonts w:hint="eastAsia" w:ascii="宋体" w:hAnsi="宋体" w:cs="宋体"/>
          <w:b/>
          <w:color w:val="000000" w:themeColor="text1"/>
          <w:kern w:val="0"/>
          <w:highlight w:val="none"/>
          <w:lang w:val="en-US" w:eastAsia="zh-CN"/>
        </w:rPr>
        <w:t>五</w:t>
      </w:r>
      <w:r>
        <w:rPr>
          <w:rFonts w:hint="eastAsia" w:ascii="宋体" w:hAnsi="宋体" w:cs="宋体"/>
          <w:b/>
          <w:color w:val="000000" w:themeColor="text1"/>
          <w:kern w:val="0"/>
          <w:highlight w:val="none"/>
        </w:rPr>
        <w:t>、不可抗力</w:t>
      </w:r>
    </w:p>
    <w:p w14:paraId="00B1BB8B">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1、如果双方中任何一方遭遇法律规定的不可抗力，致使合同履行受阻时，履行合同的期限应予延长，延长的期限应相当于不可抗力所影响的时间。</w:t>
      </w:r>
    </w:p>
    <w:p w14:paraId="15EEEE23">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2、受事故影响的一方应在不可抗力的事故发生后尽快书面形式通知另一方，并在事故发生后合同规定时间内，将有关部门出具的证明文件送达另一方。</w:t>
      </w:r>
    </w:p>
    <w:p w14:paraId="0C441EF6">
      <w:pPr>
        <w:widowControl/>
        <w:spacing w:line="360" w:lineRule="auto"/>
        <w:ind w:firstLine="420" w:firstLineChars="200"/>
        <w:jc w:val="left"/>
        <w:rPr>
          <w:rFonts w:ascii="宋体" w:hAnsi="宋体" w:cs="宋体"/>
          <w:color w:val="000000" w:themeColor="text1"/>
          <w:highlight w:val="none"/>
        </w:rPr>
      </w:pPr>
      <w:r>
        <w:rPr>
          <w:rFonts w:hint="eastAsia" w:ascii="宋体" w:hAnsi="宋体" w:cs="宋体"/>
          <w:color w:val="000000" w:themeColor="text1"/>
          <w:kern w:val="0"/>
          <w:highlight w:val="none"/>
        </w:rPr>
        <w:t>3、不可抗力使合同的某些内容有变更必要的，双方应通过协商达成进一步履行合同的协议，因不可抗力致使合同不能履行的，合同终止。</w:t>
      </w:r>
    </w:p>
    <w:p w14:paraId="3F092B41">
      <w:pPr>
        <w:pStyle w:val="25"/>
        <w:spacing w:line="360" w:lineRule="auto"/>
        <w:ind w:left="420" w:firstLine="0" w:firstLineChars="0"/>
        <w:rPr>
          <w:rFonts w:ascii="宋体" w:hAnsi="宋体" w:cs="宋体"/>
          <w:color w:val="000000" w:themeColor="text1"/>
          <w:highlight w:val="none"/>
        </w:rPr>
      </w:pPr>
      <w:r>
        <w:rPr>
          <w:rFonts w:hint="eastAsia" w:ascii="宋体" w:hAnsi="宋体" w:cs="宋体"/>
          <w:b/>
          <w:bCs/>
          <w:color w:val="000000" w:themeColor="text1"/>
          <w:highlight w:val="none"/>
        </w:rPr>
        <w:t>十</w:t>
      </w:r>
      <w:r>
        <w:rPr>
          <w:rFonts w:hint="eastAsia" w:ascii="宋体" w:hAnsi="宋体" w:cs="宋体"/>
          <w:b/>
          <w:bCs/>
          <w:color w:val="000000" w:themeColor="text1"/>
          <w:highlight w:val="none"/>
          <w:lang w:val="en-US" w:eastAsia="zh-CN"/>
        </w:rPr>
        <w:t>六</w:t>
      </w:r>
      <w:r>
        <w:rPr>
          <w:rFonts w:hint="eastAsia" w:ascii="宋体" w:hAnsi="宋体" w:cs="宋体"/>
          <w:b/>
          <w:bCs/>
          <w:color w:val="000000" w:themeColor="text1"/>
          <w:highlight w:val="none"/>
        </w:rPr>
        <w:t>、合同生效及其它</w:t>
      </w:r>
    </w:p>
    <w:p w14:paraId="2F40816C">
      <w:pPr>
        <w:widowControl/>
        <w:spacing w:line="360" w:lineRule="auto"/>
        <w:ind w:firstLineChars="200"/>
        <w:jc w:val="left"/>
        <w:rPr>
          <w:rFonts w:ascii="宋体" w:hAnsi="宋体" w:cs="宋体"/>
          <w:color w:val="000000" w:themeColor="text1"/>
          <w:highlight w:val="none"/>
        </w:rPr>
      </w:pPr>
      <w:r>
        <w:rPr>
          <w:rFonts w:hint="eastAsia" w:ascii="宋体" w:hAnsi="宋体" w:cs="宋体"/>
          <w:color w:val="000000" w:themeColor="text1"/>
          <w:highlight w:val="none"/>
        </w:rPr>
        <w:t>1、合同经双方法定代表人或授权委托代理人签字并加盖单位公章后生效。</w:t>
      </w:r>
    </w:p>
    <w:p w14:paraId="7639CB73">
      <w:pPr>
        <w:widowControl/>
        <w:spacing w:line="360" w:lineRule="auto"/>
        <w:ind w:firstLineChars="200"/>
        <w:jc w:val="left"/>
        <w:rPr>
          <w:rFonts w:ascii="宋体" w:hAnsi="宋体" w:cs="宋体"/>
          <w:color w:val="000000" w:themeColor="text1"/>
          <w:highlight w:val="none"/>
        </w:rPr>
      </w:pPr>
      <w:r>
        <w:rPr>
          <w:rFonts w:hint="eastAsia" w:ascii="宋体" w:hAnsi="宋体" w:cs="宋体"/>
          <w:color w:val="000000" w:themeColor="text1"/>
          <w:highlight w:val="none"/>
        </w:rPr>
        <w:t>2、合同执行中涉及采购资金和采购内容修改或补充的，须签书面补充协议，方可作为主合同不可分割的一部分。</w:t>
      </w:r>
    </w:p>
    <w:p w14:paraId="7B76BFBF">
      <w:pPr>
        <w:widowControl/>
        <w:spacing w:line="360" w:lineRule="auto"/>
        <w:ind w:firstLineChars="200"/>
        <w:jc w:val="left"/>
        <w:rPr>
          <w:rFonts w:ascii="宋体" w:hAnsi="宋体" w:cs="宋体"/>
          <w:color w:val="000000" w:themeColor="text1"/>
          <w:highlight w:val="none"/>
        </w:rPr>
      </w:pPr>
      <w:r>
        <w:rPr>
          <w:rFonts w:hint="eastAsia" w:ascii="宋体" w:hAnsi="宋体" w:cs="宋体"/>
          <w:color w:val="000000" w:themeColor="text1"/>
          <w:highlight w:val="none"/>
        </w:rPr>
        <w:t>3、本合同未尽事宜，遵照《中华人民共和国民法典》有关条文执行。</w:t>
      </w:r>
    </w:p>
    <w:p w14:paraId="105F1F36">
      <w:pPr>
        <w:widowControl/>
        <w:spacing w:line="360" w:lineRule="auto"/>
        <w:ind w:firstLineChars="200"/>
        <w:jc w:val="left"/>
        <w:rPr>
          <w:rFonts w:ascii="宋体" w:hAnsi="宋体" w:cs="宋体"/>
          <w:color w:val="000000" w:themeColor="text1"/>
          <w:highlight w:val="none"/>
        </w:rPr>
      </w:pPr>
      <w:r>
        <w:rPr>
          <w:rFonts w:hint="eastAsia" w:ascii="宋体" w:hAnsi="宋体" w:cs="宋体"/>
          <w:color w:val="000000" w:themeColor="text1"/>
          <w:highlight w:val="none"/>
        </w:rPr>
        <w:t>4、本合同正本一式X份，具有同等法律效力，甲乙双方各执X份。</w:t>
      </w:r>
    </w:p>
    <w:p w14:paraId="41098AE8">
      <w:pPr>
        <w:pStyle w:val="25"/>
        <w:spacing w:line="240" w:lineRule="auto"/>
        <w:ind w:firstLineChars="0"/>
        <w:rPr>
          <w:rFonts w:hint="eastAsia" w:ascii="宋体" w:hAnsi="宋体" w:cs="宋体"/>
          <w:color w:val="000000" w:themeColor="text1"/>
          <w:kern w:val="2"/>
          <w:highlight w:val="none"/>
        </w:rPr>
      </w:pPr>
    </w:p>
    <w:p w14:paraId="706A8A7C">
      <w:pPr>
        <w:pStyle w:val="25"/>
        <w:spacing w:line="240" w:lineRule="auto"/>
        <w:ind w:firstLineChars="0"/>
        <w:rPr>
          <w:rFonts w:hint="eastAsia" w:ascii="宋体" w:hAnsi="宋体" w:cs="宋体"/>
          <w:color w:val="000000" w:themeColor="text1"/>
          <w:kern w:val="2"/>
          <w:highlight w:val="none"/>
        </w:rPr>
      </w:pPr>
    </w:p>
    <w:p w14:paraId="6DED965E">
      <w:pPr>
        <w:pStyle w:val="25"/>
        <w:spacing w:line="240" w:lineRule="auto"/>
        <w:ind w:firstLineChars="0"/>
        <w:rPr>
          <w:rFonts w:hint="eastAsia" w:ascii="宋体" w:hAnsi="宋体" w:cs="宋体"/>
          <w:color w:val="000000" w:themeColor="text1"/>
          <w:kern w:val="2"/>
          <w:highlight w:val="none"/>
        </w:rPr>
      </w:pPr>
      <w:r>
        <w:rPr>
          <w:rFonts w:hint="eastAsia" w:ascii="宋体" w:hAnsi="宋体" w:cs="宋体"/>
          <w:color w:val="000000" w:themeColor="text1"/>
          <w:kern w:val="2"/>
          <w:highlight w:val="none"/>
        </w:rPr>
        <w:t>甲方：（盖章）</w:t>
      </w:r>
      <w:r>
        <w:rPr>
          <w:rFonts w:hint="eastAsia" w:ascii="宋体" w:hAnsi="宋体" w:cs="宋体"/>
          <w:color w:val="000000" w:themeColor="text1"/>
          <w:kern w:val="2"/>
          <w:highlight w:val="none"/>
          <w:lang w:val="en-US" w:eastAsia="zh-CN"/>
        </w:rPr>
        <w:t xml:space="preserve">                        </w:t>
      </w:r>
      <w:r>
        <w:rPr>
          <w:rFonts w:hint="eastAsia" w:ascii="宋体" w:hAnsi="宋体" w:cs="宋体"/>
          <w:color w:val="000000" w:themeColor="text1"/>
          <w:kern w:val="2"/>
          <w:highlight w:val="none"/>
        </w:rPr>
        <w:t>乙方：（盖章）</w:t>
      </w:r>
    </w:p>
    <w:p w14:paraId="0FB06558">
      <w:pPr>
        <w:pStyle w:val="25"/>
        <w:spacing w:line="240" w:lineRule="auto"/>
        <w:ind w:firstLineChars="0"/>
        <w:rPr>
          <w:rFonts w:hint="eastAsia" w:ascii="宋体" w:hAnsi="宋体" w:cs="宋体"/>
          <w:color w:val="000000" w:themeColor="text1"/>
          <w:kern w:val="2"/>
          <w:highlight w:val="none"/>
        </w:rPr>
      </w:pPr>
      <w:r>
        <w:rPr>
          <w:rFonts w:hint="eastAsia" w:ascii="宋体" w:hAnsi="宋体" w:cs="宋体"/>
          <w:color w:val="000000" w:themeColor="text1"/>
          <w:kern w:val="2"/>
          <w:highlight w:val="none"/>
        </w:rPr>
        <w:t>地址：</w:t>
      </w:r>
      <w:r>
        <w:rPr>
          <w:rFonts w:hint="eastAsia" w:ascii="宋体" w:hAnsi="宋体" w:cs="宋体"/>
          <w:color w:val="000000" w:themeColor="text1"/>
          <w:kern w:val="2"/>
          <w:highlight w:val="none"/>
          <w:lang w:val="en-US" w:eastAsia="zh-CN"/>
        </w:rPr>
        <w:t xml:space="preserve">                                </w:t>
      </w:r>
      <w:r>
        <w:rPr>
          <w:rFonts w:hint="eastAsia" w:ascii="宋体" w:hAnsi="宋体" w:cs="宋体"/>
          <w:color w:val="000000" w:themeColor="text1"/>
          <w:kern w:val="2"/>
          <w:highlight w:val="none"/>
        </w:rPr>
        <w:t>地址：</w:t>
      </w:r>
    </w:p>
    <w:p w14:paraId="3E7A5A69">
      <w:pPr>
        <w:pStyle w:val="25"/>
        <w:spacing w:line="240" w:lineRule="auto"/>
        <w:ind w:firstLineChars="0"/>
        <w:rPr>
          <w:rFonts w:hint="eastAsia" w:ascii="宋体" w:hAnsi="宋体" w:cs="宋体"/>
          <w:color w:val="000000" w:themeColor="text1"/>
          <w:kern w:val="2"/>
          <w:highlight w:val="none"/>
        </w:rPr>
      </w:pPr>
      <w:r>
        <w:rPr>
          <w:rFonts w:hint="eastAsia" w:ascii="宋体" w:hAnsi="宋体" w:cs="宋体"/>
          <w:color w:val="000000" w:themeColor="text1"/>
          <w:kern w:val="2"/>
          <w:highlight w:val="none"/>
        </w:rPr>
        <w:t>法定代表人或授权签字代表：</w:t>
      </w:r>
      <w:r>
        <w:rPr>
          <w:rFonts w:hint="eastAsia" w:ascii="宋体" w:hAnsi="宋体" w:cs="宋体"/>
          <w:color w:val="000000" w:themeColor="text1"/>
          <w:kern w:val="2"/>
          <w:highlight w:val="none"/>
          <w:lang w:val="en-US" w:eastAsia="zh-CN"/>
        </w:rPr>
        <w:t xml:space="preserve">            </w:t>
      </w:r>
      <w:r>
        <w:rPr>
          <w:rFonts w:hint="eastAsia" w:ascii="宋体" w:hAnsi="宋体" w:cs="宋体"/>
          <w:color w:val="000000" w:themeColor="text1"/>
          <w:kern w:val="2"/>
          <w:highlight w:val="none"/>
        </w:rPr>
        <w:t>法定代表人或授权签字代表：</w:t>
      </w:r>
    </w:p>
    <w:p w14:paraId="578D99C1">
      <w:pPr>
        <w:pStyle w:val="25"/>
        <w:spacing w:line="240" w:lineRule="auto"/>
        <w:ind w:firstLineChars="0"/>
        <w:rPr>
          <w:rFonts w:hint="eastAsia" w:ascii="宋体" w:hAnsi="宋体" w:cs="宋体"/>
          <w:color w:val="000000" w:themeColor="text1"/>
          <w:kern w:val="2"/>
          <w:highlight w:val="none"/>
        </w:rPr>
      </w:pPr>
      <w:r>
        <w:rPr>
          <w:rFonts w:hint="eastAsia" w:ascii="宋体" w:hAnsi="宋体" w:cs="宋体"/>
          <w:color w:val="000000" w:themeColor="text1"/>
          <w:kern w:val="2"/>
          <w:highlight w:val="none"/>
        </w:rPr>
        <w:t>签订日期：年月日</w:t>
      </w:r>
      <w:r>
        <w:rPr>
          <w:rFonts w:hint="eastAsia" w:ascii="宋体" w:hAnsi="宋体" w:cs="宋体"/>
          <w:color w:val="000000" w:themeColor="text1"/>
          <w:kern w:val="2"/>
          <w:highlight w:val="none"/>
          <w:lang w:val="en-US" w:eastAsia="zh-CN"/>
        </w:rPr>
        <w:t xml:space="preserve">                      </w:t>
      </w:r>
      <w:r>
        <w:rPr>
          <w:rFonts w:hint="eastAsia" w:ascii="宋体" w:hAnsi="宋体" w:cs="宋体"/>
          <w:color w:val="000000" w:themeColor="text1"/>
          <w:kern w:val="2"/>
          <w:highlight w:val="none"/>
        </w:rPr>
        <w:t>签订日期：年月日</w:t>
      </w:r>
    </w:p>
    <w:p w14:paraId="74B21994">
      <w:pPr>
        <w:pStyle w:val="25"/>
        <w:spacing w:line="240" w:lineRule="auto"/>
        <w:ind w:firstLineChars="0"/>
        <w:rPr>
          <w:rFonts w:hint="eastAsia" w:ascii="宋体" w:hAnsi="宋体" w:cs="宋体"/>
          <w:color w:val="000000" w:themeColor="text1"/>
          <w:kern w:val="2"/>
          <w:highlight w:val="none"/>
        </w:rPr>
      </w:pPr>
      <w:r>
        <w:rPr>
          <w:rFonts w:hint="eastAsia" w:ascii="宋体" w:hAnsi="宋体" w:cs="宋体"/>
          <w:color w:val="000000" w:themeColor="text1"/>
          <w:kern w:val="2"/>
          <w:highlight w:val="none"/>
        </w:rPr>
        <w:t>甲方收款银行：</w:t>
      </w:r>
      <w:r>
        <w:rPr>
          <w:rFonts w:hint="eastAsia" w:ascii="宋体" w:hAnsi="宋体" w:cs="宋体"/>
          <w:color w:val="000000" w:themeColor="text1"/>
          <w:kern w:val="2"/>
          <w:highlight w:val="none"/>
          <w:lang w:val="en-US" w:eastAsia="zh-CN"/>
        </w:rPr>
        <w:t xml:space="preserve">                        </w:t>
      </w:r>
      <w:r>
        <w:rPr>
          <w:rFonts w:hint="eastAsia" w:ascii="宋体" w:hAnsi="宋体" w:cs="宋体"/>
          <w:color w:val="000000" w:themeColor="text1"/>
          <w:kern w:val="2"/>
          <w:highlight w:val="none"/>
        </w:rPr>
        <w:t>乙方收款银行：</w:t>
      </w:r>
    </w:p>
    <w:p w14:paraId="2C25C1B5">
      <w:pPr>
        <w:pStyle w:val="25"/>
        <w:spacing w:line="240" w:lineRule="auto"/>
        <w:ind w:firstLineChars="0"/>
        <w:rPr>
          <w:rFonts w:hint="eastAsia" w:ascii="宋体" w:hAnsi="宋体" w:cs="宋体"/>
          <w:color w:val="000000" w:themeColor="text1"/>
          <w:kern w:val="2"/>
          <w:highlight w:val="none"/>
        </w:rPr>
      </w:pPr>
      <w:r>
        <w:rPr>
          <w:rFonts w:hint="eastAsia" w:ascii="宋体" w:hAnsi="宋体" w:cs="宋体"/>
          <w:color w:val="000000" w:themeColor="text1"/>
          <w:kern w:val="2"/>
          <w:highlight w:val="none"/>
        </w:rPr>
        <w:t>甲方收款开户账号：</w:t>
      </w:r>
      <w:r>
        <w:rPr>
          <w:rFonts w:hint="eastAsia" w:ascii="宋体" w:hAnsi="宋体" w:cs="宋体"/>
          <w:color w:val="000000" w:themeColor="text1"/>
          <w:kern w:val="2"/>
          <w:highlight w:val="none"/>
          <w:lang w:val="en-US" w:eastAsia="zh-CN"/>
        </w:rPr>
        <w:t xml:space="preserve">                    </w:t>
      </w:r>
      <w:r>
        <w:rPr>
          <w:rFonts w:hint="eastAsia" w:ascii="宋体" w:hAnsi="宋体" w:cs="宋体"/>
          <w:color w:val="000000" w:themeColor="text1"/>
          <w:kern w:val="2"/>
          <w:highlight w:val="none"/>
        </w:rPr>
        <w:t>乙方收款开户账号：</w:t>
      </w:r>
    </w:p>
    <w:p w14:paraId="45B13995">
      <w:pPr>
        <w:spacing w:line="192" w:lineRule="auto"/>
        <w:ind w:left="645"/>
        <w:rPr>
          <w:b/>
          <w:color w:val="000000" w:themeColor="text1"/>
          <w:highlight w:val="none"/>
        </w:rPr>
      </w:pPr>
      <w:r>
        <w:rPr>
          <w:b/>
          <w:color w:val="000000" w:themeColor="text1"/>
          <w:highlight w:val="none"/>
        </w:rPr>
        <w:t>注：本合同为示范文本，具体以中标人与采购人所签定正式合同为准。</w:t>
      </w:r>
    </w:p>
    <w:p w14:paraId="630D749D">
      <w:pPr>
        <w:spacing w:line="192" w:lineRule="auto"/>
        <w:ind w:left="645"/>
        <w:rPr>
          <w:b/>
          <w:color w:val="000000" w:themeColor="text1"/>
          <w:highlight w:val="none"/>
        </w:rPr>
      </w:pPr>
    </w:p>
    <w:p w14:paraId="22A05A32">
      <w:pPr>
        <w:spacing w:line="192" w:lineRule="auto"/>
        <w:ind w:left="645"/>
        <w:rPr>
          <w:b/>
          <w:color w:val="000000" w:themeColor="text1"/>
          <w:highlight w:val="none"/>
        </w:rPr>
      </w:pPr>
    </w:p>
    <w:p w14:paraId="2BCDCB2C">
      <w:pPr>
        <w:spacing w:line="192" w:lineRule="auto"/>
        <w:ind w:left="645"/>
        <w:rPr>
          <w:b/>
          <w:color w:val="000000" w:themeColor="text1"/>
          <w:highlight w:val="none"/>
        </w:rPr>
      </w:pPr>
    </w:p>
    <w:p w14:paraId="2A6B6016">
      <w:pPr>
        <w:spacing w:line="192" w:lineRule="auto"/>
        <w:ind w:left="645"/>
        <w:rPr>
          <w:b/>
          <w:color w:val="000000" w:themeColor="text1"/>
          <w:highlight w:val="none"/>
        </w:rPr>
      </w:pPr>
    </w:p>
    <w:p w14:paraId="270230B3">
      <w:pPr>
        <w:spacing w:line="192" w:lineRule="auto"/>
        <w:ind w:left="645"/>
        <w:rPr>
          <w:b/>
          <w:color w:val="000000" w:themeColor="text1"/>
          <w:highlight w:val="none"/>
        </w:rPr>
      </w:pPr>
    </w:p>
    <w:p w14:paraId="4F1E7119">
      <w:pPr>
        <w:spacing w:line="192" w:lineRule="auto"/>
        <w:ind w:left="645"/>
        <w:rPr>
          <w:b/>
          <w:color w:val="000000" w:themeColor="text1"/>
          <w:highlight w:val="none"/>
        </w:rPr>
      </w:pPr>
    </w:p>
    <w:p w14:paraId="7FB37DA6">
      <w:pPr>
        <w:spacing w:line="192" w:lineRule="auto"/>
        <w:ind w:left="645"/>
        <w:rPr>
          <w:b/>
          <w:color w:val="000000" w:themeColor="text1"/>
          <w:highlight w:val="none"/>
        </w:rPr>
      </w:pPr>
    </w:p>
    <w:p w14:paraId="719F542F">
      <w:pPr>
        <w:spacing w:line="192" w:lineRule="auto"/>
        <w:ind w:left="645"/>
        <w:rPr>
          <w:b/>
          <w:color w:val="000000" w:themeColor="text1"/>
          <w:highlight w:val="none"/>
        </w:rPr>
      </w:pPr>
    </w:p>
    <w:p w14:paraId="31B2A277">
      <w:pPr>
        <w:spacing w:line="192" w:lineRule="auto"/>
        <w:ind w:left="645"/>
        <w:rPr>
          <w:b/>
          <w:color w:val="000000" w:themeColor="text1"/>
          <w:highlight w:val="none"/>
        </w:rPr>
      </w:pPr>
    </w:p>
    <w:p w14:paraId="1302FCBF">
      <w:pPr>
        <w:spacing w:line="192" w:lineRule="auto"/>
        <w:ind w:left="645"/>
        <w:rPr>
          <w:b/>
          <w:color w:val="000000" w:themeColor="text1"/>
          <w:highlight w:val="none"/>
        </w:rPr>
      </w:pPr>
    </w:p>
    <w:p w14:paraId="2AB587E8">
      <w:pPr>
        <w:spacing w:line="192" w:lineRule="auto"/>
        <w:ind w:left="645"/>
        <w:rPr>
          <w:b/>
          <w:color w:val="000000" w:themeColor="text1"/>
          <w:highlight w:val="none"/>
        </w:rPr>
      </w:pPr>
    </w:p>
    <w:p w14:paraId="603D1173">
      <w:pPr>
        <w:spacing w:line="192" w:lineRule="auto"/>
        <w:ind w:left="645"/>
        <w:rPr>
          <w:b/>
          <w:color w:val="000000" w:themeColor="text1"/>
          <w:highlight w:val="none"/>
        </w:rPr>
      </w:pPr>
    </w:p>
    <w:p w14:paraId="12604AEC">
      <w:pPr>
        <w:spacing w:line="192" w:lineRule="auto"/>
        <w:ind w:left="645"/>
        <w:rPr>
          <w:b/>
          <w:color w:val="000000" w:themeColor="text1"/>
          <w:highlight w:val="none"/>
        </w:rPr>
      </w:pPr>
    </w:p>
    <w:p w14:paraId="2774D29D">
      <w:pPr>
        <w:spacing w:line="192" w:lineRule="auto"/>
        <w:ind w:left="645"/>
        <w:rPr>
          <w:b/>
          <w:color w:val="000000" w:themeColor="text1"/>
          <w:highlight w:val="none"/>
        </w:rPr>
      </w:pPr>
    </w:p>
    <w:p w14:paraId="7C919EE5">
      <w:pPr>
        <w:spacing w:line="360" w:lineRule="auto"/>
        <w:ind w:left="645"/>
        <w:rPr>
          <w:b/>
          <w:color w:val="000000" w:themeColor="text1"/>
          <w:highlight w:val="none"/>
        </w:rPr>
      </w:pPr>
    </w:p>
    <w:p w14:paraId="78561665">
      <w:pPr>
        <w:numPr>
          <w:ilvl w:val="0"/>
          <w:numId w:val="11"/>
        </w:numPr>
        <w:jc w:val="center"/>
        <w:rPr>
          <w:rFonts w:ascii="Times New Roman" w:hAnsi="Times New Roman" w:cs="Times New Roman"/>
          <w:b/>
          <w:bCs/>
          <w:color w:val="000000" w:themeColor="text1"/>
          <w:sz w:val="30"/>
          <w:szCs w:val="30"/>
        </w:rPr>
      </w:pPr>
      <w:bookmarkStart w:id="2" w:name="_Toc451429387"/>
      <w:bookmarkStart w:id="3" w:name="_Toc480187595"/>
      <w:r>
        <w:rPr>
          <w:rFonts w:ascii="Times New Roman" w:hAnsi="Times New Roman" w:cs="Times New Roman"/>
          <w:b/>
          <w:bCs/>
          <w:color w:val="000000" w:themeColor="text1"/>
          <w:sz w:val="30"/>
          <w:szCs w:val="30"/>
        </w:rPr>
        <w:t>投标文件相关格式</w:t>
      </w:r>
    </w:p>
    <w:p w14:paraId="3B122CA0">
      <w:pPr>
        <w:pStyle w:val="59"/>
        <w:numPr>
          <w:ilvl w:val="255"/>
          <w:numId w:val="0"/>
        </w:numPr>
        <w:spacing w:before="159" w:after="159"/>
        <w:ind w:right="-506" w:rightChars="-241" w:firstLine="420" w:firstLineChars="200"/>
        <w:rPr>
          <w:rFonts w:hAnsi="宋体" w:eastAsia="宋体"/>
          <w:b/>
          <w:color w:val="000000" w:themeColor="text1"/>
          <w:sz w:val="21"/>
          <w:szCs w:val="21"/>
        </w:rPr>
      </w:pPr>
      <w:r>
        <w:rPr>
          <w:rFonts w:hint="eastAsia" w:hAnsi="宋体"/>
          <w:color w:val="000000" w:themeColor="text1"/>
          <w:sz w:val="21"/>
        </w:rPr>
        <w:t>投标文件由</w:t>
      </w:r>
      <w:r>
        <w:rPr>
          <w:rFonts w:hint="eastAsia" w:ascii="Times New Roman" w:hAnsi="Times New Roman" w:eastAsia="宋体" w:cs="Times New Roman"/>
          <w:color w:val="000000" w:themeColor="text1"/>
          <w:sz w:val="21"/>
        </w:rPr>
        <w:t>资格响应文件、商务及技术响应文件、报价文件三部份组成</w:t>
      </w:r>
      <w:r>
        <w:rPr>
          <w:rFonts w:hint="eastAsia" w:ascii="Times New Roman" w:hAnsi="Times New Roman" w:eastAsia="宋体" w:cs="Times New Roman"/>
          <w:color w:val="000000" w:themeColor="text1"/>
          <w:sz w:val="21"/>
          <w:szCs w:val="21"/>
        </w:rPr>
        <w:t>。</w:t>
      </w:r>
      <w:r>
        <w:rPr>
          <w:rFonts w:hint="eastAsia" w:hAnsi="宋体"/>
          <w:b/>
          <w:color w:val="000000" w:themeColor="text1"/>
          <w:sz w:val="21"/>
          <w:szCs w:val="21"/>
        </w:rPr>
        <w:t>投标文件中涉及的有关内容均须提供合法有效的证明材料扫描件件。</w:t>
      </w:r>
      <w:r>
        <w:rPr>
          <w:rFonts w:hint="eastAsia" w:ascii="Times New Roman" w:hAnsi="Times New Roman" w:eastAsia="宋体" w:cs="Times New Roman"/>
          <w:color w:val="000000" w:themeColor="text1"/>
          <w:sz w:val="21"/>
          <w:szCs w:val="21"/>
        </w:rPr>
        <w:t>电子投标文件中所须加盖公章部分均采用CA签章。</w:t>
      </w:r>
      <w:r>
        <w:rPr>
          <w:rFonts w:hint="eastAsia" w:hAnsi="宋体"/>
          <w:b/>
          <w:color w:val="000000" w:themeColor="text1"/>
          <w:sz w:val="21"/>
          <w:szCs w:val="21"/>
        </w:rPr>
        <w:t>有▲标识的条款为必须提交的资料</w:t>
      </w:r>
      <w:r>
        <w:rPr>
          <w:rFonts w:hint="eastAsia" w:hAnsi="宋体" w:eastAsia="宋体"/>
          <w:b/>
          <w:color w:val="000000" w:themeColor="text1"/>
          <w:sz w:val="21"/>
          <w:szCs w:val="21"/>
        </w:rPr>
        <w:t>。</w:t>
      </w:r>
    </w:p>
    <w:p w14:paraId="5690B45F">
      <w:pPr>
        <w:pStyle w:val="59"/>
        <w:numPr>
          <w:ilvl w:val="255"/>
          <w:numId w:val="0"/>
        </w:numPr>
        <w:spacing w:before="159" w:after="159"/>
        <w:ind w:right="-506" w:rightChars="-241" w:firstLine="422" w:firstLineChars="200"/>
        <w:rPr>
          <w:rFonts w:hAnsi="宋体" w:eastAsia="宋体"/>
          <w:b/>
          <w:color w:val="000000" w:themeColor="text1"/>
          <w:sz w:val="21"/>
          <w:szCs w:val="21"/>
        </w:rPr>
      </w:pPr>
      <w:r>
        <w:rPr>
          <w:rFonts w:hint="eastAsia" w:hAnsi="宋体" w:eastAsia="宋体"/>
          <w:b/>
          <w:color w:val="000000" w:themeColor="text1"/>
          <w:sz w:val="21"/>
          <w:szCs w:val="21"/>
        </w:rPr>
        <w:t>▲1、资格响应部份：</w:t>
      </w:r>
    </w:p>
    <w:p w14:paraId="481D4EFC">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基本资格条件：符合《中华人民共和国政府采购法》第二十二条的规定；</w:t>
      </w:r>
    </w:p>
    <w:p w14:paraId="0F2ED93D">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1.1营业执照复印件；</w:t>
      </w:r>
    </w:p>
    <w:p w14:paraId="3A8E885E">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提供在工商部门注册的有效“企业法人营业执照”或“营业执照”</w:t>
      </w:r>
    </w:p>
    <w:p w14:paraId="0B314EB3">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1.1.1特定行业（银行、保险、石油石化、电力、电信、移动、联通等行业）供应商为区域性分支机构的提供总公司（总机构）授权书。（如是）</w:t>
      </w:r>
    </w:p>
    <w:p w14:paraId="7F9CFC1E">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1.2《投标函》（格式见附件）；</w:t>
      </w:r>
    </w:p>
    <w:p w14:paraId="233CA71F">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1.3法定代表人身份证复印件；</w:t>
      </w:r>
    </w:p>
    <w:p w14:paraId="292E1788">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1.4中小企业声明函（格式见附件）；</w:t>
      </w:r>
    </w:p>
    <w:p w14:paraId="2EE6BF2F">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1.5监狱企业声明函；(如需)</w:t>
      </w:r>
    </w:p>
    <w:p w14:paraId="6A6C6031">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1.6残疾人福利性单位声明函；(如需)</w:t>
      </w:r>
    </w:p>
    <w:p w14:paraId="4ADEE652">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注：证明材料均需加盖签章。</w:t>
      </w:r>
    </w:p>
    <w:p w14:paraId="5AF09092">
      <w:pPr>
        <w:pStyle w:val="59"/>
        <w:numPr>
          <w:ilvl w:val="-1"/>
          <w:numId w:val="0"/>
        </w:numPr>
        <w:snapToGrid w:val="0"/>
        <w:spacing w:before="159" w:after="159" w:line="360" w:lineRule="auto"/>
        <w:ind w:left="0" w:leftChars="0" w:right="-506" w:rightChars="-241" w:firstLine="422" w:firstLineChars="200"/>
        <w:rPr>
          <w:rFonts w:hAnsi="宋体" w:eastAsia="宋体"/>
          <w:b/>
          <w:color w:val="000000" w:themeColor="text1"/>
          <w:sz w:val="21"/>
          <w:szCs w:val="21"/>
        </w:rPr>
      </w:pPr>
      <w:r>
        <w:rPr>
          <w:rFonts w:hint="eastAsia" w:hAnsi="宋体" w:eastAsia="宋体"/>
          <w:b/>
          <w:color w:val="000000" w:themeColor="text1"/>
          <w:sz w:val="21"/>
          <w:szCs w:val="21"/>
          <w:lang w:val="en-US" w:eastAsia="zh-CN"/>
        </w:rPr>
        <w:t>2.</w:t>
      </w:r>
      <w:r>
        <w:rPr>
          <w:rFonts w:hint="eastAsia" w:hAnsi="宋体" w:eastAsia="宋体"/>
          <w:b/>
          <w:color w:val="000000" w:themeColor="text1"/>
          <w:sz w:val="21"/>
          <w:szCs w:val="21"/>
        </w:rPr>
        <w:t>商务及技术部分：</w:t>
      </w:r>
    </w:p>
    <w:p w14:paraId="24967075">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2.1供应商自评表（格式见附件）</w:t>
      </w:r>
    </w:p>
    <w:p w14:paraId="7EFE2FBF">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2.2投标人综合</w:t>
      </w:r>
      <w:r>
        <w:rPr>
          <w:rFonts w:hint="eastAsia" w:ascii="Times New Roman" w:hAnsi="Times New Roman" w:cs="Times New Roman"/>
          <w:color w:val="000000" w:themeColor="text1"/>
        </w:rPr>
        <w:t>情况</w:t>
      </w:r>
      <w:r>
        <w:rPr>
          <w:rFonts w:ascii="Times New Roman" w:hAnsi="Times New Roman" w:cs="Times New Roman"/>
          <w:color w:val="000000" w:themeColor="text1"/>
        </w:rPr>
        <w:t>（如有）；</w:t>
      </w:r>
    </w:p>
    <w:p w14:paraId="50220CA8">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2.3企业业绩（如有）（格式见附件）</w:t>
      </w:r>
    </w:p>
    <w:p w14:paraId="65D9D092">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2.4</w:t>
      </w:r>
      <w:r>
        <w:rPr>
          <w:rFonts w:ascii="Times New Roman" w:hAnsi="Times New Roman" w:cs="Times New Roman"/>
          <w:color w:val="000000" w:themeColor="text1"/>
          <w:lang w:val="zh-CN"/>
        </w:rPr>
        <w:t>项目实施人员配备表</w:t>
      </w:r>
      <w:r>
        <w:rPr>
          <w:rFonts w:ascii="Times New Roman" w:hAnsi="Times New Roman" w:cs="Times New Roman"/>
          <w:color w:val="000000" w:themeColor="text1"/>
        </w:rPr>
        <w:t>（项目负责人及其他主要管理人员须提供有效证件/证书、社保等，中标后人员不得随意更换，更换需采购人书面同意）</w:t>
      </w:r>
    </w:p>
    <w:p w14:paraId="0158192B">
      <w:pPr>
        <w:spacing w:line="360" w:lineRule="auto"/>
        <w:ind w:firstLine="420"/>
        <w:contextualSpacing/>
        <w:jc w:val="left"/>
        <w:rPr>
          <w:rFonts w:ascii="Times New Roman" w:hAnsi="Times New Roman" w:cs="Times New Roman"/>
          <w:color w:val="000000" w:themeColor="text1"/>
          <w:kern w:val="2"/>
          <w:sz w:val="21"/>
          <w:szCs w:val="21"/>
        </w:rPr>
      </w:pPr>
      <w:r>
        <w:rPr>
          <w:rFonts w:ascii="Times New Roman" w:hAnsi="Times New Roman" w:cs="Times New Roman"/>
          <w:color w:val="000000" w:themeColor="text1"/>
        </w:rPr>
        <w:t>2.5</w:t>
      </w:r>
      <w:r>
        <w:rPr>
          <w:rFonts w:ascii="Times New Roman" w:hAnsi="Times New Roman" w:cs="Times New Roman"/>
          <w:b w:val="0"/>
          <w:bCs w:val="0"/>
          <w:color w:val="000000" w:themeColor="text1"/>
          <w:kern w:val="2"/>
          <w:sz w:val="21"/>
          <w:szCs w:val="21"/>
          <w:lang w:val="en-US"/>
        </w:rPr>
        <w:t>服务期所需配备耗材及作业机具配置表</w:t>
      </w:r>
      <w:r>
        <w:rPr>
          <w:rFonts w:ascii="Times New Roman" w:hAnsi="Times New Roman" w:cs="Times New Roman"/>
          <w:color w:val="000000" w:themeColor="text1"/>
        </w:rPr>
        <w:t>（</w:t>
      </w:r>
      <w:r>
        <w:rPr>
          <w:rFonts w:ascii="Times New Roman" w:hAnsi="Times New Roman" w:cs="Times New Roman"/>
          <w:color w:val="000000" w:themeColor="text1"/>
          <w:kern w:val="2"/>
          <w:sz w:val="21"/>
          <w:szCs w:val="21"/>
        </w:rPr>
        <w:t>格式见附件）</w:t>
      </w:r>
    </w:p>
    <w:p w14:paraId="3A269AF0">
      <w:pPr>
        <w:spacing w:line="360" w:lineRule="auto"/>
        <w:ind w:firstLine="210" w:firstLineChars="100"/>
        <w:contextualSpacing/>
        <w:jc w:val="left"/>
        <w:rPr>
          <w:rFonts w:ascii="Times New Roman" w:hAnsi="Times New Roman" w:cs="Times New Roman"/>
          <w:color w:val="000000" w:themeColor="text1"/>
        </w:rPr>
      </w:pPr>
      <w:r>
        <w:rPr>
          <w:rFonts w:ascii="Times New Roman" w:hAnsi="Times New Roman" w:cs="Times New Roman"/>
          <w:b w:val="0"/>
          <w:bCs w:val="0"/>
          <w:color w:val="000000" w:themeColor="text1"/>
        </w:rPr>
        <w:t>▲</w:t>
      </w:r>
      <w:r>
        <w:rPr>
          <w:rFonts w:hint="eastAsia" w:ascii="Times New Roman" w:hAnsi="Times New Roman" w:cs="Times New Roman"/>
          <w:color w:val="000000" w:themeColor="text1"/>
        </w:rPr>
        <w:t>2.6</w:t>
      </w:r>
      <w:r>
        <w:rPr>
          <w:rFonts w:hint="default" w:ascii="Times New Roman" w:hAnsi="Times New Roman" w:cs="Times New Roman"/>
          <w:color w:val="000000" w:themeColor="text1"/>
          <w:lang w:eastAsia="zh-CN"/>
        </w:rPr>
        <w:t>商务响应表</w:t>
      </w:r>
      <w:r>
        <w:rPr>
          <w:rFonts w:ascii="Times New Roman" w:hAnsi="Times New Roman" w:cs="Times New Roman"/>
          <w:color w:val="000000" w:themeColor="text1"/>
        </w:rPr>
        <w:t>（格式见附件）</w:t>
      </w:r>
    </w:p>
    <w:p w14:paraId="51ADF505">
      <w:pPr>
        <w:spacing w:line="360" w:lineRule="auto"/>
        <w:ind w:firstLine="420" w:firstLineChars="200"/>
        <w:contextualSpacing/>
        <w:jc w:val="left"/>
        <w:rPr>
          <w:rFonts w:ascii="Times New Roman" w:hAnsi="Times New Roman" w:cs="Times New Roman"/>
          <w:color w:val="000000" w:themeColor="text1"/>
        </w:rPr>
      </w:pPr>
      <w:r>
        <w:rPr>
          <w:rFonts w:ascii="Times New Roman" w:hAnsi="Times New Roman" w:cs="Times New Roman"/>
          <w:color w:val="000000" w:themeColor="text1"/>
        </w:rPr>
        <w:t>2.</w:t>
      </w:r>
      <w:r>
        <w:rPr>
          <w:rFonts w:hint="default" w:ascii="Times New Roman" w:hAnsi="Times New Roman" w:cs="Times New Roman"/>
          <w:color w:val="000000" w:themeColor="text1"/>
        </w:rPr>
        <w:t>7</w:t>
      </w:r>
      <w:r>
        <w:rPr>
          <w:rFonts w:ascii="Times New Roman" w:hAnsi="Times New Roman" w:cs="Times New Roman"/>
          <w:color w:val="000000" w:themeColor="text1"/>
        </w:rPr>
        <w:t>本采购文件要求提供的和投标人认为需要提供的其它说明和资料/文件</w:t>
      </w:r>
    </w:p>
    <w:p w14:paraId="16DA9D68">
      <w:pPr>
        <w:spacing w:line="360" w:lineRule="auto"/>
        <w:ind w:firstLine="422" w:firstLineChars="200"/>
        <w:contextualSpacing/>
        <w:jc w:val="left"/>
        <w:rPr>
          <w:rFonts w:hint="default" w:eastAsia="宋体"/>
          <w:color w:val="000000" w:themeColor="text1"/>
          <w:lang w:val="en-US" w:eastAsia="zh-CN"/>
        </w:rPr>
      </w:pPr>
      <w:r>
        <w:rPr>
          <w:rFonts w:hint="eastAsia" w:ascii="Times New Roman" w:hAnsi="Times New Roman" w:cs="Times New Roman"/>
          <w:b/>
          <w:bCs/>
          <w:color w:val="000000" w:themeColor="text1"/>
          <w:lang w:val="en-US" w:eastAsia="zh-CN"/>
        </w:rPr>
        <w:t>注：本项目除</w:t>
      </w:r>
      <w:r>
        <w:rPr>
          <w:rFonts w:hint="eastAsia" w:ascii="Times New Roman" w:hAnsi="Times New Roman" w:cs="Times New Roman"/>
          <w:b/>
          <w:bCs/>
          <w:color w:val="000000" w:themeColor="text1"/>
        </w:rPr>
        <w:t>▲</w:t>
      </w:r>
      <w:r>
        <w:rPr>
          <w:rFonts w:hint="eastAsia" w:ascii="Times New Roman" w:hAnsi="Times New Roman" w:cs="Times New Roman"/>
          <w:b/>
          <w:bCs/>
          <w:color w:val="000000" w:themeColor="text1"/>
          <w:lang w:val="en-US" w:eastAsia="zh-CN"/>
        </w:rPr>
        <w:t>部分，商务技术部分的内容可根据各标项需求提供（详见评分标准</w:t>
      </w:r>
      <w:r>
        <w:rPr>
          <w:rFonts w:hint="eastAsia" w:ascii="Times New Roman" w:hAnsi="Times New Roman" w:cs="Times New Roman"/>
          <w:b/>
          <w:bCs/>
          <w:color w:val="000000" w:themeColor="text1"/>
          <w:lang w:eastAsia="zh-CN"/>
        </w:rPr>
        <w:t>）</w:t>
      </w:r>
      <w:r>
        <w:rPr>
          <w:rFonts w:ascii="Times New Roman" w:hAnsi="Times New Roman" w:cs="Times New Roman"/>
          <w:b/>
          <w:bCs/>
          <w:color w:val="000000" w:themeColor="text1"/>
        </w:rPr>
        <w:t>。</w:t>
      </w:r>
    </w:p>
    <w:p w14:paraId="6FD0D843">
      <w:pPr>
        <w:spacing w:line="360" w:lineRule="auto"/>
        <w:ind w:firstLine="420" w:firstLineChars="200"/>
        <w:contextualSpacing/>
        <w:rPr>
          <w:rFonts w:ascii="Times New Roman" w:hAnsi="Times New Roman" w:cs="Times New Roman"/>
          <w:b/>
          <w:bCs/>
          <w:color w:val="000000" w:themeColor="text1"/>
          <w:highlight w:val="yellow"/>
          <w:u w:val="single"/>
        </w:rPr>
      </w:pPr>
      <w:r>
        <w:rPr>
          <w:rFonts w:ascii="Times New Roman" w:hAnsi="Times New Roman" w:cs="Times New Roman"/>
          <w:color w:val="000000" w:themeColor="text1"/>
          <w:highlight w:val="yellow"/>
          <w:u w:val="single"/>
        </w:rPr>
        <w:fldChar w:fldCharType="begin"/>
      </w:r>
      <w:r>
        <w:rPr>
          <w:rFonts w:ascii="Times New Roman" w:hAnsi="Times New Roman" w:cs="Times New Roman"/>
          <w:color w:val="000000" w:themeColor="text1"/>
          <w:highlight w:val="yellow"/>
          <w:u w:val="single"/>
        </w:rPr>
        <w:instrText xml:space="preserve"> HYPERLINK "mailto:2.15政府采购活动现场确认声明书（本表在开标截止时间后,尽快填写完并加盖公章传至41688047@qq.com）" </w:instrText>
      </w:r>
      <w:r>
        <w:rPr>
          <w:rFonts w:ascii="Times New Roman" w:hAnsi="Times New Roman" w:cs="Times New Roman"/>
          <w:color w:val="000000" w:themeColor="text1"/>
          <w:highlight w:val="yellow"/>
          <w:u w:val="single"/>
        </w:rPr>
        <w:fldChar w:fldCharType="separate"/>
      </w:r>
      <w:r>
        <w:rPr>
          <w:rStyle w:val="34"/>
          <w:rFonts w:ascii="Times New Roman" w:hAnsi="Times New Roman" w:cs="Times New Roman"/>
          <w:color w:val="000000" w:themeColor="text1"/>
          <w:highlight w:val="yellow"/>
        </w:rPr>
        <w:t>2.</w:t>
      </w:r>
      <w:r>
        <w:rPr>
          <w:rStyle w:val="34"/>
          <w:rFonts w:hint="eastAsia" w:ascii="Times New Roman" w:hAnsi="Times New Roman" w:cs="Times New Roman"/>
          <w:color w:val="000000" w:themeColor="text1"/>
          <w:highlight w:val="yellow"/>
          <w:lang w:val="en-US" w:eastAsia="zh-CN"/>
        </w:rPr>
        <w:t>8</w:t>
      </w:r>
      <w:r>
        <w:rPr>
          <w:rStyle w:val="34"/>
          <w:rFonts w:ascii="Times New Roman" w:hAnsi="Times New Roman" w:cs="Times New Roman"/>
          <w:color w:val="000000" w:themeColor="text1"/>
          <w:highlight w:val="yellow"/>
        </w:rPr>
        <w:t>政府采购活动现场确认声明书（</w:t>
      </w:r>
      <w:r>
        <w:rPr>
          <w:rStyle w:val="34"/>
          <w:rFonts w:ascii="Times New Roman" w:hAnsi="Times New Roman" w:cs="Times New Roman"/>
          <w:b/>
          <w:bCs/>
          <w:color w:val="000000" w:themeColor="text1"/>
          <w:highlight w:val="yellow"/>
        </w:rPr>
        <w:t>本表在开标截止时间后,尽快填写完并加盖公章传至</w:t>
      </w:r>
      <w:r>
        <w:rPr>
          <w:rStyle w:val="34"/>
          <w:rFonts w:hint="eastAsia" w:ascii="Times New Roman" w:hAnsi="Times New Roman" w:cs="Times New Roman"/>
          <w:b/>
          <w:bCs/>
          <w:color w:val="000000" w:themeColor="text1"/>
          <w:highlight w:val="yellow"/>
        </w:rPr>
        <w:t>41688047</w:t>
      </w:r>
      <w:r>
        <w:rPr>
          <w:rStyle w:val="34"/>
          <w:rFonts w:ascii="Times New Roman" w:hAnsi="Times New Roman" w:cs="Times New Roman"/>
          <w:b/>
          <w:bCs/>
          <w:color w:val="000000" w:themeColor="text1"/>
          <w:highlight w:val="yellow"/>
        </w:rPr>
        <w:t>@qq.com）</w:t>
      </w:r>
      <w:r>
        <w:rPr>
          <w:rFonts w:ascii="Times New Roman" w:hAnsi="Times New Roman" w:cs="Times New Roman"/>
          <w:color w:val="000000" w:themeColor="text1"/>
          <w:highlight w:val="yellow"/>
          <w:u w:val="single"/>
        </w:rPr>
        <w:fldChar w:fldCharType="end"/>
      </w:r>
    </w:p>
    <w:p w14:paraId="6C6E1E94">
      <w:pPr>
        <w:pStyle w:val="59"/>
        <w:spacing w:beforeLines="0" w:afterLines="0" w:line="360" w:lineRule="auto"/>
        <w:ind w:left="0" w:leftChars="0" w:firstLine="0" w:firstLineChars="0"/>
        <w:contextualSpacing/>
        <w:rPr>
          <w:rFonts w:ascii="Times New Roman" w:hAnsi="Times New Roman" w:eastAsia="宋体" w:cs="Times New Roman"/>
          <w:b/>
          <w:bCs/>
          <w:color w:val="000000" w:themeColor="text1"/>
          <w:sz w:val="21"/>
          <w:szCs w:val="21"/>
        </w:rPr>
      </w:pPr>
      <w:r>
        <w:rPr>
          <w:rFonts w:ascii="Times New Roman" w:hAnsi="Times New Roman" w:eastAsia="宋体" w:cs="Times New Roman"/>
          <w:b/>
          <w:bCs/>
          <w:color w:val="000000" w:themeColor="text1"/>
          <w:sz w:val="21"/>
          <w:szCs w:val="21"/>
        </w:rPr>
        <w:t>3、报价部分：</w:t>
      </w:r>
    </w:p>
    <w:p w14:paraId="1EFCEC05">
      <w:pPr>
        <w:spacing w:line="360" w:lineRule="auto"/>
        <w:ind w:firstLine="420"/>
        <w:contextualSpacing/>
        <w:rPr>
          <w:rFonts w:ascii="Times New Roman" w:hAnsi="Times New Roman" w:cs="Times New Roman"/>
          <w:color w:val="000000" w:themeColor="text1"/>
        </w:rPr>
      </w:pPr>
      <w:r>
        <w:rPr>
          <w:rFonts w:ascii="Times New Roman" w:hAnsi="Times New Roman" w:cs="Times New Roman"/>
          <w:b/>
          <w:bCs/>
          <w:color w:val="000000" w:themeColor="text1"/>
        </w:rPr>
        <w:t>▲</w:t>
      </w:r>
      <w:r>
        <w:rPr>
          <w:rFonts w:ascii="Times New Roman" w:hAnsi="Times New Roman" w:cs="Times New Roman"/>
          <w:color w:val="000000" w:themeColor="text1"/>
        </w:rPr>
        <w:t>3.1投标报价一览表（格式见附件）；</w:t>
      </w:r>
    </w:p>
    <w:p w14:paraId="45BA3955">
      <w:pPr>
        <w:spacing w:line="360" w:lineRule="auto"/>
        <w:ind w:firstLine="420"/>
        <w:contextualSpacing/>
        <w:rPr>
          <w:rFonts w:ascii="Times New Roman" w:hAnsi="Times New Roman" w:cs="Times New Roman"/>
          <w:color w:val="000000" w:themeColor="text1"/>
        </w:rPr>
      </w:pPr>
      <w:r>
        <w:rPr>
          <w:rFonts w:ascii="Times New Roman" w:hAnsi="Times New Roman" w:cs="Times New Roman"/>
          <w:b/>
          <w:bCs/>
          <w:color w:val="000000" w:themeColor="text1"/>
        </w:rPr>
        <w:t>▲</w:t>
      </w:r>
      <w:r>
        <w:rPr>
          <w:rFonts w:ascii="Times New Roman" w:hAnsi="Times New Roman" w:cs="Times New Roman"/>
          <w:color w:val="000000" w:themeColor="text1"/>
        </w:rPr>
        <w:t>3.2报价明细表（格式见附件）；</w:t>
      </w:r>
    </w:p>
    <w:p w14:paraId="7E77E4FE">
      <w:pPr>
        <w:spacing w:line="360" w:lineRule="auto"/>
        <w:ind w:left="420" w:leftChars="200"/>
        <w:contextualSpacing/>
        <w:rPr>
          <w:rFonts w:ascii="Times New Roman" w:hAnsi="Times New Roman" w:cs="Times New Roman"/>
          <w:color w:val="000000" w:themeColor="text1"/>
        </w:rPr>
      </w:pPr>
      <w:r>
        <w:rPr>
          <w:rFonts w:ascii="Times New Roman" w:hAnsi="Times New Roman" w:cs="Times New Roman"/>
          <w:color w:val="000000" w:themeColor="text1"/>
        </w:rPr>
        <w:t>3.3投标人针对报价需要说明的其他文件和说明（如有，格式自拟）。</w:t>
      </w:r>
    </w:p>
    <w:p w14:paraId="16F0BE95">
      <w:pPr>
        <w:pStyle w:val="4"/>
        <w:rPr>
          <w:color w:val="000000" w:themeColor="text1"/>
        </w:rPr>
      </w:pPr>
    </w:p>
    <w:p w14:paraId="46D26840">
      <w:pPr>
        <w:rPr>
          <w:color w:val="000000" w:themeColor="text1"/>
        </w:rPr>
      </w:pPr>
    </w:p>
    <w:p w14:paraId="063BE3CB">
      <w:pPr>
        <w:pStyle w:val="2"/>
        <w:rPr>
          <w:color w:val="000000" w:themeColor="text1"/>
        </w:rPr>
      </w:pPr>
    </w:p>
    <w:p w14:paraId="404DAF27">
      <w:pPr>
        <w:pStyle w:val="25"/>
        <w:ind w:firstLine="210"/>
        <w:rPr>
          <w:color w:val="000000" w:themeColor="text1"/>
        </w:rPr>
      </w:pPr>
    </w:p>
    <w:p w14:paraId="3F435495">
      <w:pPr>
        <w:pStyle w:val="21"/>
        <w:rPr>
          <w:color w:val="000000" w:themeColor="text1"/>
        </w:rPr>
      </w:pPr>
    </w:p>
    <w:p w14:paraId="2C72C432">
      <w:pPr>
        <w:rPr>
          <w:color w:val="000000" w:themeColor="text1"/>
        </w:rPr>
      </w:pPr>
    </w:p>
    <w:p w14:paraId="117431F5">
      <w:pPr>
        <w:pStyle w:val="2"/>
        <w:rPr>
          <w:color w:val="000000" w:themeColor="text1"/>
        </w:rPr>
      </w:pPr>
    </w:p>
    <w:p w14:paraId="71BACE49">
      <w:pPr>
        <w:pStyle w:val="25"/>
        <w:ind w:firstLine="210"/>
        <w:rPr>
          <w:color w:val="000000" w:themeColor="text1"/>
        </w:rPr>
      </w:pPr>
    </w:p>
    <w:p w14:paraId="2E39DFC1">
      <w:pPr>
        <w:pStyle w:val="21"/>
        <w:rPr>
          <w:color w:val="000000" w:themeColor="text1"/>
        </w:rPr>
      </w:pPr>
    </w:p>
    <w:p w14:paraId="4A9E1B0F">
      <w:pPr>
        <w:rPr>
          <w:color w:val="000000" w:themeColor="text1"/>
        </w:rPr>
      </w:pPr>
    </w:p>
    <w:p w14:paraId="20DA09B0">
      <w:pPr>
        <w:pStyle w:val="2"/>
        <w:rPr>
          <w:color w:val="000000" w:themeColor="text1"/>
        </w:rPr>
      </w:pPr>
    </w:p>
    <w:p w14:paraId="00E229F9">
      <w:pPr>
        <w:pStyle w:val="25"/>
        <w:ind w:firstLine="210"/>
        <w:rPr>
          <w:color w:val="000000" w:themeColor="text1"/>
        </w:rPr>
      </w:pPr>
    </w:p>
    <w:p w14:paraId="1CCA5CB2">
      <w:pPr>
        <w:pStyle w:val="21"/>
        <w:rPr>
          <w:color w:val="000000" w:themeColor="text1"/>
        </w:rPr>
      </w:pPr>
    </w:p>
    <w:p w14:paraId="1EE8373E">
      <w:pPr>
        <w:rPr>
          <w:color w:val="000000" w:themeColor="text1"/>
        </w:rPr>
      </w:pPr>
    </w:p>
    <w:p w14:paraId="692EA086">
      <w:pPr>
        <w:pStyle w:val="2"/>
        <w:rPr>
          <w:color w:val="000000" w:themeColor="text1"/>
        </w:rPr>
      </w:pPr>
    </w:p>
    <w:p w14:paraId="163BC0F8">
      <w:pPr>
        <w:pStyle w:val="25"/>
        <w:ind w:firstLine="210"/>
        <w:rPr>
          <w:color w:val="000000" w:themeColor="text1"/>
        </w:rPr>
      </w:pPr>
    </w:p>
    <w:p w14:paraId="5F83A8FA">
      <w:pPr>
        <w:pStyle w:val="21"/>
        <w:rPr>
          <w:color w:val="000000" w:themeColor="text1"/>
        </w:rPr>
      </w:pPr>
    </w:p>
    <w:p w14:paraId="052A674A">
      <w:pPr>
        <w:rPr>
          <w:color w:val="000000" w:themeColor="text1"/>
        </w:rPr>
      </w:pPr>
    </w:p>
    <w:p w14:paraId="2AE400A9">
      <w:pPr>
        <w:pStyle w:val="2"/>
        <w:rPr>
          <w:color w:val="000000" w:themeColor="text1"/>
        </w:rPr>
      </w:pPr>
    </w:p>
    <w:p w14:paraId="0E225E97">
      <w:pPr>
        <w:pStyle w:val="25"/>
        <w:ind w:firstLine="210"/>
        <w:rPr>
          <w:color w:val="000000" w:themeColor="text1"/>
        </w:rPr>
      </w:pPr>
    </w:p>
    <w:bookmarkEnd w:id="2"/>
    <w:bookmarkEnd w:id="3"/>
    <w:p w14:paraId="264A62A2">
      <w:pPr>
        <w:autoSpaceDE w:val="0"/>
        <w:autoSpaceDN w:val="0"/>
        <w:adjustRightInd w:val="0"/>
        <w:spacing w:line="360" w:lineRule="auto"/>
        <w:outlineLvl w:val="1"/>
        <w:rPr>
          <w:rFonts w:hint="eastAsia" w:ascii="宋体" w:hAnsi="宋体" w:cs="宋体"/>
          <w:b/>
          <w:color w:val="000000" w:themeColor="text1"/>
          <w:sz w:val="30"/>
        </w:rPr>
      </w:pPr>
    </w:p>
    <w:p w14:paraId="1A1398CD">
      <w:pPr>
        <w:pStyle w:val="3"/>
        <w:rPr>
          <w:rFonts w:hint="eastAsia" w:ascii="宋体" w:hAnsi="宋体" w:cs="宋体"/>
          <w:b/>
          <w:color w:val="000000" w:themeColor="text1"/>
          <w:sz w:val="30"/>
        </w:rPr>
      </w:pPr>
    </w:p>
    <w:p w14:paraId="357755F0">
      <w:pPr>
        <w:rPr>
          <w:rFonts w:hint="eastAsia" w:ascii="宋体" w:hAnsi="宋体" w:cs="宋体"/>
          <w:b/>
          <w:color w:val="000000" w:themeColor="text1"/>
          <w:sz w:val="30"/>
        </w:rPr>
      </w:pPr>
    </w:p>
    <w:p w14:paraId="6B21AE9A">
      <w:pPr>
        <w:rPr>
          <w:rFonts w:hint="eastAsia" w:ascii="宋体" w:hAnsi="宋体" w:cs="宋体"/>
          <w:b/>
          <w:color w:val="000000" w:themeColor="text1"/>
          <w:sz w:val="30"/>
        </w:rPr>
      </w:pPr>
    </w:p>
    <w:p w14:paraId="16D9B66B">
      <w:pPr>
        <w:rPr>
          <w:rFonts w:hint="eastAsia" w:ascii="宋体" w:hAnsi="宋体" w:cs="宋体"/>
          <w:b/>
          <w:color w:val="000000" w:themeColor="text1"/>
          <w:sz w:val="30"/>
        </w:rPr>
      </w:pPr>
    </w:p>
    <w:p w14:paraId="3687F747">
      <w:pPr>
        <w:rPr>
          <w:rFonts w:hint="eastAsia"/>
          <w:color w:val="000000" w:themeColor="text1"/>
        </w:rPr>
      </w:pPr>
    </w:p>
    <w:p w14:paraId="4524104D">
      <w:pPr>
        <w:rPr>
          <w:rFonts w:hint="eastAsia"/>
          <w:color w:val="000000" w:themeColor="text1"/>
        </w:rPr>
      </w:pPr>
    </w:p>
    <w:p w14:paraId="085E1DBC">
      <w:pPr>
        <w:autoSpaceDE w:val="0"/>
        <w:autoSpaceDN w:val="0"/>
        <w:adjustRightInd w:val="0"/>
        <w:spacing w:line="360" w:lineRule="auto"/>
        <w:outlineLvl w:val="1"/>
        <w:rPr>
          <w:rFonts w:ascii="宋体"/>
          <w:b/>
          <w:bCs/>
          <w:color w:val="000000" w:themeColor="text1"/>
          <w:sz w:val="24"/>
        </w:rPr>
      </w:pPr>
      <w:r>
        <w:rPr>
          <w:rFonts w:hint="eastAsia" w:ascii="宋体" w:hAnsi="宋体" w:cs="宋体"/>
          <w:b/>
          <w:color w:val="000000" w:themeColor="text1"/>
          <w:sz w:val="30"/>
        </w:rPr>
        <w:t>1、电子投标文件封面</w:t>
      </w:r>
    </w:p>
    <w:p w14:paraId="530310B6">
      <w:pPr>
        <w:autoSpaceDE w:val="0"/>
        <w:autoSpaceDN w:val="0"/>
        <w:adjustRightInd w:val="0"/>
        <w:spacing w:line="360" w:lineRule="auto"/>
        <w:jc w:val="center"/>
        <w:rPr>
          <w:rFonts w:ascii="宋体"/>
          <w:b/>
          <w:color w:val="000000" w:themeColor="text1"/>
          <w:sz w:val="32"/>
          <w:szCs w:val="32"/>
        </w:rPr>
      </w:pPr>
    </w:p>
    <w:p w14:paraId="06D1F944">
      <w:pPr>
        <w:pStyle w:val="2"/>
        <w:rPr>
          <w:color w:val="000000" w:themeColor="text1"/>
        </w:rPr>
      </w:pPr>
    </w:p>
    <w:p w14:paraId="41938F77">
      <w:pPr>
        <w:pStyle w:val="2"/>
        <w:jc w:val="center"/>
        <w:rPr>
          <w:rFonts w:ascii="宋体"/>
          <w:b/>
          <w:color w:val="000000" w:themeColor="text1"/>
          <w:sz w:val="44"/>
          <w:szCs w:val="44"/>
        </w:rPr>
      </w:pPr>
      <w:r>
        <w:rPr>
          <w:rFonts w:hint="eastAsia" w:ascii="宋体" w:hAnsi="宋体"/>
          <w:b/>
          <w:color w:val="000000" w:themeColor="text1"/>
          <w:sz w:val="44"/>
          <w:szCs w:val="44"/>
        </w:rPr>
        <w:t>项目名称</w:t>
      </w:r>
    </w:p>
    <w:p w14:paraId="30740F34">
      <w:pPr>
        <w:pStyle w:val="2"/>
        <w:rPr>
          <w:rFonts w:ascii="宋体"/>
          <w:b/>
          <w:color w:val="000000" w:themeColor="text1"/>
          <w:sz w:val="32"/>
          <w:szCs w:val="32"/>
        </w:rPr>
      </w:pPr>
    </w:p>
    <w:p w14:paraId="1855A78F">
      <w:pPr>
        <w:pStyle w:val="2"/>
        <w:rPr>
          <w:rFonts w:ascii="宋体"/>
          <w:b/>
          <w:color w:val="000000" w:themeColor="text1"/>
          <w:sz w:val="32"/>
          <w:szCs w:val="32"/>
        </w:rPr>
      </w:pPr>
    </w:p>
    <w:p w14:paraId="56885443">
      <w:pPr>
        <w:spacing w:line="360" w:lineRule="auto"/>
        <w:jc w:val="center"/>
        <w:rPr>
          <w:rFonts w:hint="eastAsia" w:ascii="宋体" w:hAnsi="宋体"/>
          <w:color w:val="000000" w:themeColor="text1"/>
          <w:spacing w:val="40"/>
          <w:w w:val="90"/>
          <w:sz w:val="96"/>
          <w:szCs w:val="96"/>
        </w:rPr>
      </w:pPr>
      <w:r>
        <w:rPr>
          <w:rFonts w:hint="eastAsia" w:ascii="宋体" w:hAnsi="宋体"/>
          <w:color w:val="000000" w:themeColor="text1"/>
          <w:spacing w:val="40"/>
          <w:w w:val="90"/>
          <w:sz w:val="96"/>
          <w:szCs w:val="96"/>
        </w:rPr>
        <w:t>投标文件</w:t>
      </w:r>
    </w:p>
    <w:p w14:paraId="404929B2">
      <w:pPr>
        <w:autoSpaceDE w:val="0"/>
        <w:autoSpaceDN w:val="0"/>
        <w:adjustRightInd w:val="0"/>
        <w:spacing w:line="360" w:lineRule="auto"/>
        <w:rPr>
          <w:rFonts w:ascii="宋体"/>
          <w:b/>
          <w:color w:val="000000" w:themeColor="text1"/>
          <w:sz w:val="32"/>
          <w:szCs w:val="32"/>
        </w:rPr>
      </w:pPr>
    </w:p>
    <w:p w14:paraId="0D0E72E2">
      <w:pPr>
        <w:autoSpaceDE w:val="0"/>
        <w:autoSpaceDN w:val="0"/>
        <w:adjustRightInd w:val="0"/>
        <w:spacing w:line="360" w:lineRule="auto"/>
        <w:rPr>
          <w:rFonts w:ascii="宋体"/>
          <w:b/>
          <w:color w:val="000000" w:themeColor="text1"/>
          <w:sz w:val="32"/>
          <w:szCs w:val="32"/>
        </w:rPr>
      </w:pPr>
    </w:p>
    <w:p w14:paraId="3CBE1E27">
      <w:pPr>
        <w:pStyle w:val="2"/>
        <w:rPr>
          <w:color w:val="000000" w:themeColor="text1"/>
        </w:rPr>
      </w:pPr>
    </w:p>
    <w:p w14:paraId="33103918">
      <w:pPr>
        <w:autoSpaceDE w:val="0"/>
        <w:autoSpaceDN w:val="0"/>
        <w:adjustRightInd w:val="0"/>
        <w:spacing w:line="360" w:lineRule="auto"/>
        <w:rPr>
          <w:rFonts w:ascii="宋体"/>
          <w:b/>
          <w:color w:val="000000" w:themeColor="text1"/>
          <w:sz w:val="32"/>
          <w:szCs w:val="32"/>
        </w:rPr>
      </w:pPr>
    </w:p>
    <w:p w14:paraId="31AF9F38">
      <w:pPr>
        <w:spacing w:beforeLines="50" w:line="360" w:lineRule="auto"/>
        <w:ind w:left="897" w:leftChars="284" w:hanging="301" w:hangingChars="100"/>
        <w:rPr>
          <w:rFonts w:ascii="宋体" w:hAnsi="宋体"/>
          <w:b/>
          <w:color w:val="000000" w:themeColor="text1"/>
          <w:sz w:val="30"/>
          <w:szCs w:val="72"/>
        </w:rPr>
      </w:pPr>
      <w:r>
        <w:rPr>
          <w:rFonts w:hint="eastAsia" w:ascii="宋体" w:hAnsi="宋体"/>
          <w:b/>
          <w:color w:val="000000" w:themeColor="text1"/>
          <w:sz w:val="30"/>
          <w:szCs w:val="72"/>
        </w:rPr>
        <w:t xml:space="preserve">项目编号： </w:t>
      </w:r>
    </w:p>
    <w:p w14:paraId="5FDF6E46">
      <w:pPr>
        <w:spacing w:beforeLines="50" w:line="360" w:lineRule="auto"/>
        <w:ind w:left="897" w:leftChars="284" w:hanging="301" w:hangingChars="100"/>
        <w:rPr>
          <w:rFonts w:ascii="宋体" w:hAnsi="宋体"/>
          <w:b/>
          <w:color w:val="000000" w:themeColor="text1"/>
          <w:sz w:val="30"/>
          <w:szCs w:val="72"/>
        </w:rPr>
      </w:pPr>
      <w:r>
        <w:rPr>
          <w:rFonts w:hint="eastAsia" w:ascii="宋体" w:hAnsi="宋体"/>
          <w:b/>
          <w:color w:val="000000" w:themeColor="text1"/>
          <w:sz w:val="30"/>
          <w:szCs w:val="72"/>
        </w:rPr>
        <w:t xml:space="preserve">项目名称： </w:t>
      </w:r>
    </w:p>
    <w:p w14:paraId="4FEF28D6">
      <w:pPr>
        <w:spacing w:beforeLines="50" w:line="360" w:lineRule="auto"/>
        <w:ind w:left="897" w:leftChars="284" w:hanging="301" w:hangingChars="100"/>
        <w:rPr>
          <w:rFonts w:ascii="宋体" w:hAnsi="宋体"/>
          <w:b/>
          <w:color w:val="000000" w:themeColor="text1"/>
          <w:sz w:val="30"/>
          <w:szCs w:val="72"/>
        </w:rPr>
      </w:pPr>
      <w:r>
        <w:rPr>
          <w:rFonts w:hint="eastAsia" w:ascii="宋体" w:hAnsi="宋体"/>
          <w:b/>
          <w:color w:val="000000" w:themeColor="text1"/>
          <w:sz w:val="30"/>
          <w:szCs w:val="72"/>
        </w:rPr>
        <w:t xml:space="preserve">采购人： </w:t>
      </w:r>
    </w:p>
    <w:p w14:paraId="7E3D5889">
      <w:pPr>
        <w:spacing w:beforeLines="50" w:line="360" w:lineRule="auto"/>
        <w:ind w:left="897" w:leftChars="284" w:hanging="301" w:hangingChars="100"/>
        <w:rPr>
          <w:rFonts w:ascii="宋体" w:hAnsi="宋体"/>
          <w:b/>
          <w:color w:val="000000" w:themeColor="text1"/>
          <w:sz w:val="30"/>
          <w:szCs w:val="72"/>
        </w:rPr>
      </w:pPr>
      <w:r>
        <w:rPr>
          <w:rFonts w:hint="eastAsia" w:ascii="宋体" w:hAnsi="宋体"/>
          <w:b/>
          <w:color w:val="000000" w:themeColor="text1"/>
          <w:sz w:val="30"/>
          <w:szCs w:val="72"/>
        </w:rPr>
        <w:t xml:space="preserve">供应商： </w:t>
      </w:r>
    </w:p>
    <w:p w14:paraId="232991EB">
      <w:pPr>
        <w:spacing w:beforeLines="50" w:line="360" w:lineRule="auto"/>
        <w:ind w:left="897" w:leftChars="284" w:hanging="301" w:hangingChars="100"/>
        <w:rPr>
          <w:rFonts w:ascii="宋体" w:hAnsi="宋体"/>
          <w:b/>
          <w:color w:val="000000" w:themeColor="text1"/>
          <w:sz w:val="30"/>
          <w:szCs w:val="72"/>
        </w:rPr>
      </w:pPr>
      <w:r>
        <w:rPr>
          <w:rFonts w:hint="eastAsia" w:ascii="宋体" w:hAnsi="宋体"/>
          <w:b/>
          <w:color w:val="000000" w:themeColor="text1"/>
          <w:sz w:val="30"/>
          <w:szCs w:val="72"/>
        </w:rPr>
        <w:t>时    间： 年  月  日</w:t>
      </w:r>
    </w:p>
    <w:p w14:paraId="4479BDFE">
      <w:pPr>
        <w:pStyle w:val="25"/>
        <w:ind w:firstLine="210"/>
        <w:rPr>
          <w:color w:val="000000" w:themeColor="text1"/>
        </w:rPr>
      </w:pPr>
    </w:p>
    <w:p w14:paraId="4909B0EC">
      <w:pPr>
        <w:pStyle w:val="2"/>
        <w:rPr>
          <w:color w:val="000000" w:themeColor="text1"/>
        </w:rPr>
      </w:pPr>
    </w:p>
    <w:p w14:paraId="155FBB1A">
      <w:pPr>
        <w:pStyle w:val="25"/>
        <w:rPr>
          <w:color w:val="000000" w:themeColor="text1"/>
        </w:rPr>
      </w:pPr>
    </w:p>
    <w:p w14:paraId="7ABA4727">
      <w:pPr>
        <w:pStyle w:val="21"/>
        <w:rPr>
          <w:color w:val="000000" w:themeColor="text1"/>
        </w:rPr>
      </w:pPr>
    </w:p>
    <w:p w14:paraId="14B4D05F">
      <w:pPr>
        <w:autoSpaceDE w:val="0"/>
        <w:autoSpaceDN w:val="0"/>
        <w:adjustRightInd w:val="0"/>
        <w:spacing w:line="360" w:lineRule="auto"/>
        <w:outlineLvl w:val="1"/>
        <w:rPr>
          <w:rFonts w:ascii="宋体" w:hAnsi="宋体"/>
          <w:b/>
          <w:bCs/>
          <w:color w:val="000000" w:themeColor="text1"/>
          <w:sz w:val="24"/>
        </w:rPr>
      </w:pPr>
    </w:p>
    <w:p w14:paraId="2BBA7777">
      <w:pPr>
        <w:autoSpaceDE w:val="0"/>
        <w:autoSpaceDN w:val="0"/>
        <w:adjustRightInd w:val="0"/>
        <w:spacing w:line="360" w:lineRule="auto"/>
        <w:outlineLvl w:val="1"/>
        <w:rPr>
          <w:rFonts w:ascii="宋体"/>
          <w:b/>
          <w:bCs/>
          <w:color w:val="000000" w:themeColor="text1"/>
          <w:sz w:val="24"/>
        </w:rPr>
      </w:pPr>
      <w:r>
        <w:rPr>
          <w:rFonts w:hint="eastAsia" w:ascii="宋体" w:hAnsi="宋体"/>
          <w:b/>
          <w:bCs/>
          <w:color w:val="000000" w:themeColor="text1"/>
          <w:sz w:val="24"/>
        </w:rPr>
        <w:t>2、备份电子文件包装封面（邮寄备份文件时提供）</w:t>
      </w:r>
    </w:p>
    <w:p w14:paraId="174FA5E1">
      <w:pPr>
        <w:autoSpaceDE w:val="0"/>
        <w:autoSpaceDN w:val="0"/>
        <w:adjustRightInd w:val="0"/>
        <w:spacing w:line="360" w:lineRule="auto"/>
        <w:jc w:val="center"/>
        <w:rPr>
          <w:rFonts w:ascii="宋体"/>
          <w:b/>
          <w:color w:val="000000" w:themeColor="text1"/>
          <w:sz w:val="32"/>
          <w:szCs w:val="32"/>
        </w:rPr>
      </w:pPr>
    </w:p>
    <w:p w14:paraId="6E828C0C">
      <w:pPr>
        <w:pStyle w:val="2"/>
        <w:rPr>
          <w:color w:val="000000" w:themeColor="text1"/>
        </w:rPr>
      </w:pPr>
    </w:p>
    <w:p w14:paraId="245DDB20">
      <w:pPr>
        <w:pStyle w:val="2"/>
        <w:jc w:val="center"/>
        <w:rPr>
          <w:rFonts w:ascii="宋体"/>
          <w:b/>
          <w:color w:val="000000" w:themeColor="text1"/>
          <w:sz w:val="44"/>
          <w:szCs w:val="44"/>
        </w:rPr>
      </w:pPr>
      <w:r>
        <w:rPr>
          <w:rFonts w:hint="eastAsia" w:ascii="宋体" w:hAnsi="宋体"/>
          <w:b/>
          <w:color w:val="000000" w:themeColor="text1"/>
          <w:sz w:val="44"/>
          <w:szCs w:val="44"/>
        </w:rPr>
        <w:t>项目名称</w:t>
      </w:r>
    </w:p>
    <w:p w14:paraId="7895E466">
      <w:pPr>
        <w:pStyle w:val="2"/>
        <w:rPr>
          <w:rFonts w:ascii="宋体"/>
          <w:b/>
          <w:color w:val="000000" w:themeColor="text1"/>
          <w:sz w:val="32"/>
          <w:szCs w:val="32"/>
        </w:rPr>
      </w:pPr>
    </w:p>
    <w:p w14:paraId="79A894B8">
      <w:pPr>
        <w:pStyle w:val="2"/>
        <w:rPr>
          <w:rFonts w:ascii="宋体"/>
          <w:b/>
          <w:color w:val="000000" w:themeColor="text1"/>
          <w:sz w:val="32"/>
          <w:szCs w:val="32"/>
        </w:rPr>
      </w:pPr>
    </w:p>
    <w:p w14:paraId="38C78926">
      <w:pPr>
        <w:spacing w:line="360" w:lineRule="auto"/>
        <w:jc w:val="center"/>
        <w:rPr>
          <w:rFonts w:ascii="宋体"/>
          <w:color w:val="000000" w:themeColor="text1"/>
          <w:spacing w:val="40"/>
          <w:w w:val="90"/>
          <w:sz w:val="96"/>
          <w:szCs w:val="96"/>
        </w:rPr>
      </w:pPr>
      <w:r>
        <w:rPr>
          <w:rFonts w:hint="eastAsia" w:ascii="宋体" w:hAnsi="宋体"/>
          <w:color w:val="000000" w:themeColor="text1"/>
          <w:spacing w:val="40"/>
          <w:w w:val="90"/>
          <w:sz w:val="96"/>
          <w:szCs w:val="96"/>
        </w:rPr>
        <w:t>投标文件</w:t>
      </w:r>
    </w:p>
    <w:p w14:paraId="50C17419">
      <w:pPr>
        <w:autoSpaceDE w:val="0"/>
        <w:autoSpaceDN w:val="0"/>
        <w:adjustRightInd w:val="0"/>
        <w:spacing w:line="360" w:lineRule="auto"/>
        <w:rPr>
          <w:rFonts w:ascii="宋体"/>
          <w:b/>
          <w:color w:val="000000" w:themeColor="text1"/>
          <w:sz w:val="32"/>
          <w:szCs w:val="32"/>
        </w:rPr>
      </w:pPr>
    </w:p>
    <w:p w14:paraId="18CEA1A4">
      <w:pPr>
        <w:pStyle w:val="3"/>
        <w:rPr>
          <w:color w:val="000000" w:themeColor="text1"/>
        </w:rPr>
      </w:pPr>
    </w:p>
    <w:p w14:paraId="6995FE83">
      <w:pPr>
        <w:autoSpaceDE w:val="0"/>
        <w:autoSpaceDN w:val="0"/>
        <w:adjustRightInd w:val="0"/>
        <w:spacing w:line="360" w:lineRule="auto"/>
        <w:rPr>
          <w:rFonts w:ascii="宋体"/>
          <w:b/>
          <w:color w:val="000000" w:themeColor="text1"/>
          <w:sz w:val="32"/>
          <w:szCs w:val="32"/>
        </w:rPr>
      </w:pPr>
    </w:p>
    <w:p w14:paraId="39335B1F">
      <w:pPr>
        <w:pStyle w:val="2"/>
        <w:rPr>
          <w:color w:val="000000" w:themeColor="text1"/>
        </w:rPr>
      </w:pPr>
    </w:p>
    <w:p w14:paraId="78B7EEE0">
      <w:pPr>
        <w:autoSpaceDE w:val="0"/>
        <w:autoSpaceDN w:val="0"/>
        <w:adjustRightInd w:val="0"/>
        <w:spacing w:line="360" w:lineRule="auto"/>
        <w:rPr>
          <w:rFonts w:ascii="宋体"/>
          <w:b/>
          <w:color w:val="000000" w:themeColor="text1"/>
          <w:sz w:val="32"/>
          <w:szCs w:val="32"/>
        </w:rPr>
      </w:pPr>
    </w:p>
    <w:p w14:paraId="69CC04AC">
      <w:pPr>
        <w:pStyle w:val="91"/>
        <w:spacing w:line="360" w:lineRule="auto"/>
        <w:ind w:left="0" w:right="-252"/>
        <w:rPr>
          <w:rFonts w:ascii="宋体"/>
          <w:color w:val="000000" w:themeColor="text1"/>
          <w:sz w:val="32"/>
          <w:szCs w:val="32"/>
          <w:u w:val="single"/>
        </w:rPr>
      </w:pPr>
      <w:r>
        <w:rPr>
          <w:rFonts w:hint="eastAsia" w:ascii="宋体" w:hAnsi="宋体"/>
          <w:color w:val="000000" w:themeColor="text1"/>
          <w:sz w:val="32"/>
          <w:szCs w:val="32"/>
        </w:rPr>
        <w:t>投标人名称：（公章）</w:t>
      </w:r>
    </w:p>
    <w:p w14:paraId="2FFAFD31">
      <w:pPr>
        <w:autoSpaceDE w:val="0"/>
        <w:autoSpaceDN w:val="0"/>
        <w:adjustRightInd w:val="0"/>
        <w:spacing w:line="360" w:lineRule="auto"/>
        <w:rPr>
          <w:rFonts w:ascii="宋体"/>
          <w:b/>
          <w:color w:val="000000" w:themeColor="text1"/>
          <w:sz w:val="32"/>
          <w:szCs w:val="32"/>
        </w:rPr>
      </w:pPr>
    </w:p>
    <w:p w14:paraId="4871773A">
      <w:pPr>
        <w:pStyle w:val="2"/>
        <w:rPr>
          <w:rFonts w:ascii="宋体"/>
          <w:b/>
          <w:color w:val="000000" w:themeColor="text1"/>
          <w:sz w:val="32"/>
          <w:szCs w:val="32"/>
        </w:rPr>
      </w:pPr>
    </w:p>
    <w:p w14:paraId="4E4EA46C">
      <w:pPr>
        <w:pStyle w:val="2"/>
        <w:rPr>
          <w:rFonts w:ascii="宋体"/>
          <w:b/>
          <w:color w:val="000000" w:themeColor="text1"/>
          <w:sz w:val="32"/>
          <w:szCs w:val="32"/>
        </w:rPr>
      </w:pPr>
    </w:p>
    <w:p w14:paraId="2DC6B031">
      <w:pPr>
        <w:spacing w:line="360" w:lineRule="auto"/>
        <w:jc w:val="center"/>
        <w:rPr>
          <w:rFonts w:ascii="宋体"/>
          <w:b/>
          <w:color w:val="000000" w:themeColor="text1"/>
          <w:sz w:val="30"/>
          <w:szCs w:val="30"/>
        </w:rPr>
      </w:pPr>
      <w:r>
        <w:rPr>
          <w:rFonts w:hint="eastAsia" w:ascii="宋体" w:hAnsi="宋体"/>
          <w:b/>
          <w:color w:val="000000" w:themeColor="text1"/>
          <w:sz w:val="30"/>
          <w:szCs w:val="30"/>
        </w:rPr>
        <w:t>在年月日之前不得启封</w:t>
      </w:r>
    </w:p>
    <w:p w14:paraId="719A53E9">
      <w:pPr>
        <w:snapToGrid w:val="0"/>
        <w:spacing w:beforeLines="50" w:after="50"/>
        <w:jc w:val="left"/>
        <w:rPr>
          <w:rFonts w:ascii="宋体"/>
          <w:b/>
          <w:bCs/>
          <w:color w:val="000000" w:themeColor="text1"/>
        </w:rPr>
      </w:pPr>
      <w:r>
        <w:rPr>
          <w:rFonts w:ascii="宋体"/>
          <w:b/>
          <w:bCs/>
          <w:color w:val="000000" w:themeColor="text1"/>
        </w:rPr>
        <w:br w:type="page"/>
      </w:r>
      <w:r>
        <w:rPr>
          <w:rFonts w:ascii="宋体" w:hAnsi="宋体"/>
          <w:b/>
          <w:color w:val="000000" w:themeColor="text1"/>
          <w:sz w:val="24"/>
        </w:rPr>
        <w:t>一、投 标 函</w:t>
      </w:r>
    </w:p>
    <w:p w14:paraId="46667159">
      <w:pPr>
        <w:snapToGrid w:val="0"/>
        <w:spacing w:beforeLines="50" w:after="50"/>
        <w:jc w:val="center"/>
        <w:rPr>
          <w:rFonts w:ascii="宋体" w:hAnsi="宋体"/>
          <w:b/>
          <w:color w:val="000000" w:themeColor="text1"/>
          <w:sz w:val="24"/>
        </w:rPr>
      </w:pPr>
      <w:r>
        <w:rPr>
          <w:rFonts w:hint="eastAsia" w:ascii="宋体" w:hAnsi="宋体"/>
          <w:b/>
          <w:color w:val="000000" w:themeColor="text1"/>
          <w:sz w:val="24"/>
        </w:rPr>
        <w:t>投</w:t>
      </w:r>
      <w:r>
        <w:rPr>
          <w:rFonts w:ascii="宋体" w:hAnsi="宋体"/>
          <w:b/>
          <w:color w:val="000000" w:themeColor="text1"/>
          <w:sz w:val="24"/>
        </w:rPr>
        <w:t xml:space="preserve"> </w:t>
      </w:r>
      <w:r>
        <w:rPr>
          <w:rFonts w:hint="eastAsia" w:ascii="宋体" w:hAnsi="宋体"/>
          <w:b/>
          <w:color w:val="000000" w:themeColor="text1"/>
          <w:sz w:val="24"/>
        </w:rPr>
        <w:t>标</w:t>
      </w:r>
      <w:r>
        <w:rPr>
          <w:rFonts w:ascii="宋体" w:hAnsi="宋体"/>
          <w:b/>
          <w:color w:val="000000" w:themeColor="text1"/>
          <w:sz w:val="24"/>
        </w:rPr>
        <w:t xml:space="preserve"> </w:t>
      </w:r>
      <w:r>
        <w:rPr>
          <w:rFonts w:hint="eastAsia" w:ascii="宋体" w:hAnsi="宋体"/>
          <w:b/>
          <w:color w:val="000000" w:themeColor="text1"/>
          <w:sz w:val="24"/>
        </w:rPr>
        <w:t>函</w:t>
      </w:r>
    </w:p>
    <w:p w14:paraId="6D764904">
      <w:pPr>
        <w:snapToGrid w:val="0"/>
        <w:spacing w:line="360" w:lineRule="auto"/>
        <w:rPr>
          <w:rFonts w:ascii="宋体" w:hAnsi="宋体"/>
          <w:color w:val="000000" w:themeColor="text1"/>
        </w:rPr>
      </w:pPr>
    </w:p>
    <w:p w14:paraId="6C8B71C2">
      <w:pPr>
        <w:snapToGrid w:val="0"/>
        <w:spacing w:line="360" w:lineRule="auto"/>
        <w:rPr>
          <w:rFonts w:ascii="宋体"/>
          <w:color w:val="000000" w:themeColor="text1"/>
        </w:rPr>
      </w:pPr>
      <w:r>
        <w:rPr>
          <w:rFonts w:hint="eastAsia" w:ascii="宋体" w:hAnsi="宋体"/>
          <w:color w:val="000000" w:themeColor="text1"/>
        </w:rPr>
        <w:t>致：</w:t>
      </w:r>
      <w:r>
        <w:rPr>
          <w:rFonts w:hint="eastAsia" w:ascii="宋体" w:hAnsi="宋体"/>
          <w:color w:val="000000" w:themeColor="text1"/>
          <w:u w:val="single"/>
        </w:rPr>
        <w:t>（采购人）</w:t>
      </w:r>
      <w:r>
        <w:rPr>
          <w:rFonts w:hint="eastAsia" w:ascii="宋体" w:hAnsi="宋体"/>
          <w:color w:val="000000" w:themeColor="text1"/>
        </w:rPr>
        <w:t xml:space="preserve">  ：</w:t>
      </w:r>
    </w:p>
    <w:p w14:paraId="7D0A71E9">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我方</w:t>
      </w:r>
      <w:r>
        <w:rPr>
          <w:rFonts w:hint="eastAsia" w:hAnsi="宋体"/>
          <w:b/>
          <w:color w:val="000000" w:themeColor="text1"/>
          <w:sz w:val="21"/>
          <w:szCs w:val="21"/>
          <w:u w:val="single"/>
        </w:rPr>
        <w:t>（</w:t>
      </w:r>
      <w:r>
        <w:rPr>
          <w:rFonts w:hint="eastAsia" w:hAnsi="宋体"/>
          <w:color w:val="000000" w:themeColor="text1"/>
          <w:sz w:val="21"/>
          <w:szCs w:val="21"/>
          <w:u w:val="single"/>
        </w:rPr>
        <w:t>投标名称）</w:t>
      </w:r>
      <w:r>
        <w:rPr>
          <w:rFonts w:hint="eastAsia" w:hAnsi="宋体"/>
          <w:color w:val="000000" w:themeColor="text1"/>
          <w:sz w:val="21"/>
          <w:szCs w:val="21"/>
        </w:rPr>
        <w:t>已详细审查了贵方采购编号为</w:t>
      </w:r>
      <w:r>
        <w:rPr>
          <w:rFonts w:hint="eastAsia" w:hAnsi="宋体"/>
          <w:b/>
          <w:color w:val="000000" w:themeColor="text1"/>
          <w:spacing w:val="20"/>
          <w:sz w:val="21"/>
          <w:szCs w:val="21"/>
          <w:u w:val="single"/>
        </w:rPr>
        <w:t>（</w:t>
      </w:r>
      <w:r>
        <w:rPr>
          <w:rFonts w:hint="eastAsia" w:hAnsi="宋体"/>
          <w:b/>
          <w:color w:val="000000" w:themeColor="text1"/>
          <w:sz w:val="21"/>
          <w:szCs w:val="21"/>
          <w:u w:val="single"/>
        </w:rPr>
        <w:t>采购编号）</w:t>
      </w:r>
      <w:r>
        <w:rPr>
          <w:rFonts w:hint="eastAsia" w:hAnsi="宋体"/>
          <w:color w:val="000000" w:themeColor="text1"/>
          <w:sz w:val="21"/>
          <w:szCs w:val="21"/>
        </w:rPr>
        <w:t>的</w:t>
      </w:r>
      <w:r>
        <w:rPr>
          <w:rFonts w:hint="eastAsia" w:hAnsi="宋体"/>
          <w:b/>
          <w:color w:val="000000" w:themeColor="text1"/>
          <w:sz w:val="21"/>
          <w:szCs w:val="21"/>
          <w:u w:val="single"/>
        </w:rPr>
        <w:t>（项目名称）</w:t>
      </w:r>
      <w:r>
        <w:rPr>
          <w:rFonts w:hint="eastAsia" w:hAnsi="宋体"/>
          <w:color w:val="000000" w:themeColor="text1"/>
          <w:sz w:val="21"/>
          <w:szCs w:val="21"/>
        </w:rPr>
        <w:t>采购项目的采购文件及其相关补充文件</w:t>
      </w:r>
      <w:r>
        <w:rPr>
          <w:rFonts w:hint="eastAsia" w:hAnsi="宋体"/>
          <w:b/>
          <w:color w:val="000000" w:themeColor="text1"/>
          <w:sz w:val="21"/>
          <w:szCs w:val="21"/>
        </w:rPr>
        <w:t>（若有）</w:t>
      </w:r>
      <w:r>
        <w:rPr>
          <w:rFonts w:hint="eastAsia" w:hAnsi="宋体"/>
          <w:color w:val="000000" w:themeColor="text1"/>
          <w:sz w:val="21"/>
          <w:szCs w:val="21"/>
        </w:rPr>
        <w:t>，现就有关事项向采购代理机构郑重承诺如下：</w:t>
      </w:r>
    </w:p>
    <w:p w14:paraId="7381691C">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一、具备《中华人民共和国政府采购法》第二十二条第一款规定的条件：</w:t>
      </w:r>
    </w:p>
    <w:p w14:paraId="22D38433">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1、具有独立承担民事责任的能力；</w:t>
      </w:r>
    </w:p>
    <w:p w14:paraId="4C25DC93">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2、具有良好的商业信誉和健全的财务会计制度；</w:t>
      </w:r>
    </w:p>
    <w:p w14:paraId="1DAE4AC4">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3、具有履行合同所必需的设备和专业技术能力；</w:t>
      </w:r>
    </w:p>
    <w:p w14:paraId="34C34DD2">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4、有依法缴纳税收和社会保障资金的良好记录；</w:t>
      </w:r>
    </w:p>
    <w:p w14:paraId="599B02DB">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5、参加政府采购活动前三年内，在经营活动中没有重大违法记录；</w:t>
      </w:r>
    </w:p>
    <w:p w14:paraId="1CA928F6">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6、法律、行政法规规定的其他条件</w:t>
      </w:r>
    </w:p>
    <w:p w14:paraId="41422D7E">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二、未被“信用中国”（www.creditchina.gov.cn）、“中国政府采购网”（www.ccgp.gov.cn）列入失信被执行人、重大税收违法案件当事人名单、政府采购严重违法失信行为记录名单。</w:t>
      </w:r>
    </w:p>
    <w:p w14:paraId="37D43B31">
      <w:pPr>
        <w:pStyle w:val="94"/>
        <w:spacing w:line="360" w:lineRule="auto"/>
        <w:ind w:right="-91" w:firstLine="404" w:firstLineChars="200"/>
        <w:rPr>
          <w:rFonts w:hAnsi="宋体"/>
          <w:color w:val="000000" w:themeColor="text1"/>
          <w:sz w:val="21"/>
          <w:szCs w:val="21"/>
        </w:rPr>
      </w:pPr>
      <w:r>
        <w:rPr>
          <w:rFonts w:hint="eastAsia" w:hAnsi="宋体"/>
          <w:color w:val="000000" w:themeColor="text1"/>
          <w:sz w:val="21"/>
          <w:szCs w:val="21"/>
        </w:rPr>
        <w:t>三、其他</w:t>
      </w:r>
    </w:p>
    <w:p w14:paraId="0EAE013C">
      <w:pPr>
        <w:spacing w:line="360" w:lineRule="auto"/>
        <w:ind w:firstLine="420" w:firstLineChars="200"/>
        <w:jc w:val="left"/>
        <w:rPr>
          <w:rFonts w:ascii="宋体"/>
          <w:color w:val="000000" w:themeColor="text1"/>
        </w:rPr>
      </w:pPr>
      <w:r>
        <w:rPr>
          <w:rFonts w:ascii="宋体" w:hAnsi="宋体"/>
          <w:color w:val="000000" w:themeColor="text1"/>
        </w:rPr>
        <w:t>1</w:t>
      </w:r>
      <w:r>
        <w:rPr>
          <w:rFonts w:hint="eastAsia" w:ascii="宋体" w:hAnsi="宋体"/>
          <w:color w:val="000000" w:themeColor="text1"/>
        </w:rPr>
        <w:t>、我方已详细审查了采购文件的全部内容及其相关补充文件（若有），并完全清晰理解全部内容及相关的补充文件（若有），不存在任何误解之处，同意放弃提出异议和质疑的权利。</w:t>
      </w:r>
    </w:p>
    <w:p w14:paraId="0297F449">
      <w:pPr>
        <w:spacing w:line="360" w:lineRule="auto"/>
        <w:ind w:firstLine="420" w:firstLineChars="200"/>
        <w:jc w:val="left"/>
        <w:rPr>
          <w:rFonts w:ascii="宋体"/>
          <w:color w:val="000000" w:themeColor="text1"/>
        </w:rPr>
      </w:pPr>
      <w:r>
        <w:rPr>
          <w:rFonts w:ascii="宋体" w:hAnsi="宋体"/>
          <w:color w:val="000000" w:themeColor="text1"/>
        </w:rPr>
        <w:t>2</w:t>
      </w:r>
      <w:r>
        <w:rPr>
          <w:rFonts w:hint="eastAsia" w:ascii="宋体" w:hAnsi="宋体"/>
          <w:color w:val="000000" w:themeColor="text1"/>
        </w:rPr>
        <w:t>、我方遵守《中华人民共和国政府采购法》及相关法律法规的规定。同意采购文件中所提到的无效标条款。否则，同意被废除投标资格。</w:t>
      </w:r>
    </w:p>
    <w:p w14:paraId="0839458C">
      <w:pPr>
        <w:spacing w:line="360" w:lineRule="auto"/>
        <w:ind w:firstLine="420" w:firstLineChars="200"/>
        <w:jc w:val="left"/>
        <w:rPr>
          <w:rFonts w:ascii="宋体"/>
          <w:color w:val="000000" w:themeColor="text1"/>
        </w:rPr>
      </w:pPr>
      <w:r>
        <w:rPr>
          <w:rFonts w:ascii="宋体" w:hAnsi="宋体"/>
          <w:color w:val="000000" w:themeColor="text1"/>
        </w:rPr>
        <w:t>3</w:t>
      </w:r>
      <w:r>
        <w:rPr>
          <w:rFonts w:hint="eastAsia" w:ascii="宋体" w:hAnsi="宋体"/>
          <w:color w:val="000000" w:themeColor="text1"/>
        </w:rPr>
        <w:t>、投标有效期为自开标之日起</w:t>
      </w:r>
      <w:r>
        <w:rPr>
          <w:rFonts w:ascii="宋体" w:hAnsi="宋体"/>
          <w:color w:val="000000" w:themeColor="text1"/>
        </w:rPr>
        <w:t>90</w:t>
      </w:r>
      <w:r>
        <w:rPr>
          <w:rFonts w:hint="eastAsia" w:ascii="宋体" w:hAnsi="宋体"/>
          <w:color w:val="000000" w:themeColor="text1"/>
        </w:rPr>
        <w:t>天内，如在投标有效期内撤回投标，我方同意被废除投标资格。</w:t>
      </w:r>
    </w:p>
    <w:p w14:paraId="7B7BE815">
      <w:pPr>
        <w:spacing w:line="360" w:lineRule="auto"/>
        <w:ind w:firstLine="420" w:firstLineChars="200"/>
        <w:jc w:val="left"/>
        <w:rPr>
          <w:rFonts w:ascii="宋体" w:hAnsi="宋体"/>
          <w:color w:val="000000" w:themeColor="text1"/>
        </w:rPr>
      </w:pPr>
      <w:r>
        <w:rPr>
          <w:rFonts w:hint="eastAsia" w:ascii="宋体" w:hAnsi="宋体"/>
          <w:color w:val="000000" w:themeColor="text1"/>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53FC3DA">
      <w:pPr>
        <w:pStyle w:val="26"/>
        <w:ind w:firstLine="400"/>
        <w:rPr>
          <w:color w:val="000000" w:themeColor="text1"/>
        </w:rPr>
      </w:pPr>
    </w:p>
    <w:p w14:paraId="1D86A353">
      <w:pPr>
        <w:spacing w:line="360" w:lineRule="auto"/>
        <w:jc w:val="right"/>
        <w:rPr>
          <w:rFonts w:ascii="宋体" w:hAnsi="宋体" w:cs="宋体"/>
          <w:color w:val="000000" w:themeColor="text1"/>
        </w:rPr>
      </w:pPr>
      <w:r>
        <w:rPr>
          <w:rFonts w:hint="eastAsia" w:ascii="宋体" w:hAnsi="宋体"/>
          <w:color w:val="000000" w:themeColor="text1"/>
        </w:rPr>
        <w:t>投标人名称</w:t>
      </w:r>
      <w:r>
        <w:rPr>
          <w:rFonts w:ascii="宋体" w:hAnsi="宋体"/>
          <w:color w:val="000000" w:themeColor="text1"/>
        </w:rPr>
        <w:t>(</w:t>
      </w:r>
      <w:r>
        <w:rPr>
          <w:rFonts w:hint="eastAsia" w:ascii="宋体" w:hAnsi="宋体"/>
          <w:color w:val="000000" w:themeColor="text1"/>
        </w:rPr>
        <w:t>公章</w:t>
      </w:r>
      <w:r>
        <w:rPr>
          <w:rFonts w:ascii="宋体" w:hAnsi="宋体"/>
          <w:color w:val="000000" w:themeColor="text1"/>
        </w:rPr>
        <w:t>):</w:t>
      </w:r>
    </w:p>
    <w:p w14:paraId="37505530">
      <w:pPr>
        <w:spacing w:line="360" w:lineRule="auto"/>
        <w:jc w:val="right"/>
        <w:rPr>
          <w:rFonts w:hAnsi="宋体"/>
          <w:color w:val="000000" w:themeColor="text1"/>
        </w:rPr>
      </w:pPr>
      <w:r>
        <w:rPr>
          <w:rFonts w:hint="eastAsia" w:hAnsi="宋体"/>
          <w:color w:val="000000" w:themeColor="text1"/>
        </w:rPr>
        <w:t>日期</w:t>
      </w:r>
      <w:r>
        <w:rPr>
          <w:rFonts w:hAnsi="宋体"/>
          <w:color w:val="000000" w:themeColor="text1"/>
        </w:rPr>
        <w:t>:_____</w:t>
      </w:r>
      <w:r>
        <w:rPr>
          <w:rFonts w:hint="eastAsia" w:hAnsi="宋体"/>
          <w:color w:val="000000" w:themeColor="text1"/>
        </w:rPr>
        <w:t>年</w:t>
      </w:r>
      <w:r>
        <w:rPr>
          <w:rFonts w:hAnsi="宋体"/>
          <w:color w:val="000000" w:themeColor="text1"/>
        </w:rPr>
        <w:t>___</w:t>
      </w:r>
      <w:r>
        <w:rPr>
          <w:rFonts w:hint="eastAsia" w:hAnsi="宋体"/>
          <w:color w:val="000000" w:themeColor="text1"/>
        </w:rPr>
        <w:t>月</w:t>
      </w:r>
      <w:r>
        <w:rPr>
          <w:rFonts w:hAnsi="宋体"/>
          <w:color w:val="000000" w:themeColor="text1"/>
        </w:rPr>
        <w:t>___</w:t>
      </w:r>
      <w:r>
        <w:rPr>
          <w:rFonts w:hint="eastAsia" w:hAnsi="宋体"/>
          <w:color w:val="000000" w:themeColor="text1"/>
        </w:rPr>
        <w:t>日</w:t>
      </w:r>
    </w:p>
    <w:p w14:paraId="08AC0ED3">
      <w:pPr>
        <w:rPr>
          <w:rFonts w:ascii="宋体"/>
          <w:color w:val="000000" w:themeColor="text1"/>
        </w:rPr>
      </w:pPr>
      <w:r>
        <w:rPr>
          <w:rFonts w:hint="eastAsia" w:ascii="宋体" w:hAnsi="宋体"/>
          <w:b/>
          <w:bCs/>
          <w:color w:val="000000" w:themeColor="text1"/>
        </w:rPr>
        <w:t>二、中小企业声明函</w:t>
      </w:r>
    </w:p>
    <w:p w14:paraId="74957804">
      <w:pPr>
        <w:snapToGrid w:val="0"/>
        <w:spacing w:line="360" w:lineRule="auto"/>
        <w:jc w:val="center"/>
        <w:rPr>
          <w:rFonts w:ascii="宋体" w:hAnsi="宋体" w:cs="宋体"/>
          <w:color w:val="000000" w:themeColor="text1"/>
        </w:rPr>
      </w:pPr>
      <w:r>
        <w:rPr>
          <w:rFonts w:hint="eastAsia" w:ascii="宋体" w:hAnsi="宋体" w:cs="宋体"/>
          <w:b/>
          <w:color w:val="000000" w:themeColor="text1"/>
          <w:sz w:val="28"/>
          <w:szCs w:val="28"/>
        </w:rPr>
        <w:t>中小企业声明函（工程、服务）</w:t>
      </w:r>
    </w:p>
    <w:p w14:paraId="1C9FC134">
      <w:pPr>
        <w:snapToGrid w:val="0"/>
        <w:spacing w:line="360" w:lineRule="auto"/>
        <w:ind w:firstLine="315" w:firstLineChars="150"/>
        <w:jc w:val="left"/>
        <w:rPr>
          <w:rFonts w:ascii="宋体" w:hAnsi="宋体" w:cs="宋体"/>
          <w:color w:val="000000" w:themeColor="text1"/>
        </w:rPr>
      </w:pPr>
      <w:r>
        <w:rPr>
          <w:rFonts w:hint="eastAsia" w:ascii="宋体" w:hAnsi="宋体" w:cs="宋体"/>
          <w:color w:val="000000" w:themeColor="text1"/>
        </w:rPr>
        <w:t>本公司（联合体）郑重声明，根据《政府采购促进中小企业发展管理办法》（财库﹝2020﹞46 号）的规定，本公司（联合体）参加</w:t>
      </w:r>
      <w:r>
        <w:rPr>
          <w:rFonts w:hint="eastAsia" w:ascii="宋体" w:hAnsi="宋体" w:cs="宋体"/>
          <w:color w:val="000000" w:themeColor="text1"/>
          <w:u w:val="single"/>
        </w:rPr>
        <w:t xml:space="preserve">            </w:t>
      </w:r>
      <w:r>
        <w:rPr>
          <w:rFonts w:hint="eastAsia" w:ascii="宋体" w:hAnsi="宋体" w:cs="宋体"/>
          <w:color w:val="000000" w:themeColor="text1"/>
        </w:rPr>
        <w:t xml:space="preserve">（单位名称）的 </w:t>
      </w:r>
      <w:r>
        <w:rPr>
          <w:rFonts w:hint="eastAsia" w:ascii="宋体" w:hAnsi="宋体" w:cs="宋体"/>
          <w:color w:val="000000" w:themeColor="text1"/>
          <w:u w:val="single"/>
        </w:rPr>
        <w:t xml:space="preserve">       （项目名称）</w:t>
      </w:r>
      <w:r>
        <w:rPr>
          <w:rFonts w:hint="eastAsia" w:ascii="宋体" w:hAnsi="宋体" w:cs="宋体"/>
          <w:color w:val="000000" w:themeColor="text1"/>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1805CDA8">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 xml:space="preserve">1. </w:t>
      </w:r>
      <w:r>
        <w:rPr>
          <w:rFonts w:hint="eastAsia" w:ascii="宋体" w:hAnsi="宋体" w:cs="宋体"/>
          <w:color w:val="000000" w:themeColor="text1"/>
          <w:u w:val="single"/>
        </w:rPr>
        <w:t xml:space="preserve">           </w:t>
      </w:r>
      <w:r>
        <w:rPr>
          <w:rFonts w:hint="eastAsia" w:ascii="宋体" w:hAnsi="宋体" w:cs="宋体"/>
          <w:color w:val="000000" w:themeColor="text1"/>
        </w:rPr>
        <w:t xml:space="preserve">（标的名称），属于 </w:t>
      </w:r>
      <w:r>
        <w:rPr>
          <w:rFonts w:hint="eastAsia" w:ascii="宋体" w:hAnsi="宋体" w:cs="宋体"/>
          <w:color w:val="000000" w:themeColor="text1"/>
          <w:u w:val="single"/>
        </w:rPr>
        <w:t xml:space="preserve">                  </w:t>
      </w:r>
      <w:r>
        <w:rPr>
          <w:rFonts w:hint="eastAsia" w:ascii="宋体" w:hAnsi="宋体" w:cs="宋体"/>
          <w:color w:val="000000" w:themeColor="text1"/>
        </w:rPr>
        <w:t xml:space="preserve">（采购文件中明确的所属行业） ；承建（承接）企业为 </w:t>
      </w:r>
      <w:r>
        <w:rPr>
          <w:rFonts w:hint="eastAsia" w:ascii="宋体" w:hAnsi="宋体" w:cs="宋体"/>
          <w:color w:val="000000" w:themeColor="text1"/>
          <w:u w:val="single"/>
        </w:rPr>
        <w:t xml:space="preserve">          </w:t>
      </w:r>
      <w:r>
        <w:rPr>
          <w:rFonts w:hint="eastAsia" w:ascii="宋体" w:hAnsi="宋体" w:cs="宋体"/>
          <w:color w:val="000000" w:themeColor="text1"/>
        </w:rPr>
        <w:t>（企业名称） ，从业人员</w:t>
      </w:r>
      <w:r>
        <w:rPr>
          <w:rFonts w:hint="eastAsia" w:ascii="宋体" w:hAnsi="宋体" w:cs="宋体"/>
          <w:color w:val="000000" w:themeColor="text1"/>
          <w:u w:val="single"/>
        </w:rPr>
        <w:t xml:space="preserve">    </w:t>
      </w:r>
      <w:r>
        <w:rPr>
          <w:rFonts w:hint="eastAsia" w:ascii="宋体" w:hAnsi="宋体" w:cs="宋体"/>
          <w:color w:val="000000" w:themeColor="text1"/>
        </w:rPr>
        <w:t>人，营业收入为</w:t>
      </w:r>
      <w:r>
        <w:rPr>
          <w:rFonts w:hint="eastAsia" w:ascii="宋体" w:hAnsi="宋体" w:cs="宋体"/>
          <w:color w:val="000000" w:themeColor="text1"/>
          <w:u w:val="single"/>
        </w:rPr>
        <w:t xml:space="preserve">     </w:t>
      </w:r>
      <w:r>
        <w:rPr>
          <w:rFonts w:hint="eastAsia" w:ascii="宋体" w:hAnsi="宋体" w:cs="宋体"/>
          <w:color w:val="000000" w:themeColor="text1"/>
        </w:rPr>
        <w:t>万元，资产总额为</w:t>
      </w:r>
      <w:r>
        <w:rPr>
          <w:rFonts w:hint="eastAsia" w:ascii="宋体" w:hAnsi="宋体" w:cs="宋体"/>
          <w:color w:val="000000" w:themeColor="text1"/>
          <w:u w:val="single"/>
        </w:rPr>
        <w:t xml:space="preserve">     </w:t>
      </w:r>
      <w:r>
        <w:rPr>
          <w:rFonts w:hint="eastAsia" w:ascii="宋体" w:hAnsi="宋体" w:cs="宋体"/>
          <w:color w:val="000000" w:themeColor="text1"/>
        </w:rPr>
        <w:t>万元属于</w:t>
      </w:r>
      <w:r>
        <w:rPr>
          <w:rFonts w:hint="eastAsia" w:ascii="宋体" w:hAnsi="宋体" w:cs="宋体"/>
          <w:color w:val="000000" w:themeColor="text1"/>
          <w:u w:val="single"/>
        </w:rPr>
        <w:t xml:space="preserve"> （中型企业、小型企业、微型企业） </w:t>
      </w:r>
      <w:r>
        <w:rPr>
          <w:rFonts w:hint="eastAsia" w:ascii="宋体" w:hAnsi="宋体" w:cs="宋体"/>
          <w:color w:val="000000" w:themeColor="text1"/>
        </w:rPr>
        <w:t>；</w:t>
      </w:r>
    </w:p>
    <w:p w14:paraId="7F4667DA">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w:t>
      </w:r>
    </w:p>
    <w:p w14:paraId="3F4DA461">
      <w:pPr>
        <w:snapToGrid w:val="0"/>
        <w:spacing w:line="360" w:lineRule="auto"/>
        <w:ind w:firstLine="420" w:firstLineChars="200"/>
        <w:jc w:val="left"/>
        <w:rPr>
          <w:rFonts w:ascii="宋体" w:hAnsi="宋体" w:cs="宋体"/>
          <w:color w:val="000000" w:themeColor="text1"/>
        </w:rPr>
      </w:pPr>
      <w:r>
        <w:rPr>
          <w:rFonts w:hint="eastAsia" w:ascii="宋体" w:hAnsi="宋体" w:cs="宋体"/>
          <w:color w:val="000000" w:themeColor="text1"/>
        </w:rPr>
        <w:t>以上企业，不属于大企业的分支机构，不存在控股股东为大企业的情形，也不存在与大企业的负责人为同一人的情形。</w:t>
      </w:r>
    </w:p>
    <w:p w14:paraId="569C10FD">
      <w:pPr>
        <w:snapToGrid w:val="0"/>
        <w:spacing w:line="360" w:lineRule="auto"/>
        <w:ind w:firstLine="420" w:firstLineChars="200"/>
        <w:jc w:val="left"/>
        <w:rPr>
          <w:rFonts w:ascii="宋体" w:hAnsi="宋体" w:cs="宋体"/>
          <w:color w:val="000000" w:themeColor="text1"/>
          <w:kern w:val="0"/>
          <w:lang w:val="zh-CN"/>
        </w:rPr>
      </w:pPr>
      <w:r>
        <w:rPr>
          <w:rFonts w:hint="eastAsia" w:ascii="宋体" w:hAnsi="宋体" w:cs="宋体"/>
          <w:color w:val="000000" w:themeColor="text1"/>
        </w:rPr>
        <w:t>本企业对上述声明内容的真实性负责。如有虚假，将依法承担相应责任。</w:t>
      </w:r>
    </w:p>
    <w:p w14:paraId="6D9F07D9">
      <w:pPr>
        <w:snapToGrid w:val="0"/>
        <w:spacing w:line="360" w:lineRule="auto"/>
        <w:ind w:firstLine="5355" w:firstLineChars="2550"/>
        <w:rPr>
          <w:rFonts w:ascii="宋体" w:hAnsi="宋体" w:cs="宋体"/>
          <w:color w:val="000000" w:themeColor="text1"/>
          <w:kern w:val="0"/>
        </w:rPr>
      </w:pPr>
      <w:r>
        <w:rPr>
          <w:rFonts w:hint="eastAsia" w:ascii="宋体" w:hAnsi="宋体" w:cs="宋体"/>
          <w:color w:val="000000" w:themeColor="text1"/>
          <w:kern w:val="0"/>
          <w:lang w:val="zh-CN"/>
        </w:rPr>
        <w:t>投标人名称(电子签章)：</w:t>
      </w:r>
    </w:p>
    <w:p w14:paraId="15F2D676">
      <w:pPr>
        <w:snapToGrid w:val="0"/>
        <w:spacing w:line="360" w:lineRule="auto"/>
        <w:rPr>
          <w:rFonts w:ascii="Times New Roman" w:hAnsi="Times New Roman"/>
          <w:b/>
          <w:bCs/>
          <w:color w:val="000000" w:themeColor="text1"/>
        </w:rPr>
      </w:pPr>
      <w:r>
        <w:rPr>
          <w:rFonts w:hint="eastAsia" w:ascii="宋体" w:hAnsi="宋体" w:cs="宋体"/>
          <w:color w:val="000000" w:themeColor="text1"/>
          <w:kern w:val="0"/>
          <w:lang w:val="zh-CN"/>
        </w:rPr>
        <w:t xml:space="preserve">                                           </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日期</w:t>
      </w:r>
      <w:r>
        <w:rPr>
          <w:rFonts w:hint="eastAsia" w:ascii="宋体" w:hAnsi="宋体" w:cs="宋体"/>
          <w:color w:val="000000" w:themeColor="text1"/>
          <w:kern w:val="0"/>
        </w:rPr>
        <w:t xml:space="preserve">：  年  </w:t>
      </w:r>
      <w:r>
        <w:rPr>
          <w:rFonts w:hint="eastAsia" w:ascii="宋体" w:hAnsi="宋体" w:cs="宋体"/>
          <w:color w:val="000000" w:themeColor="text1"/>
          <w:kern w:val="0"/>
          <w:lang w:val="zh-CN"/>
        </w:rPr>
        <w:t>月</w:t>
      </w:r>
      <w:r>
        <w:rPr>
          <w:rFonts w:hint="eastAsia" w:ascii="宋体" w:hAnsi="宋体" w:cs="宋体"/>
          <w:color w:val="000000" w:themeColor="text1"/>
          <w:kern w:val="0"/>
        </w:rPr>
        <w:t xml:space="preserve">   </w:t>
      </w:r>
      <w:r>
        <w:rPr>
          <w:rFonts w:hint="eastAsia" w:ascii="宋体" w:hAnsi="宋体" w:cs="宋体"/>
          <w:color w:val="000000" w:themeColor="text1"/>
          <w:kern w:val="0"/>
          <w:lang w:val="zh-CN"/>
        </w:rPr>
        <w:t>日</w:t>
      </w:r>
    </w:p>
    <w:tbl>
      <w:tblPr>
        <w:tblStyle w:val="27"/>
        <w:tblpPr w:leftFromText="180" w:rightFromText="180" w:vertAnchor="text" w:horzAnchor="page" w:tblpX="2399"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213"/>
        <w:gridCol w:w="840"/>
        <w:gridCol w:w="1373"/>
        <w:gridCol w:w="1444"/>
        <w:gridCol w:w="1330"/>
      </w:tblGrid>
      <w:tr w14:paraId="3653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73" w:type="dxa"/>
            <w:vAlign w:val="center"/>
          </w:tcPr>
          <w:p w14:paraId="22C61E2A">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行业名称</w:t>
            </w:r>
          </w:p>
        </w:tc>
        <w:tc>
          <w:tcPr>
            <w:tcW w:w="1213" w:type="dxa"/>
            <w:vAlign w:val="center"/>
          </w:tcPr>
          <w:p w14:paraId="011FB930">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指标名称</w:t>
            </w:r>
          </w:p>
        </w:tc>
        <w:tc>
          <w:tcPr>
            <w:tcW w:w="840" w:type="dxa"/>
            <w:vAlign w:val="center"/>
          </w:tcPr>
          <w:p w14:paraId="47645E23">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计量单位</w:t>
            </w:r>
          </w:p>
        </w:tc>
        <w:tc>
          <w:tcPr>
            <w:tcW w:w="1373" w:type="dxa"/>
            <w:vAlign w:val="center"/>
          </w:tcPr>
          <w:p w14:paraId="7E254159">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中型</w:t>
            </w:r>
          </w:p>
        </w:tc>
        <w:tc>
          <w:tcPr>
            <w:tcW w:w="1444" w:type="dxa"/>
            <w:vAlign w:val="center"/>
          </w:tcPr>
          <w:p w14:paraId="2666F08A">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小型</w:t>
            </w:r>
          </w:p>
        </w:tc>
        <w:tc>
          <w:tcPr>
            <w:tcW w:w="1330" w:type="dxa"/>
            <w:vAlign w:val="center"/>
          </w:tcPr>
          <w:p w14:paraId="07BC2C4E">
            <w:pPr>
              <w:widowControl/>
              <w:wordWrap w:val="0"/>
              <w:spacing w:line="360" w:lineRule="atLeast"/>
              <w:jc w:val="center"/>
              <w:textAlignment w:val="center"/>
              <w:rPr>
                <w:rFonts w:ascii="宋体" w:hAnsi="宋体"/>
                <w:color w:val="000000" w:themeColor="text1"/>
              </w:rPr>
            </w:pPr>
            <w:r>
              <w:rPr>
                <w:rFonts w:ascii="宋体" w:hAnsi="宋体" w:cs="Arial"/>
                <w:b/>
                <w:bCs/>
                <w:color w:val="000000" w:themeColor="text1"/>
                <w:kern w:val="0"/>
                <w:sz w:val="18"/>
                <w:szCs w:val="18"/>
              </w:rPr>
              <w:t>微型</w:t>
            </w:r>
          </w:p>
        </w:tc>
      </w:tr>
      <w:tr w14:paraId="45E5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73" w:type="dxa"/>
            <w:vAlign w:val="center"/>
          </w:tcPr>
          <w:p w14:paraId="698C8F3B">
            <w:pPr>
              <w:widowControl/>
              <w:wordWrap w:val="0"/>
              <w:spacing w:line="360" w:lineRule="atLeast"/>
              <w:jc w:val="center"/>
              <w:textAlignment w:val="center"/>
              <w:rPr>
                <w:rFonts w:ascii="宋体" w:hAnsi="宋体"/>
                <w:color w:val="000000" w:themeColor="text1"/>
              </w:rPr>
            </w:pPr>
            <w:r>
              <w:rPr>
                <w:rFonts w:hint="eastAsia" w:ascii="宋体" w:hAnsi="宋体" w:cs="Arial"/>
                <w:color w:val="000000" w:themeColor="text1"/>
                <w:kern w:val="0"/>
                <w:sz w:val="18"/>
                <w:szCs w:val="18"/>
              </w:rPr>
              <w:t>其他未列明行业</w:t>
            </w:r>
          </w:p>
        </w:tc>
        <w:tc>
          <w:tcPr>
            <w:tcW w:w="1213" w:type="dxa"/>
            <w:vAlign w:val="center"/>
          </w:tcPr>
          <w:p w14:paraId="03AB7BDD">
            <w:pPr>
              <w:widowControl/>
              <w:wordWrap w:val="0"/>
              <w:spacing w:line="360" w:lineRule="atLeast"/>
              <w:jc w:val="center"/>
              <w:textAlignment w:val="center"/>
              <w:rPr>
                <w:rFonts w:ascii="宋体" w:hAnsi="宋体"/>
                <w:color w:val="000000" w:themeColor="text1"/>
              </w:rPr>
            </w:pPr>
            <w:r>
              <w:rPr>
                <w:rFonts w:ascii="宋体" w:hAnsi="宋体" w:cs="Arial"/>
                <w:color w:val="000000" w:themeColor="text1"/>
                <w:kern w:val="0"/>
                <w:sz w:val="18"/>
                <w:szCs w:val="18"/>
              </w:rPr>
              <w:t>从业人员(X)</w:t>
            </w:r>
          </w:p>
        </w:tc>
        <w:tc>
          <w:tcPr>
            <w:tcW w:w="840" w:type="dxa"/>
            <w:vAlign w:val="center"/>
          </w:tcPr>
          <w:p w14:paraId="2735793B">
            <w:pPr>
              <w:widowControl/>
              <w:wordWrap w:val="0"/>
              <w:spacing w:line="360" w:lineRule="atLeast"/>
              <w:jc w:val="center"/>
              <w:textAlignment w:val="center"/>
              <w:rPr>
                <w:rFonts w:ascii="宋体" w:hAnsi="宋体"/>
                <w:color w:val="000000" w:themeColor="text1"/>
              </w:rPr>
            </w:pPr>
            <w:r>
              <w:rPr>
                <w:rFonts w:ascii="宋体" w:hAnsi="宋体" w:cs="Arial"/>
                <w:color w:val="000000" w:themeColor="text1"/>
                <w:kern w:val="0"/>
                <w:sz w:val="18"/>
                <w:szCs w:val="18"/>
              </w:rPr>
              <w:t>人</w:t>
            </w:r>
          </w:p>
        </w:tc>
        <w:tc>
          <w:tcPr>
            <w:tcW w:w="1373" w:type="dxa"/>
            <w:vAlign w:val="center"/>
          </w:tcPr>
          <w:p w14:paraId="6B9D2404">
            <w:pPr>
              <w:widowControl/>
              <w:wordWrap w:val="0"/>
              <w:spacing w:line="360" w:lineRule="atLeast"/>
              <w:jc w:val="center"/>
              <w:textAlignment w:val="center"/>
              <w:rPr>
                <w:rFonts w:ascii="宋体" w:hAnsi="宋体"/>
                <w:color w:val="000000" w:themeColor="text1"/>
              </w:rPr>
            </w:pPr>
            <w:r>
              <w:rPr>
                <w:rFonts w:ascii="宋体" w:hAnsi="宋体" w:cs="Arial"/>
                <w:color w:val="000000" w:themeColor="text1"/>
                <w:kern w:val="0"/>
                <w:sz w:val="18"/>
                <w:szCs w:val="18"/>
              </w:rPr>
              <w:t>1</w:t>
            </w:r>
            <w:r>
              <w:rPr>
                <w:rFonts w:hint="eastAsia" w:ascii="宋体" w:hAnsi="宋体" w:cs="Arial"/>
                <w:color w:val="000000" w:themeColor="text1"/>
                <w:kern w:val="0"/>
                <w:sz w:val="18"/>
                <w:szCs w:val="18"/>
              </w:rPr>
              <w:t>00</w:t>
            </w:r>
            <w:r>
              <w:rPr>
                <w:rFonts w:ascii="宋体" w:hAnsi="宋体" w:cs="Arial"/>
                <w:color w:val="000000" w:themeColor="text1"/>
                <w:kern w:val="0"/>
                <w:sz w:val="18"/>
                <w:szCs w:val="18"/>
              </w:rPr>
              <w:t>≤X&lt;</w:t>
            </w:r>
            <w:r>
              <w:rPr>
                <w:rFonts w:hint="eastAsia" w:ascii="宋体" w:hAnsi="宋体" w:cs="Arial"/>
                <w:color w:val="000000" w:themeColor="text1"/>
                <w:kern w:val="0"/>
                <w:sz w:val="18"/>
                <w:szCs w:val="18"/>
              </w:rPr>
              <w:t>300</w:t>
            </w:r>
          </w:p>
        </w:tc>
        <w:tc>
          <w:tcPr>
            <w:tcW w:w="1444" w:type="dxa"/>
            <w:vAlign w:val="center"/>
          </w:tcPr>
          <w:p w14:paraId="0410F0CB">
            <w:pPr>
              <w:widowControl/>
              <w:wordWrap w:val="0"/>
              <w:spacing w:line="360" w:lineRule="atLeast"/>
              <w:jc w:val="center"/>
              <w:textAlignment w:val="center"/>
              <w:rPr>
                <w:rFonts w:ascii="宋体" w:hAnsi="宋体"/>
                <w:color w:val="000000" w:themeColor="text1"/>
              </w:rPr>
            </w:pPr>
            <w:r>
              <w:rPr>
                <w:rFonts w:ascii="宋体" w:hAnsi="宋体" w:cs="Arial"/>
                <w:color w:val="000000" w:themeColor="text1"/>
                <w:kern w:val="0"/>
                <w:sz w:val="18"/>
                <w:szCs w:val="18"/>
              </w:rPr>
              <w:t>1</w:t>
            </w:r>
            <w:r>
              <w:rPr>
                <w:rFonts w:hint="eastAsia" w:ascii="宋体" w:hAnsi="宋体" w:cs="Arial"/>
                <w:color w:val="000000" w:themeColor="text1"/>
                <w:kern w:val="0"/>
                <w:sz w:val="18"/>
                <w:szCs w:val="18"/>
              </w:rPr>
              <w:t>0</w:t>
            </w:r>
            <w:r>
              <w:rPr>
                <w:rFonts w:ascii="宋体" w:hAnsi="宋体" w:cs="Arial"/>
                <w:color w:val="000000" w:themeColor="text1"/>
                <w:kern w:val="0"/>
                <w:sz w:val="18"/>
                <w:szCs w:val="18"/>
              </w:rPr>
              <w:t>≤X&lt;</w:t>
            </w:r>
            <w:r>
              <w:rPr>
                <w:rFonts w:hint="eastAsia" w:ascii="宋体" w:hAnsi="宋体" w:cs="Arial"/>
                <w:color w:val="000000" w:themeColor="text1"/>
                <w:kern w:val="0"/>
                <w:sz w:val="18"/>
                <w:szCs w:val="18"/>
              </w:rPr>
              <w:t>100</w:t>
            </w:r>
          </w:p>
        </w:tc>
        <w:tc>
          <w:tcPr>
            <w:tcW w:w="1330" w:type="dxa"/>
            <w:vAlign w:val="center"/>
          </w:tcPr>
          <w:p w14:paraId="612C2550">
            <w:pPr>
              <w:widowControl/>
              <w:wordWrap w:val="0"/>
              <w:spacing w:line="360" w:lineRule="atLeast"/>
              <w:jc w:val="center"/>
              <w:textAlignment w:val="center"/>
              <w:rPr>
                <w:rFonts w:ascii="宋体" w:hAnsi="宋体"/>
                <w:color w:val="000000" w:themeColor="text1"/>
              </w:rPr>
            </w:pPr>
            <w:r>
              <w:rPr>
                <w:rFonts w:ascii="宋体" w:hAnsi="宋体" w:cs="Arial"/>
                <w:color w:val="000000" w:themeColor="text1"/>
                <w:kern w:val="0"/>
                <w:sz w:val="18"/>
                <w:szCs w:val="18"/>
              </w:rPr>
              <w:t>X&lt;10</w:t>
            </w:r>
          </w:p>
        </w:tc>
      </w:tr>
    </w:tbl>
    <w:p w14:paraId="7369ED8B">
      <w:pPr>
        <w:spacing w:line="400" w:lineRule="exact"/>
        <w:rPr>
          <w:rFonts w:ascii="Times New Roman" w:hAnsi="Times New Roman"/>
          <w:b/>
          <w:bCs/>
          <w:color w:val="000000" w:themeColor="text1"/>
        </w:rPr>
      </w:pPr>
      <w:r>
        <w:rPr>
          <w:rFonts w:ascii="Times New Roman" w:hAnsi="Times New Roman"/>
          <w:b/>
          <w:bCs/>
          <w:color w:val="000000" w:themeColor="text1"/>
        </w:rPr>
        <w:t>注：</w:t>
      </w:r>
    </w:p>
    <w:p w14:paraId="299C42FD">
      <w:pPr>
        <w:rPr>
          <w:rFonts w:ascii="宋体" w:hAnsi="宋体"/>
          <w:color w:val="000000" w:themeColor="text1"/>
        </w:rPr>
      </w:pPr>
      <w:r>
        <w:rPr>
          <w:rFonts w:hint="eastAsia" w:ascii="宋体" w:hAnsi="宋体"/>
          <w:color w:val="000000" w:themeColor="text1"/>
        </w:rPr>
        <w:t>1）</w:t>
      </w:r>
      <w:r>
        <w:rPr>
          <w:rFonts w:hint="eastAsia" w:ascii="宋体" w:hAnsi="宋体"/>
          <w:b/>
          <w:bCs/>
          <w:color w:val="000000" w:themeColor="text1"/>
        </w:rPr>
        <w:t>“</w:t>
      </w:r>
      <w:r>
        <w:rPr>
          <w:rFonts w:hint="eastAsia" w:ascii="宋体" w:hAnsi="宋体"/>
          <w:b/>
          <w:bCs/>
          <w:color w:val="000000" w:themeColor="text1"/>
          <w:u w:val="single"/>
        </w:rPr>
        <w:t>（采购文件中明确的所属行业）</w:t>
      </w:r>
      <w:r>
        <w:rPr>
          <w:rFonts w:hint="eastAsia" w:ascii="宋体" w:hAnsi="宋体"/>
          <w:b/>
          <w:bCs/>
          <w:color w:val="000000" w:themeColor="text1"/>
        </w:rPr>
        <w:t>”</w:t>
      </w:r>
      <w:r>
        <w:rPr>
          <w:rFonts w:hint="eastAsia" w:ascii="宋体" w:hAnsi="宋体"/>
          <w:color w:val="000000" w:themeColor="text1"/>
        </w:rPr>
        <w:t>须按采购文件</w:t>
      </w:r>
      <w:r>
        <w:rPr>
          <w:rFonts w:hint="eastAsia" w:ascii="宋体" w:hAnsi="宋体"/>
          <w:b/>
          <w:bCs/>
          <w:color w:val="000000" w:themeColor="text1"/>
        </w:rPr>
        <w:t>前附表</w:t>
      </w:r>
      <w:r>
        <w:rPr>
          <w:rFonts w:hint="eastAsia" w:ascii="宋体" w:hAnsi="宋体"/>
          <w:color w:val="000000" w:themeColor="text1"/>
        </w:rPr>
        <w:t>中所明确的行业进行填写。</w:t>
      </w:r>
    </w:p>
    <w:p w14:paraId="5AB11459">
      <w:pPr>
        <w:rPr>
          <w:rFonts w:ascii="宋体" w:hAnsi="宋体"/>
          <w:color w:val="000000" w:themeColor="text1"/>
        </w:rPr>
      </w:pPr>
      <w:r>
        <w:rPr>
          <w:rFonts w:hint="eastAsia" w:ascii="宋体" w:hAnsi="宋体"/>
          <w:color w:val="000000" w:themeColor="text1"/>
        </w:rPr>
        <w:t>2）中小企业划型标准按工信部联企业〔2011〕300号文件中所涉及指标1、从业人员；2、营业收入；3、资产总额等内容根据划分标准，标准内如未涉及的可不填写。</w:t>
      </w:r>
    </w:p>
    <w:p w14:paraId="58FE3EC1">
      <w:pPr>
        <w:rPr>
          <w:rFonts w:ascii="宋体" w:hAnsi="宋体"/>
          <w:color w:val="000000" w:themeColor="text1"/>
        </w:rPr>
      </w:pPr>
      <w:r>
        <w:rPr>
          <w:rFonts w:hint="eastAsia" w:ascii="宋体" w:hAnsi="宋体"/>
          <w:color w:val="000000" w:themeColor="text1"/>
        </w:rPr>
        <w:t>3）从业人员、营业收入、资产总额填报上一年度数据。无上一年度数据的新成立企业可不</w:t>
      </w:r>
      <w:r>
        <w:rPr>
          <w:rFonts w:ascii="宋体" w:hAnsi="宋体"/>
          <w:color w:val="000000" w:themeColor="text1"/>
        </w:rPr>
        <w:t>填报。</w:t>
      </w:r>
    </w:p>
    <w:p w14:paraId="440F02C2">
      <w:pPr>
        <w:rPr>
          <w:rFonts w:ascii="宋体" w:hAnsi="宋体"/>
          <w:b/>
          <w:color w:val="000000" w:themeColor="text1"/>
        </w:rPr>
      </w:pPr>
      <w:r>
        <w:rPr>
          <w:rFonts w:hint="eastAsia" w:ascii="宋体" w:hAnsi="宋体"/>
          <w:color w:val="000000" w:themeColor="text1"/>
        </w:rPr>
        <w:t>4</w:t>
      </w:r>
      <w:r>
        <w:rPr>
          <w:rFonts w:ascii="宋体" w:hAnsi="宋体"/>
          <w:color w:val="000000" w:themeColor="text1"/>
        </w:rPr>
        <w:t>）中标单位的《中小企业声明函》将依法公示，提供虚假资料者取消中标资格，并承担一切责任。</w:t>
      </w:r>
    </w:p>
    <w:p w14:paraId="7B6CF85A">
      <w:pPr>
        <w:pStyle w:val="2"/>
        <w:rPr>
          <w:rFonts w:ascii="宋体" w:hAnsi="宋体"/>
          <w:color w:val="000000" w:themeColor="text1"/>
          <w:sz w:val="21"/>
        </w:rPr>
      </w:pPr>
      <w:r>
        <w:rPr>
          <w:rFonts w:hint="eastAsia" w:ascii="宋体" w:hAnsi="宋体"/>
          <w:color w:val="000000" w:themeColor="text1"/>
          <w:sz w:val="21"/>
        </w:rPr>
        <w:t>5）</w:t>
      </w:r>
      <w:r>
        <w:rPr>
          <w:rFonts w:ascii="宋体" w:hAnsi="宋体"/>
          <w:color w:val="000000" w:themeColor="text1"/>
          <w:sz w:val="21"/>
        </w:rPr>
        <w:t>中型和小型企业须同时满足所列指标的下限，否则下划一档；微型企业只须满足所列指标中的一项即可。</w:t>
      </w:r>
    </w:p>
    <w:p w14:paraId="390E51F8">
      <w:pPr>
        <w:autoSpaceDE w:val="0"/>
        <w:autoSpaceDN w:val="0"/>
        <w:adjustRightInd w:val="0"/>
        <w:spacing w:line="360" w:lineRule="auto"/>
        <w:ind w:right="-341"/>
        <w:jc w:val="left"/>
        <w:rPr>
          <w:rFonts w:ascii="宋体" w:hAnsi="宋体"/>
          <w:b/>
          <w:bCs/>
          <w:color w:val="000000" w:themeColor="text1"/>
        </w:rPr>
      </w:pPr>
    </w:p>
    <w:p w14:paraId="05927666">
      <w:pPr>
        <w:autoSpaceDE w:val="0"/>
        <w:autoSpaceDN w:val="0"/>
        <w:adjustRightInd w:val="0"/>
        <w:spacing w:line="360" w:lineRule="auto"/>
        <w:ind w:right="-341"/>
        <w:jc w:val="left"/>
        <w:rPr>
          <w:rFonts w:hint="eastAsia" w:ascii="宋体" w:hAnsi="宋体"/>
          <w:b/>
          <w:bCs/>
          <w:color w:val="000000" w:themeColor="text1"/>
        </w:rPr>
      </w:pPr>
    </w:p>
    <w:p w14:paraId="123706AB">
      <w:pPr>
        <w:autoSpaceDE w:val="0"/>
        <w:autoSpaceDN w:val="0"/>
        <w:adjustRightInd w:val="0"/>
        <w:spacing w:line="360" w:lineRule="auto"/>
        <w:ind w:right="-341"/>
        <w:jc w:val="left"/>
        <w:rPr>
          <w:rFonts w:hint="eastAsia" w:ascii="宋体" w:hAnsi="宋体"/>
          <w:b/>
          <w:bCs/>
          <w:color w:val="000000" w:themeColor="text1"/>
        </w:rPr>
      </w:pPr>
    </w:p>
    <w:p w14:paraId="4905F849">
      <w:pPr>
        <w:pStyle w:val="4"/>
        <w:rPr>
          <w:rFonts w:hint="eastAsia"/>
          <w:color w:val="000000" w:themeColor="text1"/>
        </w:rPr>
      </w:pPr>
    </w:p>
    <w:p w14:paraId="119CAD02">
      <w:pPr>
        <w:autoSpaceDE w:val="0"/>
        <w:autoSpaceDN w:val="0"/>
        <w:adjustRightInd w:val="0"/>
        <w:spacing w:line="360" w:lineRule="auto"/>
        <w:ind w:right="-341"/>
        <w:jc w:val="left"/>
        <w:rPr>
          <w:rFonts w:hint="eastAsia" w:ascii="宋体" w:hAnsi="宋体"/>
          <w:b/>
          <w:bCs/>
          <w:color w:val="000000" w:themeColor="text1"/>
        </w:rPr>
      </w:pPr>
    </w:p>
    <w:p w14:paraId="589C92FD">
      <w:pPr>
        <w:autoSpaceDE w:val="0"/>
        <w:autoSpaceDN w:val="0"/>
        <w:adjustRightInd w:val="0"/>
        <w:spacing w:line="360" w:lineRule="auto"/>
        <w:ind w:right="-341"/>
        <w:jc w:val="left"/>
        <w:rPr>
          <w:rFonts w:ascii="宋体"/>
          <w:color w:val="000000" w:themeColor="text1"/>
          <w:kern w:val="0"/>
        </w:rPr>
      </w:pPr>
      <w:r>
        <w:rPr>
          <w:rFonts w:hint="eastAsia" w:ascii="宋体" w:hAnsi="宋体"/>
          <w:b/>
          <w:bCs/>
          <w:color w:val="000000" w:themeColor="text1"/>
        </w:rPr>
        <w:t>三、监狱企业声明函</w:t>
      </w:r>
    </w:p>
    <w:p w14:paraId="7144F8C1">
      <w:pPr>
        <w:ind w:firstLine="3373" w:firstLineChars="1400"/>
        <w:rPr>
          <w:rFonts w:ascii="宋体"/>
          <w:b/>
          <w:color w:val="000000" w:themeColor="text1"/>
          <w:sz w:val="24"/>
        </w:rPr>
      </w:pPr>
    </w:p>
    <w:p w14:paraId="57706565">
      <w:pPr>
        <w:jc w:val="left"/>
        <w:rPr>
          <w:rFonts w:ascii="宋体"/>
          <w:color w:val="000000" w:themeColor="text1"/>
          <w:kern w:val="0"/>
        </w:rPr>
      </w:pPr>
    </w:p>
    <w:p w14:paraId="4C443889">
      <w:pPr>
        <w:ind w:firstLine="3373" w:firstLineChars="1400"/>
        <w:rPr>
          <w:rFonts w:ascii="宋体"/>
          <w:b/>
          <w:color w:val="000000" w:themeColor="text1"/>
          <w:sz w:val="24"/>
        </w:rPr>
      </w:pPr>
      <w:r>
        <w:rPr>
          <w:rFonts w:hint="eastAsia" w:ascii="宋体" w:hAnsi="宋体"/>
          <w:b/>
          <w:color w:val="000000" w:themeColor="text1"/>
          <w:sz w:val="24"/>
        </w:rPr>
        <w:t>监狱企业声明函</w:t>
      </w:r>
    </w:p>
    <w:p w14:paraId="58849043">
      <w:pPr>
        <w:ind w:firstLine="2835" w:firstLineChars="1350"/>
        <w:rPr>
          <w:rFonts w:ascii="宋体"/>
          <w:color w:val="000000" w:themeColor="text1"/>
        </w:rPr>
      </w:pPr>
      <w:r>
        <w:rPr>
          <w:rFonts w:hint="eastAsia" w:ascii="宋体" w:hAnsi="宋体"/>
          <w:color w:val="000000" w:themeColor="text1"/>
        </w:rPr>
        <w:t>【非监狱企业不用提供】</w:t>
      </w:r>
    </w:p>
    <w:p w14:paraId="5A1DD5BD">
      <w:pPr>
        <w:ind w:firstLine="480"/>
        <w:rPr>
          <w:rFonts w:ascii="宋体"/>
          <w:color w:val="000000" w:themeColor="text1"/>
        </w:rPr>
      </w:pPr>
    </w:p>
    <w:p w14:paraId="1B97ED8A">
      <w:pPr>
        <w:spacing w:line="360" w:lineRule="auto"/>
        <w:ind w:firstLine="525" w:firstLineChars="250"/>
        <w:rPr>
          <w:rFonts w:ascii="宋体"/>
          <w:color w:val="000000" w:themeColor="text1"/>
        </w:rPr>
      </w:pPr>
    </w:p>
    <w:p w14:paraId="665C7850">
      <w:pPr>
        <w:spacing w:line="360" w:lineRule="auto"/>
        <w:ind w:firstLine="525" w:firstLineChars="250"/>
        <w:rPr>
          <w:rFonts w:ascii="宋体"/>
          <w:color w:val="000000" w:themeColor="text1"/>
        </w:rPr>
      </w:pPr>
      <w:r>
        <w:rPr>
          <w:rFonts w:hint="eastAsia" w:ascii="宋体" w:hAnsi="宋体"/>
          <w:color w:val="000000" w:themeColor="text1"/>
        </w:rPr>
        <w:t>监狱企业参加政府采购活动时，应当提供由省级以上监狱管理本企业郑重声明，根据《关于政府采购支持监狱企业发展有关问题的通知》（财库</w:t>
      </w:r>
      <w:r>
        <w:rPr>
          <w:rFonts w:ascii="宋体" w:hAnsi="宋体"/>
          <w:color w:val="000000" w:themeColor="text1"/>
        </w:rPr>
        <w:t>[2014]68</w:t>
      </w:r>
      <w:r>
        <w:rPr>
          <w:rFonts w:hint="eastAsia" w:ascii="宋体" w:hAnsi="宋体"/>
          <w:color w:val="000000" w:themeColor="text1"/>
        </w:rPr>
        <w:t>号）的规定，本企业为监狱企业。</w:t>
      </w:r>
    </w:p>
    <w:p w14:paraId="0C22225D">
      <w:pPr>
        <w:spacing w:line="360" w:lineRule="auto"/>
        <w:ind w:firstLine="480"/>
        <w:rPr>
          <w:rFonts w:ascii="宋体"/>
          <w:color w:val="000000" w:themeColor="text1"/>
        </w:rPr>
      </w:pPr>
      <w:r>
        <w:rPr>
          <w:rFonts w:hint="eastAsia" w:ascii="宋体" w:hAnsi="宋体"/>
          <w:color w:val="000000" w:themeColor="text1"/>
        </w:rPr>
        <w:t>根据上述标准，我企业属于监狱企业的理由为：。</w:t>
      </w:r>
    </w:p>
    <w:p w14:paraId="4E634244">
      <w:pPr>
        <w:spacing w:line="360" w:lineRule="auto"/>
        <w:ind w:firstLine="480"/>
        <w:rPr>
          <w:rFonts w:ascii="宋体"/>
          <w:color w:val="000000" w:themeColor="text1"/>
        </w:rPr>
      </w:pPr>
      <w:r>
        <w:rPr>
          <w:rFonts w:hint="eastAsia" w:ascii="宋体" w:hAnsi="宋体"/>
          <w:color w:val="000000" w:themeColor="text1"/>
        </w:rPr>
        <w:t xml:space="preserve">本企业为参加（项目名称：   </w:t>
      </w:r>
      <w:r>
        <w:rPr>
          <w:rFonts w:ascii="宋体" w:hAnsi="宋体"/>
          <w:color w:val="000000" w:themeColor="text1"/>
        </w:rPr>
        <w:t xml:space="preserve"> </w:t>
      </w:r>
      <w:r>
        <w:rPr>
          <w:rFonts w:hint="eastAsia" w:ascii="宋体" w:hAnsi="宋体"/>
          <w:color w:val="000000" w:themeColor="text1"/>
        </w:rPr>
        <w:t>）（项目编号：</w:t>
      </w:r>
      <w:r>
        <w:rPr>
          <w:rFonts w:ascii="宋体" w:hAnsi="宋体"/>
          <w:color w:val="000000" w:themeColor="text1"/>
        </w:rPr>
        <w:t xml:space="preserve"> </w:t>
      </w:r>
      <w:r>
        <w:rPr>
          <w:rFonts w:hint="eastAsia" w:ascii="宋体" w:hAnsi="宋体"/>
          <w:color w:val="000000" w:themeColor="text1"/>
        </w:rPr>
        <w:t>）采购活动提供本企业的产品。</w:t>
      </w:r>
    </w:p>
    <w:p w14:paraId="0B6DD115">
      <w:pPr>
        <w:spacing w:line="360" w:lineRule="auto"/>
        <w:ind w:firstLine="480"/>
        <w:rPr>
          <w:rFonts w:ascii="宋体"/>
          <w:color w:val="000000" w:themeColor="text1"/>
        </w:rPr>
      </w:pPr>
      <w:r>
        <w:rPr>
          <w:rFonts w:hint="eastAsia" w:ascii="宋体" w:hAnsi="宋体"/>
          <w:color w:val="000000" w:themeColor="text1"/>
        </w:rPr>
        <w:t>本企业对上述声明的真实性负责。如有虚假，将依法承担相应责任。</w:t>
      </w:r>
    </w:p>
    <w:p w14:paraId="5DD268E6">
      <w:pPr>
        <w:spacing w:line="360" w:lineRule="auto"/>
        <w:ind w:firstLine="480"/>
        <w:rPr>
          <w:rFonts w:ascii="宋体"/>
          <w:color w:val="000000" w:themeColor="text1"/>
        </w:rPr>
      </w:pPr>
    </w:p>
    <w:p w14:paraId="1A7422F5">
      <w:pPr>
        <w:spacing w:line="360" w:lineRule="auto"/>
        <w:ind w:firstLine="480"/>
        <w:jc w:val="right"/>
        <w:rPr>
          <w:rFonts w:ascii="宋体"/>
          <w:color w:val="000000" w:themeColor="text1"/>
        </w:rPr>
      </w:pPr>
      <w:r>
        <w:rPr>
          <w:rFonts w:hint="eastAsia" w:ascii="宋体" w:hAnsi="宋体"/>
          <w:color w:val="000000" w:themeColor="text1"/>
        </w:rPr>
        <w:t>投标人名称（盖章）：</w:t>
      </w:r>
    </w:p>
    <w:p w14:paraId="74CBD3C6">
      <w:pPr>
        <w:spacing w:line="360" w:lineRule="auto"/>
        <w:ind w:firstLine="480"/>
        <w:jc w:val="right"/>
        <w:rPr>
          <w:rFonts w:ascii="宋体"/>
          <w:color w:val="000000" w:themeColor="text1"/>
        </w:rPr>
      </w:pPr>
      <w:r>
        <w:rPr>
          <w:rFonts w:hint="eastAsia" w:ascii="宋体" w:hAnsi="宋体"/>
          <w:color w:val="000000" w:themeColor="text1"/>
        </w:rPr>
        <w:t>日期：</w:t>
      </w:r>
      <w:r>
        <w:rPr>
          <w:rFonts w:ascii="宋体" w:hAnsi="宋体"/>
          <w:color w:val="000000" w:themeColor="text1"/>
        </w:rPr>
        <w:t xml:space="preserve"> </w:t>
      </w:r>
      <w:r>
        <w:rPr>
          <w:rFonts w:hint="eastAsia" w:ascii="宋体" w:hAnsi="宋体"/>
          <w:color w:val="000000" w:themeColor="text1"/>
        </w:rPr>
        <w:t>年</w:t>
      </w:r>
      <w:r>
        <w:rPr>
          <w:rFonts w:ascii="宋体" w:hAnsi="宋体"/>
          <w:color w:val="000000" w:themeColor="text1"/>
        </w:rPr>
        <w:t xml:space="preserve"> </w:t>
      </w:r>
      <w:r>
        <w:rPr>
          <w:rFonts w:hint="eastAsia" w:ascii="宋体" w:hAnsi="宋体"/>
          <w:color w:val="000000" w:themeColor="text1"/>
        </w:rPr>
        <w:t>月</w:t>
      </w:r>
      <w:r>
        <w:rPr>
          <w:rFonts w:ascii="宋体" w:hAnsi="宋体"/>
          <w:color w:val="000000" w:themeColor="text1"/>
        </w:rPr>
        <w:t xml:space="preserve"> </w:t>
      </w:r>
      <w:r>
        <w:rPr>
          <w:rFonts w:hint="eastAsia" w:ascii="宋体" w:hAnsi="宋体"/>
          <w:color w:val="000000" w:themeColor="text1"/>
        </w:rPr>
        <w:t>日</w:t>
      </w:r>
    </w:p>
    <w:p w14:paraId="273A995F">
      <w:pPr>
        <w:spacing w:line="360" w:lineRule="auto"/>
        <w:ind w:firstLine="480"/>
        <w:rPr>
          <w:rFonts w:ascii="宋体"/>
          <w:color w:val="000000" w:themeColor="text1"/>
        </w:rPr>
      </w:pPr>
    </w:p>
    <w:p w14:paraId="57E44579">
      <w:pPr>
        <w:spacing w:line="360" w:lineRule="auto"/>
        <w:ind w:firstLine="480"/>
        <w:rPr>
          <w:rFonts w:ascii="宋体"/>
          <w:color w:val="000000" w:themeColor="text1"/>
        </w:rPr>
      </w:pPr>
    </w:p>
    <w:p w14:paraId="408FE688">
      <w:pPr>
        <w:spacing w:line="360" w:lineRule="auto"/>
        <w:ind w:firstLine="480"/>
        <w:rPr>
          <w:rFonts w:ascii="宋体"/>
          <w:color w:val="000000" w:themeColor="text1"/>
        </w:rPr>
      </w:pPr>
      <w:r>
        <w:rPr>
          <w:rFonts w:hint="eastAsia" w:ascii="宋体" w:hAnsi="宋体"/>
          <w:color w:val="000000" w:themeColor="text1"/>
        </w:rPr>
        <w:t>投标人为监狱企业的提供此函。</w:t>
      </w:r>
    </w:p>
    <w:p w14:paraId="2804975A">
      <w:pPr>
        <w:spacing w:line="360" w:lineRule="auto"/>
        <w:ind w:firstLine="480"/>
        <w:rPr>
          <w:rFonts w:ascii="宋体"/>
          <w:color w:val="000000" w:themeColor="text1"/>
        </w:rPr>
      </w:pPr>
      <w:r>
        <w:rPr>
          <w:rFonts w:hint="eastAsia" w:ascii="宋体" w:hAnsi="宋体"/>
          <w:color w:val="000000" w:themeColor="text1"/>
        </w:rPr>
        <w:t>局、戒毒管理局（含新疆生产建设兵团）出具的属于监狱企业的证明文件。</w:t>
      </w:r>
    </w:p>
    <w:p w14:paraId="446044AA">
      <w:pPr>
        <w:spacing w:line="360" w:lineRule="auto"/>
        <w:ind w:firstLine="480"/>
        <w:rPr>
          <w:rFonts w:ascii="宋体"/>
          <w:color w:val="000000" w:themeColor="text1"/>
        </w:rPr>
      </w:pPr>
      <w:r>
        <w:rPr>
          <w:rFonts w:hint="eastAsia" w:ascii="宋体" w:hAnsi="宋体"/>
          <w:color w:val="000000" w:themeColor="text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2136CB4">
      <w:pPr>
        <w:spacing w:line="360" w:lineRule="auto"/>
        <w:ind w:firstLine="480"/>
        <w:rPr>
          <w:rFonts w:ascii="宋体"/>
          <w:color w:val="000000" w:themeColor="text1"/>
        </w:rPr>
      </w:pPr>
    </w:p>
    <w:p w14:paraId="3EEBBB56">
      <w:pPr>
        <w:autoSpaceDN w:val="0"/>
        <w:spacing w:line="360" w:lineRule="auto"/>
        <w:rPr>
          <w:rFonts w:ascii="宋体"/>
          <w:b/>
          <w:bCs/>
          <w:color w:val="000000" w:themeColor="text1"/>
          <w:sz w:val="24"/>
        </w:rPr>
      </w:pPr>
    </w:p>
    <w:p w14:paraId="2095C411">
      <w:pPr>
        <w:jc w:val="left"/>
        <w:rPr>
          <w:rFonts w:ascii="宋体"/>
          <w:b/>
          <w:color w:val="000000" w:themeColor="text1"/>
          <w:sz w:val="24"/>
        </w:rPr>
      </w:pPr>
      <w:r>
        <w:rPr>
          <w:rFonts w:ascii="宋体"/>
          <w:color w:val="000000" w:themeColor="text1"/>
          <w:sz w:val="24"/>
        </w:rPr>
        <w:br w:type="page"/>
      </w:r>
      <w:r>
        <w:rPr>
          <w:rFonts w:hint="eastAsia" w:ascii="宋体" w:hAnsi="宋体"/>
          <w:b/>
          <w:bCs/>
          <w:color w:val="000000" w:themeColor="text1"/>
        </w:rPr>
        <w:t>四、残疾人福利性单位声明函</w:t>
      </w:r>
    </w:p>
    <w:p w14:paraId="646518E0">
      <w:pPr>
        <w:jc w:val="left"/>
        <w:rPr>
          <w:rFonts w:ascii="宋体"/>
          <w:color w:val="000000" w:themeColor="text1"/>
          <w:sz w:val="24"/>
        </w:rPr>
      </w:pPr>
    </w:p>
    <w:p w14:paraId="36DFF46E">
      <w:pPr>
        <w:jc w:val="center"/>
        <w:rPr>
          <w:rFonts w:ascii="宋体"/>
          <w:color w:val="000000" w:themeColor="text1"/>
          <w:sz w:val="24"/>
        </w:rPr>
      </w:pPr>
    </w:p>
    <w:p w14:paraId="0B429E3A">
      <w:pPr>
        <w:jc w:val="center"/>
        <w:rPr>
          <w:rFonts w:ascii="宋体"/>
          <w:b/>
          <w:color w:val="000000" w:themeColor="text1"/>
          <w:sz w:val="24"/>
        </w:rPr>
      </w:pPr>
      <w:r>
        <w:rPr>
          <w:rFonts w:hint="eastAsia" w:ascii="宋体" w:hAnsi="宋体"/>
          <w:b/>
          <w:color w:val="000000" w:themeColor="text1"/>
          <w:sz w:val="24"/>
        </w:rPr>
        <w:t>残疾人福利性单位声明函</w:t>
      </w:r>
    </w:p>
    <w:p w14:paraId="29F6C197">
      <w:pPr>
        <w:pStyle w:val="2"/>
        <w:jc w:val="center"/>
        <w:rPr>
          <w:rFonts w:ascii="宋体"/>
          <w:color w:val="000000" w:themeColor="text1"/>
          <w:sz w:val="21"/>
          <w:szCs w:val="21"/>
        </w:rPr>
      </w:pPr>
      <w:r>
        <w:rPr>
          <w:rFonts w:ascii="宋体" w:hAnsi="宋体"/>
          <w:color w:val="000000" w:themeColor="text1"/>
          <w:sz w:val="21"/>
          <w:szCs w:val="21"/>
        </w:rPr>
        <w:t xml:space="preserve">  </w:t>
      </w:r>
      <w:r>
        <w:rPr>
          <w:rFonts w:hint="eastAsia" w:ascii="宋体" w:hAnsi="宋体"/>
          <w:color w:val="000000" w:themeColor="text1"/>
          <w:sz w:val="21"/>
          <w:szCs w:val="21"/>
        </w:rPr>
        <w:t>【非残疾人福利性单位不用提供】</w:t>
      </w:r>
    </w:p>
    <w:p w14:paraId="0D3E5800">
      <w:pPr>
        <w:spacing w:line="588" w:lineRule="exact"/>
        <w:rPr>
          <w:rFonts w:ascii="宋体"/>
          <w:b/>
          <w:color w:val="000000" w:themeColor="text1"/>
          <w:spacing w:val="6"/>
        </w:rPr>
      </w:pPr>
    </w:p>
    <w:p w14:paraId="221963ED">
      <w:pPr>
        <w:snapToGrid w:val="0"/>
        <w:spacing w:line="360" w:lineRule="auto"/>
        <w:ind w:firstLine="420" w:firstLineChars="200"/>
        <w:rPr>
          <w:rFonts w:ascii="宋体"/>
          <w:color w:val="000000" w:themeColor="text1"/>
        </w:rPr>
      </w:pPr>
      <w:r>
        <w:rPr>
          <w:rFonts w:hint="eastAsia" w:ascii="宋体" w:hAnsi="宋体"/>
          <w:color w:val="000000" w:themeColor="text1"/>
        </w:rPr>
        <w:t>本单位郑重声明，根据《财政部</w:t>
      </w:r>
      <w:r>
        <w:rPr>
          <w:rFonts w:ascii="宋体" w:hAnsi="宋体"/>
          <w:color w:val="000000" w:themeColor="text1"/>
        </w:rPr>
        <w:t xml:space="preserve"> </w:t>
      </w:r>
      <w:r>
        <w:rPr>
          <w:rFonts w:hint="eastAsia" w:ascii="宋体" w:hAnsi="宋体"/>
          <w:color w:val="000000" w:themeColor="text1"/>
        </w:rPr>
        <w:t>民政部</w:t>
      </w:r>
      <w:r>
        <w:rPr>
          <w:rFonts w:ascii="宋体" w:hAnsi="宋体"/>
          <w:color w:val="000000" w:themeColor="text1"/>
        </w:rPr>
        <w:t xml:space="preserve"> </w:t>
      </w:r>
      <w:r>
        <w:rPr>
          <w:rFonts w:hint="eastAsia" w:ascii="宋体" w:hAnsi="宋体"/>
          <w:color w:val="000000" w:themeColor="text1"/>
        </w:rPr>
        <w:t>中国残疾人联合会关于促进残疾人就业政府采购政策的通知》（财库〔</w:t>
      </w:r>
      <w:r>
        <w:rPr>
          <w:rFonts w:ascii="宋体" w:hAnsi="宋体"/>
          <w:color w:val="000000" w:themeColor="text1"/>
        </w:rPr>
        <w:t>2017</w:t>
      </w:r>
      <w:r>
        <w:rPr>
          <w:rFonts w:hint="eastAsia" w:ascii="宋体" w:hAnsi="宋体"/>
          <w:color w:val="000000" w:themeColor="text1"/>
        </w:rPr>
        <w:t>〕</w:t>
      </w:r>
      <w:r>
        <w:rPr>
          <w:rFonts w:ascii="宋体" w:hAnsi="宋体"/>
          <w:color w:val="000000" w:themeColor="text1"/>
        </w:rPr>
        <w:t>141</w:t>
      </w:r>
      <w:r>
        <w:rPr>
          <w:rFonts w:hint="eastAsia" w:ascii="宋体" w:hAnsi="宋体"/>
          <w:color w:val="000000" w:themeColor="text1"/>
        </w:rPr>
        <w:t>号）的规定，本单位为符合条件的残疾人福利性单位，且本单位参加</w:t>
      </w:r>
      <w:r>
        <w:rPr>
          <w:rFonts w:ascii="宋体" w:hAnsi="宋体"/>
          <w:color w:val="000000" w:themeColor="text1"/>
        </w:rPr>
        <w:t>______</w:t>
      </w:r>
      <w:r>
        <w:rPr>
          <w:rFonts w:hint="eastAsia" w:ascii="宋体" w:hAnsi="宋体"/>
          <w:color w:val="000000" w:themeColor="text1"/>
        </w:rPr>
        <w:t>单位的</w:t>
      </w:r>
      <w:r>
        <w:rPr>
          <w:rFonts w:ascii="宋体" w:hAnsi="宋体"/>
          <w:color w:val="000000" w:themeColor="text1"/>
        </w:rPr>
        <w:t>______</w:t>
      </w:r>
      <w:r>
        <w:rPr>
          <w:rFonts w:hint="eastAsia" w:ascii="宋体" w:hAnsi="宋体"/>
          <w:color w:val="000000" w:themeColor="text1"/>
        </w:rPr>
        <w:t>项目采购活动提供本单位制造的货物（由本单位承担工程</w:t>
      </w:r>
      <w:r>
        <w:rPr>
          <w:rFonts w:ascii="宋体" w:hAnsi="宋体"/>
          <w:color w:val="000000" w:themeColor="text1"/>
        </w:rPr>
        <w:t>/</w:t>
      </w:r>
      <w:r>
        <w:rPr>
          <w:rFonts w:hint="eastAsia" w:ascii="宋体" w:hAnsi="宋体"/>
          <w:color w:val="000000" w:themeColor="text1"/>
        </w:rPr>
        <w:t>提供服务），或者提供其他残疾人福利性单位制造的货物（不包括使用非残疾人福利性单位注册商标的货物）。</w:t>
      </w:r>
    </w:p>
    <w:p w14:paraId="55B753E2">
      <w:pPr>
        <w:snapToGrid w:val="0"/>
        <w:spacing w:line="360" w:lineRule="auto"/>
        <w:ind w:firstLine="420" w:firstLineChars="200"/>
        <w:rPr>
          <w:rFonts w:ascii="宋体"/>
          <w:color w:val="000000" w:themeColor="text1"/>
        </w:rPr>
      </w:pPr>
      <w:r>
        <w:rPr>
          <w:rFonts w:hint="eastAsia" w:ascii="宋体" w:hAnsi="宋体"/>
          <w:color w:val="000000" w:themeColor="text1"/>
        </w:rPr>
        <w:t>本单位对上述声明的真实性负责。如有虚假，将依法承担相应责任。</w:t>
      </w:r>
    </w:p>
    <w:p w14:paraId="23E43DB6">
      <w:pPr>
        <w:snapToGrid w:val="0"/>
        <w:spacing w:line="360" w:lineRule="auto"/>
        <w:ind w:firstLine="420" w:firstLineChars="200"/>
        <w:rPr>
          <w:rFonts w:ascii="宋体"/>
          <w:color w:val="000000" w:themeColor="text1"/>
        </w:rPr>
      </w:pPr>
    </w:p>
    <w:p w14:paraId="2E3237C7">
      <w:pPr>
        <w:snapToGrid w:val="0"/>
        <w:spacing w:line="360" w:lineRule="auto"/>
        <w:ind w:firstLine="420" w:firstLineChars="200"/>
        <w:rPr>
          <w:rFonts w:ascii="宋体"/>
          <w:color w:val="000000" w:themeColor="text1"/>
        </w:rPr>
      </w:pPr>
    </w:p>
    <w:p w14:paraId="351A7357">
      <w:pPr>
        <w:snapToGrid w:val="0"/>
        <w:spacing w:line="360" w:lineRule="auto"/>
        <w:ind w:firstLine="420" w:firstLineChars="200"/>
        <w:jc w:val="right"/>
        <w:rPr>
          <w:rFonts w:ascii="宋体"/>
          <w:color w:val="000000" w:themeColor="text1"/>
        </w:rPr>
      </w:pPr>
      <w:r>
        <w:rPr>
          <w:rFonts w:hint="eastAsia" w:ascii="宋体" w:hAnsi="宋体"/>
          <w:color w:val="000000" w:themeColor="text1"/>
        </w:rPr>
        <w:t>投标人名称：</w:t>
      </w:r>
    </w:p>
    <w:p w14:paraId="32817E22">
      <w:pPr>
        <w:snapToGrid w:val="0"/>
        <w:spacing w:line="360" w:lineRule="auto"/>
        <w:ind w:firstLine="420" w:firstLineChars="200"/>
        <w:jc w:val="right"/>
        <w:rPr>
          <w:rFonts w:ascii="宋体"/>
          <w:color w:val="000000" w:themeColor="text1"/>
        </w:rPr>
      </w:pPr>
    </w:p>
    <w:p w14:paraId="4C452232">
      <w:pPr>
        <w:snapToGrid w:val="0"/>
        <w:spacing w:line="360" w:lineRule="auto"/>
        <w:ind w:firstLine="420" w:firstLineChars="200"/>
        <w:jc w:val="right"/>
        <w:rPr>
          <w:rFonts w:ascii="宋体"/>
          <w:color w:val="000000" w:themeColor="text1"/>
        </w:rPr>
      </w:pPr>
      <w:r>
        <w:rPr>
          <w:rFonts w:hint="eastAsia" w:ascii="宋体" w:hAnsi="宋体"/>
          <w:color w:val="000000" w:themeColor="text1"/>
        </w:rPr>
        <w:t>日期：</w:t>
      </w:r>
      <w:r>
        <w:rPr>
          <w:rFonts w:ascii="宋体" w:hAnsi="宋体"/>
          <w:color w:val="000000" w:themeColor="text1"/>
        </w:rPr>
        <w:t xml:space="preserve">   </w:t>
      </w:r>
      <w:r>
        <w:rPr>
          <w:rFonts w:hint="eastAsia" w:ascii="宋体" w:hAnsi="宋体"/>
          <w:color w:val="000000" w:themeColor="text1"/>
        </w:rPr>
        <w:t>年</w:t>
      </w:r>
      <w:r>
        <w:rPr>
          <w:rFonts w:ascii="宋体" w:hAnsi="宋体"/>
          <w:color w:val="000000" w:themeColor="text1"/>
        </w:rPr>
        <w:t xml:space="preserve">   </w:t>
      </w:r>
      <w:r>
        <w:rPr>
          <w:rFonts w:hint="eastAsia" w:ascii="宋体" w:hAnsi="宋体"/>
          <w:color w:val="000000" w:themeColor="text1"/>
        </w:rPr>
        <w:t>月</w:t>
      </w:r>
      <w:r>
        <w:rPr>
          <w:rFonts w:ascii="宋体" w:hAnsi="宋体"/>
          <w:color w:val="000000" w:themeColor="text1"/>
        </w:rPr>
        <w:t xml:space="preserve">   </w:t>
      </w:r>
      <w:r>
        <w:rPr>
          <w:rFonts w:hint="eastAsia" w:ascii="宋体" w:hAnsi="宋体"/>
          <w:color w:val="000000" w:themeColor="text1"/>
        </w:rPr>
        <w:t>日</w:t>
      </w:r>
    </w:p>
    <w:p w14:paraId="4E0BF5F2">
      <w:pPr>
        <w:snapToGrid w:val="0"/>
        <w:spacing w:line="360" w:lineRule="auto"/>
        <w:ind w:firstLine="422" w:firstLineChars="200"/>
        <w:rPr>
          <w:rFonts w:ascii="宋体"/>
          <w:b/>
          <w:color w:val="000000" w:themeColor="text1"/>
        </w:rPr>
      </w:pPr>
      <w:r>
        <w:rPr>
          <w:rFonts w:hint="eastAsia" w:ascii="宋体" w:hAnsi="宋体"/>
          <w:b/>
          <w:color w:val="000000" w:themeColor="text1"/>
        </w:rPr>
        <w:t>注：</w:t>
      </w:r>
      <w:r>
        <w:rPr>
          <w:rFonts w:ascii="宋体" w:hAnsi="宋体"/>
          <w:b/>
          <w:color w:val="000000" w:themeColor="text1"/>
        </w:rPr>
        <w:t xml:space="preserve"> </w:t>
      </w:r>
      <w:r>
        <w:rPr>
          <w:rFonts w:hint="eastAsia" w:ascii="宋体" w:hAnsi="宋体"/>
          <w:b/>
          <w:color w:val="000000" w:themeColor="text1"/>
        </w:rPr>
        <w:t>中标投标人为残疾人福利性单位的，将随中标结果同时公告其《残疾人福利性单位声明函》，接受社会监督。</w:t>
      </w:r>
    </w:p>
    <w:p w14:paraId="6497B3E1">
      <w:pPr>
        <w:autoSpaceDE w:val="0"/>
        <w:autoSpaceDN w:val="0"/>
        <w:adjustRightInd w:val="0"/>
        <w:spacing w:line="360" w:lineRule="auto"/>
        <w:ind w:right="-341" w:firstLine="420" w:firstLineChars="200"/>
        <w:jc w:val="left"/>
        <w:rPr>
          <w:rFonts w:ascii="宋体"/>
          <w:color w:val="000000" w:themeColor="text1"/>
          <w:kern w:val="0"/>
        </w:rPr>
      </w:pPr>
    </w:p>
    <w:p w14:paraId="55CFF57B">
      <w:pPr>
        <w:pStyle w:val="92"/>
        <w:spacing w:line="360" w:lineRule="auto"/>
        <w:ind w:firstLine="0"/>
        <w:jc w:val="left"/>
        <w:rPr>
          <w:rFonts w:hAnsi="宋体"/>
          <w:b/>
          <w:bCs/>
          <w:color w:val="000000" w:themeColor="text1"/>
          <w:kern w:val="2"/>
          <w:sz w:val="21"/>
          <w:szCs w:val="21"/>
        </w:rPr>
      </w:pPr>
    </w:p>
    <w:p w14:paraId="5907FFA6">
      <w:pPr>
        <w:pStyle w:val="92"/>
        <w:spacing w:line="360" w:lineRule="auto"/>
        <w:ind w:firstLine="0"/>
        <w:jc w:val="left"/>
        <w:rPr>
          <w:rFonts w:hAnsi="宋体"/>
          <w:b/>
          <w:bCs/>
          <w:color w:val="000000" w:themeColor="text1"/>
          <w:kern w:val="2"/>
          <w:sz w:val="21"/>
          <w:szCs w:val="21"/>
        </w:rPr>
      </w:pPr>
    </w:p>
    <w:p w14:paraId="45315B73">
      <w:pPr>
        <w:snapToGrid w:val="0"/>
        <w:spacing w:beforeLines="50" w:after="50"/>
        <w:jc w:val="center"/>
        <w:rPr>
          <w:rFonts w:ascii="宋体" w:hAnsi="宋体"/>
          <w:b/>
          <w:color w:val="000000" w:themeColor="text1"/>
          <w:sz w:val="24"/>
        </w:rPr>
      </w:pPr>
    </w:p>
    <w:p w14:paraId="4BEF594D">
      <w:pPr>
        <w:snapToGrid w:val="0"/>
        <w:spacing w:beforeLines="50" w:after="50"/>
        <w:jc w:val="center"/>
        <w:rPr>
          <w:rFonts w:ascii="宋体" w:hAnsi="宋体"/>
          <w:b/>
          <w:color w:val="000000" w:themeColor="text1"/>
          <w:sz w:val="24"/>
        </w:rPr>
      </w:pPr>
    </w:p>
    <w:p w14:paraId="0B5E21C8">
      <w:pPr>
        <w:snapToGrid w:val="0"/>
        <w:spacing w:beforeLines="50" w:after="50"/>
        <w:jc w:val="center"/>
        <w:rPr>
          <w:rFonts w:ascii="宋体" w:hAnsi="宋体"/>
          <w:b/>
          <w:color w:val="000000" w:themeColor="text1"/>
          <w:sz w:val="24"/>
        </w:rPr>
      </w:pPr>
    </w:p>
    <w:p w14:paraId="48572A0B">
      <w:pPr>
        <w:snapToGrid w:val="0"/>
        <w:spacing w:beforeLines="50" w:after="50"/>
        <w:jc w:val="center"/>
        <w:rPr>
          <w:rFonts w:ascii="宋体" w:hAnsi="宋体"/>
          <w:b/>
          <w:color w:val="000000" w:themeColor="text1"/>
          <w:sz w:val="24"/>
        </w:rPr>
      </w:pPr>
    </w:p>
    <w:p w14:paraId="2872CDAC">
      <w:pPr>
        <w:snapToGrid w:val="0"/>
        <w:spacing w:beforeLines="50" w:after="50"/>
        <w:jc w:val="center"/>
        <w:rPr>
          <w:rFonts w:ascii="宋体" w:hAnsi="宋体"/>
          <w:b/>
          <w:color w:val="000000" w:themeColor="text1"/>
          <w:sz w:val="24"/>
        </w:rPr>
      </w:pPr>
    </w:p>
    <w:p w14:paraId="11553C9E">
      <w:pPr>
        <w:snapToGrid w:val="0"/>
        <w:spacing w:beforeLines="50" w:after="50"/>
        <w:jc w:val="center"/>
        <w:rPr>
          <w:rFonts w:ascii="宋体" w:hAnsi="宋体"/>
          <w:b/>
          <w:color w:val="000000" w:themeColor="text1"/>
          <w:sz w:val="24"/>
        </w:rPr>
      </w:pPr>
    </w:p>
    <w:p w14:paraId="2309FB3D">
      <w:pPr>
        <w:snapToGrid w:val="0"/>
        <w:spacing w:beforeLines="50" w:after="50"/>
        <w:jc w:val="center"/>
        <w:rPr>
          <w:rFonts w:ascii="宋体" w:hAnsi="宋体"/>
          <w:b/>
          <w:color w:val="000000" w:themeColor="text1"/>
          <w:sz w:val="24"/>
        </w:rPr>
      </w:pPr>
    </w:p>
    <w:p w14:paraId="4660A8EF">
      <w:pPr>
        <w:snapToGrid w:val="0"/>
        <w:spacing w:beforeLines="50" w:after="50"/>
        <w:jc w:val="center"/>
        <w:rPr>
          <w:rFonts w:ascii="宋体" w:hAnsi="宋体"/>
          <w:b/>
          <w:color w:val="000000" w:themeColor="text1"/>
          <w:sz w:val="24"/>
        </w:rPr>
      </w:pPr>
    </w:p>
    <w:p w14:paraId="4211FA97">
      <w:pPr>
        <w:snapToGrid w:val="0"/>
        <w:spacing w:beforeLines="50" w:after="50"/>
        <w:jc w:val="center"/>
        <w:rPr>
          <w:rFonts w:ascii="宋体" w:hAnsi="宋体"/>
          <w:b/>
          <w:color w:val="000000" w:themeColor="text1"/>
          <w:sz w:val="24"/>
        </w:rPr>
      </w:pPr>
    </w:p>
    <w:p w14:paraId="1A94E2A8">
      <w:pPr>
        <w:snapToGrid w:val="0"/>
        <w:spacing w:beforeLines="50" w:after="50"/>
        <w:jc w:val="center"/>
        <w:rPr>
          <w:rFonts w:ascii="宋体" w:hAnsi="宋体"/>
          <w:b/>
          <w:color w:val="000000" w:themeColor="text1"/>
          <w:sz w:val="24"/>
        </w:rPr>
      </w:pPr>
    </w:p>
    <w:p w14:paraId="02DE762A">
      <w:pPr>
        <w:pStyle w:val="2"/>
        <w:rPr>
          <w:b/>
          <w:color w:val="000000" w:themeColor="text1"/>
          <w:lang w:val="zh-CN"/>
        </w:rPr>
      </w:pPr>
      <w:r>
        <w:rPr>
          <w:rFonts w:hint="eastAsia"/>
          <w:b/>
          <w:color w:val="000000" w:themeColor="text1"/>
        </w:rPr>
        <w:t>五</w:t>
      </w:r>
      <w:r>
        <w:rPr>
          <w:b/>
          <w:color w:val="000000" w:themeColor="text1"/>
        </w:rPr>
        <w:t>、供应商自评表</w:t>
      </w:r>
    </w:p>
    <w:p w14:paraId="72E0416B">
      <w:pPr>
        <w:pStyle w:val="2"/>
        <w:rPr>
          <w:b/>
          <w:bCs/>
          <w:color w:val="000000" w:themeColor="text1"/>
          <w:sz w:val="21"/>
          <w:szCs w:val="21"/>
        </w:rPr>
      </w:pPr>
    </w:p>
    <w:tbl>
      <w:tblPr>
        <w:tblStyle w:val="27"/>
        <w:tblpPr w:leftFromText="180" w:rightFromText="180" w:vertAnchor="text" w:horzAnchor="margin" w:tblpX="-67" w:tblpY="14"/>
        <w:tblW w:w="0" w:type="auto"/>
        <w:tblInd w:w="0" w:type="dxa"/>
        <w:tblLayout w:type="fixed"/>
        <w:tblCellMar>
          <w:top w:w="0" w:type="dxa"/>
          <w:left w:w="108" w:type="dxa"/>
          <w:bottom w:w="0" w:type="dxa"/>
          <w:right w:w="108" w:type="dxa"/>
        </w:tblCellMar>
      </w:tblPr>
      <w:tblGrid>
        <w:gridCol w:w="708"/>
        <w:gridCol w:w="1609"/>
        <w:gridCol w:w="5012"/>
        <w:gridCol w:w="795"/>
        <w:gridCol w:w="900"/>
      </w:tblGrid>
      <w:tr w14:paraId="2AB6939A">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5E360BF4">
            <w:pPr>
              <w:jc w:val="center"/>
              <w:rPr>
                <w:color w:val="000000" w:themeColor="text1"/>
                <w:kern w:val="0"/>
                <w:sz w:val="18"/>
                <w:szCs w:val="18"/>
              </w:rPr>
            </w:pPr>
            <w:r>
              <w:rPr>
                <w:color w:val="000000" w:themeColor="text1"/>
                <w:kern w:val="0"/>
                <w:sz w:val="18"/>
                <w:szCs w:val="18"/>
              </w:rPr>
              <w:t>序号</w:t>
            </w:r>
          </w:p>
        </w:tc>
        <w:tc>
          <w:tcPr>
            <w:tcW w:w="1609" w:type="dxa"/>
            <w:tcBorders>
              <w:top w:val="single" w:color="auto" w:sz="8" w:space="0"/>
              <w:left w:val="nil"/>
              <w:bottom w:val="nil"/>
              <w:right w:val="single" w:color="auto" w:sz="8" w:space="0"/>
            </w:tcBorders>
            <w:shd w:val="clear" w:color="000000" w:fill="FFFFFF"/>
            <w:vAlign w:val="center"/>
          </w:tcPr>
          <w:p w14:paraId="56CDA82B">
            <w:pPr>
              <w:jc w:val="center"/>
              <w:rPr>
                <w:color w:val="000000" w:themeColor="text1"/>
                <w:kern w:val="0"/>
                <w:sz w:val="18"/>
                <w:szCs w:val="18"/>
              </w:rPr>
            </w:pPr>
            <w:r>
              <w:rPr>
                <w:color w:val="000000" w:themeColor="text1"/>
                <w:kern w:val="0"/>
                <w:sz w:val="18"/>
                <w:szCs w:val="18"/>
              </w:rPr>
              <w:t>评分</w:t>
            </w:r>
          </w:p>
          <w:p w14:paraId="4F62F9D8">
            <w:pPr>
              <w:jc w:val="center"/>
              <w:rPr>
                <w:color w:val="000000" w:themeColor="text1"/>
                <w:kern w:val="0"/>
                <w:sz w:val="18"/>
                <w:szCs w:val="18"/>
              </w:rPr>
            </w:pPr>
            <w:r>
              <w:rPr>
                <w:color w:val="000000" w:themeColor="text1"/>
                <w:kern w:val="0"/>
                <w:sz w:val="18"/>
                <w:szCs w:val="18"/>
              </w:rPr>
              <w:t>内容</w:t>
            </w:r>
          </w:p>
        </w:tc>
        <w:tc>
          <w:tcPr>
            <w:tcW w:w="5012" w:type="dxa"/>
            <w:tcBorders>
              <w:top w:val="single" w:color="auto" w:sz="8" w:space="0"/>
              <w:left w:val="nil"/>
              <w:bottom w:val="nil"/>
              <w:right w:val="single" w:color="auto" w:sz="4" w:space="0"/>
            </w:tcBorders>
            <w:shd w:val="clear" w:color="000000" w:fill="FFFFFF"/>
            <w:vAlign w:val="center"/>
          </w:tcPr>
          <w:p w14:paraId="4E1B1AEF">
            <w:pPr>
              <w:jc w:val="center"/>
              <w:rPr>
                <w:color w:val="000000" w:themeColor="text1"/>
                <w:kern w:val="0"/>
                <w:sz w:val="18"/>
                <w:szCs w:val="18"/>
              </w:rPr>
            </w:pPr>
            <w:r>
              <w:rPr>
                <w:color w:val="000000" w:themeColor="text1"/>
                <w:kern w:val="0"/>
                <w:sz w:val="18"/>
                <w:szCs w:val="18"/>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7058C324">
            <w:pPr>
              <w:jc w:val="center"/>
              <w:rPr>
                <w:color w:val="000000" w:themeColor="text1"/>
                <w:kern w:val="0"/>
                <w:sz w:val="18"/>
                <w:szCs w:val="18"/>
              </w:rPr>
            </w:pPr>
            <w:r>
              <w:rPr>
                <w:color w:val="000000" w:themeColor="text1"/>
                <w:kern w:val="0"/>
                <w:sz w:val="18"/>
                <w:szCs w:val="18"/>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2FDB54D">
            <w:pPr>
              <w:jc w:val="center"/>
              <w:rPr>
                <w:color w:val="000000" w:themeColor="text1"/>
                <w:kern w:val="0"/>
                <w:sz w:val="18"/>
                <w:szCs w:val="18"/>
              </w:rPr>
            </w:pPr>
            <w:r>
              <w:rPr>
                <w:color w:val="000000" w:themeColor="text1"/>
                <w:kern w:val="0"/>
                <w:sz w:val="18"/>
                <w:szCs w:val="18"/>
              </w:rPr>
              <w:t>投标文件页码</w:t>
            </w:r>
          </w:p>
        </w:tc>
      </w:tr>
      <w:tr w14:paraId="5EFB5BB6">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59ECC2D0">
            <w:pPr>
              <w:jc w:val="center"/>
              <w:rPr>
                <w:color w:val="000000" w:themeColor="text1"/>
                <w:kern w:val="0"/>
                <w:sz w:val="18"/>
                <w:szCs w:val="18"/>
              </w:rPr>
            </w:pPr>
            <w:r>
              <w:rPr>
                <w:color w:val="000000" w:themeColor="text1"/>
                <w:kern w:val="0"/>
                <w:sz w:val="18"/>
                <w:szCs w:val="18"/>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4FFFBED0">
            <w:pPr>
              <w:jc w:val="center"/>
              <w:rPr>
                <w:color w:val="000000" w:themeColor="text1"/>
                <w:kern w:val="0"/>
                <w:sz w:val="18"/>
                <w:szCs w:val="18"/>
              </w:rPr>
            </w:pPr>
            <w:r>
              <w:rPr>
                <w:color w:val="000000" w:themeColor="text1"/>
                <w:kern w:val="0"/>
                <w:sz w:val="18"/>
                <w:szCs w:val="18"/>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0028A1D5">
            <w:pPr>
              <w:spacing w:line="400" w:lineRule="exact"/>
              <w:rPr>
                <w:color w:val="000000" w:themeColor="text1"/>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DB70608">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10FB08F">
            <w:pPr>
              <w:jc w:val="center"/>
              <w:rPr>
                <w:color w:val="000000" w:themeColor="text1"/>
                <w:kern w:val="0"/>
                <w:sz w:val="18"/>
                <w:szCs w:val="18"/>
              </w:rPr>
            </w:pPr>
          </w:p>
        </w:tc>
      </w:tr>
      <w:tr w14:paraId="4597B81D">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0F0F21E1">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0E7C4A9">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EBAB0B8">
            <w:pPr>
              <w:spacing w:line="400" w:lineRule="exact"/>
              <w:rPr>
                <w:color w:val="000000" w:themeColor="text1"/>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1AF0C7F">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3E5E393">
            <w:pPr>
              <w:jc w:val="center"/>
              <w:rPr>
                <w:color w:val="000000" w:themeColor="text1"/>
                <w:kern w:val="0"/>
                <w:sz w:val="18"/>
                <w:szCs w:val="18"/>
              </w:rPr>
            </w:pPr>
          </w:p>
        </w:tc>
      </w:tr>
      <w:tr w14:paraId="676AE339">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2EF29CA0">
            <w:pPr>
              <w:jc w:val="center"/>
              <w:rPr>
                <w:color w:val="000000" w:themeColor="text1"/>
                <w:kern w:val="0"/>
                <w:sz w:val="18"/>
                <w:szCs w:val="18"/>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4A7DF5C1">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8039A2A">
            <w:pPr>
              <w:spacing w:line="400" w:lineRule="exact"/>
              <w:rPr>
                <w:color w:val="000000" w:themeColor="text1"/>
                <w:kern w:val="0"/>
                <w:sz w:val="18"/>
                <w:szCs w:val="18"/>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0340E21">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AB0617A">
            <w:pPr>
              <w:jc w:val="center"/>
              <w:rPr>
                <w:color w:val="000000" w:themeColor="text1"/>
                <w:kern w:val="0"/>
                <w:sz w:val="18"/>
                <w:szCs w:val="18"/>
              </w:rPr>
            </w:pPr>
          </w:p>
        </w:tc>
      </w:tr>
      <w:tr w14:paraId="35F2073C">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714C8679">
            <w:pPr>
              <w:jc w:val="center"/>
              <w:rPr>
                <w:color w:val="000000" w:themeColor="text1"/>
                <w:kern w:val="0"/>
                <w:sz w:val="18"/>
                <w:szCs w:val="18"/>
              </w:rPr>
            </w:pPr>
            <w:r>
              <w:rPr>
                <w:color w:val="000000" w:themeColor="text1"/>
                <w:kern w:val="0"/>
                <w:sz w:val="18"/>
                <w:szCs w:val="18"/>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2844EBEB">
            <w:pPr>
              <w:jc w:val="center"/>
              <w:rPr>
                <w:color w:val="000000" w:themeColor="text1"/>
                <w:kern w:val="0"/>
                <w:sz w:val="18"/>
                <w:szCs w:val="18"/>
              </w:rPr>
            </w:pPr>
            <w:r>
              <w:rPr>
                <w:color w:val="000000" w:themeColor="text1"/>
                <w:kern w:val="0"/>
                <w:sz w:val="18"/>
                <w:szCs w:val="18"/>
              </w:rPr>
              <w:t>技术分</w:t>
            </w:r>
          </w:p>
          <w:p w14:paraId="75C23BC5">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C69F37C">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024FE0F">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4DD087C">
            <w:pPr>
              <w:jc w:val="center"/>
              <w:rPr>
                <w:color w:val="000000" w:themeColor="text1"/>
                <w:kern w:val="0"/>
                <w:sz w:val="18"/>
                <w:szCs w:val="18"/>
              </w:rPr>
            </w:pPr>
          </w:p>
        </w:tc>
      </w:tr>
      <w:tr w14:paraId="185DCA9A">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51EF5553">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0292F031">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6E5668D4">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5649802">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833228C">
            <w:pPr>
              <w:jc w:val="center"/>
              <w:rPr>
                <w:color w:val="000000" w:themeColor="text1"/>
                <w:kern w:val="0"/>
                <w:sz w:val="18"/>
                <w:szCs w:val="18"/>
              </w:rPr>
            </w:pPr>
          </w:p>
        </w:tc>
      </w:tr>
      <w:tr w14:paraId="1F576F4F">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202D9E9">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42774C7B">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F2CD569">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FDE4EC5">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6600019">
            <w:pPr>
              <w:jc w:val="center"/>
              <w:rPr>
                <w:color w:val="000000" w:themeColor="text1"/>
                <w:kern w:val="0"/>
                <w:sz w:val="18"/>
                <w:szCs w:val="18"/>
              </w:rPr>
            </w:pPr>
          </w:p>
        </w:tc>
      </w:tr>
      <w:tr w14:paraId="54E662B3">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399AD007">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60742725">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4CF09D9">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8E565E5">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E966D8F">
            <w:pPr>
              <w:jc w:val="center"/>
              <w:rPr>
                <w:color w:val="000000" w:themeColor="text1"/>
                <w:kern w:val="0"/>
                <w:sz w:val="18"/>
                <w:szCs w:val="18"/>
              </w:rPr>
            </w:pPr>
          </w:p>
        </w:tc>
      </w:tr>
      <w:tr w14:paraId="6863279C">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2BD923D2">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41096200">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594828F">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246ADA6">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034B771">
            <w:pPr>
              <w:jc w:val="center"/>
              <w:rPr>
                <w:color w:val="000000" w:themeColor="text1"/>
                <w:kern w:val="0"/>
                <w:sz w:val="18"/>
                <w:szCs w:val="18"/>
              </w:rPr>
            </w:pPr>
          </w:p>
        </w:tc>
      </w:tr>
      <w:tr w14:paraId="2CE6581C">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27DDE9B">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000000" w:fill="FFFFFF"/>
            <w:vAlign w:val="center"/>
          </w:tcPr>
          <w:p w14:paraId="2A1FD276">
            <w:pPr>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6BC50CF">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DE7C7B3">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4CD6189">
            <w:pPr>
              <w:jc w:val="center"/>
              <w:rPr>
                <w:color w:val="000000" w:themeColor="text1"/>
                <w:kern w:val="0"/>
                <w:sz w:val="18"/>
                <w:szCs w:val="18"/>
              </w:rPr>
            </w:pPr>
          </w:p>
        </w:tc>
      </w:tr>
      <w:tr w14:paraId="6980865E">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auto" w:fill="auto"/>
            <w:vAlign w:val="center"/>
          </w:tcPr>
          <w:p w14:paraId="16768C7D">
            <w:pPr>
              <w:jc w:val="center"/>
              <w:rPr>
                <w:color w:val="000000" w:themeColor="text1"/>
                <w:kern w:val="0"/>
                <w:sz w:val="18"/>
                <w:szCs w:val="18"/>
              </w:rPr>
            </w:pPr>
          </w:p>
        </w:tc>
        <w:tc>
          <w:tcPr>
            <w:tcW w:w="1609" w:type="dxa"/>
            <w:vMerge w:val="continue"/>
            <w:tcBorders>
              <w:left w:val="single" w:color="auto" w:sz="4" w:space="0"/>
              <w:right w:val="single" w:color="auto" w:sz="4" w:space="0"/>
            </w:tcBorders>
            <w:shd w:val="clear" w:color="auto" w:fill="auto"/>
            <w:vAlign w:val="center"/>
          </w:tcPr>
          <w:p w14:paraId="6E7DEFFE">
            <w:pPr>
              <w:spacing w:line="300" w:lineRule="exact"/>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2A54B125">
            <w:pPr>
              <w:spacing w:line="400" w:lineRule="exac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6236082">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2917DC2">
            <w:pPr>
              <w:jc w:val="center"/>
              <w:rPr>
                <w:color w:val="000000" w:themeColor="text1"/>
                <w:kern w:val="0"/>
                <w:sz w:val="18"/>
                <w:szCs w:val="18"/>
              </w:rPr>
            </w:pPr>
          </w:p>
        </w:tc>
      </w:tr>
      <w:tr w14:paraId="1D65A82D">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14:paraId="3B064C1F">
            <w:pPr>
              <w:jc w:val="center"/>
              <w:rPr>
                <w:color w:val="000000" w:themeColor="text1"/>
                <w:kern w:val="0"/>
                <w:sz w:val="18"/>
                <w:szCs w:val="18"/>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1566AABE">
            <w:pPr>
              <w:autoSpaceDE w:val="0"/>
              <w:autoSpaceDN w:val="0"/>
              <w:adjustRightInd w:val="0"/>
              <w:snapToGrid w:val="0"/>
              <w:spacing w:line="300" w:lineRule="exact"/>
              <w:jc w:val="center"/>
              <w:rPr>
                <w:color w:val="000000" w:themeColor="text1"/>
                <w:kern w:val="0"/>
                <w:sz w:val="18"/>
                <w:szCs w:val="18"/>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1496AC8">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color w:val="000000" w:themeColor="text1"/>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A7ACB8A">
            <w:pPr>
              <w:jc w:val="center"/>
              <w:rPr>
                <w:color w:val="000000" w:themeColor="text1"/>
                <w:kern w:val="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016C262A">
            <w:pPr>
              <w:jc w:val="center"/>
              <w:rPr>
                <w:color w:val="000000" w:themeColor="text1"/>
                <w:kern w:val="0"/>
                <w:sz w:val="18"/>
                <w:szCs w:val="18"/>
              </w:rPr>
            </w:pPr>
          </w:p>
        </w:tc>
      </w:tr>
    </w:tbl>
    <w:p w14:paraId="4ABE756E">
      <w:pPr>
        <w:pStyle w:val="2"/>
        <w:rPr>
          <w:b/>
          <w:bCs/>
          <w:color w:val="000000" w:themeColor="text1"/>
          <w:sz w:val="21"/>
          <w:szCs w:val="21"/>
          <w:lang w:val="zh-CN"/>
        </w:rPr>
      </w:pPr>
    </w:p>
    <w:p w14:paraId="11A97F42">
      <w:pPr>
        <w:pStyle w:val="2"/>
        <w:rPr>
          <w:b/>
          <w:color w:val="000000" w:themeColor="text1"/>
        </w:rPr>
      </w:pPr>
    </w:p>
    <w:p w14:paraId="1AE07A04">
      <w:pPr>
        <w:spacing w:line="360" w:lineRule="auto"/>
        <w:rPr>
          <w:b/>
          <w:color w:val="000000" w:themeColor="text1"/>
          <w:sz w:val="22"/>
          <w:szCs w:val="22"/>
        </w:rPr>
      </w:pPr>
      <w:r>
        <w:rPr>
          <w:b/>
          <w:color w:val="000000" w:themeColor="text1"/>
          <w:sz w:val="22"/>
          <w:szCs w:val="22"/>
        </w:rPr>
        <w:t>注：根据评标办法制作本表格，评分标准为客观分的投标人需填写得分情况以及证明材料所在页码。为主观分的填写“专家自主评分”。</w:t>
      </w:r>
    </w:p>
    <w:p w14:paraId="1DA4042C">
      <w:pPr>
        <w:spacing w:line="360" w:lineRule="auto"/>
        <w:rPr>
          <w:b/>
          <w:color w:val="000000" w:themeColor="text1"/>
          <w:sz w:val="24"/>
          <w:szCs w:val="24"/>
        </w:rPr>
      </w:pPr>
    </w:p>
    <w:p w14:paraId="2E88D71B">
      <w:pPr>
        <w:jc w:val="center"/>
        <w:rPr>
          <w:color w:val="000000" w:themeColor="text1"/>
        </w:rPr>
      </w:pPr>
    </w:p>
    <w:p w14:paraId="373A80AC">
      <w:pPr>
        <w:jc w:val="center"/>
        <w:rPr>
          <w:color w:val="000000" w:themeColor="text1"/>
        </w:rPr>
      </w:pPr>
    </w:p>
    <w:p w14:paraId="3941346E">
      <w:pPr>
        <w:jc w:val="center"/>
        <w:rPr>
          <w:color w:val="000000" w:themeColor="text1"/>
        </w:rPr>
      </w:pPr>
    </w:p>
    <w:p w14:paraId="485D6F0D">
      <w:pPr>
        <w:jc w:val="center"/>
        <w:rPr>
          <w:color w:val="000000" w:themeColor="text1"/>
        </w:rPr>
      </w:pPr>
    </w:p>
    <w:p w14:paraId="59291A87">
      <w:pPr>
        <w:jc w:val="center"/>
        <w:rPr>
          <w:color w:val="000000" w:themeColor="text1"/>
        </w:rPr>
      </w:pPr>
    </w:p>
    <w:p w14:paraId="4FF8A9AD">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rPr>
      </w:pPr>
    </w:p>
    <w:p w14:paraId="218CC794">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rPr>
      </w:pPr>
    </w:p>
    <w:p w14:paraId="1B1B35F6">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rPr>
      </w:pPr>
    </w:p>
    <w:p w14:paraId="494566E1">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rPr>
      </w:pPr>
    </w:p>
    <w:p w14:paraId="655831EE">
      <w:pPr>
        <w:spacing w:line="360" w:lineRule="auto"/>
        <w:jc w:val="left"/>
        <w:rPr>
          <w:b/>
          <w:color w:val="000000" w:themeColor="text1"/>
          <w:sz w:val="24"/>
          <w:lang w:val="zh-CN"/>
        </w:rPr>
      </w:pPr>
      <w:r>
        <w:rPr>
          <w:b/>
          <w:color w:val="000000" w:themeColor="text1"/>
          <w:spacing w:val="20"/>
        </w:rPr>
        <w:br w:type="page"/>
      </w:r>
      <w:r>
        <w:rPr>
          <w:rFonts w:hint="eastAsia"/>
          <w:b/>
          <w:color w:val="000000" w:themeColor="text1"/>
          <w:spacing w:val="20"/>
        </w:rPr>
        <w:t>六</w:t>
      </w:r>
      <w:r>
        <w:rPr>
          <w:b/>
          <w:color w:val="000000" w:themeColor="text1"/>
          <w:sz w:val="24"/>
        </w:rPr>
        <w:t>、</w:t>
      </w:r>
      <w:r>
        <w:rPr>
          <w:b/>
          <w:color w:val="000000" w:themeColor="text1"/>
          <w:sz w:val="24"/>
          <w:lang w:val="zh-CN"/>
        </w:rPr>
        <w:t>供应商基本情况表（如有）</w:t>
      </w:r>
    </w:p>
    <w:p w14:paraId="43719514">
      <w:pPr>
        <w:pStyle w:val="4"/>
        <w:rPr>
          <w:color w:val="000000" w:themeColor="text1"/>
        </w:rPr>
      </w:pPr>
    </w:p>
    <w:p w14:paraId="7C808428">
      <w:pPr>
        <w:pStyle w:val="2"/>
        <w:spacing w:line="360" w:lineRule="auto"/>
        <w:rPr>
          <w:color w:val="000000" w:themeColor="text1"/>
          <w:lang w:val="zh-CN"/>
        </w:rPr>
      </w:pPr>
      <w:r>
        <w:rPr>
          <w:b/>
          <w:bCs/>
          <w:color w:val="000000" w:themeColor="text1"/>
          <w:sz w:val="21"/>
          <w:szCs w:val="21"/>
        </w:rPr>
        <w:t xml:space="preserve"> </w:t>
      </w:r>
    </w:p>
    <w:p w14:paraId="1F5B5C3E">
      <w:pPr>
        <w:tabs>
          <w:tab w:val="left" w:pos="3532"/>
          <w:tab w:val="center" w:pos="4535"/>
        </w:tabs>
        <w:spacing w:line="300" w:lineRule="auto"/>
        <w:jc w:val="center"/>
        <w:rPr>
          <w:b/>
          <w:color w:val="000000" w:themeColor="text1"/>
          <w:sz w:val="24"/>
        </w:rPr>
      </w:pPr>
      <w:r>
        <w:rPr>
          <w:b/>
          <w:color w:val="000000" w:themeColor="text1"/>
          <w:sz w:val="24"/>
        </w:rPr>
        <w:t>投标人基本情况介绍</w:t>
      </w:r>
    </w:p>
    <w:p w14:paraId="0C16267C">
      <w:pPr>
        <w:tabs>
          <w:tab w:val="left" w:pos="3532"/>
          <w:tab w:val="center" w:pos="4535"/>
        </w:tabs>
        <w:spacing w:line="300" w:lineRule="auto"/>
        <w:rPr>
          <w:b/>
          <w:color w:val="000000" w:themeColor="text1"/>
          <w:sz w:val="24"/>
        </w:rPr>
      </w:pPr>
    </w:p>
    <w:tbl>
      <w:tblPr>
        <w:tblStyle w:val="2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14:paraId="6E9E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6" w:hRule="atLeast"/>
        </w:trPr>
        <w:tc>
          <w:tcPr>
            <w:tcW w:w="1050" w:type="dxa"/>
            <w:tcBorders>
              <w:top w:val="single" w:color="auto" w:sz="4" w:space="0"/>
              <w:left w:val="single" w:color="auto" w:sz="4" w:space="0"/>
              <w:bottom w:val="single" w:color="auto" w:sz="4" w:space="0"/>
              <w:right w:val="single" w:color="auto" w:sz="4" w:space="0"/>
            </w:tcBorders>
            <w:vAlign w:val="center"/>
          </w:tcPr>
          <w:p w14:paraId="7C613031">
            <w:pPr>
              <w:jc w:val="center"/>
              <w:rPr>
                <w:color w:val="000000" w:themeColor="text1"/>
                <w:spacing w:val="-4"/>
              </w:rPr>
            </w:pPr>
            <w:r>
              <w:rPr>
                <w:color w:val="000000" w:themeColor="text1"/>
                <w:spacing w:val="-4"/>
              </w:rPr>
              <w:t>企业简介</w:t>
            </w:r>
          </w:p>
        </w:tc>
        <w:tc>
          <w:tcPr>
            <w:tcW w:w="8085" w:type="dxa"/>
            <w:tcBorders>
              <w:top w:val="single" w:color="auto" w:sz="4" w:space="0"/>
              <w:left w:val="single" w:color="auto" w:sz="4" w:space="0"/>
              <w:bottom w:val="single" w:color="auto" w:sz="4" w:space="0"/>
              <w:right w:val="single" w:color="auto" w:sz="4" w:space="0"/>
            </w:tcBorders>
            <w:vAlign w:val="center"/>
          </w:tcPr>
          <w:p w14:paraId="3259E796">
            <w:pPr>
              <w:spacing w:line="360" w:lineRule="auto"/>
              <w:jc w:val="center"/>
              <w:rPr>
                <w:color w:val="000000" w:themeColor="text1"/>
                <w:spacing w:val="-4"/>
              </w:rPr>
            </w:pPr>
            <w:r>
              <w:rPr>
                <w:color w:val="000000" w:themeColor="text1"/>
                <w:spacing w:val="-4"/>
              </w:rPr>
              <w:t>企业性质、发展历程、经营及服务理念、主营产品、经营场所、主要或关键产品介绍等情况进行说明。</w:t>
            </w:r>
          </w:p>
        </w:tc>
      </w:tr>
    </w:tbl>
    <w:p w14:paraId="100B3ACD">
      <w:pPr>
        <w:spacing w:line="360" w:lineRule="auto"/>
        <w:jc w:val="right"/>
        <w:rPr>
          <w:color w:val="000000" w:themeColor="text1"/>
          <w:spacing w:val="-4"/>
        </w:rPr>
      </w:pPr>
    </w:p>
    <w:p w14:paraId="278B97D8">
      <w:pPr>
        <w:spacing w:line="360" w:lineRule="auto"/>
        <w:jc w:val="right"/>
        <w:rPr>
          <w:b/>
          <w:color w:val="000000" w:themeColor="text1"/>
          <w:spacing w:val="-4"/>
        </w:rPr>
      </w:pPr>
    </w:p>
    <w:p w14:paraId="6265F8F7">
      <w:pPr>
        <w:ind w:firstLine="210" w:firstLineChars="100"/>
        <w:jc w:val="right"/>
        <w:rPr>
          <w:color w:val="000000" w:themeColor="text1"/>
        </w:rPr>
      </w:pPr>
      <w:r>
        <w:rPr>
          <w:color w:val="000000" w:themeColor="text1"/>
        </w:rPr>
        <w:t xml:space="preserve">投标人（盖章）：                        </w:t>
      </w:r>
    </w:p>
    <w:p w14:paraId="7762E6C8">
      <w:pPr>
        <w:ind w:firstLine="199" w:firstLineChars="95"/>
        <w:jc w:val="right"/>
        <w:rPr>
          <w:color w:val="000000" w:themeColor="text1"/>
        </w:rPr>
      </w:pPr>
      <w:r>
        <w:rPr>
          <w:color w:val="000000" w:themeColor="text1"/>
        </w:rPr>
        <w:t>日期：</w:t>
      </w:r>
    </w:p>
    <w:p w14:paraId="2F1F1D8C">
      <w:pPr>
        <w:spacing w:line="360" w:lineRule="auto"/>
        <w:rPr>
          <w:b/>
          <w:color w:val="000000" w:themeColor="text1"/>
          <w:spacing w:val="20"/>
        </w:rPr>
      </w:pPr>
    </w:p>
    <w:p w14:paraId="690414E7">
      <w:pPr>
        <w:spacing w:line="360" w:lineRule="auto"/>
        <w:rPr>
          <w:b/>
          <w:color w:val="000000" w:themeColor="text1"/>
          <w:spacing w:val="20"/>
        </w:rPr>
      </w:pPr>
    </w:p>
    <w:p w14:paraId="1E78D101">
      <w:pPr>
        <w:spacing w:line="360" w:lineRule="auto"/>
        <w:rPr>
          <w:b/>
          <w:color w:val="000000" w:themeColor="text1"/>
          <w:spacing w:val="20"/>
        </w:rPr>
      </w:pPr>
    </w:p>
    <w:p w14:paraId="29117356">
      <w:pPr>
        <w:spacing w:line="360" w:lineRule="auto"/>
        <w:rPr>
          <w:b/>
          <w:color w:val="000000" w:themeColor="text1"/>
          <w:spacing w:val="20"/>
        </w:rPr>
      </w:pPr>
    </w:p>
    <w:p w14:paraId="72005A97">
      <w:pPr>
        <w:spacing w:line="360" w:lineRule="auto"/>
        <w:rPr>
          <w:b/>
          <w:color w:val="000000" w:themeColor="text1"/>
          <w:spacing w:val="20"/>
        </w:rPr>
      </w:pPr>
    </w:p>
    <w:p w14:paraId="111AB470">
      <w:pPr>
        <w:spacing w:line="360" w:lineRule="auto"/>
        <w:rPr>
          <w:b/>
          <w:color w:val="000000" w:themeColor="text1"/>
          <w:spacing w:val="20"/>
        </w:rPr>
      </w:pPr>
    </w:p>
    <w:p w14:paraId="77BB64C9">
      <w:pPr>
        <w:spacing w:line="360" w:lineRule="auto"/>
        <w:rPr>
          <w:b/>
          <w:color w:val="000000" w:themeColor="text1"/>
          <w:spacing w:val="20"/>
        </w:rPr>
      </w:pPr>
    </w:p>
    <w:p w14:paraId="15181461">
      <w:pPr>
        <w:spacing w:line="360" w:lineRule="auto"/>
        <w:rPr>
          <w:b/>
          <w:color w:val="000000" w:themeColor="text1"/>
          <w:spacing w:val="20"/>
        </w:rPr>
      </w:pPr>
    </w:p>
    <w:p w14:paraId="34478022">
      <w:pPr>
        <w:spacing w:line="360" w:lineRule="auto"/>
        <w:rPr>
          <w:b/>
          <w:color w:val="000000" w:themeColor="text1"/>
          <w:spacing w:val="20"/>
        </w:rPr>
      </w:pPr>
    </w:p>
    <w:p w14:paraId="38711C14">
      <w:pPr>
        <w:spacing w:line="360" w:lineRule="auto"/>
        <w:rPr>
          <w:b/>
          <w:color w:val="000000" w:themeColor="text1"/>
          <w:spacing w:val="20"/>
        </w:rPr>
      </w:pPr>
    </w:p>
    <w:p w14:paraId="31E2C3E7">
      <w:pPr>
        <w:pStyle w:val="92"/>
        <w:spacing w:line="360" w:lineRule="auto"/>
        <w:ind w:firstLine="0"/>
        <w:jc w:val="left"/>
        <w:rPr>
          <w:rFonts w:ascii="Times New Roman" w:hAnsi="Times New Roman"/>
          <w:b/>
          <w:color w:val="000000" w:themeColor="text1"/>
          <w:kern w:val="2"/>
          <w:sz w:val="24"/>
        </w:rPr>
      </w:pPr>
      <w:r>
        <w:rPr>
          <w:rFonts w:hint="eastAsia" w:ascii="Times New Roman" w:hAnsi="Times New Roman"/>
          <w:b/>
          <w:color w:val="000000" w:themeColor="text1"/>
          <w:kern w:val="2"/>
          <w:sz w:val="24"/>
        </w:rPr>
        <w:t>七</w:t>
      </w:r>
      <w:r>
        <w:rPr>
          <w:rFonts w:ascii="Times New Roman" w:hAnsi="Times New Roman"/>
          <w:b/>
          <w:color w:val="000000" w:themeColor="text1"/>
          <w:kern w:val="2"/>
          <w:sz w:val="24"/>
        </w:rPr>
        <w:t>、项目类似业绩表</w:t>
      </w:r>
    </w:p>
    <w:p w14:paraId="0DD08A77">
      <w:pPr>
        <w:pStyle w:val="2"/>
        <w:jc w:val="center"/>
        <w:rPr>
          <w:color w:val="000000" w:themeColor="text1"/>
        </w:rPr>
      </w:pPr>
      <w:r>
        <w:rPr>
          <w:b/>
          <w:color w:val="000000" w:themeColor="text1"/>
        </w:rPr>
        <w:t>类似业绩一览表</w:t>
      </w:r>
    </w:p>
    <w:p w14:paraId="39E455B1">
      <w:pPr>
        <w:snapToGrid w:val="0"/>
        <w:jc w:val="left"/>
        <w:rPr>
          <w:color w:val="000000" w:themeColor="text1"/>
          <w:sz w:val="24"/>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241B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1D569113">
            <w:pPr>
              <w:spacing w:line="360" w:lineRule="auto"/>
              <w:jc w:val="center"/>
              <w:rPr>
                <w:b/>
                <w:color w:val="000000" w:themeColor="text1"/>
              </w:rPr>
            </w:pPr>
            <w:r>
              <w:rPr>
                <w:b/>
                <w:color w:val="000000" w:themeColor="text1"/>
              </w:rPr>
              <w:t>序号</w:t>
            </w:r>
          </w:p>
        </w:tc>
        <w:tc>
          <w:tcPr>
            <w:tcW w:w="1559" w:type="dxa"/>
            <w:vAlign w:val="center"/>
          </w:tcPr>
          <w:p w14:paraId="77C314F3">
            <w:pPr>
              <w:spacing w:line="360" w:lineRule="auto"/>
              <w:jc w:val="center"/>
              <w:rPr>
                <w:b/>
                <w:color w:val="000000" w:themeColor="text1"/>
              </w:rPr>
            </w:pPr>
            <w:r>
              <w:rPr>
                <w:rFonts w:hint="eastAsia"/>
                <w:b/>
                <w:color w:val="000000" w:themeColor="text1"/>
              </w:rPr>
              <w:t>采购人</w:t>
            </w:r>
            <w:r>
              <w:rPr>
                <w:b/>
                <w:color w:val="000000" w:themeColor="text1"/>
              </w:rPr>
              <w:t>名称</w:t>
            </w:r>
          </w:p>
        </w:tc>
        <w:tc>
          <w:tcPr>
            <w:tcW w:w="2627" w:type="dxa"/>
            <w:vAlign w:val="center"/>
          </w:tcPr>
          <w:p w14:paraId="3C28255C">
            <w:pPr>
              <w:spacing w:line="360" w:lineRule="auto"/>
              <w:jc w:val="center"/>
              <w:rPr>
                <w:b/>
                <w:color w:val="000000" w:themeColor="text1"/>
              </w:rPr>
            </w:pPr>
            <w:r>
              <w:rPr>
                <w:b/>
                <w:color w:val="000000" w:themeColor="text1"/>
              </w:rPr>
              <w:t>项目名称</w:t>
            </w:r>
          </w:p>
        </w:tc>
        <w:tc>
          <w:tcPr>
            <w:tcW w:w="1260" w:type="dxa"/>
            <w:vAlign w:val="center"/>
          </w:tcPr>
          <w:p w14:paraId="0E90D3E9">
            <w:pPr>
              <w:spacing w:line="360" w:lineRule="auto"/>
              <w:jc w:val="center"/>
              <w:rPr>
                <w:b/>
                <w:color w:val="000000" w:themeColor="text1"/>
              </w:rPr>
            </w:pPr>
            <w:r>
              <w:rPr>
                <w:b/>
                <w:color w:val="000000" w:themeColor="text1"/>
              </w:rPr>
              <w:t>合同签订时间</w:t>
            </w:r>
          </w:p>
        </w:tc>
        <w:tc>
          <w:tcPr>
            <w:tcW w:w="1088" w:type="dxa"/>
            <w:vAlign w:val="center"/>
          </w:tcPr>
          <w:p w14:paraId="75AA32C4">
            <w:pPr>
              <w:spacing w:line="360" w:lineRule="auto"/>
              <w:jc w:val="center"/>
              <w:rPr>
                <w:b/>
                <w:color w:val="000000" w:themeColor="text1"/>
              </w:rPr>
            </w:pPr>
            <w:r>
              <w:rPr>
                <w:b/>
                <w:color w:val="000000" w:themeColor="text1"/>
              </w:rPr>
              <w:t>合同金额</w:t>
            </w:r>
          </w:p>
        </w:tc>
        <w:tc>
          <w:tcPr>
            <w:tcW w:w="1559" w:type="dxa"/>
            <w:vAlign w:val="center"/>
          </w:tcPr>
          <w:p w14:paraId="4CCCF290">
            <w:pPr>
              <w:spacing w:line="360" w:lineRule="auto"/>
              <w:jc w:val="center"/>
              <w:rPr>
                <w:b/>
                <w:color w:val="000000" w:themeColor="text1"/>
              </w:rPr>
            </w:pPr>
            <w:r>
              <w:rPr>
                <w:rFonts w:hint="eastAsia"/>
                <w:b/>
                <w:color w:val="000000" w:themeColor="text1"/>
              </w:rPr>
              <w:t>采购人</w:t>
            </w:r>
            <w:r>
              <w:rPr>
                <w:b/>
                <w:color w:val="000000" w:themeColor="text1"/>
              </w:rPr>
              <w:t>联系人及联系方式</w:t>
            </w:r>
          </w:p>
        </w:tc>
      </w:tr>
      <w:tr w14:paraId="362A4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5028C50">
            <w:pPr>
              <w:spacing w:line="360" w:lineRule="auto"/>
              <w:rPr>
                <w:b/>
                <w:color w:val="000000" w:themeColor="text1"/>
                <w:sz w:val="24"/>
              </w:rPr>
            </w:pPr>
          </w:p>
        </w:tc>
        <w:tc>
          <w:tcPr>
            <w:tcW w:w="1559" w:type="dxa"/>
          </w:tcPr>
          <w:p w14:paraId="0717EF83">
            <w:pPr>
              <w:spacing w:line="360" w:lineRule="auto"/>
              <w:rPr>
                <w:b/>
                <w:color w:val="000000" w:themeColor="text1"/>
                <w:sz w:val="24"/>
              </w:rPr>
            </w:pPr>
          </w:p>
        </w:tc>
        <w:tc>
          <w:tcPr>
            <w:tcW w:w="2627" w:type="dxa"/>
          </w:tcPr>
          <w:p w14:paraId="151265D7">
            <w:pPr>
              <w:spacing w:line="360" w:lineRule="auto"/>
              <w:rPr>
                <w:b/>
                <w:color w:val="000000" w:themeColor="text1"/>
                <w:sz w:val="24"/>
              </w:rPr>
            </w:pPr>
          </w:p>
        </w:tc>
        <w:tc>
          <w:tcPr>
            <w:tcW w:w="1260" w:type="dxa"/>
          </w:tcPr>
          <w:p w14:paraId="2AEB467D">
            <w:pPr>
              <w:spacing w:line="360" w:lineRule="auto"/>
              <w:rPr>
                <w:b/>
                <w:color w:val="000000" w:themeColor="text1"/>
                <w:sz w:val="24"/>
              </w:rPr>
            </w:pPr>
          </w:p>
        </w:tc>
        <w:tc>
          <w:tcPr>
            <w:tcW w:w="1088" w:type="dxa"/>
          </w:tcPr>
          <w:p w14:paraId="4FCFE713">
            <w:pPr>
              <w:spacing w:line="360" w:lineRule="auto"/>
              <w:rPr>
                <w:b/>
                <w:color w:val="000000" w:themeColor="text1"/>
                <w:sz w:val="24"/>
              </w:rPr>
            </w:pPr>
          </w:p>
        </w:tc>
        <w:tc>
          <w:tcPr>
            <w:tcW w:w="1559" w:type="dxa"/>
          </w:tcPr>
          <w:p w14:paraId="2D173F00">
            <w:pPr>
              <w:spacing w:line="360" w:lineRule="auto"/>
              <w:rPr>
                <w:b/>
                <w:color w:val="000000" w:themeColor="text1"/>
                <w:sz w:val="24"/>
              </w:rPr>
            </w:pPr>
          </w:p>
        </w:tc>
      </w:tr>
      <w:tr w14:paraId="514B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077E29C">
            <w:pPr>
              <w:spacing w:line="360" w:lineRule="auto"/>
              <w:rPr>
                <w:b/>
                <w:color w:val="000000" w:themeColor="text1"/>
                <w:sz w:val="24"/>
              </w:rPr>
            </w:pPr>
          </w:p>
        </w:tc>
        <w:tc>
          <w:tcPr>
            <w:tcW w:w="1559" w:type="dxa"/>
          </w:tcPr>
          <w:p w14:paraId="0177054D">
            <w:pPr>
              <w:spacing w:line="360" w:lineRule="auto"/>
              <w:rPr>
                <w:b/>
                <w:color w:val="000000" w:themeColor="text1"/>
                <w:sz w:val="24"/>
              </w:rPr>
            </w:pPr>
          </w:p>
        </w:tc>
        <w:tc>
          <w:tcPr>
            <w:tcW w:w="2627" w:type="dxa"/>
          </w:tcPr>
          <w:p w14:paraId="29E853CB">
            <w:pPr>
              <w:spacing w:line="360" w:lineRule="auto"/>
              <w:rPr>
                <w:b/>
                <w:color w:val="000000" w:themeColor="text1"/>
                <w:sz w:val="24"/>
              </w:rPr>
            </w:pPr>
          </w:p>
        </w:tc>
        <w:tc>
          <w:tcPr>
            <w:tcW w:w="1260" w:type="dxa"/>
          </w:tcPr>
          <w:p w14:paraId="2F251CD5">
            <w:pPr>
              <w:spacing w:line="360" w:lineRule="auto"/>
              <w:rPr>
                <w:b/>
                <w:color w:val="000000" w:themeColor="text1"/>
                <w:sz w:val="24"/>
              </w:rPr>
            </w:pPr>
          </w:p>
        </w:tc>
        <w:tc>
          <w:tcPr>
            <w:tcW w:w="1088" w:type="dxa"/>
          </w:tcPr>
          <w:p w14:paraId="403751B8">
            <w:pPr>
              <w:spacing w:line="360" w:lineRule="auto"/>
              <w:rPr>
                <w:b/>
                <w:color w:val="000000" w:themeColor="text1"/>
                <w:sz w:val="24"/>
              </w:rPr>
            </w:pPr>
          </w:p>
        </w:tc>
        <w:tc>
          <w:tcPr>
            <w:tcW w:w="1559" w:type="dxa"/>
          </w:tcPr>
          <w:p w14:paraId="5B33FD1A">
            <w:pPr>
              <w:spacing w:line="360" w:lineRule="auto"/>
              <w:rPr>
                <w:b/>
                <w:color w:val="000000" w:themeColor="text1"/>
                <w:sz w:val="24"/>
              </w:rPr>
            </w:pPr>
          </w:p>
        </w:tc>
      </w:tr>
      <w:tr w14:paraId="10D2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F42CAF3">
            <w:pPr>
              <w:spacing w:line="360" w:lineRule="auto"/>
              <w:rPr>
                <w:b/>
                <w:color w:val="000000" w:themeColor="text1"/>
                <w:sz w:val="24"/>
              </w:rPr>
            </w:pPr>
          </w:p>
        </w:tc>
        <w:tc>
          <w:tcPr>
            <w:tcW w:w="1559" w:type="dxa"/>
          </w:tcPr>
          <w:p w14:paraId="0D1DD014">
            <w:pPr>
              <w:spacing w:line="360" w:lineRule="auto"/>
              <w:rPr>
                <w:b/>
                <w:color w:val="000000" w:themeColor="text1"/>
                <w:sz w:val="24"/>
              </w:rPr>
            </w:pPr>
          </w:p>
        </w:tc>
        <w:tc>
          <w:tcPr>
            <w:tcW w:w="2627" w:type="dxa"/>
          </w:tcPr>
          <w:p w14:paraId="053A79A1">
            <w:pPr>
              <w:spacing w:line="360" w:lineRule="auto"/>
              <w:rPr>
                <w:b/>
                <w:color w:val="000000" w:themeColor="text1"/>
                <w:sz w:val="24"/>
              </w:rPr>
            </w:pPr>
          </w:p>
        </w:tc>
        <w:tc>
          <w:tcPr>
            <w:tcW w:w="1260" w:type="dxa"/>
          </w:tcPr>
          <w:p w14:paraId="2021C2A3">
            <w:pPr>
              <w:spacing w:line="360" w:lineRule="auto"/>
              <w:rPr>
                <w:b/>
                <w:color w:val="000000" w:themeColor="text1"/>
                <w:sz w:val="24"/>
              </w:rPr>
            </w:pPr>
          </w:p>
        </w:tc>
        <w:tc>
          <w:tcPr>
            <w:tcW w:w="1088" w:type="dxa"/>
          </w:tcPr>
          <w:p w14:paraId="003F4F60">
            <w:pPr>
              <w:spacing w:line="360" w:lineRule="auto"/>
              <w:rPr>
                <w:b/>
                <w:color w:val="000000" w:themeColor="text1"/>
                <w:sz w:val="24"/>
              </w:rPr>
            </w:pPr>
          </w:p>
        </w:tc>
        <w:tc>
          <w:tcPr>
            <w:tcW w:w="1559" w:type="dxa"/>
          </w:tcPr>
          <w:p w14:paraId="019477C8">
            <w:pPr>
              <w:spacing w:line="360" w:lineRule="auto"/>
              <w:rPr>
                <w:b/>
                <w:color w:val="000000" w:themeColor="text1"/>
                <w:sz w:val="24"/>
              </w:rPr>
            </w:pPr>
          </w:p>
        </w:tc>
      </w:tr>
      <w:tr w14:paraId="7F192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20AB09C">
            <w:pPr>
              <w:spacing w:line="360" w:lineRule="auto"/>
              <w:rPr>
                <w:b/>
                <w:color w:val="000000" w:themeColor="text1"/>
                <w:sz w:val="24"/>
              </w:rPr>
            </w:pPr>
          </w:p>
        </w:tc>
        <w:tc>
          <w:tcPr>
            <w:tcW w:w="1559" w:type="dxa"/>
          </w:tcPr>
          <w:p w14:paraId="0B5DCFE1">
            <w:pPr>
              <w:spacing w:line="360" w:lineRule="auto"/>
              <w:rPr>
                <w:b/>
                <w:color w:val="000000" w:themeColor="text1"/>
                <w:sz w:val="24"/>
              </w:rPr>
            </w:pPr>
          </w:p>
        </w:tc>
        <w:tc>
          <w:tcPr>
            <w:tcW w:w="2627" w:type="dxa"/>
          </w:tcPr>
          <w:p w14:paraId="491B02EE">
            <w:pPr>
              <w:spacing w:line="360" w:lineRule="auto"/>
              <w:rPr>
                <w:b/>
                <w:color w:val="000000" w:themeColor="text1"/>
                <w:sz w:val="24"/>
              </w:rPr>
            </w:pPr>
          </w:p>
        </w:tc>
        <w:tc>
          <w:tcPr>
            <w:tcW w:w="1260" w:type="dxa"/>
          </w:tcPr>
          <w:p w14:paraId="6B30B865">
            <w:pPr>
              <w:spacing w:line="360" w:lineRule="auto"/>
              <w:rPr>
                <w:b/>
                <w:color w:val="000000" w:themeColor="text1"/>
                <w:sz w:val="24"/>
              </w:rPr>
            </w:pPr>
          </w:p>
        </w:tc>
        <w:tc>
          <w:tcPr>
            <w:tcW w:w="1088" w:type="dxa"/>
          </w:tcPr>
          <w:p w14:paraId="2F10DE32">
            <w:pPr>
              <w:spacing w:line="360" w:lineRule="auto"/>
              <w:rPr>
                <w:b/>
                <w:color w:val="000000" w:themeColor="text1"/>
                <w:sz w:val="24"/>
              </w:rPr>
            </w:pPr>
          </w:p>
        </w:tc>
        <w:tc>
          <w:tcPr>
            <w:tcW w:w="1559" w:type="dxa"/>
          </w:tcPr>
          <w:p w14:paraId="09B78200">
            <w:pPr>
              <w:spacing w:line="360" w:lineRule="auto"/>
              <w:rPr>
                <w:b/>
                <w:color w:val="000000" w:themeColor="text1"/>
                <w:sz w:val="24"/>
              </w:rPr>
            </w:pPr>
          </w:p>
        </w:tc>
      </w:tr>
      <w:tr w14:paraId="0203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C39576E">
            <w:pPr>
              <w:spacing w:line="360" w:lineRule="auto"/>
              <w:rPr>
                <w:b/>
                <w:color w:val="000000" w:themeColor="text1"/>
                <w:sz w:val="24"/>
              </w:rPr>
            </w:pPr>
          </w:p>
        </w:tc>
        <w:tc>
          <w:tcPr>
            <w:tcW w:w="1559" w:type="dxa"/>
          </w:tcPr>
          <w:p w14:paraId="77CD2D86">
            <w:pPr>
              <w:spacing w:line="360" w:lineRule="auto"/>
              <w:rPr>
                <w:b/>
                <w:color w:val="000000" w:themeColor="text1"/>
                <w:sz w:val="24"/>
              </w:rPr>
            </w:pPr>
          </w:p>
        </w:tc>
        <w:tc>
          <w:tcPr>
            <w:tcW w:w="2627" w:type="dxa"/>
          </w:tcPr>
          <w:p w14:paraId="2CA2469E">
            <w:pPr>
              <w:spacing w:line="360" w:lineRule="auto"/>
              <w:rPr>
                <w:b/>
                <w:color w:val="000000" w:themeColor="text1"/>
                <w:sz w:val="24"/>
              </w:rPr>
            </w:pPr>
          </w:p>
        </w:tc>
        <w:tc>
          <w:tcPr>
            <w:tcW w:w="1260" w:type="dxa"/>
          </w:tcPr>
          <w:p w14:paraId="0F206DDD">
            <w:pPr>
              <w:spacing w:line="360" w:lineRule="auto"/>
              <w:rPr>
                <w:b/>
                <w:color w:val="000000" w:themeColor="text1"/>
                <w:sz w:val="24"/>
              </w:rPr>
            </w:pPr>
          </w:p>
        </w:tc>
        <w:tc>
          <w:tcPr>
            <w:tcW w:w="1088" w:type="dxa"/>
          </w:tcPr>
          <w:p w14:paraId="1365B3DD">
            <w:pPr>
              <w:spacing w:line="360" w:lineRule="auto"/>
              <w:rPr>
                <w:b/>
                <w:color w:val="000000" w:themeColor="text1"/>
                <w:sz w:val="24"/>
              </w:rPr>
            </w:pPr>
          </w:p>
        </w:tc>
        <w:tc>
          <w:tcPr>
            <w:tcW w:w="1559" w:type="dxa"/>
          </w:tcPr>
          <w:p w14:paraId="644D61EF">
            <w:pPr>
              <w:spacing w:line="360" w:lineRule="auto"/>
              <w:rPr>
                <w:b/>
                <w:color w:val="000000" w:themeColor="text1"/>
                <w:sz w:val="24"/>
              </w:rPr>
            </w:pPr>
          </w:p>
        </w:tc>
      </w:tr>
      <w:tr w14:paraId="31F6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9737A4F">
            <w:pPr>
              <w:spacing w:line="360" w:lineRule="auto"/>
              <w:rPr>
                <w:b/>
                <w:color w:val="000000" w:themeColor="text1"/>
                <w:sz w:val="24"/>
              </w:rPr>
            </w:pPr>
          </w:p>
        </w:tc>
        <w:tc>
          <w:tcPr>
            <w:tcW w:w="1559" w:type="dxa"/>
          </w:tcPr>
          <w:p w14:paraId="6146AC15">
            <w:pPr>
              <w:spacing w:line="360" w:lineRule="auto"/>
              <w:rPr>
                <w:b/>
                <w:color w:val="000000" w:themeColor="text1"/>
                <w:sz w:val="24"/>
              </w:rPr>
            </w:pPr>
          </w:p>
        </w:tc>
        <w:tc>
          <w:tcPr>
            <w:tcW w:w="2627" w:type="dxa"/>
          </w:tcPr>
          <w:p w14:paraId="51B89DAB">
            <w:pPr>
              <w:spacing w:line="360" w:lineRule="auto"/>
              <w:rPr>
                <w:b/>
                <w:color w:val="000000" w:themeColor="text1"/>
                <w:sz w:val="24"/>
              </w:rPr>
            </w:pPr>
          </w:p>
        </w:tc>
        <w:tc>
          <w:tcPr>
            <w:tcW w:w="1260" w:type="dxa"/>
          </w:tcPr>
          <w:p w14:paraId="0E7BA626">
            <w:pPr>
              <w:spacing w:line="360" w:lineRule="auto"/>
              <w:rPr>
                <w:b/>
                <w:color w:val="000000" w:themeColor="text1"/>
                <w:sz w:val="24"/>
              </w:rPr>
            </w:pPr>
          </w:p>
        </w:tc>
        <w:tc>
          <w:tcPr>
            <w:tcW w:w="1088" w:type="dxa"/>
          </w:tcPr>
          <w:p w14:paraId="72FB3408">
            <w:pPr>
              <w:spacing w:line="360" w:lineRule="auto"/>
              <w:rPr>
                <w:b/>
                <w:color w:val="000000" w:themeColor="text1"/>
                <w:sz w:val="24"/>
              </w:rPr>
            </w:pPr>
          </w:p>
        </w:tc>
        <w:tc>
          <w:tcPr>
            <w:tcW w:w="1559" w:type="dxa"/>
          </w:tcPr>
          <w:p w14:paraId="14EF9A14">
            <w:pPr>
              <w:spacing w:line="360" w:lineRule="auto"/>
              <w:rPr>
                <w:b/>
                <w:color w:val="000000" w:themeColor="text1"/>
                <w:sz w:val="24"/>
              </w:rPr>
            </w:pPr>
          </w:p>
        </w:tc>
      </w:tr>
    </w:tbl>
    <w:p w14:paraId="2EFEA6AD">
      <w:pPr>
        <w:pStyle w:val="2"/>
        <w:rPr>
          <w:color w:val="000000" w:themeColor="text1"/>
        </w:rPr>
      </w:pPr>
    </w:p>
    <w:p w14:paraId="135A6FBF">
      <w:pPr>
        <w:pStyle w:val="2"/>
        <w:rPr>
          <w:color w:val="000000" w:themeColor="text1"/>
        </w:rPr>
      </w:pPr>
    </w:p>
    <w:p w14:paraId="21FAE7A1">
      <w:pPr>
        <w:ind w:firstLine="210" w:firstLineChars="100"/>
        <w:rPr>
          <w:color w:val="000000" w:themeColor="text1"/>
        </w:rPr>
      </w:pPr>
    </w:p>
    <w:p w14:paraId="11BF62C1">
      <w:pPr>
        <w:ind w:firstLine="210" w:firstLineChars="100"/>
        <w:rPr>
          <w:color w:val="000000" w:themeColor="text1"/>
        </w:rPr>
      </w:pPr>
    </w:p>
    <w:p w14:paraId="77F17A9C">
      <w:pPr>
        <w:ind w:firstLine="210" w:firstLineChars="100"/>
        <w:jc w:val="right"/>
        <w:rPr>
          <w:color w:val="000000" w:themeColor="text1"/>
        </w:rPr>
      </w:pPr>
      <w:r>
        <w:rPr>
          <w:color w:val="000000" w:themeColor="text1"/>
        </w:rPr>
        <w:t xml:space="preserve">投标人（盖章）：                        </w:t>
      </w:r>
    </w:p>
    <w:p w14:paraId="44313390">
      <w:pPr>
        <w:ind w:firstLine="199" w:firstLineChars="95"/>
        <w:jc w:val="right"/>
        <w:rPr>
          <w:color w:val="000000" w:themeColor="text1"/>
        </w:rPr>
      </w:pPr>
      <w:r>
        <w:rPr>
          <w:color w:val="000000" w:themeColor="text1"/>
        </w:rPr>
        <w:t>日期：</w:t>
      </w:r>
    </w:p>
    <w:p w14:paraId="4EBB215D">
      <w:pPr>
        <w:pStyle w:val="4"/>
        <w:jc w:val="right"/>
        <w:rPr>
          <w:color w:val="000000" w:themeColor="text1"/>
          <w:szCs w:val="24"/>
        </w:rPr>
      </w:pPr>
    </w:p>
    <w:p w14:paraId="3BEFCA0C">
      <w:pPr>
        <w:rPr>
          <w:color w:val="000000" w:themeColor="text1"/>
          <w:szCs w:val="24"/>
        </w:rPr>
      </w:pPr>
    </w:p>
    <w:p w14:paraId="49815403">
      <w:pPr>
        <w:pStyle w:val="4"/>
        <w:rPr>
          <w:color w:val="000000" w:themeColor="text1"/>
          <w:szCs w:val="24"/>
        </w:rPr>
      </w:pPr>
    </w:p>
    <w:p w14:paraId="6F708A31">
      <w:pPr>
        <w:rPr>
          <w:color w:val="000000" w:themeColor="text1"/>
          <w:szCs w:val="24"/>
        </w:rPr>
      </w:pPr>
    </w:p>
    <w:p w14:paraId="09ABF795">
      <w:pPr>
        <w:pStyle w:val="4"/>
        <w:rPr>
          <w:color w:val="000000" w:themeColor="text1"/>
          <w:szCs w:val="24"/>
        </w:rPr>
      </w:pPr>
    </w:p>
    <w:p w14:paraId="6978A853">
      <w:pPr>
        <w:rPr>
          <w:color w:val="000000" w:themeColor="text1"/>
          <w:szCs w:val="24"/>
        </w:rPr>
      </w:pPr>
    </w:p>
    <w:p w14:paraId="3A547D24">
      <w:pPr>
        <w:pStyle w:val="4"/>
        <w:rPr>
          <w:color w:val="000000" w:themeColor="text1"/>
          <w:szCs w:val="24"/>
        </w:rPr>
      </w:pPr>
    </w:p>
    <w:p w14:paraId="175B784A">
      <w:pPr>
        <w:rPr>
          <w:color w:val="000000" w:themeColor="text1"/>
          <w:szCs w:val="24"/>
        </w:rPr>
      </w:pPr>
    </w:p>
    <w:p w14:paraId="3FCFBA7B">
      <w:pPr>
        <w:pStyle w:val="4"/>
        <w:rPr>
          <w:color w:val="000000" w:themeColor="text1"/>
          <w:szCs w:val="24"/>
        </w:rPr>
      </w:pPr>
    </w:p>
    <w:p w14:paraId="2C9725F0">
      <w:pPr>
        <w:rPr>
          <w:color w:val="000000" w:themeColor="text1"/>
          <w:szCs w:val="24"/>
        </w:rPr>
      </w:pPr>
    </w:p>
    <w:p w14:paraId="549FD6C1">
      <w:pPr>
        <w:pStyle w:val="4"/>
        <w:rPr>
          <w:color w:val="000000" w:themeColor="text1"/>
          <w:szCs w:val="24"/>
        </w:rPr>
      </w:pPr>
    </w:p>
    <w:p w14:paraId="3EB97008">
      <w:pPr>
        <w:rPr>
          <w:color w:val="000000" w:themeColor="text1"/>
          <w:szCs w:val="24"/>
        </w:rPr>
      </w:pPr>
    </w:p>
    <w:p w14:paraId="411321FF">
      <w:pPr>
        <w:numPr>
          <w:ilvl w:val="255"/>
          <w:numId w:val="0"/>
        </w:numPr>
        <w:spacing w:line="360" w:lineRule="auto"/>
        <w:jc w:val="left"/>
        <w:rPr>
          <w:b/>
          <w:color w:val="000000" w:themeColor="text1"/>
          <w:spacing w:val="-4"/>
          <w:sz w:val="24"/>
          <w:szCs w:val="24"/>
          <w:lang w:val="zh-CN"/>
        </w:rPr>
      </w:pPr>
    </w:p>
    <w:p w14:paraId="00784FE2">
      <w:pPr>
        <w:numPr>
          <w:ilvl w:val="255"/>
          <w:numId w:val="0"/>
        </w:numPr>
        <w:spacing w:line="360" w:lineRule="auto"/>
        <w:jc w:val="left"/>
        <w:rPr>
          <w:b/>
          <w:color w:val="000000" w:themeColor="text1"/>
          <w:spacing w:val="-4"/>
          <w:sz w:val="24"/>
          <w:szCs w:val="24"/>
        </w:rPr>
      </w:pPr>
    </w:p>
    <w:p w14:paraId="5C712052">
      <w:pPr>
        <w:numPr>
          <w:ilvl w:val="255"/>
          <w:numId w:val="0"/>
        </w:numPr>
        <w:spacing w:line="360" w:lineRule="auto"/>
        <w:jc w:val="left"/>
        <w:rPr>
          <w:b/>
          <w:color w:val="000000" w:themeColor="text1"/>
          <w:spacing w:val="-4"/>
          <w:sz w:val="24"/>
          <w:szCs w:val="24"/>
          <w:lang w:val="zh-CN"/>
        </w:rPr>
      </w:pPr>
      <w:r>
        <w:rPr>
          <w:rFonts w:hint="eastAsia"/>
          <w:b/>
          <w:color w:val="000000" w:themeColor="text1"/>
          <w:spacing w:val="-4"/>
          <w:sz w:val="24"/>
          <w:szCs w:val="24"/>
        </w:rPr>
        <w:t>八、</w:t>
      </w:r>
      <w:r>
        <w:rPr>
          <w:b/>
          <w:color w:val="000000" w:themeColor="text1"/>
          <w:spacing w:val="-4"/>
          <w:sz w:val="24"/>
          <w:szCs w:val="24"/>
          <w:lang w:val="zh-CN"/>
        </w:rPr>
        <w:t>项目实施人员配备表</w:t>
      </w:r>
    </w:p>
    <w:p w14:paraId="63635942">
      <w:pPr>
        <w:snapToGrid w:val="0"/>
        <w:spacing w:beforeLines="50" w:after="50"/>
        <w:jc w:val="center"/>
        <w:rPr>
          <w:b/>
          <w:bCs/>
          <w:color w:val="000000" w:themeColor="text1"/>
          <w:kern w:val="0"/>
          <w:lang w:val="zh-CN"/>
        </w:rPr>
      </w:pPr>
      <w:r>
        <w:rPr>
          <w:b/>
          <w:bCs/>
          <w:color w:val="000000" w:themeColor="text1"/>
          <w:kern w:val="0"/>
          <w:lang w:val="zh-CN"/>
        </w:rPr>
        <w:t>项目实施人员配备表</w:t>
      </w:r>
    </w:p>
    <w:p w14:paraId="74E46D44">
      <w:pPr>
        <w:pStyle w:val="11"/>
        <w:snapToGrid w:val="0"/>
        <w:rPr>
          <w:rFonts w:ascii="Times New Roman" w:hAnsi="Times New Roman" w:eastAsia="宋体"/>
          <w:color w:val="000000" w:themeColor="text1"/>
          <w:sz w:val="24"/>
          <w:szCs w:val="24"/>
        </w:rPr>
      </w:pPr>
    </w:p>
    <w:p w14:paraId="50F90061">
      <w:pPr>
        <w:pStyle w:val="11"/>
        <w:snapToGrid w:val="0"/>
        <w:rPr>
          <w:rFonts w:ascii="Times New Roman" w:hAnsi="Times New Roman" w:eastAsia="宋体"/>
          <w:color w:val="000000" w:themeColor="text1"/>
          <w:sz w:val="24"/>
          <w:szCs w:val="24"/>
          <w:u w:val="single"/>
        </w:rPr>
      </w:pPr>
      <w:r>
        <w:rPr>
          <w:rFonts w:ascii="Times New Roman" w:hAnsi="Times New Roman" w:eastAsia="宋体"/>
          <w:color w:val="000000" w:themeColor="text1"/>
          <w:sz w:val="24"/>
          <w:szCs w:val="24"/>
        </w:rPr>
        <w:t xml:space="preserve">          </w:t>
      </w:r>
    </w:p>
    <w:tbl>
      <w:tblPr>
        <w:tblStyle w:val="2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539"/>
        <w:gridCol w:w="1215"/>
        <w:gridCol w:w="1580"/>
      </w:tblGrid>
      <w:tr w14:paraId="406FA6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14:paraId="292BA0EC">
            <w:pPr>
              <w:pStyle w:val="62"/>
              <w:jc w:val="center"/>
              <w:rPr>
                <w:color w:val="000000" w:themeColor="text1"/>
                <w:sz w:val="21"/>
                <w:szCs w:val="21"/>
              </w:rPr>
            </w:pPr>
            <w:r>
              <w:rPr>
                <w:color w:val="000000" w:themeColor="text1"/>
                <w:sz w:val="21"/>
                <w:szCs w:val="21"/>
              </w:rPr>
              <w:t>序号</w:t>
            </w:r>
          </w:p>
        </w:tc>
        <w:tc>
          <w:tcPr>
            <w:tcW w:w="1557" w:type="dxa"/>
            <w:tcBorders>
              <w:top w:val="single" w:color="auto" w:sz="4" w:space="0"/>
              <w:left w:val="single" w:color="auto" w:sz="4" w:space="0"/>
              <w:bottom w:val="single" w:color="auto" w:sz="4" w:space="0"/>
              <w:right w:val="single" w:color="auto" w:sz="4" w:space="0"/>
            </w:tcBorders>
            <w:vAlign w:val="center"/>
          </w:tcPr>
          <w:p w14:paraId="35EC62B4">
            <w:pPr>
              <w:pStyle w:val="62"/>
              <w:jc w:val="center"/>
              <w:rPr>
                <w:color w:val="000000" w:themeColor="text1"/>
                <w:sz w:val="21"/>
                <w:szCs w:val="21"/>
              </w:rPr>
            </w:pPr>
            <w:r>
              <w:rPr>
                <w:color w:val="000000" w:themeColor="text1"/>
                <w:sz w:val="21"/>
                <w:szCs w:val="21"/>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14:paraId="15E43564">
            <w:pPr>
              <w:snapToGrid w:val="0"/>
              <w:spacing w:beforeLines="50" w:line="400" w:lineRule="exact"/>
              <w:jc w:val="center"/>
              <w:rPr>
                <w:color w:val="000000" w:themeColor="text1"/>
              </w:rPr>
            </w:pPr>
            <w:r>
              <w:rPr>
                <w:rFonts w:hint="eastAsia" w:ascii="宋体" w:hAnsi="宋体" w:cs="宋体"/>
                <w:color w:val="000000" w:themeColor="text1"/>
              </w:rPr>
              <w:t>姓名</w:t>
            </w:r>
          </w:p>
        </w:tc>
        <w:tc>
          <w:tcPr>
            <w:tcW w:w="1066" w:type="dxa"/>
            <w:tcBorders>
              <w:top w:val="single" w:color="auto" w:sz="4" w:space="0"/>
              <w:left w:val="single" w:color="auto" w:sz="4" w:space="0"/>
              <w:bottom w:val="single" w:color="auto" w:sz="4" w:space="0"/>
              <w:right w:val="single" w:color="auto" w:sz="4" w:space="0"/>
            </w:tcBorders>
            <w:vAlign w:val="center"/>
          </w:tcPr>
          <w:p w14:paraId="45D0ACB5">
            <w:pPr>
              <w:snapToGrid w:val="0"/>
              <w:spacing w:beforeLines="50" w:line="400" w:lineRule="exact"/>
              <w:jc w:val="center"/>
              <w:rPr>
                <w:color w:val="000000" w:themeColor="text1"/>
              </w:rPr>
            </w:pPr>
            <w:r>
              <w:rPr>
                <w:rFonts w:hint="eastAsia" w:ascii="宋体" w:hAnsi="宋体" w:cs="宋体"/>
                <w:color w:val="000000" w:themeColor="text1"/>
              </w:rPr>
              <w:t>职务</w:t>
            </w:r>
          </w:p>
        </w:tc>
        <w:tc>
          <w:tcPr>
            <w:tcW w:w="1539" w:type="dxa"/>
            <w:tcBorders>
              <w:top w:val="single" w:color="auto" w:sz="4" w:space="0"/>
              <w:left w:val="single" w:color="auto" w:sz="4" w:space="0"/>
              <w:bottom w:val="single" w:color="auto" w:sz="4" w:space="0"/>
              <w:right w:val="single" w:color="auto" w:sz="4" w:space="0"/>
            </w:tcBorders>
            <w:vAlign w:val="center"/>
          </w:tcPr>
          <w:p w14:paraId="08080E9A">
            <w:pPr>
              <w:snapToGrid w:val="0"/>
              <w:spacing w:beforeLines="50" w:line="400" w:lineRule="exact"/>
              <w:jc w:val="center"/>
              <w:rPr>
                <w:color w:val="000000" w:themeColor="text1"/>
              </w:rPr>
            </w:pPr>
            <w:r>
              <w:rPr>
                <w:rFonts w:hint="eastAsia" w:ascii="宋体" w:hAnsi="宋体" w:cs="宋体"/>
                <w:color w:val="000000" w:themeColor="text1"/>
              </w:rPr>
              <w:t>专业技术资格</w:t>
            </w:r>
          </w:p>
        </w:tc>
        <w:tc>
          <w:tcPr>
            <w:tcW w:w="1215" w:type="dxa"/>
            <w:tcBorders>
              <w:top w:val="single" w:color="auto" w:sz="4" w:space="0"/>
              <w:left w:val="single" w:color="auto" w:sz="4" w:space="0"/>
              <w:bottom w:val="single" w:color="auto" w:sz="4" w:space="0"/>
              <w:right w:val="single" w:color="auto" w:sz="4" w:space="0"/>
            </w:tcBorders>
            <w:vAlign w:val="center"/>
          </w:tcPr>
          <w:p w14:paraId="2EA9C77E">
            <w:pPr>
              <w:snapToGrid w:val="0"/>
              <w:spacing w:beforeLines="50" w:line="400" w:lineRule="exact"/>
              <w:jc w:val="center"/>
              <w:rPr>
                <w:color w:val="000000" w:themeColor="text1"/>
              </w:rPr>
            </w:pPr>
            <w:r>
              <w:rPr>
                <w:rFonts w:hint="eastAsia" w:ascii="宋体" w:hAnsi="宋体" w:cs="宋体"/>
                <w:color w:val="000000" w:themeColor="text1"/>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14:paraId="0D684237">
            <w:pPr>
              <w:snapToGrid w:val="0"/>
              <w:spacing w:beforeLines="50" w:line="400" w:lineRule="exact"/>
              <w:jc w:val="center"/>
              <w:rPr>
                <w:color w:val="000000" w:themeColor="text1"/>
              </w:rPr>
            </w:pPr>
            <w:r>
              <w:rPr>
                <w:rFonts w:hint="eastAsia" w:ascii="宋体" w:hAnsi="宋体" w:cs="宋体"/>
                <w:color w:val="000000" w:themeColor="text1"/>
              </w:rPr>
              <w:t>参加本单位工作时间</w:t>
            </w:r>
          </w:p>
        </w:tc>
      </w:tr>
      <w:tr w14:paraId="5E035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14:paraId="5421EF16">
            <w:pPr>
              <w:pStyle w:val="62"/>
              <w:jc w:val="center"/>
              <w:rPr>
                <w:color w:val="000000" w:themeColor="text1"/>
                <w:sz w:val="21"/>
                <w:szCs w:val="21"/>
              </w:rPr>
            </w:pPr>
            <w:r>
              <w:rPr>
                <w:color w:val="000000" w:themeColor="text1"/>
                <w:sz w:val="21"/>
                <w:szCs w:val="21"/>
              </w:rPr>
              <w:t>1</w:t>
            </w:r>
          </w:p>
        </w:tc>
        <w:tc>
          <w:tcPr>
            <w:tcW w:w="1557" w:type="dxa"/>
            <w:tcBorders>
              <w:top w:val="single" w:color="auto" w:sz="4" w:space="0"/>
              <w:left w:val="single" w:color="auto" w:sz="4" w:space="0"/>
              <w:bottom w:val="single" w:color="auto" w:sz="4" w:space="0"/>
              <w:right w:val="single" w:color="auto" w:sz="4" w:space="0"/>
            </w:tcBorders>
            <w:vAlign w:val="center"/>
          </w:tcPr>
          <w:p w14:paraId="44B81D63">
            <w:pPr>
              <w:tabs>
                <w:tab w:val="left" w:pos="2340"/>
                <w:tab w:val="left" w:pos="2520"/>
                <w:tab w:val="left" w:pos="2700"/>
                <w:tab w:val="left" w:pos="3060"/>
              </w:tabs>
              <w:spacing w:line="360" w:lineRule="auto"/>
              <w:jc w:val="center"/>
              <w:rPr>
                <w:color w:val="000000" w:themeColor="text1"/>
              </w:rPr>
            </w:pPr>
            <w:r>
              <w:rPr>
                <w:color w:val="000000" w:themeColor="text1"/>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14:paraId="783E879B">
            <w:pPr>
              <w:pStyle w:val="62"/>
              <w:jc w:val="center"/>
              <w:rPr>
                <w:color w:val="000000" w:themeColor="text1"/>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25F46B17">
            <w:pPr>
              <w:pStyle w:val="62"/>
              <w:jc w:val="center"/>
              <w:rPr>
                <w:color w:val="000000" w:themeColor="text1"/>
                <w:sz w:val="21"/>
                <w:szCs w:val="21"/>
              </w:rPr>
            </w:pPr>
          </w:p>
        </w:tc>
        <w:tc>
          <w:tcPr>
            <w:tcW w:w="1539" w:type="dxa"/>
            <w:tcBorders>
              <w:top w:val="single" w:color="auto" w:sz="4" w:space="0"/>
              <w:left w:val="single" w:color="auto" w:sz="4" w:space="0"/>
              <w:bottom w:val="single" w:color="auto" w:sz="4" w:space="0"/>
              <w:right w:val="single" w:color="auto" w:sz="4" w:space="0"/>
            </w:tcBorders>
          </w:tcPr>
          <w:p w14:paraId="7F7354EE">
            <w:pPr>
              <w:pStyle w:val="62"/>
              <w:jc w:val="center"/>
              <w:rPr>
                <w:color w:val="000000" w:themeColor="text1"/>
                <w:sz w:val="21"/>
                <w:szCs w:val="21"/>
              </w:rPr>
            </w:pPr>
          </w:p>
        </w:tc>
        <w:tc>
          <w:tcPr>
            <w:tcW w:w="1215" w:type="dxa"/>
            <w:tcBorders>
              <w:top w:val="single" w:color="auto" w:sz="4" w:space="0"/>
              <w:left w:val="single" w:color="auto" w:sz="4" w:space="0"/>
              <w:bottom w:val="single" w:color="auto" w:sz="4" w:space="0"/>
              <w:right w:val="single" w:color="auto" w:sz="4" w:space="0"/>
            </w:tcBorders>
          </w:tcPr>
          <w:p w14:paraId="062A5768">
            <w:pPr>
              <w:pStyle w:val="62"/>
              <w:jc w:val="center"/>
              <w:rPr>
                <w:color w:val="000000" w:themeColor="text1"/>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2AD3DA23">
            <w:pPr>
              <w:pStyle w:val="62"/>
              <w:jc w:val="center"/>
              <w:rPr>
                <w:color w:val="000000" w:themeColor="text1"/>
                <w:sz w:val="21"/>
                <w:szCs w:val="21"/>
              </w:rPr>
            </w:pPr>
          </w:p>
        </w:tc>
      </w:tr>
      <w:tr w14:paraId="6AE987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0296C9A4">
            <w:pPr>
              <w:pStyle w:val="62"/>
              <w:jc w:val="center"/>
              <w:rPr>
                <w:color w:val="000000" w:themeColor="text1"/>
                <w:sz w:val="21"/>
                <w:szCs w:val="21"/>
              </w:rPr>
            </w:pPr>
            <w:r>
              <w:rPr>
                <w:color w:val="000000" w:themeColor="text1"/>
                <w:sz w:val="21"/>
                <w:szCs w:val="21"/>
              </w:rPr>
              <w:t>2</w:t>
            </w:r>
          </w:p>
        </w:tc>
        <w:tc>
          <w:tcPr>
            <w:tcW w:w="1557" w:type="dxa"/>
            <w:tcBorders>
              <w:top w:val="single" w:color="auto" w:sz="4" w:space="0"/>
              <w:left w:val="single" w:color="auto" w:sz="4" w:space="0"/>
              <w:bottom w:val="single" w:color="auto" w:sz="4" w:space="0"/>
              <w:right w:val="single" w:color="auto" w:sz="4" w:space="0"/>
            </w:tcBorders>
            <w:vAlign w:val="center"/>
          </w:tcPr>
          <w:p w14:paraId="1FE1A58C">
            <w:pPr>
              <w:tabs>
                <w:tab w:val="left" w:pos="2340"/>
                <w:tab w:val="left" w:pos="2520"/>
                <w:tab w:val="left" w:pos="2700"/>
                <w:tab w:val="left" w:pos="3060"/>
              </w:tabs>
              <w:spacing w:line="360" w:lineRule="auto"/>
              <w:jc w:val="center"/>
              <w:rPr>
                <w:color w:val="000000" w:themeColor="text1"/>
              </w:rPr>
            </w:pPr>
            <w:r>
              <w:rPr>
                <w:color w:val="000000" w:themeColor="text1"/>
              </w:rPr>
              <w:t>主要人员</w:t>
            </w:r>
          </w:p>
        </w:tc>
        <w:tc>
          <w:tcPr>
            <w:tcW w:w="1052" w:type="dxa"/>
            <w:tcBorders>
              <w:top w:val="single" w:color="auto" w:sz="4" w:space="0"/>
              <w:left w:val="single" w:color="auto" w:sz="4" w:space="0"/>
              <w:bottom w:val="single" w:color="auto" w:sz="4" w:space="0"/>
              <w:right w:val="single" w:color="auto" w:sz="4" w:space="0"/>
            </w:tcBorders>
            <w:vAlign w:val="center"/>
          </w:tcPr>
          <w:p w14:paraId="54E49594">
            <w:pPr>
              <w:pStyle w:val="62"/>
              <w:jc w:val="center"/>
              <w:rPr>
                <w:color w:val="000000" w:themeColor="text1"/>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0079999">
            <w:pPr>
              <w:pStyle w:val="62"/>
              <w:jc w:val="center"/>
              <w:rPr>
                <w:color w:val="000000" w:themeColor="text1"/>
                <w:sz w:val="21"/>
                <w:szCs w:val="21"/>
              </w:rPr>
            </w:pPr>
          </w:p>
        </w:tc>
        <w:tc>
          <w:tcPr>
            <w:tcW w:w="1539" w:type="dxa"/>
            <w:tcBorders>
              <w:top w:val="single" w:color="auto" w:sz="4" w:space="0"/>
              <w:left w:val="single" w:color="auto" w:sz="4" w:space="0"/>
              <w:bottom w:val="single" w:color="auto" w:sz="4" w:space="0"/>
              <w:right w:val="single" w:color="auto" w:sz="4" w:space="0"/>
            </w:tcBorders>
          </w:tcPr>
          <w:p w14:paraId="740E1A9A">
            <w:pPr>
              <w:pStyle w:val="62"/>
              <w:jc w:val="center"/>
              <w:rPr>
                <w:color w:val="000000" w:themeColor="text1"/>
                <w:sz w:val="21"/>
                <w:szCs w:val="21"/>
              </w:rPr>
            </w:pPr>
          </w:p>
        </w:tc>
        <w:tc>
          <w:tcPr>
            <w:tcW w:w="1215" w:type="dxa"/>
            <w:tcBorders>
              <w:top w:val="single" w:color="auto" w:sz="4" w:space="0"/>
              <w:left w:val="single" w:color="auto" w:sz="4" w:space="0"/>
              <w:bottom w:val="single" w:color="auto" w:sz="4" w:space="0"/>
              <w:right w:val="single" w:color="auto" w:sz="4" w:space="0"/>
            </w:tcBorders>
          </w:tcPr>
          <w:p w14:paraId="0249CF46">
            <w:pPr>
              <w:pStyle w:val="62"/>
              <w:jc w:val="center"/>
              <w:rPr>
                <w:color w:val="000000" w:themeColor="text1"/>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571D1EAC">
            <w:pPr>
              <w:pStyle w:val="62"/>
              <w:jc w:val="center"/>
              <w:rPr>
                <w:color w:val="000000" w:themeColor="text1"/>
                <w:sz w:val="21"/>
                <w:szCs w:val="21"/>
              </w:rPr>
            </w:pPr>
          </w:p>
        </w:tc>
      </w:tr>
      <w:tr w14:paraId="4B55C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48C01BAD">
            <w:pPr>
              <w:pStyle w:val="62"/>
              <w:jc w:val="center"/>
              <w:rPr>
                <w:color w:val="000000" w:themeColor="text1"/>
                <w:sz w:val="21"/>
                <w:szCs w:val="21"/>
              </w:rPr>
            </w:pPr>
            <w:r>
              <w:rPr>
                <w:color w:val="000000" w:themeColor="text1"/>
                <w:sz w:val="21"/>
                <w:szCs w:val="21"/>
              </w:rPr>
              <w:t>3</w:t>
            </w:r>
          </w:p>
        </w:tc>
        <w:tc>
          <w:tcPr>
            <w:tcW w:w="1557" w:type="dxa"/>
            <w:tcBorders>
              <w:top w:val="single" w:color="auto" w:sz="4" w:space="0"/>
              <w:left w:val="single" w:color="auto" w:sz="4" w:space="0"/>
              <w:bottom w:val="single" w:color="auto" w:sz="4" w:space="0"/>
              <w:right w:val="single" w:color="auto" w:sz="4" w:space="0"/>
            </w:tcBorders>
            <w:vAlign w:val="center"/>
          </w:tcPr>
          <w:p w14:paraId="60A71D44">
            <w:pPr>
              <w:tabs>
                <w:tab w:val="left" w:pos="2340"/>
                <w:tab w:val="left" w:pos="2520"/>
                <w:tab w:val="left" w:pos="2700"/>
                <w:tab w:val="left" w:pos="3060"/>
              </w:tabs>
              <w:spacing w:line="360" w:lineRule="auto"/>
              <w:jc w:val="center"/>
              <w:rPr>
                <w:color w:val="000000" w:themeColor="text1"/>
              </w:rPr>
            </w:pPr>
            <w:r>
              <w:rPr>
                <w:color w:val="000000" w:themeColor="text1"/>
              </w:rPr>
              <w:t>…</w:t>
            </w:r>
          </w:p>
        </w:tc>
        <w:tc>
          <w:tcPr>
            <w:tcW w:w="1052" w:type="dxa"/>
            <w:tcBorders>
              <w:top w:val="single" w:color="auto" w:sz="4" w:space="0"/>
              <w:left w:val="single" w:color="auto" w:sz="4" w:space="0"/>
              <w:bottom w:val="single" w:color="auto" w:sz="4" w:space="0"/>
              <w:right w:val="single" w:color="auto" w:sz="4" w:space="0"/>
            </w:tcBorders>
            <w:vAlign w:val="center"/>
          </w:tcPr>
          <w:p w14:paraId="63B8C7C3">
            <w:pPr>
              <w:pStyle w:val="62"/>
              <w:jc w:val="center"/>
              <w:rPr>
                <w:color w:val="000000" w:themeColor="text1"/>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5EF6BC18">
            <w:pPr>
              <w:pStyle w:val="62"/>
              <w:jc w:val="center"/>
              <w:rPr>
                <w:color w:val="000000" w:themeColor="text1"/>
                <w:sz w:val="21"/>
                <w:szCs w:val="21"/>
              </w:rPr>
            </w:pPr>
          </w:p>
        </w:tc>
        <w:tc>
          <w:tcPr>
            <w:tcW w:w="1539" w:type="dxa"/>
            <w:tcBorders>
              <w:top w:val="single" w:color="auto" w:sz="4" w:space="0"/>
              <w:left w:val="single" w:color="auto" w:sz="4" w:space="0"/>
              <w:bottom w:val="single" w:color="auto" w:sz="4" w:space="0"/>
              <w:right w:val="single" w:color="auto" w:sz="4" w:space="0"/>
            </w:tcBorders>
          </w:tcPr>
          <w:p w14:paraId="1809140A">
            <w:pPr>
              <w:pStyle w:val="62"/>
              <w:jc w:val="center"/>
              <w:rPr>
                <w:color w:val="000000" w:themeColor="text1"/>
                <w:sz w:val="21"/>
                <w:szCs w:val="21"/>
              </w:rPr>
            </w:pPr>
          </w:p>
        </w:tc>
        <w:tc>
          <w:tcPr>
            <w:tcW w:w="1215" w:type="dxa"/>
            <w:tcBorders>
              <w:top w:val="single" w:color="auto" w:sz="4" w:space="0"/>
              <w:left w:val="single" w:color="auto" w:sz="4" w:space="0"/>
              <w:bottom w:val="single" w:color="auto" w:sz="4" w:space="0"/>
              <w:right w:val="single" w:color="auto" w:sz="4" w:space="0"/>
            </w:tcBorders>
          </w:tcPr>
          <w:p w14:paraId="3E2B75A8">
            <w:pPr>
              <w:pStyle w:val="62"/>
              <w:jc w:val="center"/>
              <w:rPr>
                <w:color w:val="000000" w:themeColor="text1"/>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3107BDF2">
            <w:pPr>
              <w:pStyle w:val="62"/>
              <w:jc w:val="center"/>
              <w:rPr>
                <w:color w:val="000000" w:themeColor="text1"/>
                <w:sz w:val="21"/>
                <w:szCs w:val="21"/>
              </w:rPr>
            </w:pPr>
          </w:p>
        </w:tc>
      </w:tr>
      <w:tr w14:paraId="7425E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24A56B40">
            <w:pPr>
              <w:pStyle w:val="62"/>
              <w:jc w:val="center"/>
              <w:rPr>
                <w:color w:val="000000" w:themeColor="text1"/>
                <w:sz w:val="21"/>
                <w:szCs w:val="21"/>
              </w:rPr>
            </w:pPr>
            <w:r>
              <w:rPr>
                <w:color w:val="000000" w:themeColor="text1"/>
                <w:sz w:val="21"/>
                <w:szCs w:val="21"/>
              </w:rPr>
              <w:t>4</w:t>
            </w:r>
          </w:p>
        </w:tc>
        <w:tc>
          <w:tcPr>
            <w:tcW w:w="1557" w:type="dxa"/>
            <w:tcBorders>
              <w:top w:val="single" w:color="auto" w:sz="4" w:space="0"/>
              <w:left w:val="single" w:color="auto" w:sz="4" w:space="0"/>
              <w:bottom w:val="single" w:color="auto" w:sz="4" w:space="0"/>
              <w:right w:val="single" w:color="auto" w:sz="4" w:space="0"/>
            </w:tcBorders>
            <w:vAlign w:val="center"/>
          </w:tcPr>
          <w:p w14:paraId="0B77E869">
            <w:pPr>
              <w:pStyle w:val="62"/>
              <w:jc w:val="center"/>
              <w:rPr>
                <w:color w:val="000000" w:themeColor="text1"/>
                <w:sz w:val="21"/>
                <w:szCs w:val="21"/>
              </w:rPr>
            </w:pPr>
          </w:p>
        </w:tc>
        <w:tc>
          <w:tcPr>
            <w:tcW w:w="1052" w:type="dxa"/>
            <w:tcBorders>
              <w:top w:val="single" w:color="auto" w:sz="4" w:space="0"/>
              <w:left w:val="single" w:color="auto" w:sz="4" w:space="0"/>
              <w:bottom w:val="single" w:color="auto" w:sz="4" w:space="0"/>
              <w:right w:val="single" w:color="auto" w:sz="4" w:space="0"/>
            </w:tcBorders>
            <w:vAlign w:val="center"/>
          </w:tcPr>
          <w:p w14:paraId="4E86D958">
            <w:pPr>
              <w:pStyle w:val="62"/>
              <w:jc w:val="center"/>
              <w:rPr>
                <w:color w:val="000000" w:themeColor="text1"/>
                <w:sz w:val="21"/>
                <w:szCs w:val="21"/>
              </w:rPr>
            </w:pPr>
          </w:p>
        </w:tc>
        <w:tc>
          <w:tcPr>
            <w:tcW w:w="1066" w:type="dxa"/>
            <w:tcBorders>
              <w:top w:val="single" w:color="auto" w:sz="4" w:space="0"/>
              <w:left w:val="single" w:color="auto" w:sz="4" w:space="0"/>
              <w:bottom w:val="single" w:color="auto" w:sz="4" w:space="0"/>
              <w:right w:val="single" w:color="auto" w:sz="4" w:space="0"/>
            </w:tcBorders>
            <w:vAlign w:val="center"/>
          </w:tcPr>
          <w:p w14:paraId="70747C81">
            <w:pPr>
              <w:pStyle w:val="62"/>
              <w:jc w:val="center"/>
              <w:rPr>
                <w:color w:val="000000" w:themeColor="text1"/>
                <w:sz w:val="21"/>
                <w:szCs w:val="21"/>
              </w:rPr>
            </w:pPr>
          </w:p>
        </w:tc>
        <w:tc>
          <w:tcPr>
            <w:tcW w:w="1539" w:type="dxa"/>
            <w:tcBorders>
              <w:top w:val="single" w:color="auto" w:sz="4" w:space="0"/>
              <w:left w:val="single" w:color="auto" w:sz="4" w:space="0"/>
              <w:bottom w:val="single" w:color="auto" w:sz="4" w:space="0"/>
              <w:right w:val="single" w:color="auto" w:sz="4" w:space="0"/>
            </w:tcBorders>
          </w:tcPr>
          <w:p w14:paraId="43AC32C7">
            <w:pPr>
              <w:pStyle w:val="62"/>
              <w:jc w:val="center"/>
              <w:rPr>
                <w:color w:val="000000" w:themeColor="text1"/>
                <w:sz w:val="21"/>
                <w:szCs w:val="21"/>
              </w:rPr>
            </w:pPr>
          </w:p>
        </w:tc>
        <w:tc>
          <w:tcPr>
            <w:tcW w:w="1215" w:type="dxa"/>
            <w:tcBorders>
              <w:top w:val="single" w:color="auto" w:sz="4" w:space="0"/>
              <w:left w:val="single" w:color="auto" w:sz="4" w:space="0"/>
              <w:bottom w:val="single" w:color="auto" w:sz="4" w:space="0"/>
              <w:right w:val="single" w:color="auto" w:sz="4" w:space="0"/>
            </w:tcBorders>
          </w:tcPr>
          <w:p w14:paraId="029BA350">
            <w:pPr>
              <w:pStyle w:val="62"/>
              <w:jc w:val="center"/>
              <w:rPr>
                <w:color w:val="000000" w:themeColor="text1"/>
                <w:sz w:val="21"/>
                <w:szCs w:val="21"/>
              </w:rPr>
            </w:pPr>
          </w:p>
        </w:tc>
        <w:tc>
          <w:tcPr>
            <w:tcW w:w="1580" w:type="dxa"/>
            <w:tcBorders>
              <w:top w:val="single" w:color="auto" w:sz="4" w:space="0"/>
              <w:left w:val="single" w:color="auto" w:sz="4" w:space="0"/>
              <w:bottom w:val="single" w:color="auto" w:sz="4" w:space="0"/>
              <w:right w:val="single" w:color="auto" w:sz="4" w:space="0"/>
            </w:tcBorders>
            <w:vAlign w:val="center"/>
          </w:tcPr>
          <w:p w14:paraId="3090808A">
            <w:pPr>
              <w:pStyle w:val="62"/>
              <w:jc w:val="center"/>
              <w:rPr>
                <w:color w:val="000000" w:themeColor="text1"/>
                <w:sz w:val="21"/>
                <w:szCs w:val="21"/>
              </w:rPr>
            </w:pPr>
          </w:p>
        </w:tc>
      </w:tr>
      <w:tr w14:paraId="7A5F6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14:paraId="2CB8CAFC">
            <w:pPr>
              <w:rPr>
                <w:color w:val="000000" w:themeColor="text1"/>
              </w:rPr>
            </w:pPr>
            <w:r>
              <w:rPr>
                <w:color w:val="000000" w:themeColor="text1"/>
              </w:rPr>
              <w:t>…</w:t>
            </w:r>
          </w:p>
        </w:tc>
        <w:tc>
          <w:tcPr>
            <w:tcW w:w="1557" w:type="dxa"/>
            <w:tcBorders>
              <w:top w:val="single" w:color="auto" w:sz="4" w:space="0"/>
              <w:left w:val="single" w:color="auto" w:sz="4" w:space="0"/>
              <w:bottom w:val="single" w:color="auto" w:sz="4" w:space="0"/>
              <w:right w:val="single" w:color="auto" w:sz="4" w:space="0"/>
            </w:tcBorders>
            <w:vAlign w:val="center"/>
          </w:tcPr>
          <w:p w14:paraId="4E3A0A80">
            <w:pPr>
              <w:rPr>
                <w:color w:val="000000" w:themeColor="text1"/>
              </w:rPr>
            </w:pPr>
          </w:p>
        </w:tc>
        <w:tc>
          <w:tcPr>
            <w:tcW w:w="1052" w:type="dxa"/>
            <w:tcBorders>
              <w:top w:val="single" w:color="auto" w:sz="4" w:space="0"/>
              <w:left w:val="single" w:color="auto" w:sz="4" w:space="0"/>
              <w:bottom w:val="single" w:color="auto" w:sz="4" w:space="0"/>
              <w:right w:val="single" w:color="auto" w:sz="4" w:space="0"/>
            </w:tcBorders>
            <w:vAlign w:val="center"/>
          </w:tcPr>
          <w:p w14:paraId="6C58E96B">
            <w:pPr>
              <w:rPr>
                <w:color w:val="000000" w:themeColor="text1"/>
              </w:rPr>
            </w:pPr>
          </w:p>
        </w:tc>
        <w:tc>
          <w:tcPr>
            <w:tcW w:w="1066" w:type="dxa"/>
            <w:tcBorders>
              <w:top w:val="single" w:color="auto" w:sz="4" w:space="0"/>
              <w:left w:val="single" w:color="auto" w:sz="4" w:space="0"/>
              <w:bottom w:val="single" w:color="auto" w:sz="4" w:space="0"/>
              <w:right w:val="single" w:color="auto" w:sz="4" w:space="0"/>
            </w:tcBorders>
            <w:vAlign w:val="center"/>
          </w:tcPr>
          <w:p w14:paraId="0D4D84A3">
            <w:pPr>
              <w:rPr>
                <w:color w:val="000000" w:themeColor="text1"/>
              </w:rPr>
            </w:pPr>
          </w:p>
        </w:tc>
        <w:tc>
          <w:tcPr>
            <w:tcW w:w="1539" w:type="dxa"/>
            <w:tcBorders>
              <w:top w:val="single" w:color="auto" w:sz="4" w:space="0"/>
              <w:left w:val="single" w:color="auto" w:sz="4" w:space="0"/>
              <w:bottom w:val="single" w:color="auto" w:sz="4" w:space="0"/>
              <w:right w:val="single" w:color="auto" w:sz="4" w:space="0"/>
            </w:tcBorders>
          </w:tcPr>
          <w:p w14:paraId="7E0B4217">
            <w:pPr>
              <w:rPr>
                <w:color w:val="000000" w:themeColor="text1"/>
              </w:rPr>
            </w:pPr>
          </w:p>
        </w:tc>
        <w:tc>
          <w:tcPr>
            <w:tcW w:w="1215" w:type="dxa"/>
            <w:tcBorders>
              <w:top w:val="single" w:color="auto" w:sz="4" w:space="0"/>
              <w:left w:val="single" w:color="auto" w:sz="4" w:space="0"/>
              <w:bottom w:val="single" w:color="auto" w:sz="4" w:space="0"/>
              <w:right w:val="single" w:color="auto" w:sz="4" w:space="0"/>
            </w:tcBorders>
          </w:tcPr>
          <w:p w14:paraId="370B1538">
            <w:pPr>
              <w:rPr>
                <w:color w:val="000000" w:themeColor="text1"/>
              </w:rPr>
            </w:pPr>
          </w:p>
        </w:tc>
        <w:tc>
          <w:tcPr>
            <w:tcW w:w="1580" w:type="dxa"/>
            <w:tcBorders>
              <w:top w:val="single" w:color="auto" w:sz="4" w:space="0"/>
              <w:left w:val="single" w:color="auto" w:sz="4" w:space="0"/>
              <w:bottom w:val="single" w:color="auto" w:sz="4" w:space="0"/>
              <w:right w:val="single" w:color="auto" w:sz="4" w:space="0"/>
            </w:tcBorders>
            <w:vAlign w:val="center"/>
          </w:tcPr>
          <w:p w14:paraId="7174F7E0">
            <w:pPr>
              <w:rPr>
                <w:color w:val="000000" w:themeColor="text1"/>
              </w:rPr>
            </w:pPr>
          </w:p>
        </w:tc>
      </w:tr>
    </w:tbl>
    <w:p w14:paraId="7B542E62">
      <w:pPr>
        <w:pStyle w:val="11"/>
        <w:snapToGrid w:val="0"/>
        <w:rPr>
          <w:rFonts w:ascii="Times New Roman" w:hAnsi="Times New Roman" w:eastAsia="宋体"/>
          <w:color w:val="000000" w:themeColor="text1"/>
          <w:sz w:val="24"/>
          <w:szCs w:val="24"/>
          <w:u w:val="single"/>
        </w:rPr>
      </w:pPr>
    </w:p>
    <w:p w14:paraId="538CB280">
      <w:pPr>
        <w:spacing w:line="360" w:lineRule="auto"/>
        <w:ind w:firstLine="210" w:firstLineChars="100"/>
        <w:rPr>
          <w:color w:val="000000" w:themeColor="text1"/>
        </w:rPr>
      </w:pPr>
      <w:r>
        <w:rPr>
          <w:color w:val="000000" w:themeColor="text1"/>
        </w:rPr>
        <w:t>注：1、请附相关证明材料，如职称、资格证书（加盖公章）。</w:t>
      </w:r>
    </w:p>
    <w:p w14:paraId="2BBC7D60">
      <w:pPr>
        <w:rPr>
          <w:b/>
          <w:color w:val="000000" w:themeColor="text1"/>
          <w:kern w:val="0"/>
        </w:rPr>
      </w:pPr>
    </w:p>
    <w:p w14:paraId="3B36C331">
      <w:pPr>
        <w:rPr>
          <w:b/>
          <w:color w:val="000000" w:themeColor="text1"/>
          <w:kern w:val="0"/>
        </w:rPr>
      </w:pPr>
    </w:p>
    <w:p w14:paraId="6EE542E3">
      <w:pPr>
        <w:rPr>
          <w:b/>
          <w:color w:val="000000" w:themeColor="text1"/>
          <w:kern w:val="0"/>
        </w:rPr>
      </w:pPr>
    </w:p>
    <w:p w14:paraId="4C4B8295">
      <w:pPr>
        <w:jc w:val="right"/>
        <w:rPr>
          <w:b/>
          <w:color w:val="000000" w:themeColor="text1"/>
          <w:kern w:val="0"/>
        </w:rPr>
      </w:pPr>
    </w:p>
    <w:p w14:paraId="1DD5D211">
      <w:pPr>
        <w:ind w:firstLine="210" w:firstLineChars="100"/>
        <w:jc w:val="right"/>
        <w:rPr>
          <w:color w:val="000000" w:themeColor="text1"/>
        </w:rPr>
      </w:pPr>
      <w:r>
        <w:rPr>
          <w:color w:val="000000" w:themeColor="text1"/>
        </w:rPr>
        <w:t xml:space="preserve">投标人（盖章）：                        </w:t>
      </w:r>
    </w:p>
    <w:p w14:paraId="27FA5A56">
      <w:pPr>
        <w:ind w:firstLine="199" w:firstLineChars="95"/>
        <w:jc w:val="right"/>
        <w:rPr>
          <w:color w:val="000000" w:themeColor="text1"/>
        </w:rPr>
      </w:pPr>
      <w:r>
        <w:rPr>
          <w:color w:val="000000" w:themeColor="text1"/>
        </w:rPr>
        <w:t>日期：</w:t>
      </w:r>
    </w:p>
    <w:p w14:paraId="174EDFFA">
      <w:pPr>
        <w:pStyle w:val="16"/>
        <w:shd w:val="clear" w:color="auto" w:fill="FFFFFF"/>
        <w:snapToGrid w:val="0"/>
        <w:spacing w:line="360" w:lineRule="auto"/>
        <w:ind w:firstLine="415" w:firstLineChars="198"/>
        <w:rPr>
          <w:rFonts w:ascii="Times New Roman" w:hAnsi="Times New Roman"/>
          <w:color w:val="000000" w:themeColor="text1"/>
          <w:sz w:val="21"/>
          <w:szCs w:val="21"/>
        </w:rPr>
      </w:pPr>
    </w:p>
    <w:p w14:paraId="784BE5DA">
      <w:pPr>
        <w:spacing w:line="360" w:lineRule="auto"/>
        <w:rPr>
          <w:b/>
          <w:color w:val="000000" w:themeColor="text1"/>
          <w:spacing w:val="20"/>
        </w:rPr>
      </w:pPr>
    </w:p>
    <w:p w14:paraId="1AB8AD6F">
      <w:pPr>
        <w:tabs>
          <w:tab w:val="left" w:pos="2340"/>
          <w:tab w:val="left" w:pos="2520"/>
          <w:tab w:val="left" w:pos="2700"/>
          <w:tab w:val="left" w:pos="3060"/>
        </w:tabs>
        <w:spacing w:line="360" w:lineRule="auto"/>
        <w:rPr>
          <w:b/>
          <w:color w:val="000000" w:themeColor="text1"/>
          <w:spacing w:val="20"/>
        </w:rPr>
      </w:pPr>
    </w:p>
    <w:p w14:paraId="67214D94">
      <w:pPr>
        <w:jc w:val="left"/>
        <w:rPr>
          <w:color w:val="000000" w:themeColor="text1"/>
        </w:rPr>
      </w:pPr>
      <w:r>
        <w:rPr>
          <w:b/>
          <w:color w:val="000000" w:themeColor="text1"/>
          <w:sz w:val="24"/>
        </w:rPr>
        <w:br w:type="page"/>
      </w:r>
      <w:r>
        <w:rPr>
          <w:rFonts w:hint="eastAsia"/>
          <w:b/>
          <w:color w:val="000000" w:themeColor="text1"/>
          <w:sz w:val="24"/>
        </w:rPr>
        <w:t>九</w:t>
      </w:r>
      <w:r>
        <w:rPr>
          <w:b/>
          <w:color w:val="000000" w:themeColor="text1"/>
          <w:sz w:val="24"/>
        </w:rPr>
        <w:t>、</w:t>
      </w:r>
      <w:r>
        <w:rPr>
          <w:b/>
          <w:bCs/>
          <w:color w:val="000000" w:themeColor="text1"/>
          <w:kern w:val="0"/>
          <w:lang w:val="zh-CN"/>
        </w:rPr>
        <w:t>所需配备耗材及作业机具配置情况</w:t>
      </w:r>
    </w:p>
    <w:p w14:paraId="63A7D38B">
      <w:pPr>
        <w:pStyle w:val="2"/>
        <w:spacing w:line="360" w:lineRule="auto"/>
        <w:jc w:val="center"/>
        <w:rPr>
          <w:b/>
          <w:bCs/>
          <w:color w:val="000000" w:themeColor="text1"/>
          <w:spacing w:val="-4"/>
          <w:sz w:val="21"/>
          <w:szCs w:val="21"/>
        </w:rPr>
      </w:pPr>
    </w:p>
    <w:p w14:paraId="08766A6C">
      <w:pPr>
        <w:pStyle w:val="2"/>
        <w:spacing w:line="360" w:lineRule="auto"/>
        <w:jc w:val="center"/>
        <w:rPr>
          <w:b/>
          <w:bCs/>
          <w:color w:val="000000" w:themeColor="text1"/>
          <w:sz w:val="21"/>
          <w:lang w:val="zh-CN"/>
        </w:rPr>
      </w:pPr>
      <w:r>
        <w:rPr>
          <w:b/>
          <w:bCs/>
          <w:color w:val="000000" w:themeColor="text1"/>
          <w:sz w:val="21"/>
          <w:lang w:val="zh-CN"/>
        </w:rPr>
        <w:t>服务期所需配备耗材及作业机具配置表</w:t>
      </w:r>
    </w:p>
    <w:tbl>
      <w:tblPr>
        <w:tblStyle w:val="2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7CA67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53FAEB2C">
            <w:pPr>
              <w:adjustRightInd w:val="0"/>
              <w:snapToGrid w:val="0"/>
              <w:spacing w:line="400" w:lineRule="atLeast"/>
              <w:jc w:val="center"/>
              <w:rPr>
                <w:color w:val="000000" w:themeColor="text1"/>
              </w:rPr>
            </w:pPr>
            <w:r>
              <w:rPr>
                <w:color w:val="000000" w:themeColor="text1"/>
              </w:rPr>
              <w:t>名称</w:t>
            </w:r>
          </w:p>
        </w:tc>
        <w:tc>
          <w:tcPr>
            <w:tcW w:w="1388" w:type="dxa"/>
            <w:vAlign w:val="center"/>
          </w:tcPr>
          <w:p w14:paraId="7314CA1C">
            <w:pPr>
              <w:adjustRightInd w:val="0"/>
              <w:snapToGrid w:val="0"/>
              <w:spacing w:line="400" w:lineRule="atLeast"/>
              <w:jc w:val="center"/>
              <w:rPr>
                <w:color w:val="000000" w:themeColor="text1"/>
              </w:rPr>
            </w:pPr>
            <w:r>
              <w:rPr>
                <w:color w:val="000000" w:themeColor="text1"/>
              </w:rPr>
              <w:t>规格</w:t>
            </w:r>
          </w:p>
        </w:tc>
        <w:tc>
          <w:tcPr>
            <w:tcW w:w="1163" w:type="dxa"/>
            <w:vAlign w:val="center"/>
          </w:tcPr>
          <w:p w14:paraId="385285DA">
            <w:pPr>
              <w:adjustRightInd w:val="0"/>
              <w:snapToGrid w:val="0"/>
              <w:spacing w:line="400" w:lineRule="atLeast"/>
              <w:jc w:val="center"/>
              <w:rPr>
                <w:color w:val="000000" w:themeColor="text1"/>
              </w:rPr>
            </w:pPr>
            <w:r>
              <w:rPr>
                <w:color w:val="000000" w:themeColor="text1"/>
              </w:rPr>
              <w:t>数量</w:t>
            </w:r>
          </w:p>
        </w:tc>
        <w:tc>
          <w:tcPr>
            <w:tcW w:w="1704" w:type="dxa"/>
            <w:vAlign w:val="center"/>
          </w:tcPr>
          <w:p w14:paraId="0456B2AA">
            <w:pPr>
              <w:adjustRightInd w:val="0"/>
              <w:snapToGrid w:val="0"/>
              <w:spacing w:line="400" w:lineRule="atLeast"/>
              <w:jc w:val="center"/>
              <w:rPr>
                <w:color w:val="000000" w:themeColor="text1"/>
              </w:rPr>
            </w:pPr>
            <w:r>
              <w:rPr>
                <w:color w:val="000000" w:themeColor="text1"/>
              </w:rPr>
              <w:t>产地</w:t>
            </w:r>
          </w:p>
        </w:tc>
        <w:tc>
          <w:tcPr>
            <w:tcW w:w="2199" w:type="dxa"/>
            <w:vAlign w:val="center"/>
          </w:tcPr>
          <w:p w14:paraId="27DB0513">
            <w:pPr>
              <w:adjustRightInd w:val="0"/>
              <w:snapToGrid w:val="0"/>
              <w:spacing w:line="400" w:lineRule="atLeast"/>
              <w:jc w:val="center"/>
              <w:rPr>
                <w:color w:val="000000" w:themeColor="text1"/>
              </w:rPr>
            </w:pPr>
            <w:r>
              <w:rPr>
                <w:color w:val="000000" w:themeColor="text1"/>
              </w:rPr>
              <w:t>备注</w:t>
            </w:r>
          </w:p>
        </w:tc>
      </w:tr>
      <w:tr w14:paraId="151F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A02E637">
            <w:pPr>
              <w:adjustRightInd w:val="0"/>
              <w:snapToGrid w:val="0"/>
              <w:spacing w:line="400" w:lineRule="atLeast"/>
              <w:ind w:firstLine="420"/>
              <w:jc w:val="center"/>
              <w:rPr>
                <w:color w:val="000000" w:themeColor="text1"/>
              </w:rPr>
            </w:pPr>
          </w:p>
        </w:tc>
        <w:tc>
          <w:tcPr>
            <w:tcW w:w="1388" w:type="dxa"/>
          </w:tcPr>
          <w:p w14:paraId="36DB0A8D">
            <w:pPr>
              <w:adjustRightInd w:val="0"/>
              <w:snapToGrid w:val="0"/>
              <w:spacing w:line="400" w:lineRule="atLeast"/>
              <w:ind w:firstLine="420"/>
              <w:jc w:val="center"/>
              <w:rPr>
                <w:color w:val="000000" w:themeColor="text1"/>
              </w:rPr>
            </w:pPr>
          </w:p>
        </w:tc>
        <w:tc>
          <w:tcPr>
            <w:tcW w:w="1163" w:type="dxa"/>
          </w:tcPr>
          <w:p w14:paraId="3A21CF64">
            <w:pPr>
              <w:adjustRightInd w:val="0"/>
              <w:snapToGrid w:val="0"/>
              <w:spacing w:line="400" w:lineRule="atLeast"/>
              <w:ind w:firstLine="420"/>
              <w:jc w:val="center"/>
              <w:rPr>
                <w:color w:val="000000" w:themeColor="text1"/>
              </w:rPr>
            </w:pPr>
          </w:p>
        </w:tc>
        <w:tc>
          <w:tcPr>
            <w:tcW w:w="1704" w:type="dxa"/>
          </w:tcPr>
          <w:p w14:paraId="147EAFC3">
            <w:pPr>
              <w:adjustRightInd w:val="0"/>
              <w:snapToGrid w:val="0"/>
              <w:spacing w:line="400" w:lineRule="atLeast"/>
              <w:ind w:firstLine="420"/>
              <w:jc w:val="center"/>
              <w:rPr>
                <w:color w:val="000000" w:themeColor="text1"/>
              </w:rPr>
            </w:pPr>
          </w:p>
        </w:tc>
        <w:tc>
          <w:tcPr>
            <w:tcW w:w="2199" w:type="dxa"/>
          </w:tcPr>
          <w:p w14:paraId="32727F4C">
            <w:pPr>
              <w:adjustRightInd w:val="0"/>
              <w:snapToGrid w:val="0"/>
              <w:spacing w:line="400" w:lineRule="atLeast"/>
              <w:ind w:firstLine="420"/>
              <w:jc w:val="center"/>
              <w:rPr>
                <w:color w:val="000000" w:themeColor="text1"/>
              </w:rPr>
            </w:pPr>
          </w:p>
        </w:tc>
      </w:tr>
      <w:tr w14:paraId="71665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B5D3B52">
            <w:pPr>
              <w:adjustRightInd w:val="0"/>
              <w:snapToGrid w:val="0"/>
              <w:spacing w:line="400" w:lineRule="atLeast"/>
              <w:ind w:firstLine="480"/>
              <w:jc w:val="center"/>
              <w:rPr>
                <w:color w:val="000000" w:themeColor="text1"/>
                <w:sz w:val="24"/>
                <w:szCs w:val="24"/>
              </w:rPr>
            </w:pPr>
          </w:p>
        </w:tc>
        <w:tc>
          <w:tcPr>
            <w:tcW w:w="1388" w:type="dxa"/>
          </w:tcPr>
          <w:p w14:paraId="3CBA2506">
            <w:pPr>
              <w:adjustRightInd w:val="0"/>
              <w:snapToGrid w:val="0"/>
              <w:spacing w:line="400" w:lineRule="atLeast"/>
              <w:ind w:firstLine="480"/>
              <w:jc w:val="center"/>
              <w:rPr>
                <w:color w:val="000000" w:themeColor="text1"/>
                <w:sz w:val="24"/>
                <w:szCs w:val="24"/>
              </w:rPr>
            </w:pPr>
          </w:p>
        </w:tc>
        <w:tc>
          <w:tcPr>
            <w:tcW w:w="1163" w:type="dxa"/>
          </w:tcPr>
          <w:p w14:paraId="30A33C12">
            <w:pPr>
              <w:adjustRightInd w:val="0"/>
              <w:snapToGrid w:val="0"/>
              <w:spacing w:line="400" w:lineRule="atLeast"/>
              <w:ind w:firstLine="480"/>
              <w:jc w:val="center"/>
              <w:rPr>
                <w:color w:val="000000" w:themeColor="text1"/>
                <w:sz w:val="24"/>
                <w:szCs w:val="24"/>
              </w:rPr>
            </w:pPr>
          </w:p>
        </w:tc>
        <w:tc>
          <w:tcPr>
            <w:tcW w:w="1704" w:type="dxa"/>
          </w:tcPr>
          <w:p w14:paraId="58D2A7A9">
            <w:pPr>
              <w:adjustRightInd w:val="0"/>
              <w:snapToGrid w:val="0"/>
              <w:spacing w:line="400" w:lineRule="atLeast"/>
              <w:ind w:firstLine="480"/>
              <w:jc w:val="center"/>
              <w:rPr>
                <w:color w:val="000000" w:themeColor="text1"/>
                <w:sz w:val="24"/>
                <w:szCs w:val="24"/>
              </w:rPr>
            </w:pPr>
          </w:p>
        </w:tc>
        <w:tc>
          <w:tcPr>
            <w:tcW w:w="2199" w:type="dxa"/>
          </w:tcPr>
          <w:p w14:paraId="3A099B6A">
            <w:pPr>
              <w:adjustRightInd w:val="0"/>
              <w:snapToGrid w:val="0"/>
              <w:spacing w:line="400" w:lineRule="atLeast"/>
              <w:ind w:firstLine="480"/>
              <w:jc w:val="center"/>
              <w:rPr>
                <w:color w:val="000000" w:themeColor="text1"/>
                <w:sz w:val="24"/>
                <w:szCs w:val="24"/>
              </w:rPr>
            </w:pPr>
          </w:p>
        </w:tc>
      </w:tr>
      <w:tr w14:paraId="073D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352280DC">
            <w:pPr>
              <w:adjustRightInd w:val="0"/>
              <w:snapToGrid w:val="0"/>
              <w:spacing w:line="400" w:lineRule="atLeast"/>
              <w:ind w:firstLine="480"/>
              <w:jc w:val="center"/>
              <w:rPr>
                <w:color w:val="000000" w:themeColor="text1"/>
                <w:sz w:val="24"/>
                <w:szCs w:val="24"/>
              </w:rPr>
            </w:pPr>
          </w:p>
        </w:tc>
        <w:tc>
          <w:tcPr>
            <w:tcW w:w="1388" w:type="dxa"/>
          </w:tcPr>
          <w:p w14:paraId="5E8B0E02">
            <w:pPr>
              <w:adjustRightInd w:val="0"/>
              <w:snapToGrid w:val="0"/>
              <w:spacing w:line="400" w:lineRule="atLeast"/>
              <w:ind w:firstLine="480"/>
              <w:jc w:val="center"/>
              <w:rPr>
                <w:color w:val="000000" w:themeColor="text1"/>
                <w:sz w:val="24"/>
                <w:szCs w:val="24"/>
              </w:rPr>
            </w:pPr>
          </w:p>
        </w:tc>
        <w:tc>
          <w:tcPr>
            <w:tcW w:w="1163" w:type="dxa"/>
          </w:tcPr>
          <w:p w14:paraId="76AFB62B">
            <w:pPr>
              <w:adjustRightInd w:val="0"/>
              <w:snapToGrid w:val="0"/>
              <w:spacing w:line="400" w:lineRule="atLeast"/>
              <w:ind w:firstLine="480"/>
              <w:jc w:val="center"/>
              <w:rPr>
                <w:color w:val="000000" w:themeColor="text1"/>
                <w:sz w:val="24"/>
                <w:szCs w:val="24"/>
              </w:rPr>
            </w:pPr>
          </w:p>
        </w:tc>
        <w:tc>
          <w:tcPr>
            <w:tcW w:w="1704" w:type="dxa"/>
          </w:tcPr>
          <w:p w14:paraId="4AA8ED05">
            <w:pPr>
              <w:adjustRightInd w:val="0"/>
              <w:snapToGrid w:val="0"/>
              <w:spacing w:line="400" w:lineRule="atLeast"/>
              <w:ind w:firstLine="480"/>
              <w:jc w:val="center"/>
              <w:rPr>
                <w:color w:val="000000" w:themeColor="text1"/>
                <w:sz w:val="24"/>
                <w:szCs w:val="24"/>
              </w:rPr>
            </w:pPr>
          </w:p>
        </w:tc>
        <w:tc>
          <w:tcPr>
            <w:tcW w:w="2199" w:type="dxa"/>
          </w:tcPr>
          <w:p w14:paraId="597B2310">
            <w:pPr>
              <w:adjustRightInd w:val="0"/>
              <w:snapToGrid w:val="0"/>
              <w:spacing w:line="400" w:lineRule="atLeast"/>
              <w:ind w:firstLine="480"/>
              <w:jc w:val="center"/>
              <w:rPr>
                <w:color w:val="000000" w:themeColor="text1"/>
                <w:sz w:val="24"/>
                <w:szCs w:val="24"/>
              </w:rPr>
            </w:pPr>
          </w:p>
        </w:tc>
      </w:tr>
      <w:tr w14:paraId="08DE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272FC92A">
            <w:pPr>
              <w:adjustRightInd w:val="0"/>
              <w:snapToGrid w:val="0"/>
              <w:spacing w:line="400" w:lineRule="atLeast"/>
              <w:ind w:firstLine="480"/>
              <w:jc w:val="center"/>
              <w:rPr>
                <w:color w:val="000000" w:themeColor="text1"/>
                <w:sz w:val="24"/>
                <w:szCs w:val="24"/>
              </w:rPr>
            </w:pPr>
          </w:p>
        </w:tc>
        <w:tc>
          <w:tcPr>
            <w:tcW w:w="1388" w:type="dxa"/>
          </w:tcPr>
          <w:p w14:paraId="64461819">
            <w:pPr>
              <w:adjustRightInd w:val="0"/>
              <w:snapToGrid w:val="0"/>
              <w:spacing w:line="400" w:lineRule="atLeast"/>
              <w:ind w:firstLine="480"/>
              <w:jc w:val="center"/>
              <w:rPr>
                <w:color w:val="000000" w:themeColor="text1"/>
                <w:sz w:val="24"/>
                <w:szCs w:val="24"/>
              </w:rPr>
            </w:pPr>
          </w:p>
        </w:tc>
        <w:tc>
          <w:tcPr>
            <w:tcW w:w="1163" w:type="dxa"/>
          </w:tcPr>
          <w:p w14:paraId="7730F1CB">
            <w:pPr>
              <w:adjustRightInd w:val="0"/>
              <w:snapToGrid w:val="0"/>
              <w:spacing w:line="400" w:lineRule="atLeast"/>
              <w:ind w:firstLine="480"/>
              <w:jc w:val="center"/>
              <w:rPr>
                <w:color w:val="000000" w:themeColor="text1"/>
                <w:sz w:val="24"/>
                <w:szCs w:val="24"/>
              </w:rPr>
            </w:pPr>
          </w:p>
        </w:tc>
        <w:tc>
          <w:tcPr>
            <w:tcW w:w="1704" w:type="dxa"/>
          </w:tcPr>
          <w:p w14:paraId="71240FD5">
            <w:pPr>
              <w:adjustRightInd w:val="0"/>
              <w:snapToGrid w:val="0"/>
              <w:spacing w:line="400" w:lineRule="atLeast"/>
              <w:ind w:firstLine="480"/>
              <w:jc w:val="center"/>
              <w:rPr>
                <w:color w:val="000000" w:themeColor="text1"/>
                <w:sz w:val="24"/>
                <w:szCs w:val="24"/>
              </w:rPr>
            </w:pPr>
          </w:p>
        </w:tc>
        <w:tc>
          <w:tcPr>
            <w:tcW w:w="2199" w:type="dxa"/>
          </w:tcPr>
          <w:p w14:paraId="08950EE9">
            <w:pPr>
              <w:adjustRightInd w:val="0"/>
              <w:snapToGrid w:val="0"/>
              <w:spacing w:line="400" w:lineRule="atLeast"/>
              <w:ind w:firstLine="480"/>
              <w:jc w:val="center"/>
              <w:rPr>
                <w:color w:val="000000" w:themeColor="text1"/>
                <w:sz w:val="24"/>
                <w:szCs w:val="24"/>
              </w:rPr>
            </w:pPr>
          </w:p>
        </w:tc>
      </w:tr>
      <w:tr w14:paraId="0E6A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06E3A4FA">
            <w:pPr>
              <w:adjustRightInd w:val="0"/>
              <w:snapToGrid w:val="0"/>
              <w:spacing w:line="400" w:lineRule="atLeast"/>
              <w:ind w:firstLine="480"/>
              <w:jc w:val="center"/>
              <w:rPr>
                <w:color w:val="000000" w:themeColor="text1"/>
                <w:sz w:val="24"/>
                <w:szCs w:val="24"/>
              </w:rPr>
            </w:pPr>
          </w:p>
        </w:tc>
        <w:tc>
          <w:tcPr>
            <w:tcW w:w="1388" w:type="dxa"/>
          </w:tcPr>
          <w:p w14:paraId="2E5BA6AC">
            <w:pPr>
              <w:adjustRightInd w:val="0"/>
              <w:snapToGrid w:val="0"/>
              <w:spacing w:line="400" w:lineRule="atLeast"/>
              <w:ind w:firstLine="480"/>
              <w:jc w:val="center"/>
              <w:rPr>
                <w:color w:val="000000" w:themeColor="text1"/>
                <w:sz w:val="24"/>
                <w:szCs w:val="24"/>
              </w:rPr>
            </w:pPr>
          </w:p>
        </w:tc>
        <w:tc>
          <w:tcPr>
            <w:tcW w:w="1163" w:type="dxa"/>
          </w:tcPr>
          <w:p w14:paraId="5C7D9E83">
            <w:pPr>
              <w:adjustRightInd w:val="0"/>
              <w:snapToGrid w:val="0"/>
              <w:spacing w:line="400" w:lineRule="atLeast"/>
              <w:ind w:firstLine="480"/>
              <w:jc w:val="center"/>
              <w:rPr>
                <w:color w:val="000000" w:themeColor="text1"/>
                <w:sz w:val="24"/>
                <w:szCs w:val="24"/>
              </w:rPr>
            </w:pPr>
          </w:p>
        </w:tc>
        <w:tc>
          <w:tcPr>
            <w:tcW w:w="1704" w:type="dxa"/>
          </w:tcPr>
          <w:p w14:paraId="7EC5FF5F">
            <w:pPr>
              <w:adjustRightInd w:val="0"/>
              <w:snapToGrid w:val="0"/>
              <w:spacing w:line="400" w:lineRule="atLeast"/>
              <w:ind w:firstLine="480"/>
              <w:jc w:val="center"/>
              <w:rPr>
                <w:color w:val="000000" w:themeColor="text1"/>
                <w:sz w:val="24"/>
                <w:szCs w:val="24"/>
              </w:rPr>
            </w:pPr>
          </w:p>
        </w:tc>
        <w:tc>
          <w:tcPr>
            <w:tcW w:w="2199" w:type="dxa"/>
          </w:tcPr>
          <w:p w14:paraId="41A9D672">
            <w:pPr>
              <w:adjustRightInd w:val="0"/>
              <w:snapToGrid w:val="0"/>
              <w:spacing w:line="400" w:lineRule="atLeast"/>
              <w:ind w:firstLine="480"/>
              <w:jc w:val="center"/>
              <w:rPr>
                <w:color w:val="000000" w:themeColor="text1"/>
                <w:sz w:val="24"/>
                <w:szCs w:val="24"/>
              </w:rPr>
            </w:pPr>
          </w:p>
        </w:tc>
      </w:tr>
      <w:tr w14:paraId="7E31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60D9CDC">
            <w:pPr>
              <w:adjustRightInd w:val="0"/>
              <w:snapToGrid w:val="0"/>
              <w:spacing w:line="400" w:lineRule="atLeast"/>
              <w:ind w:firstLine="480"/>
              <w:jc w:val="center"/>
              <w:rPr>
                <w:color w:val="000000" w:themeColor="text1"/>
                <w:sz w:val="24"/>
                <w:szCs w:val="24"/>
              </w:rPr>
            </w:pPr>
          </w:p>
        </w:tc>
        <w:tc>
          <w:tcPr>
            <w:tcW w:w="1388" w:type="dxa"/>
          </w:tcPr>
          <w:p w14:paraId="68041543">
            <w:pPr>
              <w:adjustRightInd w:val="0"/>
              <w:snapToGrid w:val="0"/>
              <w:spacing w:line="400" w:lineRule="atLeast"/>
              <w:ind w:firstLine="480"/>
              <w:jc w:val="center"/>
              <w:rPr>
                <w:color w:val="000000" w:themeColor="text1"/>
                <w:sz w:val="24"/>
                <w:szCs w:val="24"/>
              </w:rPr>
            </w:pPr>
          </w:p>
        </w:tc>
        <w:tc>
          <w:tcPr>
            <w:tcW w:w="1163" w:type="dxa"/>
          </w:tcPr>
          <w:p w14:paraId="25582594">
            <w:pPr>
              <w:adjustRightInd w:val="0"/>
              <w:snapToGrid w:val="0"/>
              <w:spacing w:line="400" w:lineRule="atLeast"/>
              <w:ind w:firstLine="480"/>
              <w:jc w:val="center"/>
              <w:rPr>
                <w:color w:val="000000" w:themeColor="text1"/>
                <w:sz w:val="24"/>
                <w:szCs w:val="24"/>
              </w:rPr>
            </w:pPr>
          </w:p>
        </w:tc>
        <w:tc>
          <w:tcPr>
            <w:tcW w:w="1704" w:type="dxa"/>
          </w:tcPr>
          <w:p w14:paraId="35B1F4FC">
            <w:pPr>
              <w:adjustRightInd w:val="0"/>
              <w:snapToGrid w:val="0"/>
              <w:spacing w:line="400" w:lineRule="atLeast"/>
              <w:ind w:firstLine="480"/>
              <w:jc w:val="center"/>
              <w:rPr>
                <w:color w:val="000000" w:themeColor="text1"/>
                <w:sz w:val="24"/>
                <w:szCs w:val="24"/>
              </w:rPr>
            </w:pPr>
          </w:p>
        </w:tc>
        <w:tc>
          <w:tcPr>
            <w:tcW w:w="2199" w:type="dxa"/>
          </w:tcPr>
          <w:p w14:paraId="04D230FC">
            <w:pPr>
              <w:adjustRightInd w:val="0"/>
              <w:snapToGrid w:val="0"/>
              <w:spacing w:line="400" w:lineRule="atLeast"/>
              <w:ind w:firstLine="480"/>
              <w:jc w:val="center"/>
              <w:rPr>
                <w:color w:val="000000" w:themeColor="text1"/>
                <w:sz w:val="24"/>
                <w:szCs w:val="24"/>
              </w:rPr>
            </w:pPr>
          </w:p>
        </w:tc>
      </w:tr>
      <w:tr w14:paraId="78C75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5D117F7E">
            <w:pPr>
              <w:adjustRightInd w:val="0"/>
              <w:snapToGrid w:val="0"/>
              <w:spacing w:line="400" w:lineRule="atLeast"/>
              <w:ind w:firstLine="480"/>
              <w:jc w:val="center"/>
              <w:rPr>
                <w:color w:val="000000" w:themeColor="text1"/>
                <w:sz w:val="24"/>
                <w:szCs w:val="24"/>
              </w:rPr>
            </w:pPr>
          </w:p>
        </w:tc>
        <w:tc>
          <w:tcPr>
            <w:tcW w:w="1388" w:type="dxa"/>
          </w:tcPr>
          <w:p w14:paraId="02D41FF9">
            <w:pPr>
              <w:adjustRightInd w:val="0"/>
              <w:snapToGrid w:val="0"/>
              <w:spacing w:line="400" w:lineRule="atLeast"/>
              <w:ind w:firstLine="480"/>
              <w:jc w:val="center"/>
              <w:rPr>
                <w:color w:val="000000" w:themeColor="text1"/>
                <w:sz w:val="24"/>
                <w:szCs w:val="24"/>
              </w:rPr>
            </w:pPr>
          </w:p>
        </w:tc>
        <w:tc>
          <w:tcPr>
            <w:tcW w:w="1163" w:type="dxa"/>
          </w:tcPr>
          <w:p w14:paraId="653AF160">
            <w:pPr>
              <w:adjustRightInd w:val="0"/>
              <w:snapToGrid w:val="0"/>
              <w:spacing w:line="400" w:lineRule="atLeast"/>
              <w:ind w:firstLine="480"/>
              <w:jc w:val="center"/>
              <w:rPr>
                <w:color w:val="000000" w:themeColor="text1"/>
                <w:sz w:val="24"/>
                <w:szCs w:val="24"/>
              </w:rPr>
            </w:pPr>
          </w:p>
        </w:tc>
        <w:tc>
          <w:tcPr>
            <w:tcW w:w="1704" w:type="dxa"/>
          </w:tcPr>
          <w:p w14:paraId="1307B1BD">
            <w:pPr>
              <w:adjustRightInd w:val="0"/>
              <w:snapToGrid w:val="0"/>
              <w:spacing w:line="400" w:lineRule="atLeast"/>
              <w:ind w:firstLine="480"/>
              <w:jc w:val="center"/>
              <w:rPr>
                <w:color w:val="000000" w:themeColor="text1"/>
                <w:sz w:val="24"/>
                <w:szCs w:val="24"/>
              </w:rPr>
            </w:pPr>
          </w:p>
        </w:tc>
        <w:tc>
          <w:tcPr>
            <w:tcW w:w="2199" w:type="dxa"/>
          </w:tcPr>
          <w:p w14:paraId="53B2A7A0">
            <w:pPr>
              <w:adjustRightInd w:val="0"/>
              <w:snapToGrid w:val="0"/>
              <w:spacing w:line="400" w:lineRule="atLeast"/>
              <w:ind w:firstLine="480"/>
              <w:jc w:val="center"/>
              <w:rPr>
                <w:color w:val="000000" w:themeColor="text1"/>
                <w:sz w:val="24"/>
                <w:szCs w:val="24"/>
              </w:rPr>
            </w:pPr>
          </w:p>
        </w:tc>
      </w:tr>
      <w:tr w14:paraId="260D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6C2874D">
            <w:pPr>
              <w:adjustRightInd w:val="0"/>
              <w:snapToGrid w:val="0"/>
              <w:spacing w:line="400" w:lineRule="atLeast"/>
              <w:ind w:firstLine="480"/>
              <w:jc w:val="center"/>
              <w:rPr>
                <w:color w:val="000000" w:themeColor="text1"/>
                <w:sz w:val="24"/>
                <w:szCs w:val="24"/>
              </w:rPr>
            </w:pPr>
          </w:p>
        </w:tc>
        <w:tc>
          <w:tcPr>
            <w:tcW w:w="1388" w:type="dxa"/>
          </w:tcPr>
          <w:p w14:paraId="7B053B9F">
            <w:pPr>
              <w:adjustRightInd w:val="0"/>
              <w:snapToGrid w:val="0"/>
              <w:spacing w:line="400" w:lineRule="atLeast"/>
              <w:ind w:firstLine="480"/>
              <w:jc w:val="center"/>
              <w:rPr>
                <w:color w:val="000000" w:themeColor="text1"/>
                <w:sz w:val="24"/>
                <w:szCs w:val="24"/>
              </w:rPr>
            </w:pPr>
          </w:p>
        </w:tc>
        <w:tc>
          <w:tcPr>
            <w:tcW w:w="1163" w:type="dxa"/>
          </w:tcPr>
          <w:p w14:paraId="4D5EDDD0">
            <w:pPr>
              <w:adjustRightInd w:val="0"/>
              <w:snapToGrid w:val="0"/>
              <w:spacing w:line="400" w:lineRule="atLeast"/>
              <w:ind w:firstLine="480"/>
              <w:jc w:val="center"/>
              <w:rPr>
                <w:color w:val="000000" w:themeColor="text1"/>
                <w:sz w:val="24"/>
                <w:szCs w:val="24"/>
              </w:rPr>
            </w:pPr>
          </w:p>
        </w:tc>
        <w:tc>
          <w:tcPr>
            <w:tcW w:w="1704" w:type="dxa"/>
          </w:tcPr>
          <w:p w14:paraId="0C1071AF">
            <w:pPr>
              <w:adjustRightInd w:val="0"/>
              <w:snapToGrid w:val="0"/>
              <w:spacing w:line="400" w:lineRule="atLeast"/>
              <w:ind w:firstLine="480"/>
              <w:jc w:val="center"/>
              <w:rPr>
                <w:color w:val="000000" w:themeColor="text1"/>
                <w:sz w:val="24"/>
                <w:szCs w:val="24"/>
              </w:rPr>
            </w:pPr>
          </w:p>
        </w:tc>
        <w:tc>
          <w:tcPr>
            <w:tcW w:w="2199" w:type="dxa"/>
          </w:tcPr>
          <w:p w14:paraId="3F8C401D">
            <w:pPr>
              <w:adjustRightInd w:val="0"/>
              <w:snapToGrid w:val="0"/>
              <w:spacing w:line="400" w:lineRule="atLeast"/>
              <w:ind w:firstLine="480"/>
              <w:jc w:val="center"/>
              <w:rPr>
                <w:color w:val="000000" w:themeColor="text1"/>
                <w:sz w:val="24"/>
                <w:szCs w:val="24"/>
              </w:rPr>
            </w:pPr>
          </w:p>
        </w:tc>
      </w:tr>
    </w:tbl>
    <w:p w14:paraId="0586A940">
      <w:pPr>
        <w:rPr>
          <w:b/>
          <w:bCs/>
          <w:color w:val="000000" w:themeColor="text1"/>
          <w:kern w:val="0"/>
        </w:rPr>
      </w:pPr>
    </w:p>
    <w:p w14:paraId="6086FB61">
      <w:pPr>
        <w:rPr>
          <w:b/>
          <w:bCs/>
          <w:color w:val="000000" w:themeColor="text1"/>
          <w:kern w:val="0"/>
        </w:rPr>
      </w:pPr>
    </w:p>
    <w:p w14:paraId="58B034E7">
      <w:pPr>
        <w:ind w:firstLine="210" w:firstLineChars="100"/>
        <w:jc w:val="left"/>
        <w:rPr>
          <w:color w:val="000000" w:themeColor="text1"/>
        </w:rPr>
      </w:pPr>
      <w:r>
        <w:rPr>
          <w:color w:val="000000" w:themeColor="text1"/>
        </w:rPr>
        <w:t>投标人（盖章）：</w:t>
      </w:r>
    </w:p>
    <w:p w14:paraId="7C257318">
      <w:pPr>
        <w:ind w:firstLine="199" w:firstLineChars="95"/>
        <w:jc w:val="left"/>
        <w:rPr>
          <w:color w:val="000000" w:themeColor="text1"/>
        </w:rPr>
      </w:pPr>
      <w:r>
        <w:rPr>
          <w:color w:val="000000" w:themeColor="text1"/>
        </w:rPr>
        <w:t>日期：</w:t>
      </w:r>
    </w:p>
    <w:p w14:paraId="1D70A62B">
      <w:pPr>
        <w:pStyle w:val="25"/>
        <w:ind w:firstLine="0" w:firstLineChars="0"/>
        <w:rPr>
          <w:color w:val="000000" w:themeColor="text1"/>
        </w:rPr>
      </w:pPr>
    </w:p>
    <w:p w14:paraId="4A3480E6">
      <w:pPr>
        <w:spacing w:line="380" w:lineRule="exact"/>
        <w:ind w:left="-359" w:leftChars="-171"/>
        <w:jc w:val="left"/>
        <w:rPr>
          <w:rFonts w:hint="eastAsia" w:eastAsia="宋体"/>
          <w:b/>
          <w:bCs/>
          <w:color w:val="000000" w:themeColor="text1"/>
          <w:sz w:val="28"/>
          <w:szCs w:val="28"/>
          <w:lang w:eastAsia="zh-CN"/>
        </w:rPr>
      </w:pPr>
      <w:r>
        <w:rPr>
          <w:b/>
          <w:bCs/>
          <w:color w:val="000000" w:themeColor="text1"/>
          <w:spacing w:val="-4"/>
        </w:rPr>
        <w:br w:type="page"/>
      </w:r>
      <w:r>
        <w:rPr>
          <w:rFonts w:hint="eastAsia"/>
          <w:b/>
          <w:color w:val="000000" w:themeColor="text1"/>
          <w:sz w:val="24"/>
        </w:rPr>
        <w:t>十、</w:t>
      </w:r>
      <w:r>
        <w:rPr>
          <w:rFonts w:hint="eastAsia"/>
          <w:b/>
          <w:color w:val="000000" w:themeColor="text1"/>
          <w:sz w:val="24"/>
          <w:lang w:eastAsia="zh-CN"/>
        </w:rPr>
        <w:t>商务响应表</w:t>
      </w:r>
    </w:p>
    <w:p w14:paraId="73CCD500">
      <w:pPr>
        <w:snapToGrid w:val="0"/>
        <w:spacing w:before="50" w:after="50"/>
        <w:jc w:val="center"/>
        <w:rPr>
          <w:rFonts w:hint="eastAsia" w:ascii="宋体" w:hAnsi="宋体" w:eastAsia="宋体" w:cs="宋体"/>
          <w:color w:val="000000" w:themeColor="text1"/>
          <w:lang w:eastAsia="zh-CN"/>
        </w:rPr>
      </w:pPr>
      <w:r>
        <w:rPr>
          <w:rFonts w:hint="eastAsia" w:ascii="宋体" w:hAnsi="宋体"/>
          <w:b/>
          <w:color w:val="000000" w:themeColor="text1"/>
          <w:kern w:val="0"/>
          <w:lang w:eastAsia="zh-CN"/>
        </w:rPr>
        <w:t>商务响应表（</w:t>
      </w:r>
      <w:r>
        <w:rPr>
          <w:rFonts w:hint="eastAsia" w:ascii="宋体" w:hAnsi="宋体"/>
          <w:b/>
          <w:color w:val="000000" w:themeColor="text1"/>
          <w:kern w:val="0"/>
          <w:lang w:val="en-US" w:eastAsia="zh-CN"/>
        </w:rPr>
        <w:t>标项一</w:t>
      </w:r>
      <w:r>
        <w:rPr>
          <w:rFonts w:hint="eastAsia" w:ascii="宋体" w:hAnsi="宋体"/>
          <w:b/>
          <w:color w:val="000000" w:themeColor="text1"/>
          <w:kern w:val="0"/>
          <w:lang w:eastAsia="zh-CN"/>
        </w:rPr>
        <w:t>）</w:t>
      </w:r>
    </w:p>
    <w:p w14:paraId="2920B6B7">
      <w:pPr>
        <w:snapToGrid w:val="0"/>
        <w:spacing w:before="50" w:after="50"/>
        <w:rPr>
          <w:rFonts w:ascii="宋体" w:cs="宋体"/>
          <w:color w:val="000000" w:themeColor="text1"/>
        </w:rPr>
      </w:pPr>
      <w:r>
        <w:rPr>
          <w:rFonts w:hint="eastAsia" w:ascii="宋体" w:hAnsi="宋体" w:cs="宋体"/>
          <w:color w:val="000000" w:themeColor="text1"/>
        </w:rPr>
        <w:t xml:space="preserve">招标编号：  </w:t>
      </w:r>
      <w:r>
        <w:rPr>
          <w:rFonts w:hint="eastAsia" w:ascii="宋体" w:hAnsi="宋体" w:cs="宋体"/>
          <w:color w:val="000000" w:themeColor="text1"/>
          <w:lang w:val="en-US" w:eastAsia="zh-CN"/>
        </w:rPr>
        <w:t>标项</w:t>
      </w:r>
      <w:r>
        <w:rPr>
          <w:rFonts w:hint="eastAsia" w:ascii="宋体" w:hAnsi="宋体" w:cs="宋体"/>
          <w:color w:val="000000" w:themeColor="text1"/>
        </w:rPr>
        <w:t>名称：</w:t>
      </w:r>
      <w:r>
        <w:rPr>
          <w:rFonts w:ascii="宋体" w:hAnsi="宋体" w:cs="宋体"/>
          <w:color w:val="000000" w:themeColor="text1"/>
          <w:u w:val="single"/>
        </w:rPr>
        <w:t xml:space="preserve">                    </w:t>
      </w:r>
    </w:p>
    <w:tbl>
      <w:tblPr>
        <w:tblStyle w:val="27"/>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5400"/>
        <w:gridCol w:w="1012"/>
        <w:gridCol w:w="1225"/>
      </w:tblGrid>
      <w:tr w14:paraId="5975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141" w:type="dxa"/>
            <w:vAlign w:val="center"/>
          </w:tcPr>
          <w:p w14:paraId="555EA977">
            <w:pPr>
              <w:spacing w:line="400" w:lineRule="exact"/>
              <w:jc w:val="center"/>
              <w:rPr>
                <w:bCs/>
                <w:color w:val="000000" w:themeColor="text1"/>
              </w:rPr>
            </w:pPr>
            <w:r>
              <w:rPr>
                <w:bCs/>
                <w:color w:val="000000" w:themeColor="text1"/>
              </w:rPr>
              <w:t>内   容</w:t>
            </w:r>
          </w:p>
        </w:tc>
        <w:tc>
          <w:tcPr>
            <w:tcW w:w="5400" w:type="dxa"/>
            <w:vAlign w:val="center"/>
          </w:tcPr>
          <w:p w14:paraId="72DB56DE">
            <w:pPr>
              <w:spacing w:line="400" w:lineRule="exact"/>
              <w:jc w:val="center"/>
              <w:rPr>
                <w:bCs/>
                <w:color w:val="000000" w:themeColor="text1"/>
              </w:rPr>
            </w:pPr>
            <w:r>
              <w:rPr>
                <w:bCs/>
                <w:color w:val="000000" w:themeColor="text1"/>
              </w:rPr>
              <w:t>采购要求</w:t>
            </w:r>
          </w:p>
        </w:tc>
        <w:tc>
          <w:tcPr>
            <w:tcW w:w="1012" w:type="dxa"/>
            <w:vAlign w:val="center"/>
          </w:tcPr>
          <w:p w14:paraId="2BE20E9B">
            <w:pPr>
              <w:spacing w:line="400" w:lineRule="exact"/>
              <w:jc w:val="center"/>
              <w:rPr>
                <w:bCs/>
                <w:color w:val="000000" w:themeColor="text1"/>
              </w:rPr>
            </w:pPr>
            <w:r>
              <w:rPr>
                <w:bCs/>
                <w:color w:val="000000" w:themeColor="text1"/>
              </w:rPr>
              <w:t>投标响应</w:t>
            </w:r>
          </w:p>
        </w:tc>
        <w:tc>
          <w:tcPr>
            <w:tcW w:w="1225" w:type="dxa"/>
            <w:vAlign w:val="center"/>
          </w:tcPr>
          <w:p w14:paraId="2A7FC747">
            <w:pPr>
              <w:spacing w:line="400" w:lineRule="exact"/>
              <w:jc w:val="center"/>
              <w:rPr>
                <w:bCs/>
                <w:color w:val="000000" w:themeColor="text1"/>
              </w:rPr>
            </w:pPr>
            <w:r>
              <w:rPr>
                <w:bCs/>
                <w:color w:val="000000" w:themeColor="text1"/>
              </w:rPr>
              <w:t>说   明</w:t>
            </w:r>
          </w:p>
        </w:tc>
      </w:tr>
      <w:tr w14:paraId="0F76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141" w:type="dxa"/>
            <w:vMerge w:val="restart"/>
            <w:vAlign w:val="center"/>
          </w:tcPr>
          <w:p w14:paraId="69F0DC3E">
            <w:pPr>
              <w:spacing w:line="400" w:lineRule="exact"/>
              <w:rPr>
                <w:bCs/>
                <w:color w:val="000000" w:themeColor="text1"/>
              </w:rPr>
            </w:pPr>
            <w:r>
              <w:rPr>
                <w:bCs/>
                <w:color w:val="000000" w:themeColor="text1"/>
              </w:rPr>
              <w:t>商务条款</w:t>
            </w:r>
          </w:p>
        </w:tc>
        <w:tc>
          <w:tcPr>
            <w:tcW w:w="5400" w:type="dxa"/>
            <w:vAlign w:val="center"/>
          </w:tcPr>
          <w:p w14:paraId="66D7C585">
            <w:pPr>
              <w:pStyle w:val="22"/>
              <w:widowControl/>
              <w:spacing w:after="0" w:line="240" w:lineRule="auto"/>
              <w:ind w:firstLine="0" w:firstLineChars="0"/>
              <w:rPr>
                <w:rFonts w:hint="eastAsia" w:ascii="Calibri" w:hAnsi="Calibri" w:eastAsia="宋体" w:cs="Calibri"/>
                <w:color w:val="000000" w:themeColor="text1"/>
                <w:sz w:val="21"/>
                <w:szCs w:val="21"/>
                <w:lang w:eastAsia="zh-CN"/>
              </w:rPr>
            </w:pPr>
            <w:r>
              <w:rPr>
                <w:rFonts w:hint="eastAsia" w:ascii="Calibri" w:hAnsi="Calibri" w:cs="Calibri"/>
                <w:color w:val="000000" w:themeColor="text1"/>
                <w:sz w:val="21"/>
                <w:szCs w:val="21"/>
              </w:rPr>
              <w:t>服务期限：</w:t>
            </w:r>
            <w:r>
              <w:rPr>
                <w:rFonts w:hint="eastAsia" w:ascii="Calibri" w:hAnsi="Calibri" w:eastAsia="宋体" w:cs="Calibri"/>
                <w:b w:val="0"/>
                <w:color w:val="000000" w:themeColor="text1"/>
                <w:sz w:val="21"/>
                <w:szCs w:val="21"/>
              </w:rPr>
              <w:t>2025年8月1日至2026年7月31日，为期12个月。</w:t>
            </w:r>
          </w:p>
        </w:tc>
        <w:tc>
          <w:tcPr>
            <w:tcW w:w="1012" w:type="dxa"/>
            <w:vAlign w:val="center"/>
          </w:tcPr>
          <w:p w14:paraId="7CB84288">
            <w:pPr>
              <w:spacing w:line="400" w:lineRule="exact"/>
              <w:jc w:val="center"/>
              <w:rPr>
                <w:bCs/>
                <w:color w:val="000000" w:themeColor="text1"/>
              </w:rPr>
            </w:pPr>
          </w:p>
        </w:tc>
        <w:tc>
          <w:tcPr>
            <w:tcW w:w="1225" w:type="dxa"/>
            <w:vAlign w:val="center"/>
          </w:tcPr>
          <w:p w14:paraId="75DDA7A2">
            <w:pPr>
              <w:spacing w:line="400" w:lineRule="exact"/>
              <w:jc w:val="center"/>
              <w:rPr>
                <w:bCs/>
                <w:color w:val="000000" w:themeColor="text1"/>
              </w:rPr>
            </w:pPr>
          </w:p>
        </w:tc>
      </w:tr>
      <w:tr w14:paraId="64EA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3" w:hRule="atLeast"/>
        </w:trPr>
        <w:tc>
          <w:tcPr>
            <w:tcW w:w="1141" w:type="dxa"/>
            <w:vMerge w:val="continue"/>
            <w:vAlign w:val="center"/>
          </w:tcPr>
          <w:p w14:paraId="139A9177">
            <w:pPr>
              <w:spacing w:line="400" w:lineRule="exact"/>
              <w:rPr>
                <w:bCs/>
                <w:color w:val="000000" w:themeColor="text1"/>
              </w:rPr>
            </w:pPr>
          </w:p>
        </w:tc>
        <w:tc>
          <w:tcPr>
            <w:tcW w:w="5400" w:type="dxa"/>
            <w:vAlign w:val="center"/>
          </w:tcPr>
          <w:p w14:paraId="7976EDA1">
            <w:pPr>
              <w:spacing w:line="240" w:lineRule="auto"/>
              <w:rPr>
                <w:rFonts w:hint="eastAsia" w:ascii="Calibri" w:hAnsi="Calibri" w:cs="Calibri"/>
                <w:color w:val="000000" w:themeColor="text1"/>
                <w:kern w:val="0"/>
              </w:rPr>
            </w:pPr>
            <w:r>
              <w:rPr>
                <w:rFonts w:hint="eastAsia" w:ascii="Calibri" w:hAnsi="Calibri" w:cs="Calibri"/>
                <w:color w:val="000000" w:themeColor="text1"/>
                <w:kern w:val="0"/>
              </w:rPr>
              <w:t>付款方式：</w:t>
            </w:r>
          </w:p>
          <w:p w14:paraId="590B69D6">
            <w:pPr>
              <w:adjustRightInd w:val="0"/>
              <w:snapToGrid w:val="0"/>
              <w:spacing w:line="360" w:lineRule="auto"/>
              <w:ind w:firstLine="413" w:firstLineChars="196"/>
              <w:rPr>
                <w:rFonts w:ascii="Times New Roman" w:hAnsi="Times New Roman" w:eastAsia="宋体" w:cs="Times New Roman"/>
                <w:color w:val="000000" w:themeColor="text1"/>
                <w:szCs w:val="21"/>
              </w:rPr>
            </w:pPr>
            <w:r>
              <w:rPr>
                <w:rFonts w:ascii="Times New Roman" w:hAnsi="Times New Roman" w:eastAsia="宋体" w:cs="Times New Roman"/>
                <w:b/>
                <w:color w:val="000000" w:themeColor="text1"/>
                <w:szCs w:val="21"/>
              </w:rPr>
              <w:t>1</w:t>
            </w:r>
            <w:r>
              <w:rPr>
                <w:rFonts w:ascii="Times New Roman" w:hAnsi="Times New Roman" w:eastAsia="宋体" w:cs="Times New Roman"/>
                <w:color w:val="000000" w:themeColor="text1"/>
                <w:szCs w:val="21"/>
              </w:rPr>
              <w:t>合同签订后7个工作日内，支付合同总价的70%作为预付款，服务期满并通过考核，支付合同总价剩余的30%，如有</w:t>
            </w:r>
            <w:r>
              <w:rPr>
                <w:rFonts w:hint="eastAsia" w:ascii="Times New Roman" w:hAnsi="Times New Roman" w:eastAsia="宋体" w:cs="Times New Roman"/>
                <w:color w:val="000000" w:themeColor="text1"/>
                <w:szCs w:val="21"/>
                <w:lang w:eastAsia="zh-CN"/>
              </w:rPr>
              <w:t>扣</w:t>
            </w:r>
            <w:r>
              <w:rPr>
                <w:rFonts w:ascii="Times New Roman" w:hAnsi="Times New Roman" w:eastAsia="宋体" w:cs="Times New Roman"/>
                <w:color w:val="000000" w:themeColor="text1"/>
                <w:szCs w:val="21"/>
              </w:rPr>
              <w:t>款，则在余款中扣除</w:t>
            </w:r>
            <w:r>
              <w:rPr>
                <w:rFonts w:hint="eastAsia" w:ascii="Times New Roman" w:hAnsi="Times New Roman" w:eastAsia="宋体" w:cs="Times New Roman"/>
                <w:color w:val="000000" w:themeColor="text1"/>
                <w:szCs w:val="21"/>
                <w:lang w:eastAsia="zh-CN"/>
              </w:rPr>
              <w:t>，如扣款金额大于余款，不足部分则由中标方补足</w:t>
            </w:r>
            <w:r>
              <w:rPr>
                <w:rFonts w:ascii="Times New Roman" w:hAnsi="Times New Roman" w:eastAsia="宋体" w:cs="Times New Roman"/>
                <w:color w:val="000000" w:themeColor="text1"/>
                <w:szCs w:val="21"/>
              </w:rPr>
              <w:t>。</w:t>
            </w:r>
          </w:p>
          <w:p w14:paraId="02038F10">
            <w:pPr>
              <w:adjustRightInd w:val="0"/>
              <w:snapToGrid w:val="0"/>
              <w:spacing w:line="360" w:lineRule="auto"/>
              <w:ind w:firstLine="413" w:firstLineChars="196"/>
              <w:rPr>
                <w:rFonts w:ascii="Times New Roman" w:hAnsi="Times New Roman" w:eastAsia="宋体" w:cs="Times New Roman"/>
                <w:color w:val="000000" w:themeColor="text1"/>
                <w:szCs w:val="21"/>
                <w:lang w:val="en-GB"/>
              </w:rPr>
            </w:pPr>
            <w:r>
              <w:rPr>
                <w:rFonts w:ascii="Times New Roman" w:hAnsi="Times New Roman" w:eastAsia="宋体" w:cs="Times New Roman"/>
                <w:b/>
                <w:color w:val="000000" w:themeColor="text1"/>
                <w:szCs w:val="21"/>
                <w:lang w:val="en-GB"/>
              </w:rPr>
              <w:t>2</w:t>
            </w:r>
            <w:r>
              <w:rPr>
                <w:rFonts w:ascii="Times New Roman" w:hAnsi="Times New Roman" w:eastAsia="宋体" w:cs="Times New Roman"/>
                <w:color w:val="000000" w:themeColor="text1"/>
                <w:szCs w:val="21"/>
                <w:lang w:val="en-GB"/>
              </w:rPr>
              <w:t>付款按财政政策执行，因服务商未按合同履行维保任务或考核不合格以及不符合财政资金支付时间要求等原因造成不能及时付款的，采购方不承担责任。</w:t>
            </w:r>
          </w:p>
          <w:p w14:paraId="6C98B907">
            <w:pPr>
              <w:pStyle w:val="2"/>
              <w:numPr>
                <w:ilvl w:val="-1"/>
                <w:numId w:val="0"/>
              </w:numPr>
              <w:spacing w:line="240" w:lineRule="auto"/>
              <w:ind w:firstLine="420" w:firstLineChars="200"/>
              <w:rPr>
                <w:rFonts w:hint="eastAsia" w:ascii="Calibri" w:hAnsi="Calibri" w:cs="Calibri"/>
                <w:color w:val="000000" w:themeColor="text1"/>
                <w:sz w:val="21"/>
                <w:szCs w:val="21"/>
              </w:rPr>
            </w:pPr>
            <w:r>
              <w:rPr>
                <w:rFonts w:hint="eastAsia"/>
                <w:color w:val="000000" w:themeColor="text1"/>
                <w:sz w:val="21"/>
                <w:szCs w:val="21"/>
              </w:rPr>
              <w:t>注：付款前中标单位应按规定向采购人开具正规发票。</w:t>
            </w:r>
          </w:p>
        </w:tc>
        <w:tc>
          <w:tcPr>
            <w:tcW w:w="1012" w:type="dxa"/>
            <w:vAlign w:val="center"/>
          </w:tcPr>
          <w:p w14:paraId="2AB62A35">
            <w:pPr>
              <w:spacing w:line="400" w:lineRule="exact"/>
              <w:jc w:val="center"/>
              <w:rPr>
                <w:bCs/>
                <w:color w:val="000000" w:themeColor="text1"/>
              </w:rPr>
            </w:pPr>
          </w:p>
        </w:tc>
        <w:tc>
          <w:tcPr>
            <w:tcW w:w="1225" w:type="dxa"/>
            <w:vAlign w:val="center"/>
          </w:tcPr>
          <w:p w14:paraId="5021DD6E">
            <w:pPr>
              <w:spacing w:line="400" w:lineRule="exact"/>
              <w:jc w:val="center"/>
              <w:rPr>
                <w:bCs/>
                <w:color w:val="000000" w:themeColor="text1"/>
              </w:rPr>
            </w:pPr>
          </w:p>
        </w:tc>
      </w:tr>
      <w:tr w14:paraId="782E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7" w:hRule="atLeast"/>
        </w:trPr>
        <w:tc>
          <w:tcPr>
            <w:tcW w:w="1141" w:type="dxa"/>
            <w:vMerge w:val="continue"/>
            <w:vAlign w:val="center"/>
          </w:tcPr>
          <w:p w14:paraId="3B2CC208">
            <w:pPr>
              <w:spacing w:line="400" w:lineRule="exact"/>
              <w:jc w:val="center"/>
              <w:rPr>
                <w:bCs/>
                <w:color w:val="000000" w:themeColor="text1"/>
              </w:rPr>
            </w:pPr>
          </w:p>
        </w:tc>
        <w:tc>
          <w:tcPr>
            <w:tcW w:w="5400" w:type="dxa"/>
            <w:vAlign w:val="center"/>
          </w:tcPr>
          <w:p w14:paraId="3FEC7305">
            <w:pPr>
              <w:spacing w:line="400" w:lineRule="exact"/>
              <w:jc w:val="left"/>
              <w:rPr>
                <w:bCs/>
                <w:color w:val="000000" w:themeColor="text1"/>
              </w:rPr>
            </w:pPr>
            <w:r>
              <w:rPr>
                <w:rFonts w:hint="eastAsia"/>
                <w:bCs/>
                <w:color w:val="000000" w:themeColor="text1"/>
                <w:lang w:val="en-US" w:eastAsia="zh-CN"/>
              </w:rPr>
              <w:t>采购文件规定的</w:t>
            </w:r>
            <w:r>
              <w:rPr>
                <w:rFonts w:hint="eastAsia" w:ascii="宋体" w:hAnsi="宋体" w:eastAsia="宋体" w:cs="宋体"/>
                <w:bCs/>
                <w:color w:val="000000" w:themeColor="text1"/>
                <w:lang w:val="en-US" w:eastAsia="zh-CN"/>
              </w:rPr>
              <w:t>▲</w:t>
            </w:r>
            <w:r>
              <w:rPr>
                <w:rFonts w:hint="eastAsia"/>
                <w:bCs/>
                <w:color w:val="000000" w:themeColor="text1"/>
                <w:lang w:val="en-US" w:eastAsia="zh-CN"/>
              </w:rPr>
              <w:t>部分是否满足采购需求。</w:t>
            </w:r>
          </w:p>
        </w:tc>
        <w:tc>
          <w:tcPr>
            <w:tcW w:w="1012" w:type="dxa"/>
            <w:vAlign w:val="center"/>
          </w:tcPr>
          <w:p w14:paraId="5CF3A112">
            <w:pPr>
              <w:spacing w:line="400" w:lineRule="exact"/>
              <w:jc w:val="center"/>
              <w:rPr>
                <w:bCs/>
                <w:color w:val="000000" w:themeColor="text1"/>
              </w:rPr>
            </w:pPr>
          </w:p>
        </w:tc>
        <w:tc>
          <w:tcPr>
            <w:tcW w:w="1225" w:type="dxa"/>
            <w:vAlign w:val="center"/>
          </w:tcPr>
          <w:p w14:paraId="46DC5117">
            <w:pPr>
              <w:spacing w:line="400" w:lineRule="exact"/>
              <w:jc w:val="center"/>
              <w:rPr>
                <w:bCs/>
                <w:color w:val="000000" w:themeColor="text1"/>
              </w:rPr>
            </w:pPr>
          </w:p>
        </w:tc>
      </w:tr>
      <w:tr w14:paraId="6F8B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141" w:type="dxa"/>
            <w:vMerge w:val="continue"/>
            <w:vAlign w:val="center"/>
          </w:tcPr>
          <w:p w14:paraId="7CC60844">
            <w:pPr>
              <w:spacing w:line="400" w:lineRule="exact"/>
              <w:jc w:val="center"/>
              <w:rPr>
                <w:bCs/>
                <w:color w:val="000000" w:themeColor="text1"/>
              </w:rPr>
            </w:pPr>
          </w:p>
        </w:tc>
        <w:tc>
          <w:tcPr>
            <w:tcW w:w="5400" w:type="dxa"/>
            <w:vAlign w:val="center"/>
          </w:tcPr>
          <w:p w14:paraId="04438413">
            <w:pPr>
              <w:spacing w:line="400" w:lineRule="exact"/>
              <w:jc w:val="left"/>
              <w:rPr>
                <w:rFonts w:ascii="Calibri" w:hAnsi="Calibri" w:eastAsia="宋体" w:cs="Calibri"/>
                <w:bCs/>
                <w:color w:val="000000" w:themeColor="text1"/>
                <w:kern w:val="2"/>
                <w:sz w:val="21"/>
                <w:szCs w:val="21"/>
                <w:lang w:val="en-US" w:eastAsia="zh-CN" w:bidi="ar-SA"/>
              </w:rPr>
            </w:pPr>
            <w:r>
              <w:rPr>
                <w:bCs/>
                <w:color w:val="000000" w:themeColor="text1"/>
              </w:rPr>
              <w:t>投标有效期：不少于90日历天</w:t>
            </w:r>
          </w:p>
        </w:tc>
        <w:tc>
          <w:tcPr>
            <w:tcW w:w="1012" w:type="dxa"/>
            <w:vAlign w:val="center"/>
          </w:tcPr>
          <w:p w14:paraId="73F7F866">
            <w:pPr>
              <w:spacing w:line="400" w:lineRule="exact"/>
              <w:jc w:val="center"/>
              <w:rPr>
                <w:bCs/>
                <w:color w:val="000000" w:themeColor="text1"/>
              </w:rPr>
            </w:pPr>
          </w:p>
        </w:tc>
        <w:tc>
          <w:tcPr>
            <w:tcW w:w="1225" w:type="dxa"/>
            <w:vAlign w:val="center"/>
          </w:tcPr>
          <w:p w14:paraId="2FD8229C">
            <w:pPr>
              <w:spacing w:line="400" w:lineRule="exact"/>
              <w:jc w:val="center"/>
              <w:rPr>
                <w:bCs/>
                <w:color w:val="000000" w:themeColor="text1"/>
              </w:rPr>
            </w:pPr>
          </w:p>
        </w:tc>
      </w:tr>
      <w:tr w14:paraId="4186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141" w:type="dxa"/>
            <w:vMerge w:val="continue"/>
            <w:vAlign w:val="center"/>
          </w:tcPr>
          <w:p w14:paraId="11E8CA5F">
            <w:pPr>
              <w:spacing w:line="400" w:lineRule="exact"/>
              <w:jc w:val="center"/>
              <w:rPr>
                <w:bCs/>
                <w:color w:val="000000" w:themeColor="text1"/>
              </w:rPr>
            </w:pPr>
          </w:p>
        </w:tc>
        <w:tc>
          <w:tcPr>
            <w:tcW w:w="5400" w:type="dxa"/>
            <w:vAlign w:val="center"/>
          </w:tcPr>
          <w:p w14:paraId="336229EE">
            <w:pPr>
              <w:spacing w:line="400" w:lineRule="exact"/>
              <w:jc w:val="left"/>
              <w:rPr>
                <w:rFonts w:ascii="Calibri" w:hAnsi="Calibri" w:eastAsia="宋体" w:cs="Calibri"/>
                <w:bCs/>
                <w:color w:val="000000" w:themeColor="text1"/>
                <w:kern w:val="2"/>
                <w:sz w:val="21"/>
                <w:szCs w:val="21"/>
                <w:lang w:val="en-US" w:eastAsia="zh-CN" w:bidi="ar-SA"/>
              </w:rPr>
            </w:pPr>
            <w:r>
              <w:rPr>
                <w:bCs/>
                <w:color w:val="000000" w:themeColor="text1"/>
              </w:rPr>
              <w:t>合同条款要求</w:t>
            </w:r>
          </w:p>
        </w:tc>
        <w:tc>
          <w:tcPr>
            <w:tcW w:w="1012" w:type="dxa"/>
            <w:vAlign w:val="center"/>
          </w:tcPr>
          <w:p w14:paraId="02C95F63">
            <w:pPr>
              <w:spacing w:line="400" w:lineRule="exact"/>
              <w:jc w:val="center"/>
              <w:rPr>
                <w:bCs/>
                <w:color w:val="000000" w:themeColor="text1"/>
              </w:rPr>
            </w:pPr>
          </w:p>
        </w:tc>
        <w:tc>
          <w:tcPr>
            <w:tcW w:w="1225" w:type="dxa"/>
            <w:vAlign w:val="center"/>
          </w:tcPr>
          <w:p w14:paraId="71CBF6B5">
            <w:pPr>
              <w:spacing w:line="400" w:lineRule="exact"/>
              <w:jc w:val="center"/>
              <w:rPr>
                <w:bCs/>
                <w:color w:val="000000" w:themeColor="text1"/>
              </w:rPr>
            </w:pPr>
          </w:p>
        </w:tc>
      </w:tr>
      <w:tr w14:paraId="0DEF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1141" w:type="dxa"/>
            <w:vMerge w:val="continue"/>
            <w:vAlign w:val="center"/>
          </w:tcPr>
          <w:p w14:paraId="2AFAB8FD">
            <w:pPr>
              <w:spacing w:line="400" w:lineRule="exact"/>
              <w:jc w:val="center"/>
              <w:rPr>
                <w:bCs/>
                <w:color w:val="000000" w:themeColor="text1"/>
              </w:rPr>
            </w:pPr>
          </w:p>
        </w:tc>
        <w:tc>
          <w:tcPr>
            <w:tcW w:w="5400" w:type="dxa"/>
            <w:vAlign w:val="center"/>
          </w:tcPr>
          <w:p w14:paraId="354E8FC0">
            <w:pPr>
              <w:spacing w:line="400" w:lineRule="exact"/>
              <w:jc w:val="left"/>
              <w:rPr>
                <w:rFonts w:ascii="Calibri" w:hAnsi="Calibri" w:eastAsia="宋体" w:cs="Calibri"/>
                <w:bCs/>
                <w:color w:val="000000" w:themeColor="text1"/>
                <w:kern w:val="2"/>
                <w:sz w:val="21"/>
                <w:szCs w:val="21"/>
                <w:lang w:val="en-US" w:eastAsia="zh-CN" w:bidi="ar-SA"/>
              </w:rPr>
            </w:pPr>
            <w:r>
              <w:rPr>
                <w:bCs/>
                <w:color w:val="000000" w:themeColor="text1"/>
              </w:rPr>
              <w:t>报价内容涵盖报价要求之一切费用和伴随服务</w:t>
            </w:r>
          </w:p>
        </w:tc>
        <w:tc>
          <w:tcPr>
            <w:tcW w:w="1012" w:type="dxa"/>
            <w:vAlign w:val="center"/>
          </w:tcPr>
          <w:p w14:paraId="2FFA5A5E">
            <w:pPr>
              <w:spacing w:line="400" w:lineRule="exact"/>
              <w:jc w:val="center"/>
              <w:rPr>
                <w:bCs/>
                <w:color w:val="000000" w:themeColor="text1"/>
              </w:rPr>
            </w:pPr>
          </w:p>
        </w:tc>
        <w:tc>
          <w:tcPr>
            <w:tcW w:w="1225" w:type="dxa"/>
            <w:vAlign w:val="center"/>
          </w:tcPr>
          <w:p w14:paraId="312920D2">
            <w:pPr>
              <w:spacing w:line="400" w:lineRule="exact"/>
              <w:jc w:val="center"/>
              <w:rPr>
                <w:bCs/>
                <w:color w:val="000000" w:themeColor="text1"/>
              </w:rPr>
            </w:pPr>
          </w:p>
        </w:tc>
      </w:tr>
      <w:tr w14:paraId="58AB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141" w:type="dxa"/>
            <w:vMerge w:val="continue"/>
            <w:vAlign w:val="center"/>
          </w:tcPr>
          <w:p w14:paraId="7209754D">
            <w:pPr>
              <w:spacing w:line="400" w:lineRule="exact"/>
              <w:jc w:val="center"/>
              <w:rPr>
                <w:bCs/>
                <w:color w:val="000000" w:themeColor="text1"/>
              </w:rPr>
            </w:pPr>
          </w:p>
        </w:tc>
        <w:tc>
          <w:tcPr>
            <w:tcW w:w="5400" w:type="dxa"/>
            <w:vAlign w:val="center"/>
          </w:tcPr>
          <w:p w14:paraId="69661111">
            <w:pPr>
              <w:spacing w:line="400" w:lineRule="exact"/>
              <w:jc w:val="left"/>
              <w:rPr>
                <w:rFonts w:ascii="Calibri" w:hAnsi="Calibri" w:eastAsia="宋体" w:cs="Calibri"/>
                <w:bCs/>
                <w:color w:val="000000" w:themeColor="text1"/>
                <w:kern w:val="2"/>
                <w:sz w:val="21"/>
                <w:szCs w:val="21"/>
                <w:lang w:val="en-US" w:eastAsia="zh-CN" w:bidi="ar-SA"/>
              </w:rPr>
            </w:pPr>
            <w:r>
              <w:rPr>
                <w:bCs/>
                <w:color w:val="000000" w:themeColor="text1"/>
              </w:rPr>
              <w:t>其他商务条款偏离情况</w:t>
            </w:r>
          </w:p>
        </w:tc>
        <w:tc>
          <w:tcPr>
            <w:tcW w:w="1012" w:type="dxa"/>
            <w:vAlign w:val="center"/>
          </w:tcPr>
          <w:p w14:paraId="20B668B0">
            <w:pPr>
              <w:spacing w:line="400" w:lineRule="exact"/>
              <w:jc w:val="center"/>
              <w:rPr>
                <w:bCs/>
                <w:color w:val="000000" w:themeColor="text1"/>
              </w:rPr>
            </w:pPr>
          </w:p>
        </w:tc>
        <w:tc>
          <w:tcPr>
            <w:tcW w:w="1225" w:type="dxa"/>
            <w:vAlign w:val="center"/>
          </w:tcPr>
          <w:p w14:paraId="4CE18A3B">
            <w:pPr>
              <w:spacing w:line="400" w:lineRule="exact"/>
              <w:jc w:val="center"/>
              <w:rPr>
                <w:bCs/>
                <w:color w:val="000000" w:themeColor="text1"/>
              </w:rPr>
            </w:pPr>
          </w:p>
        </w:tc>
      </w:tr>
      <w:tr w14:paraId="5181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41" w:type="dxa"/>
            <w:vMerge w:val="continue"/>
            <w:vAlign w:val="center"/>
          </w:tcPr>
          <w:p w14:paraId="4FC4F698">
            <w:pPr>
              <w:spacing w:line="400" w:lineRule="exact"/>
              <w:jc w:val="center"/>
              <w:rPr>
                <w:bCs/>
                <w:color w:val="000000" w:themeColor="text1"/>
              </w:rPr>
            </w:pPr>
          </w:p>
        </w:tc>
        <w:tc>
          <w:tcPr>
            <w:tcW w:w="5400" w:type="dxa"/>
            <w:vAlign w:val="center"/>
          </w:tcPr>
          <w:p w14:paraId="4536ED79">
            <w:pPr>
              <w:spacing w:line="400" w:lineRule="exact"/>
              <w:jc w:val="left"/>
              <w:rPr>
                <w:bCs/>
                <w:color w:val="000000" w:themeColor="text1"/>
              </w:rPr>
            </w:pPr>
            <w:r>
              <w:rPr>
                <w:bCs/>
                <w:color w:val="000000" w:themeColor="text1"/>
              </w:rPr>
              <w:t>……</w:t>
            </w:r>
          </w:p>
        </w:tc>
        <w:tc>
          <w:tcPr>
            <w:tcW w:w="1012" w:type="dxa"/>
            <w:vAlign w:val="center"/>
          </w:tcPr>
          <w:p w14:paraId="7825F493">
            <w:pPr>
              <w:spacing w:line="400" w:lineRule="exact"/>
              <w:jc w:val="center"/>
              <w:rPr>
                <w:bCs/>
                <w:color w:val="000000" w:themeColor="text1"/>
              </w:rPr>
            </w:pPr>
          </w:p>
        </w:tc>
        <w:tc>
          <w:tcPr>
            <w:tcW w:w="1225" w:type="dxa"/>
            <w:vAlign w:val="center"/>
          </w:tcPr>
          <w:p w14:paraId="5412B383">
            <w:pPr>
              <w:spacing w:line="400" w:lineRule="exact"/>
              <w:jc w:val="center"/>
              <w:rPr>
                <w:bCs/>
                <w:color w:val="000000" w:themeColor="text1"/>
              </w:rPr>
            </w:pPr>
          </w:p>
        </w:tc>
      </w:tr>
    </w:tbl>
    <w:p w14:paraId="6C5B2E6D">
      <w:pPr>
        <w:autoSpaceDE w:val="0"/>
        <w:autoSpaceDN w:val="0"/>
        <w:adjustRightInd w:val="0"/>
        <w:spacing w:line="360" w:lineRule="auto"/>
        <w:ind w:firstLine="7035" w:firstLineChars="3350"/>
        <w:jc w:val="left"/>
        <w:rPr>
          <w:b/>
          <w:color w:val="000000" w:themeColor="text1"/>
          <w:sz w:val="22"/>
          <w:szCs w:val="22"/>
        </w:rPr>
      </w:pPr>
      <w:r>
        <w:rPr>
          <w:rFonts w:ascii="宋体" w:hAnsi="宋体" w:cs="宋体"/>
          <w:color w:val="000000" w:themeColor="text1"/>
        </w:rPr>
        <w:t xml:space="preserve">                                                </w:t>
      </w:r>
      <w:r>
        <w:rPr>
          <w:rFonts w:hint="eastAsia" w:ascii="宋体" w:hAnsi="宋体" w:cs="宋体"/>
          <w:color w:val="000000" w:themeColor="text1"/>
        </w:rPr>
        <w:t xml:space="preserve">  </w:t>
      </w:r>
      <w:r>
        <w:rPr>
          <w:b/>
          <w:color w:val="000000" w:themeColor="text1"/>
          <w:sz w:val="22"/>
          <w:szCs w:val="22"/>
        </w:rPr>
        <w:t>注： 如有偏离，必须在偏离表中进行详细对比说明并注明正偏离（负偏离），如此表不填或填写为无偏离或不说明偏离情况，视为完全响应招标文件要求。</w:t>
      </w:r>
    </w:p>
    <w:p w14:paraId="1EDE7DE9">
      <w:pPr>
        <w:jc w:val="right"/>
        <w:rPr>
          <w:color w:val="000000" w:themeColor="text1"/>
          <w:sz w:val="22"/>
          <w:szCs w:val="22"/>
        </w:rPr>
      </w:pPr>
    </w:p>
    <w:p w14:paraId="268A2451">
      <w:pPr>
        <w:ind w:firstLine="210" w:firstLineChars="100"/>
        <w:jc w:val="right"/>
        <w:rPr>
          <w:color w:val="000000" w:themeColor="text1"/>
        </w:rPr>
      </w:pPr>
      <w:r>
        <w:rPr>
          <w:color w:val="000000" w:themeColor="text1"/>
        </w:rPr>
        <w:t xml:space="preserve">投标人（盖章）：                               </w:t>
      </w:r>
    </w:p>
    <w:p w14:paraId="5C0A89AA">
      <w:pPr>
        <w:ind w:firstLine="210" w:firstLineChars="100"/>
        <w:jc w:val="right"/>
        <w:rPr>
          <w:color w:val="000000" w:themeColor="text1"/>
        </w:rPr>
      </w:pPr>
      <w:r>
        <w:rPr>
          <w:color w:val="000000" w:themeColor="text1"/>
        </w:rPr>
        <w:t xml:space="preserve">                        </w:t>
      </w:r>
    </w:p>
    <w:p w14:paraId="317699E1">
      <w:pPr>
        <w:ind w:firstLine="199" w:firstLineChars="95"/>
        <w:jc w:val="right"/>
        <w:rPr>
          <w:color w:val="000000" w:themeColor="text1"/>
        </w:rPr>
      </w:pPr>
      <w:r>
        <w:rPr>
          <w:color w:val="000000" w:themeColor="text1"/>
        </w:rPr>
        <w:t>日期：</w:t>
      </w:r>
    </w:p>
    <w:p w14:paraId="621F4DD3">
      <w:pPr>
        <w:snapToGrid w:val="0"/>
        <w:spacing w:before="50" w:after="50"/>
        <w:jc w:val="center"/>
        <w:rPr>
          <w:rFonts w:hint="eastAsia" w:ascii="宋体" w:hAnsi="宋体"/>
          <w:b/>
          <w:color w:val="000000" w:themeColor="text1"/>
          <w:kern w:val="0"/>
        </w:rPr>
      </w:pPr>
    </w:p>
    <w:p w14:paraId="12A30ECB">
      <w:pPr>
        <w:snapToGrid w:val="0"/>
        <w:spacing w:before="50" w:after="50"/>
        <w:jc w:val="center"/>
        <w:rPr>
          <w:rFonts w:hint="eastAsia" w:ascii="宋体" w:hAnsi="宋体"/>
          <w:b/>
          <w:color w:val="000000" w:themeColor="text1"/>
          <w:kern w:val="0"/>
        </w:rPr>
      </w:pPr>
    </w:p>
    <w:p w14:paraId="66E5BAEB">
      <w:pPr>
        <w:snapToGrid w:val="0"/>
        <w:spacing w:before="50" w:after="50"/>
        <w:jc w:val="center"/>
        <w:rPr>
          <w:rFonts w:hint="eastAsia" w:ascii="宋体" w:hAnsi="宋体"/>
          <w:b/>
          <w:color w:val="000000" w:themeColor="text1"/>
          <w:kern w:val="0"/>
        </w:rPr>
      </w:pPr>
    </w:p>
    <w:p w14:paraId="2546FE95">
      <w:pPr>
        <w:pStyle w:val="2"/>
        <w:rPr>
          <w:rFonts w:hint="eastAsia"/>
          <w:color w:val="000000" w:themeColor="text1"/>
        </w:rPr>
      </w:pPr>
    </w:p>
    <w:p w14:paraId="3A576318">
      <w:pPr>
        <w:snapToGrid w:val="0"/>
        <w:spacing w:before="50" w:after="50"/>
        <w:jc w:val="center"/>
        <w:rPr>
          <w:rFonts w:hint="eastAsia" w:ascii="宋体" w:hAnsi="宋体" w:eastAsia="宋体" w:cs="宋体"/>
          <w:color w:val="000000" w:themeColor="text1"/>
          <w:lang w:eastAsia="zh-CN"/>
        </w:rPr>
      </w:pPr>
      <w:r>
        <w:rPr>
          <w:rFonts w:hint="eastAsia" w:ascii="宋体" w:hAnsi="宋体"/>
          <w:b/>
          <w:color w:val="000000" w:themeColor="text1"/>
          <w:kern w:val="0"/>
          <w:lang w:eastAsia="zh-CN"/>
        </w:rPr>
        <w:t>商务响应表（</w:t>
      </w:r>
      <w:r>
        <w:rPr>
          <w:rFonts w:hint="eastAsia" w:ascii="宋体" w:hAnsi="宋体"/>
          <w:b/>
          <w:color w:val="000000" w:themeColor="text1"/>
          <w:kern w:val="0"/>
          <w:lang w:val="en-US" w:eastAsia="zh-CN"/>
        </w:rPr>
        <w:t>标项二</w:t>
      </w:r>
      <w:r>
        <w:rPr>
          <w:rFonts w:hint="eastAsia" w:ascii="宋体" w:hAnsi="宋体"/>
          <w:b/>
          <w:color w:val="000000" w:themeColor="text1"/>
          <w:kern w:val="0"/>
          <w:lang w:eastAsia="zh-CN"/>
        </w:rPr>
        <w:t>）</w:t>
      </w:r>
    </w:p>
    <w:p w14:paraId="3DA12797">
      <w:pPr>
        <w:snapToGrid w:val="0"/>
        <w:spacing w:before="50" w:after="50"/>
        <w:rPr>
          <w:rFonts w:ascii="宋体" w:cs="宋体"/>
          <w:color w:val="000000" w:themeColor="text1"/>
        </w:rPr>
      </w:pPr>
      <w:r>
        <w:rPr>
          <w:rFonts w:hint="eastAsia" w:ascii="宋体" w:hAnsi="宋体" w:cs="宋体"/>
          <w:color w:val="000000" w:themeColor="text1"/>
        </w:rPr>
        <w:t xml:space="preserve">招标编号：  </w:t>
      </w:r>
      <w:r>
        <w:rPr>
          <w:rFonts w:hint="eastAsia" w:ascii="宋体" w:hAnsi="宋体" w:cs="宋体"/>
          <w:color w:val="000000" w:themeColor="text1"/>
          <w:lang w:val="en-US" w:eastAsia="zh-CN"/>
        </w:rPr>
        <w:t>标项</w:t>
      </w:r>
      <w:r>
        <w:rPr>
          <w:rFonts w:hint="eastAsia" w:ascii="宋体" w:hAnsi="宋体" w:cs="宋体"/>
          <w:color w:val="000000" w:themeColor="text1"/>
        </w:rPr>
        <w:t>名称：</w:t>
      </w:r>
      <w:r>
        <w:rPr>
          <w:rFonts w:ascii="宋体" w:hAnsi="宋体" w:cs="宋体"/>
          <w:color w:val="000000" w:themeColor="text1"/>
          <w:u w:val="single"/>
        </w:rPr>
        <w:t xml:space="preserve">                    </w:t>
      </w:r>
    </w:p>
    <w:tbl>
      <w:tblPr>
        <w:tblStyle w:val="27"/>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5063"/>
        <w:gridCol w:w="1089"/>
        <w:gridCol w:w="1192"/>
      </w:tblGrid>
      <w:tr w14:paraId="0AAAE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195" w:type="dxa"/>
            <w:vAlign w:val="center"/>
          </w:tcPr>
          <w:p w14:paraId="30BFE94C">
            <w:pPr>
              <w:spacing w:line="400" w:lineRule="exact"/>
              <w:jc w:val="center"/>
              <w:rPr>
                <w:bCs/>
                <w:color w:val="000000" w:themeColor="text1"/>
              </w:rPr>
            </w:pPr>
            <w:r>
              <w:rPr>
                <w:bCs/>
                <w:color w:val="000000" w:themeColor="text1"/>
              </w:rPr>
              <w:t>内   容</w:t>
            </w:r>
          </w:p>
        </w:tc>
        <w:tc>
          <w:tcPr>
            <w:tcW w:w="5063" w:type="dxa"/>
            <w:vAlign w:val="center"/>
          </w:tcPr>
          <w:p w14:paraId="5E2AC002">
            <w:pPr>
              <w:spacing w:line="400" w:lineRule="exact"/>
              <w:jc w:val="center"/>
              <w:rPr>
                <w:bCs/>
                <w:color w:val="000000" w:themeColor="text1"/>
              </w:rPr>
            </w:pPr>
            <w:r>
              <w:rPr>
                <w:bCs/>
                <w:color w:val="000000" w:themeColor="text1"/>
              </w:rPr>
              <w:t>采购要求</w:t>
            </w:r>
          </w:p>
        </w:tc>
        <w:tc>
          <w:tcPr>
            <w:tcW w:w="1089" w:type="dxa"/>
            <w:vAlign w:val="center"/>
          </w:tcPr>
          <w:p w14:paraId="2958009A">
            <w:pPr>
              <w:spacing w:line="400" w:lineRule="exact"/>
              <w:jc w:val="center"/>
              <w:rPr>
                <w:bCs/>
                <w:color w:val="000000" w:themeColor="text1"/>
              </w:rPr>
            </w:pPr>
            <w:r>
              <w:rPr>
                <w:bCs/>
                <w:color w:val="000000" w:themeColor="text1"/>
              </w:rPr>
              <w:t>投标</w:t>
            </w:r>
          </w:p>
          <w:p w14:paraId="6B00506D">
            <w:pPr>
              <w:spacing w:line="400" w:lineRule="exact"/>
              <w:jc w:val="center"/>
              <w:rPr>
                <w:bCs/>
                <w:color w:val="000000" w:themeColor="text1"/>
              </w:rPr>
            </w:pPr>
            <w:r>
              <w:rPr>
                <w:bCs/>
                <w:color w:val="000000" w:themeColor="text1"/>
              </w:rPr>
              <w:t>响应</w:t>
            </w:r>
          </w:p>
        </w:tc>
        <w:tc>
          <w:tcPr>
            <w:tcW w:w="1192" w:type="dxa"/>
            <w:vAlign w:val="center"/>
          </w:tcPr>
          <w:p w14:paraId="7E538D04">
            <w:pPr>
              <w:spacing w:line="400" w:lineRule="exact"/>
              <w:jc w:val="center"/>
              <w:rPr>
                <w:bCs/>
                <w:color w:val="000000" w:themeColor="text1"/>
              </w:rPr>
            </w:pPr>
            <w:r>
              <w:rPr>
                <w:bCs/>
                <w:color w:val="000000" w:themeColor="text1"/>
              </w:rPr>
              <w:t>说   明</w:t>
            </w:r>
          </w:p>
        </w:tc>
      </w:tr>
      <w:tr w14:paraId="12C6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1195" w:type="dxa"/>
            <w:vMerge w:val="restart"/>
            <w:vAlign w:val="center"/>
          </w:tcPr>
          <w:p w14:paraId="44B2FD51">
            <w:pPr>
              <w:spacing w:line="400" w:lineRule="exact"/>
              <w:rPr>
                <w:bCs/>
                <w:color w:val="000000" w:themeColor="text1"/>
              </w:rPr>
            </w:pPr>
            <w:r>
              <w:rPr>
                <w:bCs/>
                <w:color w:val="000000" w:themeColor="text1"/>
              </w:rPr>
              <w:t>商务条款</w:t>
            </w:r>
          </w:p>
        </w:tc>
        <w:tc>
          <w:tcPr>
            <w:tcW w:w="5063" w:type="dxa"/>
            <w:vAlign w:val="center"/>
          </w:tcPr>
          <w:p w14:paraId="7CD5CDF0">
            <w:pPr>
              <w:widowControl/>
              <w:spacing w:line="360" w:lineRule="auto"/>
              <w:ind w:firstLine="0" w:firstLineChars="0"/>
              <w:rPr>
                <w:rFonts w:hint="eastAsia" w:ascii="宋体" w:hAnsi="宋体" w:cs="宋体"/>
                <w:color w:val="000000" w:themeColor="text1"/>
                <w:sz w:val="21"/>
                <w:szCs w:val="21"/>
              </w:rPr>
            </w:pPr>
            <w:r>
              <w:rPr>
                <w:rFonts w:ascii="宋体" w:hAnsi="宋体" w:cs="Times New Roman"/>
                <w:color w:val="000000" w:themeColor="text1"/>
              </w:rPr>
              <w:t>服务期限：</w:t>
            </w:r>
            <w:r>
              <w:rPr>
                <w:rFonts w:hint="eastAsia" w:ascii="Calibri" w:hAnsi="Calibri" w:eastAsia="宋体" w:cs="Calibri"/>
                <w:b w:val="0"/>
                <w:color w:val="000000" w:themeColor="text1"/>
                <w:sz w:val="21"/>
                <w:szCs w:val="21"/>
              </w:rPr>
              <w:t>2025年8月1日至2026年7月31日，为期12个月。</w:t>
            </w:r>
          </w:p>
        </w:tc>
        <w:tc>
          <w:tcPr>
            <w:tcW w:w="1089" w:type="dxa"/>
            <w:vAlign w:val="center"/>
          </w:tcPr>
          <w:p w14:paraId="675A1FA9">
            <w:pPr>
              <w:spacing w:line="400" w:lineRule="exact"/>
              <w:jc w:val="center"/>
              <w:rPr>
                <w:bCs/>
                <w:color w:val="000000" w:themeColor="text1"/>
              </w:rPr>
            </w:pPr>
          </w:p>
        </w:tc>
        <w:tc>
          <w:tcPr>
            <w:tcW w:w="1192" w:type="dxa"/>
            <w:vAlign w:val="center"/>
          </w:tcPr>
          <w:p w14:paraId="1A580245">
            <w:pPr>
              <w:spacing w:line="400" w:lineRule="exact"/>
              <w:jc w:val="center"/>
              <w:rPr>
                <w:bCs/>
                <w:color w:val="000000" w:themeColor="text1"/>
              </w:rPr>
            </w:pPr>
          </w:p>
        </w:tc>
      </w:tr>
      <w:tr w14:paraId="30D83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0" w:hRule="atLeast"/>
        </w:trPr>
        <w:tc>
          <w:tcPr>
            <w:tcW w:w="1195" w:type="dxa"/>
            <w:vMerge w:val="continue"/>
            <w:vAlign w:val="center"/>
          </w:tcPr>
          <w:p w14:paraId="7780DD5E">
            <w:pPr>
              <w:spacing w:line="400" w:lineRule="exact"/>
              <w:rPr>
                <w:bCs/>
                <w:color w:val="000000" w:themeColor="text1"/>
              </w:rPr>
            </w:pPr>
          </w:p>
        </w:tc>
        <w:tc>
          <w:tcPr>
            <w:tcW w:w="5063" w:type="dxa"/>
            <w:vAlign w:val="center"/>
          </w:tcPr>
          <w:p w14:paraId="031D8F88">
            <w:pPr>
              <w:spacing w:line="400" w:lineRule="exact"/>
              <w:rPr>
                <w:rFonts w:hint="eastAsia" w:ascii="宋体" w:hAnsi="宋体" w:cs="宋体"/>
                <w:color w:val="000000" w:themeColor="text1"/>
              </w:rPr>
            </w:pPr>
            <w:r>
              <w:rPr>
                <w:rFonts w:hint="eastAsia" w:ascii="宋体" w:hAnsi="宋体" w:cs="宋体"/>
                <w:color w:val="000000" w:themeColor="text1"/>
              </w:rPr>
              <w:t>付款方式：</w:t>
            </w:r>
          </w:p>
          <w:p w14:paraId="5618F776">
            <w:pPr>
              <w:adjustRightInd w:val="0"/>
              <w:snapToGrid w:val="0"/>
              <w:spacing w:line="360" w:lineRule="auto"/>
              <w:ind w:firstLine="413" w:firstLineChars="196"/>
              <w:rPr>
                <w:rFonts w:ascii="Times New Roman" w:hAnsi="Times New Roman" w:eastAsia="宋体" w:cs="Times New Roman"/>
                <w:color w:val="000000" w:themeColor="text1"/>
                <w:szCs w:val="21"/>
              </w:rPr>
            </w:pPr>
            <w:r>
              <w:rPr>
                <w:rFonts w:ascii="Times New Roman" w:hAnsi="Times New Roman" w:eastAsia="宋体" w:cs="Times New Roman"/>
                <w:b/>
                <w:color w:val="000000" w:themeColor="text1"/>
                <w:szCs w:val="21"/>
              </w:rPr>
              <w:t>1</w:t>
            </w:r>
            <w:r>
              <w:rPr>
                <w:rFonts w:ascii="Times New Roman" w:hAnsi="Times New Roman" w:eastAsia="宋体" w:cs="Times New Roman"/>
                <w:color w:val="000000" w:themeColor="text1"/>
                <w:szCs w:val="21"/>
              </w:rPr>
              <w:t>合同签订后7个工作日内，支付合同总价的70%作为预付款，服务期满并通过考核，支付合同总价剩余的30%，如有</w:t>
            </w:r>
            <w:r>
              <w:rPr>
                <w:rFonts w:hint="eastAsia" w:ascii="Times New Roman" w:hAnsi="Times New Roman" w:eastAsia="宋体" w:cs="Times New Roman"/>
                <w:color w:val="000000" w:themeColor="text1"/>
                <w:szCs w:val="21"/>
                <w:lang w:eastAsia="zh-CN"/>
              </w:rPr>
              <w:t>扣</w:t>
            </w:r>
            <w:r>
              <w:rPr>
                <w:rFonts w:ascii="Times New Roman" w:hAnsi="Times New Roman" w:eastAsia="宋体" w:cs="Times New Roman"/>
                <w:color w:val="000000" w:themeColor="text1"/>
                <w:szCs w:val="21"/>
              </w:rPr>
              <w:t>款，则在余款中扣除</w:t>
            </w:r>
            <w:r>
              <w:rPr>
                <w:rFonts w:hint="eastAsia" w:ascii="Times New Roman" w:hAnsi="Times New Roman" w:eastAsia="宋体" w:cs="Times New Roman"/>
                <w:color w:val="000000" w:themeColor="text1"/>
                <w:szCs w:val="21"/>
                <w:lang w:eastAsia="zh-CN"/>
              </w:rPr>
              <w:t>，如扣款金额大于余款，不足部分则由中标方补足</w:t>
            </w:r>
            <w:r>
              <w:rPr>
                <w:rFonts w:ascii="Times New Roman" w:hAnsi="Times New Roman" w:eastAsia="宋体" w:cs="Times New Roman"/>
                <w:color w:val="000000" w:themeColor="text1"/>
                <w:szCs w:val="21"/>
              </w:rPr>
              <w:t>。</w:t>
            </w:r>
          </w:p>
          <w:p w14:paraId="474E3EE1">
            <w:pPr>
              <w:adjustRightInd w:val="0"/>
              <w:snapToGrid w:val="0"/>
              <w:spacing w:line="360" w:lineRule="auto"/>
              <w:ind w:firstLine="413" w:firstLineChars="196"/>
              <w:rPr>
                <w:rFonts w:ascii="Times New Roman" w:hAnsi="Times New Roman" w:eastAsia="宋体" w:cs="Times New Roman"/>
                <w:color w:val="000000" w:themeColor="text1"/>
                <w:szCs w:val="21"/>
                <w:lang w:val="en-GB"/>
              </w:rPr>
            </w:pPr>
            <w:r>
              <w:rPr>
                <w:rFonts w:ascii="Times New Roman" w:hAnsi="Times New Roman" w:eastAsia="宋体" w:cs="Times New Roman"/>
                <w:b/>
                <w:color w:val="000000" w:themeColor="text1"/>
                <w:szCs w:val="21"/>
                <w:lang w:val="en-GB"/>
              </w:rPr>
              <w:t>2</w:t>
            </w:r>
            <w:r>
              <w:rPr>
                <w:rFonts w:ascii="Times New Roman" w:hAnsi="Times New Roman" w:eastAsia="宋体" w:cs="Times New Roman"/>
                <w:color w:val="000000" w:themeColor="text1"/>
                <w:szCs w:val="21"/>
                <w:lang w:val="en-GB"/>
              </w:rPr>
              <w:t>付款按财政政策执行，因服务商未按合同履行维保任务或考核不合格以及不符合财政资金支付时间要求等原因造成不能及时付款的，采购方不承担责任。</w:t>
            </w:r>
          </w:p>
          <w:p w14:paraId="01AA824F">
            <w:pPr>
              <w:pStyle w:val="4"/>
              <w:rPr>
                <w:rFonts w:hint="eastAsia"/>
                <w:color w:val="000000" w:themeColor="text1"/>
              </w:rPr>
            </w:pPr>
            <w:r>
              <w:rPr>
                <w:rFonts w:hint="eastAsia"/>
                <w:color w:val="000000" w:themeColor="text1"/>
                <w:sz w:val="21"/>
                <w:szCs w:val="21"/>
              </w:rPr>
              <w:t>注：付款前中标单位应按规定向采购人开具正规发票。</w:t>
            </w:r>
          </w:p>
        </w:tc>
        <w:tc>
          <w:tcPr>
            <w:tcW w:w="1089" w:type="dxa"/>
            <w:vAlign w:val="center"/>
          </w:tcPr>
          <w:p w14:paraId="5FD85D9D">
            <w:pPr>
              <w:spacing w:line="400" w:lineRule="exact"/>
              <w:jc w:val="center"/>
              <w:rPr>
                <w:bCs/>
                <w:color w:val="000000" w:themeColor="text1"/>
              </w:rPr>
            </w:pPr>
          </w:p>
        </w:tc>
        <w:tc>
          <w:tcPr>
            <w:tcW w:w="1192" w:type="dxa"/>
            <w:vAlign w:val="center"/>
          </w:tcPr>
          <w:p w14:paraId="0E8380FA">
            <w:pPr>
              <w:spacing w:line="400" w:lineRule="exact"/>
              <w:jc w:val="center"/>
              <w:rPr>
                <w:bCs/>
                <w:color w:val="000000" w:themeColor="text1"/>
              </w:rPr>
            </w:pPr>
          </w:p>
        </w:tc>
      </w:tr>
      <w:tr w14:paraId="5124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195" w:type="dxa"/>
            <w:vMerge w:val="continue"/>
            <w:vAlign w:val="center"/>
          </w:tcPr>
          <w:p w14:paraId="5B266BAF">
            <w:pPr>
              <w:spacing w:line="400" w:lineRule="exact"/>
              <w:jc w:val="center"/>
              <w:rPr>
                <w:bCs/>
                <w:color w:val="000000" w:themeColor="text1"/>
              </w:rPr>
            </w:pPr>
          </w:p>
        </w:tc>
        <w:tc>
          <w:tcPr>
            <w:tcW w:w="5063" w:type="dxa"/>
            <w:vAlign w:val="center"/>
          </w:tcPr>
          <w:p w14:paraId="39A01288">
            <w:pPr>
              <w:spacing w:line="400" w:lineRule="exact"/>
              <w:jc w:val="left"/>
              <w:rPr>
                <w:bCs/>
                <w:color w:val="000000" w:themeColor="text1"/>
              </w:rPr>
            </w:pPr>
            <w:r>
              <w:rPr>
                <w:bCs/>
                <w:color w:val="000000" w:themeColor="text1"/>
              </w:rPr>
              <w:t>投标有效期：不少于90日历天</w:t>
            </w:r>
          </w:p>
        </w:tc>
        <w:tc>
          <w:tcPr>
            <w:tcW w:w="1089" w:type="dxa"/>
            <w:vAlign w:val="center"/>
          </w:tcPr>
          <w:p w14:paraId="06EE02C9">
            <w:pPr>
              <w:spacing w:line="400" w:lineRule="exact"/>
              <w:jc w:val="center"/>
              <w:rPr>
                <w:bCs/>
                <w:color w:val="000000" w:themeColor="text1"/>
              </w:rPr>
            </w:pPr>
          </w:p>
        </w:tc>
        <w:tc>
          <w:tcPr>
            <w:tcW w:w="1192" w:type="dxa"/>
            <w:vAlign w:val="center"/>
          </w:tcPr>
          <w:p w14:paraId="70458131">
            <w:pPr>
              <w:spacing w:line="400" w:lineRule="exact"/>
              <w:jc w:val="center"/>
              <w:rPr>
                <w:bCs/>
                <w:color w:val="000000" w:themeColor="text1"/>
              </w:rPr>
            </w:pPr>
          </w:p>
        </w:tc>
      </w:tr>
      <w:tr w14:paraId="1830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1195" w:type="dxa"/>
            <w:vMerge w:val="continue"/>
            <w:vAlign w:val="center"/>
          </w:tcPr>
          <w:p w14:paraId="73F68AF9">
            <w:pPr>
              <w:spacing w:line="400" w:lineRule="exact"/>
              <w:jc w:val="center"/>
              <w:rPr>
                <w:bCs/>
                <w:color w:val="000000" w:themeColor="text1"/>
              </w:rPr>
            </w:pPr>
          </w:p>
        </w:tc>
        <w:tc>
          <w:tcPr>
            <w:tcW w:w="5063" w:type="dxa"/>
            <w:vAlign w:val="center"/>
          </w:tcPr>
          <w:p w14:paraId="0B255646">
            <w:pPr>
              <w:spacing w:line="400" w:lineRule="exact"/>
              <w:jc w:val="left"/>
              <w:rPr>
                <w:bCs/>
                <w:color w:val="000000" w:themeColor="text1"/>
              </w:rPr>
            </w:pPr>
            <w:r>
              <w:rPr>
                <w:bCs/>
                <w:color w:val="000000" w:themeColor="text1"/>
              </w:rPr>
              <w:t>合同条款要求</w:t>
            </w:r>
          </w:p>
        </w:tc>
        <w:tc>
          <w:tcPr>
            <w:tcW w:w="1089" w:type="dxa"/>
            <w:vAlign w:val="center"/>
          </w:tcPr>
          <w:p w14:paraId="0D4DD420">
            <w:pPr>
              <w:spacing w:line="400" w:lineRule="exact"/>
              <w:jc w:val="center"/>
              <w:rPr>
                <w:bCs/>
                <w:color w:val="000000" w:themeColor="text1"/>
              </w:rPr>
            </w:pPr>
          </w:p>
        </w:tc>
        <w:tc>
          <w:tcPr>
            <w:tcW w:w="1192" w:type="dxa"/>
            <w:vAlign w:val="center"/>
          </w:tcPr>
          <w:p w14:paraId="1D5E6A23">
            <w:pPr>
              <w:spacing w:line="400" w:lineRule="exact"/>
              <w:jc w:val="center"/>
              <w:rPr>
                <w:bCs/>
                <w:color w:val="000000" w:themeColor="text1"/>
              </w:rPr>
            </w:pPr>
          </w:p>
        </w:tc>
      </w:tr>
      <w:tr w14:paraId="4E3F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95" w:type="dxa"/>
            <w:vMerge w:val="continue"/>
            <w:vAlign w:val="center"/>
          </w:tcPr>
          <w:p w14:paraId="4192769C">
            <w:pPr>
              <w:spacing w:line="400" w:lineRule="exact"/>
              <w:jc w:val="center"/>
              <w:rPr>
                <w:bCs/>
                <w:color w:val="000000" w:themeColor="text1"/>
              </w:rPr>
            </w:pPr>
          </w:p>
        </w:tc>
        <w:tc>
          <w:tcPr>
            <w:tcW w:w="5063" w:type="dxa"/>
            <w:vAlign w:val="center"/>
          </w:tcPr>
          <w:p w14:paraId="5948E05B">
            <w:pPr>
              <w:spacing w:line="400" w:lineRule="exact"/>
              <w:jc w:val="left"/>
              <w:rPr>
                <w:bCs/>
                <w:color w:val="000000" w:themeColor="text1"/>
              </w:rPr>
            </w:pPr>
            <w:r>
              <w:rPr>
                <w:bCs/>
                <w:color w:val="000000" w:themeColor="text1"/>
              </w:rPr>
              <w:t>报价内容涵盖报价要求之一切费用和伴随服务</w:t>
            </w:r>
          </w:p>
        </w:tc>
        <w:tc>
          <w:tcPr>
            <w:tcW w:w="1089" w:type="dxa"/>
            <w:vAlign w:val="center"/>
          </w:tcPr>
          <w:p w14:paraId="1D5D5014">
            <w:pPr>
              <w:spacing w:line="400" w:lineRule="exact"/>
              <w:jc w:val="center"/>
              <w:rPr>
                <w:bCs/>
                <w:color w:val="000000" w:themeColor="text1"/>
              </w:rPr>
            </w:pPr>
          </w:p>
        </w:tc>
        <w:tc>
          <w:tcPr>
            <w:tcW w:w="1192" w:type="dxa"/>
            <w:vAlign w:val="center"/>
          </w:tcPr>
          <w:p w14:paraId="3E68CA31">
            <w:pPr>
              <w:spacing w:line="400" w:lineRule="exact"/>
              <w:jc w:val="center"/>
              <w:rPr>
                <w:bCs/>
                <w:color w:val="000000" w:themeColor="text1"/>
              </w:rPr>
            </w:pPr>
          </w:p>
        </w:tc>
      </w:tr>
      <w:tr w14:paraId="6D9D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195" w:type="dxa"/>
            <w:vMerge w:val="continue"/>
            <w:vAlign w:val="center"/>
          </w:tcPr>
          <w:p w14:paraId="6E7E6C61">
            <w:pPr>
              <w:spacing w:line="400" w:lineRule="exact"/>
              <w:jc w:val="center"/>
              <w:rPr>
                <w:bCs/>
                <w:color w:val="000000" w:themeColor="text1"/>
              </w:rPr>
            </w:pPr>
          </w:p>
        </w:tc>
        <w:tc>
          <w:tcPr>
            <w:tcW w:w="5063" w:type="dxa"/>
            <w:vAlign w:val="center"/>
          </w:tcPr>
          <w:p w14:paraId="486EF10C">
            <w:pPr>
              <w:spacing w:line="400" w:lineRule="exact"/>
              <w:jc w:val="left"/>
              <w:rPr>
                <w:bCs/>
                <w:color w:val="000000" w:themeColor="text1"/>
              </w:rPr>
            </w:pPr>
            <w:r>
              <w:rPr>
                <w:bCs/>
                <w:color w:val="000000" w:themeColor="text1"/>
              </w:rPr>
              <w:t>其他商务条款偏离情况</w:t>
            </w:r>
          </w:p>
        </w:tc>
        <w:tc>
          <w:tcPr>
            <w:tcW w:w="1089" w:type="dxa"/>
            <w:vAlign w:val="center"/>
          </w:tcPr>
          <w:p w14:paraId="314D2CBD">
            <w:pPr>
              <w:spacing w:line="400" w:lineRule="exact"/>
              <w:jc w:val="center"/>
              <w:rPr>
                <w:bCs/>
                <w:color w:val="000000" w:themeColor="text1"/>
              </w:rPr>
            </w:pPr>
          </w:p>
        </w:tc>
        <w:tc>
          <w:tcPr>
            <w:tcW w:w="1192" w:type="dxa"/>
            <w:vAlign w:val="center"/>
          </w:tcPr>
          <w:p w14:paraId="2B13DC67">
            <w:pPr>
              <w:spacing w:line="400" w:lineRule="exact"/>
              <w:jc w:val="center"/>
              <w:rPr>
                <w:bCs/>
                <w:color w:val="000000" w:themeColor="text1"/>
              </w:rPr>
            </w:pPr>
          </w:p>
        </w:tc>
      </w:tr>
      <w:tr w14:paraId="2E96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195" w:type="dxa"/>
            <w:vMerge w:val="continue"/>
            <w:vAlign w:val="center"/>
          </w:tcPr>
          <w:p w14:paraId="3BFAA3ED">
            <w:pPr>
              <w:spacing w:line="400" w:lineRule="exact"/>
              <w:jc w:val="center"/>
              <w:rPr>
                <w:bCs/>
                <w:color w:val="000000" w:themeColor="text1"/>
              </w:rPr>
            </w:pPr>
          </w:p>
        </w:tc>
        <w:tc>
          <w:tcPr>
            <w:tcW w:w="5063" w:type="dxa"/>
            <w:vAlign w:val="center"/>
          </w:tcPr>
          <w:p w14:paraId="1B459125">
            <w:pPr>
              <w:spacing w:line="400" w:lineRule="exact"/>
              <w:jc w:val="left"/>
              <w:rPr>
                <w:bCs/>
                <w:color w:val="000000" w:themeColor="text1"/>
              </w:rPr>
            </w:pPr>
          </w:p>
        </w:tc>
        <w:tc>
          <w:tcPr>
            <w:tcW w:w="1089" w:type="dxa"/>
            <w:vAlign w:val="center"/>
          </w:tcPr>
          <w:p w14:paraId="7BB0966B">
            <w:pPr>
              <w:spacing w:line="400" w:lineRule="exact"/>
              <w:jc w:val="center"/>
              <w:rPr>
                <w:bCs/>
                <w:color w:val="000000" w:themeColor="text1"/>
              </w:rPr>
            </w:pPr>
          </w:p>
        </w:tc>
        <w:tc>
          <w:tcPr>
            <w:tcW w:w="1192" w:type="dxa"/>
            <w:vAlign w:val="center"/>
          </w:tcPr>
          <w:p w14:paraId="3B4953DE">
            <w:pPr>
              <w:spacing w:line="400" w:lineRule="exact"/>
              <w:jc w:val="center"/>
              <w:rPr>
                <w:bCs/>
                <w:color w:val="000000" w:themeColor="text1"/>
              </w:rPr>
            </w:pPr>
          </w:p>
        </w:tc>
      </w:tr>
      <w:tr w14:paraId="3E81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195" w:type="dxa"/>
            <w:vMerge w:val="continue"/>
            <w:vAlign w:val="center"/>
          </w:tcPr>
          <w:p w14:paraId="76E3104C">
            <w:pPr>
              <w:spacing w:line="400" w:lineRule="exact"/>
              <w:jc w:val="center"/>
              <w:rPr>
                <w:bCs/>
                <w:color w:val="000000" w:themeColor="text1"/>
              </w:rPr>
            </w:pPr>
          </w:p>
        </w:tc>
        <w:tc>
          <w:tcPr>
            <w:tcW w:w="5063" w:type="dxa"/>
            <w:vAlign w:val="center"/>
          </w:tcPr>
          <w:p w14:paraId="47085466">
            <w:pPr>
              <w:spacing w:line="400" w:lineRule="exact"/>
              <w:jc w:val="left"/>
              <w:rPr>
                <w:bCs/>
                <w:color w:val="000000" w:themeColor="text1"/>
              </w:rPr>
            </w:pPr>
            <w:r>
              <w:rPr>
                <w:bCs/>
                <w:color w:val="000000" w:themeColor="text1"/>
              </w:rPr>
              <w:t>……</w:t>
            </w:r>
          </w:p>
        </w:tc>
        <w:tc>
          <w:tcPr>
            <w:tcW w:w="1089" w:type="dxa"/>
            <w:vAlign w:val="center"/>
          </w:tcPr>
          <w:p w14:paraId="78A6E7B5">
            <w:pPr>
              <w:spacing w:line="400" w:lineRule="exact"/>
              <w:jc w:val="center"/>
              <w:rPr>
                <w:bCs/>
                <w:color w:val="000000" w:themeColor="text1"/>
              </w:rPr>
            </w:pPr>
          </w:p>
        </w:tc>
        <w:tc>
          <w:tcPr>
            <w:tcW w:w="1192" w:type="dxa"/>
            <w:vAlign w:val="center"/>
          </w:tcPr>
          <w:p w14:paraId="18189179">
            <w:pPr>
              <w:spacing w:line="400" w:lineRule="exact"/>
              <w:jc w:val="center"/>
              <w:rPr>
                <w:bCs/>
                <w:color w:val="000000" w:themeColor="text1"/>
              </w:rPr>
            </w:pPr>
          </w:p>
        </w:tc>
      </w:tr>
    </w:tbl>
    <w:p w14:paraId="161438A8">
      <w:pPr>
        <w:autoSpaceDE w:val="0"/>
        <w:autoSpaceDN w:val="0"/>
        <w:adjustRightInd w:val="0"/>
        <w:spacing w:line="360" w:lineRule="auto"/>
        <w:ind w:firstLine="7035" w:firstLineChars="3350"/>
        <w:jc w:val="left"/>
        <w:rPr>
          <w:b/>
          <w:color w:val="000000" w:themeColor="text1"/>
          <w:sz w:val="22"/>
          <w:szCs w:val="22"/>
        </w:rPr>
      </w:pPr>
      <w:r>
        <w:rPr>
          <w:rFonts w:ascii="宋体" w:hAnsi="宋体" w:cs="宋体"/>
          <w:color w:val="000000" w:themeColor="text1"/>
        </w:rPr>
        <w:t xml:space="preserve">                                                </w:t>
      </w:r>
      <w:r>
        <w:rPr>
          <w:rFonts w:hint="eastAsia" w:ascii="宋体" w:hAnsi="宋体" w:cs="宋体"/>
          <w:color w:val="000000" w:themeColor="text1"/>
        </w:rPr>
        <w:t xml:space="preserve">  </w:t>
      </w:r>
      <w:r>
        <w:rPr>
          <w:b/>
          <w:color w:val="000000" w:themeColor="text1"/>
          <w:sz w:val="22"/>
          <w:szCs w:val="22"/>
        </w:rPr>
        <w:t>注： 如有偏离，必须在偏离表中进行详细对比说明并注明正偏离（负偏离），如此表不填或填写为无偏离或不说明偏离情况，视为完全响应招标文件要求。</w:t>
      </w:r>
    </w:p>
    <w:p w14:paraId="65FAD0FD">
      <w:pPr>
        <w:jc w:val="right"/>
        <w:rPr>
          <w:color w:val="000000" w:themeColor="text1"/>
          <w:sz w:val="22"/>
          <w:szCs w:val="22"/>
        </w:rPr>
      </w:pPr>
    </w:p>
    <w:p w14:paraId="485D1C7B">
      <w:pPr>
        <w:ind w:firstLine="210" w:firstLineChars="100"/>
        <w:jc w:val="right"/>
        <w:rPr>
          <w:color w:val="000000" w:themeColor="text1"/>
        </w:rPr>
      </w:pPr>
      <w:r>
        <w:rPr>
          <w:color w:val="000000" w:themeColor="text1"/>
        </w:rPr>
        <w:t xml:space="preserve">投标人（盖章）：                               </w:t>
      </w:r>
    </w:p>
    <w:p w14:paraId="05475201">
      <w:pPr>
        <w:ind w:firstLine="210" w:firstLineChars="100"/>
        <w:jc w:val="right"/>
        <w:rPr>
          <w:color w:val="000000" w:themeColor="text1"/>
        </w:rPr>
      </w:pPr>
    </w:p>
    <w:p w14:paraId="0459851E">
      <w:pPr>
        <w:ind w:firstLine="0" w:firstLineChars="0"/>
        <w:jc w:val="both"/>
        <w:rPr>
          <w:color w:val="000000" w:themeColor="text1"/>
        </w:rPr>
      </w:pPr>
      <w:r>
        <w:rPr>
          <w:color w:val="000000" w:themeColor="text1"/>
        </w:rPr>
        <w:t xml:space="preserve">                      </w:t>
      </w:r>
    </w:p>
    <w:p w14:paraId="39764924">
      <w:pPr>
        <w:pStyle w:val="25"/>
        <w:jc w:val="right"/>
        <w:rPr>
          <w:rFonts w:hint="eastAsia"/>
          <w:b/>
          <w:color w:val="000000" w:themeColor="text1"/>
          <w:sz w:val="24"/>
        </w:rPr>
      </w:pPr>
      <w:r>
        <w:rPr>
          <w:color w:val="000000" w:themeColor="text1"/>
        </w:rPr>
        <w:t>日期：</w:t>
      </w:r>
    </w:p>
    <w:p w14:paraId="57D5C32C">
      <w:pPr>
        <w:numPr>
          <w:ilvl w:val="255"/>
          <w:numId w:val="0"/>
        </w:numPr>
        <w:rPr>
          <w:rFonts w:hint="eastAsia"/>
          <w:b/>
          <w:color w:val="000000" w:themeColor="text1"/>
          <w:sz w:val="24"/>
        </w:rPr>
      </w:pPr>
    </w:p>
    <w:p w14:paraId="617FBB67">
      <w:pPr>
        <w:numPr>
          <w:ilvl w:val="255"/>
          <w:numId w:val="0"/>
        </w:numPr>
        <w:rPr>
          <w:rFonts w:hint="eastAsia"/>
          <w:b/>
          <w:color w:val="000000" w:themeColor="text1"/>
          <w:sz w:val="24"/>
        </w:rPr>
      </w:pPr>
    </w:p>
    <w:p w14:paraId="6A0EB2B5">
      <w:pPr>
        <w:pStyle w:val="25"/>
        <w:rPr>
          <w:rFonts w:hint="eastAsia"/>
          <w:color w:val="000000" w:themeColor="text1"/>
        </w:rPr>
      </w:pPr>
    </w:p>
    <w:p w14:paraId="58C79245">
      <w:pPr>
        <w:numPr>
          <w:ilvl w:val="-1"/>
          <w:numId w:val="0"/>
        </w:numPr>
        <w:ind w:left="420" w:firstLine="0"/>
        <w:rPr>
          <w:rFonts w:hint="eastAsia"/>
          <w:b/>
          <w:color w:val="000000" w:themeColor="text1"/>
          <w:sz w:val="24"/>
        </w:rPr>
      </w:pPr>
      <w:r>
        <w:rPr>
          <w:rFonts w:hint="eastAsia"/>
          <w:b/>
          <w:color w:val="000000" w:themeColor="text1"/>
          <w:sz w:val="24"/>
          <w:lang w:val="en-US" w:eastAsia="zh-CN"/>
        </w:rPr>
        <w:t>十一、项目技术</w:t>
      </w:r>
      <w:r>
        <w:rPr>
          <w:rFonts w:hint="eastAsia"/>
          <w:b/>
          <w:color w:val="000000" w:themeColor="text1"/>
          <w:sz w:val="24"/>
        </w:rPr>
        <w:t>方案等</w:t>
      </w:r>
    </w:p>
    <w:p w14:paraId="23E04DAC">
      <w:pPr>
        <w:numPr>
          <w:ilvl w:val="-1"/>
          <w:numId w:val="0"/>
        </w:numPr>
        <w:ind w:left="420" w:firstLine="0"/>
        <w:rPr>
          <w:rFonts w:hint="eastAsia"/>
          <w:b/>
          <w:color w:val="000000" w:themeColor="text1"/>
          <w:sz w:val="24"/>
        </w:rPr>
      </w:pPr>
    </w:p>
    <w:p w14:paraId="10193D24">
      <w:pPr>
        <w:numPr>
          <w:ilvl w:val="-1"/>
          <w:numId w:val="0"/>
        </w:numPr>
        <w:ind w:left="420" w:firstLine="0"/>
        <w:rPr>
          <w:b/>
          <w:color w:val="000000" w:themeColor="text1"/>
          <w:sz w:val="24"/>
        </w:rPr>
      </w:pPr>
      <w:r>
        <w:rPr>
          <w:rFonts w:hint="eastAsia"/>
          <w:b/>
          <w:color w:val="000000" w:themeColor="text1"/>
          <w:sz w:val="24"/>
        </w:rPr>
        <w:t>（格式自拟，详见评分标准</w:t>
      </w:r>
      <w:r>
        <w:rPr>
          <w:rFonts w:hint="eastAsia"/>
          <w:b/>
          <w:color w:val="000000" w:themeColor="text1"/>
          <w:sz w:val="24"/>
          <w:lang w:eastAsia="zh-CN"/>
        </w:rPr>
        <w:t>，</w:t>
      </w:r>
      <w:r>
        <w:rPr>
          <w:rFonts w:hint="eastAsia"/>
          <w:b/>
          <w:color w:val="000000" w:themeColor="text1"/>
          <w:sz w:val="24"/>
          <w:lang w:val="en-US" w:eastAsia="zh-CN"/>
        </w:rPr>
        <w:t>根据各标项评分标准分别提供</w:t>
      </w:r>
      <w:r>
        <w:rPr>
          <w:rFonts w:hint="eastAsia"/>
          <w:b/>
          <w:color w:val="000000" w:themeColor="text1"/>
          <w:sz w:val="24"/>
        </w:rPr>
        <w:t>）</w:t>
      </w:r>
    </w:p>
    <w:p w14:paraId="1385C997">
      <w:pPr>
        <w:pStyle w:val="13"/>
        <w:ind w:firstLine="723" w:firstLineChars="300"/>
        <w:rPr>
          <w:b/>
          <w:color w:val="000000" w:themeColor="text1"/>
          <w:sz w:val="24"/>
        </w:rPr>
      </w:pPr>
    </w:p>
    <w:p w14:paraId="46E03C26">
      <w:pPr>
        <w:pStyle w:val="13"/>
        <w:ind w:firstLine="1928" w:firstLineChars="800"/>
        <w:rPr>
          <w:b/>
          <w:color w:val="000000" w:themeColor="text1"/>
          <w:sz w:val="24"/>
        </w:rPr>
      </w:pPr>
      <w:r>
        <w:rPr>
          <w:rFonts w:hint="eastAsia"/>
          <w:b/>
          <w:color w:val="000000" w:themeColor="text1"/>
          <w:sz w:val="24"/>
        </w:rPr>
        <w:t>服务特点及保证服务质量的措施</w:t>
      </w:r>
    </w:p>
    <w:p w14:paraId="3A1C1F00">
      <w:pPr>
        <w:rPr>
          <w:b/>
          <w:color w:val="000000" w:themeColor="text1"/>
          <w:sz w:val="24"/>
        </w:rPr>
      </w:pPr>
    </w:p>
    <w:p w14:paraId="436DEC6C">
      <w:pPr>
        <w:pStyle w:val="13"/>
        <w:rPr>
          <w:color w:val="000000" w:themeColor="text1"/>
        </w:rPr>
      </w:pPr>
    </w:p>
    <w:p w14:paraId="7A1FA7DB">
      <w:pPr>
        <w:rPr>
          <w:b/>
          <w:color w:val="000000" w:themeColor="text1"/>
          <w:sz w:val="24"/>
        </w:rPr>
      </w:pPr>
      <w:r>
        <w:rPr>
          <w:rFonts w:hint="eastAsia"/>
          <w:b/>
          <w:color w:val="000000" w:themeColor="text1"/>
          <w:sz w:val="24"/>
        </w:rPr>
        <w:t>本采购文件要求提供的和投标人认为需要提供的其它说明和资料/文件</w:t>
      </w:r>
    </w:p>
    <w:p w14:paraId="0B15E402">
      <w:pPr>
        <w:jc w:val="left"/>
        <w:rPr>
          <w:rFonts w:ascii="Times New Roman" w:hAnsi="Times New Roman" w:cs="Times New Roman"/>
          <w:color w:val="000000" w:themeColor="text1"/>
        </w:rPr>
      </w:pPr>
    </w:p>
    <w:p w14:paraId="22D8F2CB">
      <w:pPr>
        <w:snapToGrid w:val="0"/>
        <w:spacing w:before="50" w:afterLines="50" w:line="400" w:lineRule="exact"/>
        <w:jc w:val="left"/>
        <w:rPr>
          <w:rFonts w:ascii="宋体"/>
          <w:b/>
          <w:bCs/>
          <w:color w:val="000000" w:themeColor="text1"/>
        </w:rPr>
      </w:pPr>
      <w:r>
        <w:rPr>
          <w:rFonts w:ascii="Times New Roman" w:hAnsi="Times New Roman" w:cs="Times New Roman"/>
          <w:color w:val="000000" w:themeColor="text1"/>
        </w:rPr>
        <w:br w:type="page"/>
      </w:r>
      <w:r>
        <w:rPr>
          <w:rFonts w:hint="eastAsia" w:hAnsi="宋体"/>
          <w:b/>
          <w:bCs/>
          <w:color w:val="000000" w:themeColor="text1"/>
          <w:spacing w:val="-4"/>
        </w:rPr>
        <w:t>十二</w:t>
      </w:r>
      <w:r>
        <w:rPr>
          <w:rFonts w:hint="eastAsia" w:ascii="宋体" w:hAnsi="宋体"/>
          <w:b/>
          <w:bCs/>
          <w:color w:val="000000" w:themeColor="text1"/>
        </w:rPr>
        <w:t>、投标报价一览表</w:t>
      </w:r>
    </w:p>
    <w:p w14:paraId="2A611A9F">
      <w:pPr>
        <w:snapToGrid w:val="0"/>
        <w:spacing w:before="50" w:after="50" w:line="360" w:lineRule="exact"/>
        <w:jc w:val="center"/>
        <w:rPr>
          <w:rFonts w:ascii="Times New Roman" w:hAnsi="Times New Roman" w:eastAsia="仿宋_GB2312" w:cs="Times New Roman"/>
          <w:b/>
          <w:bCs/>
          <w:color w:val="000000" w:themeColor="text1"/>
          <w:sz w:val="28"/>
          <w:szCs w:val="28"/>
        </w:rPr>
      </w:pPr>
      <w:r>
        <w:rPr>
          <w:rFonts w:ascii="Times New Roman" w:hAnsi="Times New Roman" w:eastAsia="仿宋_GB2312" w:cs="Times New Roman"/>
          <w:b/>
          <w:bCs/>
          <w:color w:val="000000" w:themeColor="text1"/>
          <w:sz w:val="28"/>
          <w:szCs w:val="28"/>
        </w:rPr>
        <w:t>报价一览表</w:t>
      </w:r>
    </w:p>
    <w:p w14:paraId="52E7ACF2">
      <w:pPr>
        <w:pStyle w:val="4"/>
        <w:rPr>
          <w:rFonts w:ascii="Times New Roman" w:hAnsi="Times New Roman" w:cs="Times New Roman"/>
          <w:color w:val="000000" w:themeColor="text1"/>
        </w:rPr>
      </w:pPr>
    </w:p>
    <w:p w14:paraId="373F5BF8">
      <w:pPr>
        <w:snapToGrid w:val="0"/>
        <w:spacing w:before="50" w:after="50" w:line="360" w:lineRule="exact"/>
        <w:ind w:firstLine="840" w:firstLineChars="400"/>
        <w:rPr>
          <w:rFonts w:ascii="Times New Roman" w:hAnsi="Times New Roman" w:cs="Times New Roman"/>
          <w:color w:val="000000" w:themeColor="text1"/>
        </w:rPr>
      </w:pPr>
      <w:r>
        <w:rPr>
          <w:rFonts w:ascii="Times New Roman" w:hAnsi="Times New Roman" w:cs="Times New Roman"/>
          <w:color w:val="000000" w:themeColor="text1"/>
        </w:rPr>
        <w:t>招标文件编号：单位：人民币元</w:t>
      </w:r>
    </w:p>
    <w:tbl>
      <w:tblPr>
        <w:tblStyle w:val="27"/>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7246"/>
      </w:tblGrid>
      <w:tr w14:paraId="35E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8" w:hRule="atLeast"/>
          <w:jc w:val="center"/>
        </w:trPr>
        <w:tc>
          <w:tcPr>
            <w:tcW w:w="1733" w:type="dxa"/>
            <w:vAlign w:val="center"/>
          </w:tcPr>
          <w:p w14:paraId="5E4264A8">
            <w:pPr>
              <w:spacing w:before="240" w:after="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项目名称</w:t>
            </w:r>
          </w:p>
        </w:tc>
        <w:tc>
          <w:tcPr>
            <w:tcW w:w="7246" w:type="dxa"/>
            <w:vAlign w:val="center"/>
          </w:tcPr>
          <w:p w14:paraId="6D95AC84">
            <w:pPr>
              <w:spacing w:before="240" w:after="240"/>
              <w:jc w:val="center"/>
              <w:rPr>
                <w:rFonts w:ascii="Times New Roman" w:hAnsi="Times New Roman" w:cs="Times New Roman"/>
                <w:color w:val="000000" w:themeColor="text1"/>
                <w:sz w:val="24"/>
                <w:szCs w:val="24"/>
              </w:rPr>
            </w:pPr>
          </w:p>
        </w:tc>
      </w:tr>
      <w:tr w14:paraId="719FB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3" w:hRule="atLeast"/>
          <w:jc w:val="center"/>
        </w:trPr>
        <w:tc>
          <w:tcPr>
            <w:tcW w:w="1733" w:type="dxa"/>
            <w:vAlign w:val="center"/>
          </w:tcPr>
          <w:p w14:paraId="4E5829C0">
            <w:pPr>
              <w:spacing w:before="240" w:after="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投标总价</w:t>
            </w:r>
          </w:p>
        </w:tc>
        <w:tc>
          <w:tcPr>
            <w:tcW w:w="7246" w:type="dxa"/>
            <w:vAlign w:val="center"/>
          </w:tcPr>
          <w:p w14:paraId="048007A1">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（小写）人民币元</w:t>
            </w:r>
          </w:p>
          <w:p w14:paraId="47132B1C">
            <w:pPr>
              <w:spacing w:before="240" w:after="240"/>
              <w:rPr>
                <w:rFonts w:ascii="Times New Roman" w:hAnsi="Times New Roman" w:cs="Times New Roman"/>
                <w:color w:val="000000" w:themeColor="text1"/>
                <w:sz w:val="24"/>
                <w:szCs w:val="24"/>
              </w:rPr>
            </w:pPr>
            <w:r>
              <w:rPr>
                <w:rFonts w:ascii="Times New Roman" w:hAnsi="Times New Roman" w:cs="Times New Roman"/>
                <w:color w:val="000000" w:themeColor="text1"/>
              </w:rPr>
              <w:t>（大写）人民币元</w:t>
            </w:r>
          </w:p>
        </w:tc>
      </w:tr>
    </w:tbl>
    <w:p w14:paraId="7EF14E06">
      <w:pPr>
        <w:snapToGrid w:val="0"/>
        <w:spacing w:before="50" w:after="50" w:line="360" w:lineRule="exact"/>
        <w:ind w:firstLine="420" w:firstLineChars="200"/>
        <w:jc w:val="left"/>
        <w:rPr>
          <w:rFonts w:ascii="Times New Roman" w:hAnsi="Times New Roman" w:cs="Times New Roman"/>
          <w:color w:val="000000" w:themeColor="text1"/>
        </w:rPr>
      </w:pPr>
    </w:p>
    <w:p w14:paraId="5F754256">
      <w:pPr>
        <w:spacing w:line="360" w:lineRule="auto"/>
        <w:ind w:firstLine="422" w:firstLineChars="200"/>
        <w:rPr>
          <w:rFonts w:ascii="Times New Roman" w:hAnsi="Times New Roman"/>
          <w:b/>
          <w:bCs/>
          <w:color w:val="000000" w:themeColor="text1"/>
        </w:rPr>
      </w:pPr>
      <w:r>
        <w:rPr>
          <w:rFonts w:hint="eastAsia" w:ascii="Times New Roman" w:hAnsi="Times New Roman"/>
          <w:b/>
          <w:bCs/>
          <w:color w:val="000000" w:themeColor="text1"/>
        </w:rPr>
        <w:t>1、</w:t>
      </w:r>
      <w:r>
        <w:rPr>
          <w:rFonts w:ascii="Times New Roman" w:hAnsi="Times New Roman"/>
          <w:b/>
          <w:bCs/>
          <w:color w:val="000000" w:themeColor="text1"/>
        </w:rPr>
        <w:t>报价一经涂改，应在涂改处加盖单位公章或者由法定代表人签字（或盖章），否则其投标作无效标处理；</w:t>
      </w:r>
    </w:p>
    <w:p w14:paraId="36EAA8ED">
      <w:pPr>
        <w:snapToGrid w:val="0"/>
        <w:spacing w:before="50" w:after="50" w:line="360" w:lineRule="exact"/>
        <w:ind w:firstLine="420" w:firstLineChars="200"/>
        <w:jc w:val="left"/>
        <w:rPr>
          <w:color w:val="000000" w:themeColor="text1"/>
        </w:rPr>
      </w:pPr>
      <w:r>
        <w:rPr>
          <w:rFonts w:hint="eastAsia" w:cs="宋体"/>
          <w:color w:val="000000" w:themeColor="text1"/>
        </w:rPr>
        <w:t>2、特别提醒：本项目为电子招投标，请确保政采云系统投标信息与报价文件中投标报价一览表</w:t>
      </w:r>
      <w:r>
        <w:rPr>
          <w:rFonts w:hint="eastAsia" w:cs="宋体"/>
          <w:color w:val="000000" w:themeColor="text1"/>
          <w:lang w:val="en-US" w:eastAsia="zh-CN"/>
        </w:rPr>
        <w:t>及投标报价明细表</w:t>
      </w:r>
      <w:r>
        <w:rPr>
          <w:rFonts w:hint="eastAsia" w:cs="宋体"/>
          <w:color w:val="000000" w:themeColor="text1"/>
        </w:rPr>
        <w:t>内容一致！</w:t>
      </w:r>
    </w:p>
    <w:p w14:paraId="014CA782">
      <w:pPr>
        <w:snapToGrid w:val="0"/>
        <w:spacing w:before="50" w:after="50" w:line="360" w:lineRule="exact"/>
        <w:ind w:firstLine="420" w:firstLineChars="200"/>
        <w:jc w:val="left"/>
        <w:rPr>
          <w:rFonts w:ascii="Times New Roman" w:hAnsi="Times New Roman" w:cs="Times New Roman"/>
          <w:color w:val="000000" w:themeColor="text1"/>
        </w:rPr>
      </w:pPr>
    </w:p>
    <w:p w14:paraId="73A4920B">
      <w:pPr>
        <w:spacing w:line="360" w:lineRule="auto"/>
        <w:rPr>
          <w:rFonts w:ascii="Times New Roman" w:hAnsi="Times New Roman" w:cs="Times New Roman"/>
          <w:b/>
          <w:bCs/>
          <w:color w:val="000000" w:themeColor="text1"/>
          <w:spacing w:val="20"/>
        </w:rPr>
      </w:pPr>
    </w:p>
    <w:p w14:paraId="34731119">
      <w:pPr>
        <w:snapToGrid w:val="0"/>
        <w:spacing w:before="50" w:after="50"/>
        <w:ind w:left="-23" w:leftChars="-11" w:right="-817" w:rightChars="-389"/>
        <w:jc w:val="right"/>
        <w:rPr>
          <w:rFonts w:ascii="Times New Roman" w:hAnsi="Times New Roman" w:cs="Times New Roman"/>
          <w:color w:val="000000" w:themeColor="text1"/>
        </w:rPr>
      </w:pPr>
    </w:p>
    <w:p w14:paraId="58309BE3">
      <w:pPr>
        <w:snapToGrid w:val="0"/>
        <w:spacing w:before="50" w:after="50"/>
        <w:ind w:left="-23" w:leftChars="-11" w:right="-817" w:rightChars="-389"/>
        <w:jc w:val="center"/>
        <w:rPr>
          <w:rFonts w:ascii="Times New Roman" w:hAnsi="Times New Roman" w:cs="Times New Roman"/>
          <w:color w:val="000000" w:themeColor="text1"/>
        </w:rPr>
      </w:pPr>
    </w:p>
    <w:p w14:paraId="1B5EB7C2">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rPr>
        <w:t>法定代表人（签字或盖章）：</w:t>
      </w:r>
    </w:p>
    <w:p w14:paraId="7A33BAAE">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投标人盖章：</w:t>
      </w:r>
    </w:p>
    <w:p w14:paraId="545749E7">
      <w:pPr>
        <w:spacing w:line="360" w:lineRule="auto"/>
        <w:rPr>
          <w:rFonts w:ascii="Times New Roman" w:hAnsi="Times New Roman" w:cs="Times New Roman"/>
          <w:color w:val="000000" w:themeColor="text1"/>
        </w:rPr>
        <w:sectPr>
          <w:headerReference r:id="rId9" w:type="default"/>
          <w:footerReference r:id="rId10" w:type="default"/>
          <w:pgSz w:w="11906" w:h="16838"/>
          <w:pgMar w:top="1440" w:right="1797" w:bottom="1440" w:left="1803" w:header="851" w:footer="992" w:gutter="0"/>
          <w:cols w:space="720" w:num="1"/>
          <w:docGrid w:type="lines" w:linePitch="319" w:charSpace="0"/>
        </w:sectPr>
      </w:pPr>
      <w:r>
        <w:rPr>
          <w:rFonts w:ascii="Times New Roman" w:hAnsi="Times New Roman" w:cs="Times New Roman"/>
          <w:color w:val="000000" w:themeColor="text1"/>
          <w:spacing w:val="20"/>
        </w:rPr>
        <w:t>日期：</w:t>
      </w:r>
    </w:p>
    <w:p w14:paraId="2030CCB8">
      <w:pPr>
        <w:autoSpaceDE w:val="0"/>
        <w:autoSpaceDN w:val="0"/>
        <w:adjustRightInd w:val="0"/>
        <w:rPr>
          <w:rFonts w:ascii="宋体"/>
          <w:bCs/>
          <w:color w:val="000000" w:themeColor="text1"/>
        </w:rPr>
      </w:pPr>
      <w:r>
        <w:rPr>
          <w:rFonts w:hint="eastAsia" w:ascii="宋体" w:hAnsi="宋体"/>
          <w:b/>
          <w:bCs/>
          <w:color w:val="000000" w:themeColor="text1"/>
        </w:rPr>
        <w:t>十三、投标报价明细表</w:t>
      </w:r>
    </w:p>
    <w:p w14:paraId="4CF2463F">
      <w:pPr>
        <w:pStyle w:val="81"/>
        <w:jc w:val="center"/>
        <w:rPr>
          <w:rFonts w:hAnsi="宋体" w:eastAsia="宋体"/>
          <w:b/>
          <w:color w:val="000000" w:themeColor="text1"/>
          <w:sz w:val="21"/>
          <w:szCs w:val="21"/>
        </w:rPr>
      </w:pPr>
    </w:p>
    <w:p w14:paraId="168B97D0">
      <w:pPr>
        <w:pStyle w:val="16"/>
        <w:snapToGrid w:val="0"/>
        <w:spacing w:before="156" w:after="156"/>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投标报价明细表</w:t>
      </w:r>
    </w:p>
    <w:p w14:paraId="34A04BD5">
      <w:pPr>
        <w:pStyle w:val="16"/>
        <w:snapToGrid w:val="0"/>
        <w:spacing w:before="156" w:after="156"/>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项目名称：</w:t>
      </w:r>
    </w:p>
    <w:p w14:paraId="152481A9">
      <w:pPr>
        <w:pStyle w:val="16"/>
        <w:snapToGrid w:val="0"/>
        <w:spacing w:before="156" w:after="156"/>
        <w:rPr>
          <w:rFonts w:ascii="Times New Roman" w:hAnsi="Times New Roman" w:cs="Times New Roman"/>
          <w:color w:val="000000" w:themeColor="text1"/>
          <w:spacing w:val="20"/>
          <w:sz w:val="21"/>
          <w:szCs w:val="21"/>
        </w:rPr>
      </w:pPr>
      <w:r>
        <w:rPr>
          <w:rFonts w:ascii="Times New Roman" w:hAnsi="Times New Roman" w:cs="Times New Roman"/>
          <w:color w:val="000000" w:themeColor="text1"/>
          <w:sz w:val="21"/>
          <w:szCs w:val="21"/>
        </w:rPr>
        <w:t>项目编号：金额单位：人民币（元）</w:t>
      </w:r>
    </w:p>
    <w:tbl>
      <w:tblPr>
        <w:tblStyle w:val="27"/>
        <w:tblW w:w="849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718"/>
        <w:gridCol w:w="1569"/>
        <w:gridCol w:w="1311"/>
        <w:gridCol w:w="873"/>
        <w:gridCol w:w="1006"/>
        <w:gridCol w:w="1006"/>
        <w:gridCol w:w="1006"/>
        <w:gridCol w:w="1006"/>
      </w:tblGrid>
      <w:tr w14:paraId="1FD8F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08" w:hRule="atLeast"/>
        </w:trPr>
        <w:tc>
          <w:tcPr>
            <w:tcW w:w="718" w:type="dxa"/>
            <w:tcBorders>
              <w:top w:val="single" w:color="auto" w:sz="4" w:space="0"/>
              <w:bottom w:val="single" w:color="auto" w:sz="4" w:space="0"/>
              <w:right w:val="single" w:color="auto" w:sz="4" w:space="0"/>
            </w:tcBorders>
            <w:vAlign w:val="center"/>
          </w:tcPr>
          <w:p w14:paraId="089DD920">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rPr>
              <w:t>序号</w:t>
            </w:r>
          </w:p>
        </w:tc>
        <w:tc>
          <w:tcPr>
            <w:tcW w:w="1569" w:type="dxa"/>
            <w:tcBorders>
              <w:top w:val="single" w:color="auto" w:sz="4" w:space="0"/>
              <w:left w:val="single" w:color="auto" w:sz="4" w:space="0"/>
              <w:bottom w:val="single" w:color="auto" w:sz="4" w:space="0"/>
              <w:right w:val="single" w:color="auto" w:sz="4" w:space="0"/>
            </w:tcBorders>
            <w:vAlign w:val="center"/>
          </w:tcPr>
          <w:p w14:paraId="5274E6F3">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rPr>
              <w:t>构成服务名称</w:t>
            </w:r>
          </w:p>
        </w:tc>
        <w:tc>
          <w:tcPr>
            <w:tcW w:w="1311" w:type="dxa"/>
            <w:tcBorders>
              <w:top w:val="single" w:color="auto" w:sz="4" w:space="0"/>
              <w:left w:val="single" w:color="auto" w:sz="4" w:space="0"/>
              <w:bottom w:val="single" w:color="auto" w:sz="4" w:space="0"/>
              <w:right w:val="single" w:color="auto" w:sz="4" w:space="0"/>
            </w:tcBorders>
            <w:vAlign w:val="center"/>
          </w:tcPr>
          <w:p w14:paraId="0A0551BB">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内容描述</w:t>
            </w:r>
          </w:p>
        </w:tc>
        <w:tc>
          <w:tcPr>
            <w:tcW w:w="873" w:type="dxa"/>
            <w:tcBorders>
              <w:top w:val="single" w:color="auto" w:sz="4" w:space="0"/>
              <w:left w:val="single" w:color="auto" w:sz="4" w:space="0"/>
              <w:bottom w:val="single" w:color="auto" w:sz="4" w:space="0"/>
              <w:right w:val="single" w:color="auto" w:sz="4" w:space="0"/>
            </w:tcBorders>
            <w:vAlign w:val="center"/>
          </w:tcPr>
          <w:p w14:paraId="15293697">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数量</w:t>
            </w:r>
          </w:p>
        </w:tc>
        <w:tc>
          <w:tcPr>
            <w:tcW w:w="1006" w:type="dxa"/>
            <w:tcBorders>
              <w:top w:val="single" w:color="auto" w:sz="4" w:space="0"/>
              <w:left w:val="single" w:color="auto" w:sz="4" w:space="0"/>
              <w:bottom w:val="single" w:color="auto" w:sz="4" w:space="0"/>
            </w:tcBorders>
            <w:vAlign w:val="center"/>
          </w:tcPr>
          <w:p w14:paraId="6E672388">
            <w:pPr>
              <w:tabs>
                <w:tab w:val="left" w:pos="1418"/>
              </w:tabs>
              <w:snapToGrid w:val="0"/>
              <w:jc w:val="center"/>
              <w:rPr>
                <w:rFonts w:ascii="Times New Roman" w:hAnsi="Times New Roman" w:cs="Times New Roman"/>
                <w:color w:val="000000" w:themeColor="text1"/>
                <w:spacing w:val="20"/>
              </w:rPr>
            </w:pPr>
            <w:r>
              <w:rPr>
                <w:rFonts w:ascii="Times New Roman" w:hAnsi="Times New Roman" w:cs="Times New Roman"/>
                <w:color w:val="000000" w:themeColor="text1"/>
                <w:spacing w:val="20"/>
              </w:rPr>
              <w:t>单位</w:t>
            </w:r>
          </w:p>
        </w:tc>
        <w:tc>
          <w:tcPr>
            <w:tcW w:w="1006" w:type="dxa"/>
            <w:tcBorders>
              <w:top w:val="single" w:color="auto" w:sz="4" w:space="0"/>
              <w:left w:val="single" w:color="auto" w:sz="4" w:space="0"/>
              <w:bottom w:val="single" w:color="auto" w:sz="4" w:space="0"/>
            </w:tcBorders>
            <w:vAlign w:val="center"/>
          </w:tcPr>
          <w:p w14:paraId="7D68BD7B">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单价</w:t>
            </w:r>
          </w:p>
        </w:tc>
        <w:tc>
          <w:tcPr>
            <w:tcW w:w="1006" w:type="dxa"/>
            <w:tcBorders>
              <w:top w:val="single" w:color="auto" w:sz="4" w:space="0"/>
              <w:left w:val="single" w:color="auto" w:sz="4" w:space="0"/>
              <w:bottom w:val="single" w:color="auto" w:sz="4" w:space="0"/>
            </w:tcBorders>
            <w:vAlign w:val="center"/>
          </w:tcPr>
          <w:p w14:paraId="0A492C4B">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合价</w:t>
            </w:r>
          </w:p>
        </w:tc>
        <w:tc>
          <w:tcPr>
            <w:tcW w:w="1006" w:type="dxa"/>
            <w:tcBorders>
              <w:top w:val="single" w:color="auto" w:sz="4" w:space="0"/>
              <w:left w:val="single" w:color="auto" w:sz="4" w:space="0"/>
              <w:bottom w:val="single" w:color="auto" w:sz="4" w:space="0"/>
            </w:tcBorders>
            <w:vAlign w:val="center"/>
          </w:tcPr>
          <w:p w14:paraId="4C36FC26">
            <w:pPr>
              <w:tabs>
                <w:tab w:val="left" w:pos="1418"/>
              </w:tabs>
              <w:snapToGrid w:val="0"/>
              <w:jc w:val="center"/>
              <w:rPr>
                <w:rFonts w:ascii="Times New Roman" w:hAnsi="Times New Roman" w:cs="Times New Roman"/>
                <w:color w:val="000000" w:themeColor="text1"/>
              </w:rPr>
            </w:pPr>
            <w:r>
              <w:rPr>
                <w:rFonts w:ascii="Times New Roman" w:hAnsi="Times New Roman" w:cs="Times New Roman"/>
                <w:color w:val="000000" w:themeColor="text1"/>
              </w:rPr>
              <w:t>备注</w:t>
            </w:r>
          </w:p>
        </w:tc>
      </w:tr>
      <w:tr w14:paraId="4135E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11F7EAEA">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1</w:t>
            </w:r>
          </w:p>
        </w:tc>
        <w:tc>
          <w:tcPr>
            <w:tcW w:w="1569" w:type="dxa"/>
            <w:tcBorders>
              <w:top w:val="single" w:color="auto" w:sz="4" w:space="0"/>
              <w:left w:val="single" w:color="auto" w:sz="4" w:space="0"/>
              <w:bottom w:val="single" w:color="auto" w:sz="4" w:space="0"/>
              <w:right w:val="single" w:color="auto" w:sz="4" w:space="0"/>
            </w:tcBorders>
            <w:vAlign w:val="center"/>
          </w:tcPr>
          <w:p w14:paraId="0CDCD9A4">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552611D5">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691EB5E5">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D26A4B3">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06DA5EF">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3275EAF">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55BA88A">
            <w:pPr>
              <w:tabs>
                <w:tab w:val="left" w:pos="1418"/>
              </w:tabs>
              <w:snapToGrid w:val="0"/>
              <w:jc w:val="center"/>
              <w:rPr>
                <w:rFonts w:ascii="Times New Roman" w:hAnsi="Times New Roman" w:cs="Times New Roman"/>
                <w:color w:val="000000" w:themeColor="text1"/>
                <w:spacing w:val="20"/>
              </w:rPr>
            </w:pPr>
          </w:p>
        </w:tc>
      </w:tr>
      <w:tr w14:paraId="47B16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76078571">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2</w:t>
            </w:r>
          </w:p>
        </w:tc>
        <w:tc>
          <w:tcPr>
            <w:tcW w:w="1569" w:type="dxa"/>
            <w:tcBorders>
              <w:top w:val="single" w:color="auto" w:sz="4" w:space="0"/>
              <w:left w:val="single" w:color="auto" w:sz="4" w:space="0"/>
              <w:bottom w:val="single" w:color="auto" w:sz="4" w:space="0"/>
              <w:right w:val="single" w:color="auto" w:sz="4" w:space="0"/>
            </w:tcBorders>
            <w:vAlign w:val="center"/>
          </w:tcPr>
          <w:p w14:paraId="1AF06108">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75A75A14">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62DDE9A1">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61F1A9AD">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260F6BC">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70C13C51">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3A087D9F">
            <w:pPr>
              <w:tabs>
                <w:tab w:val="left" w:pos="1418"/>
              </w:tabs>
              <w:snapToGrid w:val="0"/>
              <w:jc w:val="center"/>
              <w:rPr>
                <w:rFonts w:ascii="Times New Roman" w:hAnsi="Times New Roman" w:cs="Times New Roman"/>
                <w:color w:val="000000" w:themeColor="text1"/>
                <w:spacing w:val="20"/>
              </w:rPr>
            </w:pPr>
          </w:p>
        </w:tc>
      </w:tr>
      <w:tr w14:paraId="261036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64760F03">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3</w:t>
            </w:r>
          </w:p>
        </w:tc>
        <w:tc>
          <w:tcPr>
            <w:tcW w:w="1569" w:type="dxa"/>
            <w:tcBorders>
              <w:top w:val="single" w:color="auto" w:sz="4" w:space="0"/>
              <w:left w:val="single" w:color="auto" w:sz="4" w:space="0"/>
              <w:bottom w:val="single" w:color="auto" w:sz="4" w:space="0"/>
              <w:right w:val="single" w:color="auto" w:sz="4" w:space="0"/>
            </w:tcBorders>
            <w:vAlign w:val="center"/>
          </w:tcPr>
          <w:p w14:paraId="617410A8">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712A17EE">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7659F7B1">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27B0C75D">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008E1ABD">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7FD45860">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4BD78E1E">
            <w:pPr>
              <w:tabs>
                <w:tab w:val="left" w:pos="1418"/>
              </w:tabs>
              <w:snapToGrid w:val="0"/>
              <w:jc w:val="center"/>
              <w:rPr>
                <w:rFonts w:ascii="Times New Roman" w:hAnsi="Times New Roman" w:cs="Times New Roman"/>
                <w:color w:val="000000" w:themeColor="text1"/>
                <w:spacing w:val="20"/>
              </w:rPr>
            </w:pPr>
          </w:p>
        </w:tc>
      </w:tr>
      <w:tr w14:paraId="52F92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24428C3C">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kern w:val="2"/>
                <w:sz w:val="21"/>
                <w:szCs w:val="21"/>
              </w:rPr>
              <w:t>4</w:t>
            </w:r>
          </w:p>
        </w:tc>
        <w:tc>
          <w:tcPr>
            <w:tcW w:w="1569" w:type="dxa"/>
            <w:tcBorders>
              <w:top w:val="single" w:color="auto" w:sz="4" w:space="0"/>
              <w:left w:val="single" w:color="auto" w:sz="4" w:space="0"/>
              <w:bottom w:val="single" w:color="auto" w:sz="4" w:space="0"/>
              <w:right w:val="single" w:color="auto" w:sz="4" w:space="0"/>
            </w:tcBorders>
            <w:vAlign w:val="center"/>
          </w:tcPr>
          <w:p w14:paraId="475F43E1">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4090B957">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2678A0A3">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101A085D">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5A62E97A">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11A00E65">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1E07DD8C">
            <w:pPr>
              <w:tabs>
                <w:tab w:val="left" w:pos="1418"/>
              </w:tabs>
              <w:snapToGrid w:val="0"/>
              <w:jc w:val="center"/>
              <w:rPr>
                <w:rFonts w:ascii="Times New Roman" w:hAnsi="Times New Roman" w:cs="Times New Roman"/>
                <w:color w:val="000000" w:themeColor="text1"/>
                <w:spacing w:val="20"/>
              </w:rPr>
            </w:pPr>
          </w:p>
        </w:tc>
      </w:tr>
      <w:tr w14:paraId="391C09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12788765">
            <w:pPr>
              <w:pStyle w:val="2"/>
              <w:jc w:val="center"/>
              <w:rPr>
                <w:rFonts w:ascii="Times New Roman" w:hAnsi="Times New Roman" w:cs="Times New Roman"/>
                <w:color w:val="000000" w:themeColor="text1"/>
                <w:spacing w:val="20"/>
                <w:kern w:val="2"/>
                <w:sz w:val="21"/>
                <w:szCs w:val="21"/>
              </w:rPr>
            </w:pPr>
            <w:r>
              <w:rPr>
                <w:rFonts w:ascii="Times New Roman" w:hAnsi="Times New Roman" w:cs="Times New Roman"/>
                <w:color w:val="000000" w:themeColor="text1"/>
                <w:spacing w:val="20"/>
              </w:rPr>
              <w:t>...</w:t>
            </w:r>
          </w:p>
        </w:tc>
        <w:tc>
          <w:tcPr>
            <w:tcW w:w="1569" w:type="dxa"/>
            <w:tcBorders>
              <w:top w:val="single" w:color="auto" w:sz="4" w:space="0"/>
              <w:left w:val="single" w:color="auto" w:sz="4" w:space="0"/>
              <w:bottom w:val="single" w:color="auto" w:sz="4" w:space="0"/>
              <w:right w:val="single" w:color="auto" w:sz="4" w:space="0"/>
            </w:tcBorders>
            <w:vAlign w:val="center"/>
          </w:tcPr>
          <w:p w14:paraId="196C929F">
            <w:pPr>
              <w:pStyle w:val="2"/>
              <w:jc w:val="center"/>
              <w:rPr>
                <w:rFonts w:ascii="Times New Roman" w:hAnsi="Times New Roman" w:cs="Times New Roman"/>
                <w:color w:val="000000" w:themeColor="text1"/>
                <w:kern w:val="2"/>
                <w:sz w:val="21"/>
                <w:szCs w:val="21"/>
              </w:rPr>
            </w:pPr>
          </w:p>
        </w:tc>
        <w:tc>
          <w:tcPr>
            <w:tcW w:w="1311" w:type="dxa"/>
            <w:tcBorders>
              <w:top w:val="single" w:color="auto" w:sz="4" w:space="0"/>
              <w:left w:val="single" w:color="auto" w:sz="4" w:space="0"/>
              <w:bottom w:val="single" w:color="auto" w:sz="4" w:space="0"/>
              <w:right w:val="single" w:color="auto" w:sz="4" w:space="0"/>
            </w:tcBorders>
            <w:vAlign w:val="center"/>
          </w:tcPr>
          <w:p w14:paraId="48DCEC32">
            <w:pPr>
              <w:tabs>
                <w:tab w:val="left" w:pos="1418"/>
              </w:tabs>
              <w:snapToGrid w:val="0"/>
              <w:jc w:val="center"/>
              <w:rPr>
                <w:rFonts w:ascii="Times New Roman" w:hAnsi="Times New Roman" w:cs="Times New Roman"/>
                <w:color w:val="000000" w:themeColor="text1"/>
                <w:spacing w:val="20"/>
              </w:rPr>
            </w:pPr>
          </w:p>
        </w:tc>
        <w:tc>
          <w:tcPr>
            <w:tcW w:w="873" w:type="dxa"/>
            <w:tcBorders>
              <w:top w:val="single" w:color="auto" w:sz="4" w:space="0"/>
              <w:left w:val="single" w:color="auto" w:sz="4" w:space="0"/>
              <w:bottom w:val="single" w:color="auto" w:sz="4" w:space="0"/>
              <w:right w:val="single" w:color="auto" w:sz="4" w:space="0"/>
            </w:tcBorders>
            <w:vAlign w:val="center"/>
          </w:tcPr>
          <w:p w14:paraId="2BDCC639">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32794D78">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03E947CD">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0D9C5B5E">
            <w:pPr>
              <w:tabs>
                <w:tab w:val="left" w:pos="1418"/>
              </w:tabs>
              <w:snapToGrid w:val="0"/>
              <w:jc w:val="center"/>
              <w:rPr>
                <w:rFonts w:ascii="Times New Roman" w:hAnsi="Times New Roman" w:cs="Times New Roman"/>
                <w:color w:val="000000" w:themeColor="text1"/>
                <w:spacing w:val="20"/>
              </w:rPr>
            </w:pPr>
          </w:p>
        </w:tc>
        <w:tc>
          <w:tcPr>
            <w:tcW w:w="1006" w:type="dxa"/>
            <w:tcBorders>
              <w:top w:val="single" w:color="auto" w:sz="4" w:space="0"/>
              <w:left w:val="single" w:color="auto" w:sz="4" w:space="0"/>
              <w:bottom w:val="single" w:color="auto" w:sz="4" w:space="0"/>
            </w:tcBorders>
            <w:vAlign w:val="center"/>
          </w:tcPr>
          <w:p w14:paraId="4FDED67A">
            <w:pPr>
              <w:tabs>
                <w:tab w:val="left" w:pos="1418"/>
              </w:tabs>
              <w:snapToGrid w:val="0"/>
              <w:jc w:val="center"/>
              <w:rPr>
                <w:rFonts w:ascii="Times New Roman" w:hAnsi="Times New Roman" w:cs="Times New Roman"/>
                <w:color w:val="000000" w:themeColor="text1"/>
                <w:spacing w:val="20"/>
              </w:rPr>
            </w:pPr>
          </w:p>
        </w:tc>
      </w:tr>
      <w:tr w14:paraId="7FDD3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703" w:hRule="atLeast"/>
        </w:trPr>
        <w:tc>
          <w:tcPr>
            <w:tcW w:w="718" w:type="dxa"/>
            <w:tcBorders>
              <w:top w:val="single" w:color="auto" w:sz="4" w:space="0"/>
              <w:bottom w:val="single" w:color="auto" w:sz="4" w:space="0"/>
              <w:right w:val="single" w:color="auto" w:sz="4" w:space="0"/>
            </w:tcBorders>
            <w:vAlign w:val="center"/>
          </w:tcPr>
          <w:p w14:paraId="4F443272">
            <w:pPr>
              <w:tabs>
                <w:tab w:val="left" w:pos="1418"/>
              </w:tabs>
              <w:snapToGrid w:val="0"/>
              <w:jc w:val="left"/>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投标总价</w:t>
            </w:r>
          </w:p>
        </w:tc>
        <w:tc>
          <w:tcPr>
            <w:tcW w:w="7777" w:type="dxa"/>
            <w:gridSpan w:val="7"/>
            <w:tcBorders>
              <w:top w:val="single" w:color="auto" w:sz="4" w:space="0"/>
              <w:left w:val="single" w:color="auto" w:sz="4" w:space="0"/>
              <w:bottom w:val="single" w:color="auto" w:sz="4" w:space="0"/>
            </w:tcBorders>
            <w:vAlign w:val="center"/>
          </w:tcPr>
          <w:p w14:paraId="75FEF9DE">
            <w:pPr>
              <w:tabs>
                <w:tab w:val="left" w:pos="1418"/>
              </w:tabs>
              <w:snapToGrid w:val="0"/>
              <w:jc w:val="left"/>
              <w:rPr>
                <w:rFonts w:ascii="Times New Roman" w:hAnsi="Times New Roman" w:cs="Times New Roman"/>
                <w:color w:val="000000" w:themeColor="text1"/>
              </w:rPr>
            </w:pPr>
            <w:r>
              <w:rPr>
                <w:rFonts w:ascii="Times New Roman" w:hAnsi="Times New Roman" w:cs="Times New Roman"/>
                <w:color w:val="000000" w:themeColor="text1"/>
              </w:rPr>
              <w:t>（小写）人民币元</w:t>
            </w:r>
          </w:p>
          <w:p w14:paraId="75F2DADB">
            <w:pPr>
              <w:pStyle w:val="4"/>
              <w:jc w:val="left"/>
              <w:rPr>
                <w:rFonts w:ascii="Times New Roman" w:hAnsi="Times New Roman" w:cs="Times New Roman"/>
                <w:b w:val="0"/>
                <w:bCs w:val="0"/>
                <w:color w:val="000000" w:themeColor="text1"/>
                <w:kern w:val="2"/>
                <w:sz w:val="21"/>
                <w:szCs w:val="21"/>
              </w:rPr>
            </w:pPr>
            <w:r>
              <w:rPr>
                <w:rFonts w:ascii="Times New Roman" w:hAnsi="Times New Roman" w:cs="Times New Roman"/>
                <w:b w:val="0"/>
                <w:bCs w:val="0"/>
                <w:color w:val="000000" w:themeColor="text1"/>
                <w:kern w:val="2"/>
                <w:sz w:val="21"/>
                <w:szCs w:val="21"/>
              </w:rPr>
              <w:t>（大写）人民币元</w:t>
            </w:r>
          </w:p>
        </w:tc>
      </w:tr>
    </w:tbl>
    <w:p w14:paraId="282A469C">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注：1、要求细化以上各项费用的构成，根据实际需要可增删项目。</w:t>
      </w:r>
    </w:p>
    <w:p w14:paraId="27F4CEF8">
      <w:pPr>
        <w:spacing w:line="360" w:lineRule="auto"/>
        <w:ind w:firstLine="420" w:firstLineChars="200"/>
        <w:rPr>
          <w:rFonts w:ascii="Times New Roman" w:hAnsi="Times New Roman" w:cs="Times New Roman"/>
          <w:color w:val="000000" w:themeColor="text1"/>
        </w:rPr>
      </w:pPr>
      <w:r>
        <w:rPr>
          <w:rFonts w:ascii="Times New Roman" w:hAnsi="Times New Roman" w:cs="Times New Roman"/>
          <w:color w:val="000000" w:themeColor="text1"/>
        </w:rPr>
        <w:t>2、报价一经涂改，应在涂改处加盖单位公章或CA章或者法定代表人签字或授权代表签字，否则其投标作为无效标处理。</w:t>
      </w:r>
    </w:p>
    <w:p w14:paraId="4A91AAAD">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以上报价应与“开标一览表”中的“投标总价”相一致。</w:t>
      </w:r>
    </w:p>
    <w:p w14:paraId="7B4B3E43">
      <w:pPr>
        <w:snapToGrid w:val="0"/>
        <w:spacing w:before="50" w:after="50" w:line="360" w:lineRule="auto"/>
        <w:rPr>
          <w:rFonts w:ascii="Times New Roman" w:hAnsi="Times New Roman" w:cs="Times New Roman"/>
          <w:color w:val="000000" w:themeColor="text1"/>
        </w:rPr>
      </w:pPr>
    </w:p>
    <w:p w14:paraId="06CB9B94">
      <w:pPr>
        <w:pStyle w:val="2"/>
        <w:rPr>
          <w:rFonts w:ascii="Times New Roman" w:hAnsi="Times New Roman" w:cs="Times New Roman"/>
          <w:color w:val="000000" w:themeColor="text1"/>
        </w:rPr>
      </w:pPr>
    </w:p>
    <w:p w14:paraId="72FF4343">
      <w:pPr>
        <w:pStyle w:val="25"/>
        <w:ind w:firstLine="210"/>
        <w:rPr>
          <w:color w:val="000000" w:themeColor="text1"/>
        </w:rPr>
      </w:pPr>
    </w:p>
    <w:p w14:paraId="66946AFF">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rPr>
        <w:t>法定代表人（签字或盖章）：</w:t>
      </w:r>
    </w:p>
    <w:p w14:paraId="0CDC41B3">
      <w:pPr>
        <w:snapToGrid w:val="0"/>
        <w:spacing w:before="50" w:after="50" w:line="360" w:lineRule="auto"/>
        <w:rPr>
          <w:rFonts w:ascii="Times New Roman" w:hAnsi="Times New Roman" w:cs="Times New Roman"/>
          <w:color w:val="000000" w:themeColor="text1"/>
          <w:spacing w:val="20"/>
        </w:rPr>
      </w:pPr>
      <w:r>
        <w:rPr>
          <w:rFonts w:ascii="Times New Roman" w:hAnsi="Times New Roman" w:cs="Times New Roman"/>
          <w:color w:val="000000" w:themeColor="text1"/>
          <w:spacing w:val="20"/>
        </w:rPr>
        <w:t>投标人盖章：</w:t>
      </w:r>
    </w:p>
    <w:p w14:paraId="34EE20C1">
      <w:pPr>
        <w:snapToGrid w:val="0"/>
        <w:spacing w:before="50" w:after="50" w:line="360" w:lineRule="auto"/>
        <w:rPr>
          <w:rFonts w:ascii="Times New Roman" w:hAnsi="Times New Roman" w:cs="Times New Roman"/>
          <w:color w:val="000000" w:themeColor="text1"/>
          <w:spacing w:val="20"/>
          <w:u w:val="single"/>
        </w:rPr>
      </w:pPr>
      <w:r>
        <w:rPr>
          <w:rFonts w:ascii="Times New Roman" w:hAnsi="Times New Roman" w:cs="Times New Roman"/>
          <w:color w:val="000000" w:themeColor="text1"/>
          <w:spacing w:val="20"/>
        </w:rPr>
        <w:t>日期：</w:t>
      </w:r>
    </w:p>
    <w:p w14:paraId="6277DA17">
      <w:pPr>
        <w:autoSpaceDE w:val="0"/>
        <w:autoSpaceDN w:val="0"/>
        <w:adjustRightInd w:val="0"/>
        <w:spacing w:line="360" w:lineRule="auto"/>
        <w:jc w:val="left"/>
        <w:rPr>
          <w:rFonts w:ascii="宋体" w:hAnsi="宋体"/>
          <w:b/>
          <w:bCs/>
          <w:color w:val="000000" w:themeColor="text1"/>
        </w:rPr>
      </w:pPr>
    </w:p>
    <w:p w14:paraId="337F5991">
      <w:pPr>
        <w:autoSpaceDE w:val="0"/>
        <w:autoSpaceDN w:val="0"/>
        <w:adjustRightInd w:val="0"/>
        <w:spacing w:line="360" w:lineRule="auto"/>
        <w:outlineLvl w:val="1"/>
        <w:rPr>
          <w:rFonts w:ascii="宋体" w:hAnsi="宋体"/>
          <w:b/>
          <w:bCs/>
          <w:color w:val="000000" w:themeColor="text1"/>
          <w:sz w:val="24"/>
        </w:rPr>
      </w:pPr>
    </w:p>
    <w:p w14:paraId="2D0CB1E5">
      <w:pPr>
        <w:pStyle w:val="2"/>
        <w:rPr>
          <w:rFonts w:ascii="宋体" w:hAnsi="宋体"/>
          <w:b/>
          <w:bCs/>
          <w:color w:val="000000" w:themeColor="text1"/>
        </w:rPr>
      </w:pPr>
    </w:p>
    <w:p w14:paraId="0FDF0042">
      <w:pPr>
        <w:pStyle w:val="25"/>
        <w:rPr>
          <w:color w:val="000000" w:themeColor="text1"/>
        </w:rPr>
      </w:pPr>
    </w:p>
    <w:p w14:paraId="4FFF80B7">
      <w:pPr>
        <w:pStyle w:val="25"/>
        <w:ind w:firstLine="210"/>
        <w:rPr>
          <w:color w:val="000000" w:themeColor="text1"/>
        </w:rPr>
      </w:pPr>
    </w:p>
    <w:p w14:paraId="6DC27005">
      <w:pPr>
        <w:pStyle w:val="59"/>
        <w:snapToGrid w:val="0"/>
        <w:spacing w:before="156" w:after="156" w:line="500" w:lineRule="exact"/>
        <w:ind w:left="0" w:leftChars="0"/>
        <w:jc w:val="left"/>
        <w:rPr>
          <w:rFonts w:hAnsi="宋体" w:eastAsia="宋体" w:cs="Times New Roman"/>
          <w:b/>
          <w:bCs/>
          <w:color w:val="000000" w:themeColor="text1"/>
          <w:spacing w:val="-4"/>
          <w:sz w:val="21"/>
          <w:szCs w:val="21"/>
          <w:highlight w:val="yellow"/>
        </w:rPr>
      </w:pPr>
      <w:r>
        <w:rPr>
          <w:rFonts w:hint="eastAsia" w:ascii="宋体" w:hAnsi="宋体" w:eastAsia="宋体" w:cs="Times New Roman"/>
          <w:b/>
          <w:bCs/>
          <w:color w:val="000000" w:themeColor="text1"/>
          <w:spacing w:val="-4"/>
          <w:sz w:val="21"/>
          <w:szCs w:val="21"/>
          <w:highlight w:val="yellow"/>
        </w:rPr>
        <w:t>十四、</w:t>
      </w:r>
      <w:r>
        <w:rPr>
          <w:rFonts w:hint="eastAsia" w:hAnsi="宋体" w:eastAsia="宋体" w:cs="Times New Roman"/>
          <w:b/>
          <w:bCs/>
          <w:color w:val="000000" w:themeColor="text1"/>
          <w:spacing w:val="-4"/>
          <w:sz w:val="21"/>
          <w:szCs w:val="21"/>
          <w:highlight w:val="yellow"/>
        </w:rPr>
        <w:fldChar w:fldCharType="begin"/>
      </w:r>
      <w:r>
        <w:rPr>
          <w:rFonts w:hint="eastAsia" w:hAnsi="宋体" w:eastAsia="宋体" w:cs="Times New Roman"/>
          <w:b/>
          <w:bCs/>
          <w:color w:val="000000" w:themeColor="text1"/>
          <w:spacing w:val="-4"/>
          <w:sz w:val="21"/>
          <w:szCs w:val="21"/>
          <w:highlight w:val="yellow"/>
        </w:rPr>
        <w:instrText xml:space="preserve"> HYPERLINK "mailto:16、请将A、B两表在投标截至后发送到107460151@qq.com,ben" </w:instrText>
      </w:r>
      <w:r>
        <w:rPr>
          <w:rFonts w:hint="eastAsia" w:hAnsi="宋体" w:eastAsia="宋体" w:cs="Times New Roman"/>
          <w:b/>
          <w:bCs/>
          <w:color w:val="000000" w:themeColor="text1"/>
          <w:spacing w:val="-4"/>
          <w:sz w:val="21"/>
          <w:szCs w:val="21"/>
          <w:highlight w:val="yellow"/>
        </w:rPr>
        <w:fldChar w:fldCharType="separate"/>
      </w:r>
      <w:r>
        <w:rPr>
          <w:rStyle w:val="29"/>
          <w:rFonts w:hint="eastAsia" w:hAnsi="宋体" w:eastAsia="宋体" w:cs="Times New Roman"/>
          <w:b/>
          <w:bCs/>
          <w:color w:val="000000" w:themeColor="text1"/>
          <w:spacing w:val="-4"/>
          <w:sz w:val="21"/>
          <w:szCs w:val="21"/>
          <w:highlight w:val="yellow"/>
        </w:rPr>
        <w:t>声明书无需制作入投标文件中，只需在投标截止时间后尽快发送至41688047@qq.com</w:t>
      </w:r>
      <w:r>
        <w:rPr>
          <w:rFonts w:hint="eastAsia" w:hAnsi="宋体" w:eastAsia="宋体" w:cs="Times New Roman"/>
          <w:b/>
          <w:bCs/>
          <w:color w:val="000000" w:themeColor="text1"/>
          <w:spacing w:val="-4"/>
          <w:sz w:val="21"/>
          <w:szCs w:val="21"/>
          <w:highlight w:val="yellow"/>
        </w:rPr>
        <w:t>邮箱</w:t>
      </w:r>
      <w:r>
        <w:rPr>
          <w:rFonts w:hint="eastAsia" w:hAnsi="宋体" w:eastAsia="宋体" w:cs="Times New Roman"/>
          <w:b/>
          <w:bCs/>
          <w:color w:val="000000" w:themeColor="text1"/>
          <w:spacing w:val="-4"/>
          <w:sz w:val="21"/>
          <w:szCs w:val="21"/>
          <w:highlight w:val="yellow"/>
        </w:rPr>
        <w:fldChar w:fldCharType="end"/>
      </w:r>
      <w:r>
        <w:rPr>
          <w:rFonts w:hint="eastAsia" w:hAnsi="宋体" w:eastAsia="宋体" w:cs="Times New Roman"/>
          <w:b/>
          <w:bCs/>
          <w:color w:val="000000" w:themeColor="text1"/>
          <w:spacing w:val="-4"/>
          <w:sz w:val="21"/>
          <w:szCs w:val="21"/>
          <w:highlight w:val="yellow"/>
        </w:rPr>
        <w:t>内。</w:t>
      </w:r>
    </w:p>
    <w:p w14:paraId="64890E83">
      <w:pPr>
        <w:pStyle w:val="164"/>
        <w:spacing w:line="440" w:lineRule="exact"/>
        <w:jc w:val="center"/>
        <w:rPr>
          <w:rFonts w:ascii="华文中宋" w:hAnsi="华文中宋" w:eastAsia="华文中宋"/>
          <w:color w:val="000000" w:themeColor="text1"/>
          <w:sz w:val="28"/>
          <w:szCs w:val="28"/>
        </w:rPr>
      </w:pPr>
      <w:r>
        <w:rPr>
          <w:rFonts w:hint="eastAsia" w:ascii="华文中宋" w:hAnsi="华文中宋" w:eastAsia="华文中宋"/>
          <w:color w:val="000000" w:themeColor="text1"/>
          <w:sz w:val="28"/>
          <w:szCs w:val="28"/>
        </w:rPr>
        <w:t>政府采购活动现场确认声明书</w:t>
      </w:r>
    </w:p>
    <w:p w14:paraId="27F0ECC9">
      <w:pPr>
        <w:pStyle w:val="59"/>
        <w:snapToGrid w:val="0"/>
        <w:spacing w:before="156" w:after="156" w:line="440" w:lineRule="exact"/>
        <w:rPr>
          <w:rFonts w:hAnsi="宋体" w:eastAsia="宋体"/>
          <w:color w:val="000000" w:themeColor="text1"/>
          <w:spacing w:val="6"/>
          <w:sz w:val="21"/>
          <w:szCs w:val="21"/>
        </w:rPr>
      </w:pPr>
      <w:r>
        <w:rPr>
          <w:rFonts w:hint="eastAsia" w:hAnsi="宋体" w:eastAsia="宋体"/>
          <w:color w:val="000000" w:themeColor="text1"/>
          <w:spacing w:val="6"/>
          <w:sz w:val="21"/>
          <w:szCs w:val="21"/>
        </w:rPr>
        <w:t>浙江自贸区中昊工程管理有限公司：</w:t>
      </w:r>
    </w:p>
    <w:p w14:paraId="4B7EB7A5">
      <w:pPr>
        <w:pStyle w:val="59"/>
        <w:snapToGrid w:val="0"/>
        <w:spacing w:before="156" w:after="156" w:line="440" w:lineRule="exact"/>
        <w:ind w:firstLine="444" w:firstLineChars="200"/>
        <w:rPr>
          <w:rFonts w:hAnsi="宋体" w:eastAsia="宋体"/>
          <w:color w:val="000000" w:themeColor="text1"/>
          <w:spacing w:val="6"/>
          <w:sz w:val="21"/>
          <w:szCs w:val="21"/>
        </w:rPr>
      </w:pPr>
      <w:r>
        <w:rPr>
          <w:rFonts w:hint="eastAsia" w:hAnsi="宋体" w:eastAsia="宋体"/>
          <w:color w:val="000000" w:themeColor="text1"/>
          <w:spacing w:val="6"/>
          <w:sz w:val="21"/>
          <w:szCs w:val="21"/>
        </w:rPr>
        <w:t>本人</w:t>
      </w:r>
      <w:r>
        <w:rPr>
          <w:rFonts w:hint="eastAsia" w:hAnsi="宋体" w:eastAsia="宋体"/>
          <w:color w:val="000000" w:themeColor="text1"/>
          <w:spacing w:val="6"/>
          <w:sz w:val="21"/>
          <w:szCs w:val="21"/>
          <w:u w:val="single"/>
          <w:lang w:val="en-US" w:eastAsia="zh-CN"/>
        </w:rPr>
        <w:t xml:space="preserve">     </w:t>
      </w:r>
      <w:r>
        <w:rPr>
          <w:rFonts w:hint="eastAsia" w:hAnsi="宋体" w:eastAsia="宋体"/>
          <w:color w:val="000000" w:themeColor="text1"/>
          <w:spacing w:val="6"/>
          <w:sz w:val="21"/>
          <w:szCs w:val="21"/>
        </w:rPr>
        <w:t>（法定代表人姓名），参加</w:t>
      </w:r>
      <w:r>
        <w:rPr>
          <w:rFonts w:hint="eastAsia" w:hAnsi="宋体" w:eastAsia="宋体"/>
          <w:color w:val="000000" w:themeColor="text1"/>
          <w:sz w:val="21"/>
          <w:szCs w:val="21"/>
          <w:u w:val="single"/>
        </w:rPr>
        <w:t>《                》</w:t>
      </w:r>
      <w:r>
        <w:rPr>
          <w:rFonts w:hint="eastAsia" w:hAnsi="宋体" w:eastAsia="宋体"/>
          <w:color w:val="000000" w:themeColor="text1"/>
          <w:spacing w:val="6"/>
          <w:sz w:val="21"/>
          <w:szCs w:val="21"/>
          <w:u w:val="single"/>
        </w:rPr>
        <w:t>（编号：  ）</w:t>
      </w:r>
      <w:r>
        <w:rPr>
          <w:rFonts w:hint="eastAsia" w:hAnsi="宋体" w:eastAsia="宋体"/>
          <w:color w:val="000000" w:themeColor="text1"/>
          <w:spacing w:val="6"/>
          <w:sz w:val="21"/>
          <w:szCs w:val="21"/>
        </w:rPr>
        <w:t xml:space="preserve">政府采购活动，经确认，现就有关公平竞争事项郑重声明如下： </w:t>
      </w:r>
    </w:p>
    <w:p w14:paraId="03B7B4A0">
      <w:pPr>
        <w:pStyle w:val="60"/>
        <w:widowControl/>
        <w:numPr>
          <w:ilvl w:val="0"/>
          <w:numId w:val="12"/>
        </w:numPr>
        <w:snapToGrid w:val="0"/>
        <w:spacing w:line="440" w:lineRule="exact"/>
        <w:ind w:firstLine="396" w:firstLineChars="189"/>
        <w:rPr>
          <w:rFonts w:ascii="宋体" w:hAnsi="宋体" w:cs="宋体"/>
          <w:color w:val="000000" w:themeColor="text1"/>
          <w:kern w:val="0"/>
        </w:rPr>
      </w:pPr>
      <w:r>
        <w:rPr>
          <w:rFonts w:hint="eastAsia" w:ascii="宋体" w:hAnsi="宋体" w:cs="宋体"/>
          <w:color w:val="000000" w:themeColor="text1"/>
          <w:kern w:val="0"/>
        </w:rPr>
        <w:t>本单位与采购人之间 □不存在利害关系 □存在下列利害关系：</w:t>
      </w:r>
    </w:p>
    <w:p w14:paraId="23EFC35A">
      <w:pPr>
        <w:pStyle w:val="60"/>
        <w:widowControl/>
        <w:snapToGrid w:val="0"/>
        <w:spacing w:line="440" w:lineRule="exact"/>
        <w:rPr>
          <w:rFonts w:ascii="宋体" w:hAnsi="宋体" w:cs="宋体"/>
          <w:color w:val="000000" w:themeColor="text1"/>
          <w:kern w:val="0"/>
        </w:rPr>
      </w:pPr>
      <w:r>
        <w:rPr>
          <w:rFonts w:hint="eastAsia" w:ascii="宋体" w:hAnsi="宋体" w:cs="宋体"/>
          <w:color w:val="000000" w:themeColor="text1"/>
          <w:kern w:val="0"/>
        </w:rPr>
        <w:t xml:space="preserve">  A.投资关系    B.行政隶属关系    C.业务指导关系</w:t>
      </w:r>
    </w:p>
    <w:p w14:paraId="082C79C1">
      <w:pPr>
        <w:pStyle w:val="60"/>
        <w:widowControl/>
        <w:snapToGrid w:val="0"/>
        <w:spacing w:line="440" w:lineRule="exact"/>
        <w:rPr>
          <w:rFonts w:ascii="宋体" w:hAnsi="宋体" w:cs="宋体"/>
          <w:color w:val="000000" w:themeColor="text1"/>
          <w:kern w:val="0"/>
        </w:rPr>
      </w:pPr>
      <w:r>
        <w:rPr>
          <w:rFonts w:hint="eastAsia" w:ascii="宋体" w:hAnsi="宋体" w:cs="宋体"/>
          <w:color w:val="000000" w:themeColor="text1"/>
          <w:kern w:val="0"/>
        </w:rPr>
        <w:t xml:space="preserve">  D.其他可能</w:t>
      </w:r>
      <w:r>
        <w:rPr>
          <w:rFonts w:hint="eastAsia" w:ascii="宋体" w:hAnsi="宋体" w:cs="宋体"/>
          <w:color w:val="000000" w:themeColor="text1"/>
        </w:rPr>
        <w:t>影响采购公正的</w:t>
      </w:r>
      <w:r>
        <w:rPr>
          <w:rFonts w:hint="eastAsia" w:ascii="宋体" w:hAnsi="宋体" w:cs="宋体"/>
          <w:color w:val="000000" w:themeColor="text1"/>
          <w:kern w:val="0"/>
        </w:rPr>
        <w:t>利害关系（如有，请如实说明） 。</w:t>
      </w:r>
    </w:p>
    <w:p w14:paraId="3CDCDD2E">
      <w:pPr>
        <w:pStyle w:val="60"/>
        <w:widowControl/>
        <w:numPr>
          <w:ilvl w:val="0"/>
          <w:numId w:val="12"/>
        </w:numPr>
        <w:snapToGrid w:val="0"/>
        <w:spacing w:line="440" w:lineRule="exact"/>
        <w:ind w:firstLine="396" w:firstLineChars="189"/>
        <w:rPr>
          <w:rFonts w:ascii="宋体" w:hAnsi="宋体" w:cs="宋体"/>
          <w:color w:val="000000" w:themeColor="text1"/>
          <w:kern w:val="0"/>
        </w:rPr>
      </w:pPr>
      <w:r>
        <w:rPr>
          <w:rFonts w:hint="eastAsia" w:ascii="宋体" w:hAnsi="宋体" w:cs="宋体"/>
          <w:color w:val="000000" w:themeColor="text1"/>
          <w:kern w:val="0"/>
        </w:rPr>
        <w:t>现已清楚知道参加本项目采购活动的其他所有供应商名称，本单位 □与其他所有供应商之间均不存在利害关系 □与 （供应商名称）之间存在下列利害关系：</w:t>
      </w:r>
    </w:p>
    <w:p w14:paraId="04AB5586">
      <w:pPr>
        <w:pStyle w:val="59"/>
        <w:snapToGrid w:val="0"/>
        <w:spacing w:before="156" w:after="156" w:line="360" w:lineRule="exact"/>
        <w:rPr>
          <w:rFonts w:hAnsi="宋体" w:eastAsia="宋体"/>
          <w:color w:val="000000" w:themeColor="text1"/>
          <w:kern w:val="0"/>
          <w:sz w:val="21"/>
          <w:szCs w:val="21"/>
        </w:rPr>
      </w:pPr>
      <w:r>
        <w:rPr>
          <w:rFonts w:hint="eastAsia" w:hAnsi="宋体" w:eastAsia="宋体"/>
          <w:color w:val="000000" w:themeColor="text1"/>
          <w:kern w:val="0"/>
          <w:sz w:val="21"/>
          <w:szCs w:val="21"/>
        </w:rPr>
        <w:t xml:space="preserve">  A.法定代表人或负责人或实际控制人是同一人</w:t>
      </w:r>
    </w:p>
    <w:p w14:paraId="60B2B615">
      <w:pPr>
        <w:pStyle w:val="59"/>
        <w:snapToGrid w:val="0"/>
        <w:spacing w:before="156" w:after="156" w:line="360" w:lineRule="exact"/>
        <w:rPr>
          <w:rFonts w:hAnsi="宋体" w:eastAsia="宋体"/>
          <w:color w:val="000000" w:themeColor="text1"/>
          <w:spacing w:val="6"/>
          <w:sz w:val="21"/>
          <w:szCs w:val="21"/>
        </w:rPr>
      </w:pPr>
      <w:r>
        <w:rPr>
          <w:rFonts w:hint="eastAsia" w:hAnsi="宋体" w:eastAsia="宋体"/>
          <w:color w:val="000000" w:themeColor="text1"/>
          <w:kern w:val="0"/>
          <w:sz w:val="21"/>
          <w:szCs w:val="21"/>
        </w:rPr>
        <w:t xml:space="preserve">  B.法定代表人或负责人或实际控制人是夫妻关系</w:t>
      </w:r>
    </w:p>
    <w:p w14:paraId="042B431E">
      <w:pPr>
        <w:pStyle w:val="59"/>
        <w:snapToGrid w:val="0"/>
        <w:spacing w:before="156" w:after="156" w:line="360" w:lineRule="exact"/>
        <w:rPr>
          <w:rFonts w:hAnsi="宋体" w:eastAsia="宋体"/>
          <w:color w:val="000000" w:themeColor="text1"/>
          <w:spacing w:val="6"/>
          <w:sz w:val="21"/>
          <w:szCs w:val="21"/>
        </w:rPr>
      </w:pPr>
      <w:r>
        <w:rPr>
          <w:rFonts w:hint="eastAsia" w:hAnsi="宋体" w:eastAsia="宋体"/>
          <w:color w:val="000000" w:themeColor="text1"/>
          <w:kern w:val="0"/>
          <w:sz w:val="21"/>
          <w:szCs w:val="21"/>
        </w:rPr>
        <w:t xml:space="preserve">  C.法定代表人或负责人或实际控制人是直系血亲关系</w:t>
      </w:r>
    </w:p>
    <w:p w14:paraId="64ACFE14">
      <w:pPr>
        <w:pStyle w:val="59"/>
        <w:snapToGrid w:val="0"/>
        <w:spacing w:before="156" w:after="156" w:line="360" w:lineRule="exact"/>
        <w:rPr>
          <w:rFonts w:hAnsi="宋体" w:eastAsia="宋体"/>
          <w:color w:val="000000" w:themeColor="text1"/>
          <w:spacing w:val="6"/>
          <w:sz w:val="21"/>
          <w:szCs w:val="21"/>
        </w:rPr>
      </w:pPr>
      <w:r>
        <w:rPr>
          <w:rFonts w:hint="eastAsia" w:hAnsi="宋体" w:eastAsia="宋体"/>
          <w:color w:val="000000" w:themeColor="text1"/>
          <w:kern w:val="0"/>
          <w:sz w:val="21"/>
          <w:szCs w:val="21"/>
        </w:rPr>
        <w:t xml:space="preserve">  D.法定代表人或负责人或实际控制人存在三代以内旁系血亲关系</w:t>
      </w:r>
    </w:p>
    <w:p w14:paraId="708206FD">
      <w:pPr>
        <w:pStyle w:val="59"/>
        <w:snapToGrid w:val="0"/>
        <w:spacing w:before="156" w:after="156" w:line="360" w:lineRule="exact"/>
        <w:rPr>
          <w:rFonts w:hAnsi="宋体" w:eastAsia="宋体"/>
          <w:color w:val="000000" w:themeColor="text1"/>
          <w:kern w:val="0"/>
          <w:sz w:val="21"/>
          <w:szCs w:val="21"/>
        </w:rPr>
      </w:pPr>
      <w:r>
        <w:rPr>
          <w:rFonts w:hint="eastAsia" w:hAnsi="宋体" w:eastAsia="宋体"/>
          <w:color w:val="000000" w:themeColor="text1"/>
          <w:kern w:val="0"/>
          <w:sz w:val="21"/>
          <w:szCs w:val="21"/>
        </w:rPr>
        <w:t xml:space="preserve">  E.法定代表人或负责人或实际控制人存在近姻亲关系</w:t>
      </w:r>
    </w:p>
    <w:p w14:paraId="48938427">
      <w:pPr>
        <w:pStyle w:val="59"/>
        <w:snapToGrid w:val="0"/>
        <w:spacing w:before="156" w:after="156" w:line="360" w:lineRule="exact"/>
        <w:rPr>
          <w:rFonts w:hAnsi="宋体" w:eastAsia="宋体"/>
          <w:color w:val="000000" w:themeColor="text1"/>
          <w:kern w:val="0"/>
          <w:sz w:val="21"/>
          <w:szCs w:val="21"/>
        </w:rPr>
      </w:pPr>
      <w:r>
        <w:rPr>
          <w:rFonts w:hint="eastAsia" w:hAnsi="宋体" w:eastAsia="宋体"/>
          <w:color w:val="000000" w:themeColor="text1"/>
          <w:kern w:val="0"/>
          <w:sz w:val="21"/>
          <w:szCs w:val="21"/>
        </w:rPr>
        <w:t xml:space="preserve">  F.法定代表人或负责人或实际控制人存在股份控制或实际控制关系</w:t>
      </w:r>
    </w:p>
    <w:p w14:paraId="1E5C66AE">
      <w:pPr>
        <w:pStyle w:val="59"/>
        <w:snapToGrid w:val="0"/>
        <w:spacing w:before="156" w:after="156" w:line="360" w:lineRule="exact"/>
        <w:rPr>
          <w:rFonts w:hAnsi="宋体" w:eastAsia="宋体"/>
          <w:color w:val="000000" w:themeColor="text1"/>
          <w:kern w:val="0"/>
          <w:sz w:val="21"/>
          <w:szCs w:val="21"/>
        </w:rPr>
      </w:pPr>
      <w:r>
        <w:rPr>
          <w:rFonts w:hint="eastAsia" w:hAnsi="宋体" w:eastAsia="宋体"/>
          <w:color w:val="000000" w:themeColor="text1"/>
          <w:kern w:val="0"/>
          <w:sz w:val="21"/>
          <w:szCs w:val="21"/>
        </w:rPr>
        <w:t xml:space="preserve">  G.存在共同直接或间接投资设立子公司、联营企业和合营企业情况</w:t>
      </w:r>
    </w:p>
    <w:p w14:paraId="200F901B">
      <w:pPr>
        <w:pStyle w:val="59"/>
        <w:snapToGrid w:val="0"/>
        <w:spacing w:before="156" w:after="156" w:line="360" w:lineRule="exact"/>
        <w:rPr>
          <w:rFonts w:hAnsi="宋体" w:eastAsia="宋体"/>
          <w:color w:val="000000" w:themeColor="text1"/>
          <w:sz w:val="21"/>
          <w:szCs w:val="21"/>
        </w:rPr>
      </w:pPr>
      <w:r>
        <w:rPr>
          <w:rFonts w:hint="eastAsia" w:hAnsi="宋体" w:eastAsia="宋体"/>
          <w:color w:val="000000" w:themeColor="text1"/>
          <w:kern w:val="0"/>
          <w:sz w:val="21"/>
          <w:szCs w:val="21"/>
        </w:rPr>
        <w:t xml:space="preserve">  H.存在分级代理或代销关系、同一生产制造商关系、</w:t>
      </w:r>
      <w:r>
        <w:rPr>
          <w:rFonts w:hint="eastAsia" w:hAnsi="宋体" w:eastAsia="宋体"/>
          <w:color w:val="000000" w:themeColor="text1"/>
          <w:sz w:val="21"/>
          <w:szCs w:val="21"/>
        </w:rPr>
        <w:t>管理关系、重要业务（占主营业务收入50%以上）或重要财务往来关系（如融资）等其他实质性控制关系</w:t>
      </w:r>
    </w:p>
    <w:p w14:paraId="38B0172F">
      <w:pPr>
        <w:pStyle w:val="59"/>
        <w:snapToGrid w:val="0"/>
        <w:spacing w:before="156" w:after="156" w:line="440" w:lineRule="exact"/>
        <w:rPr>
          <w:rFonts w:hAnsi="宋体" w:eastAsia="宋体"/>
          <w:color w:val="000000" w:themeColor="text1"/>
          <w:spacing w:val="6"/>
          <w:sz w:val="21"/>
          <w:szCs w:val="21"/>
        </w:rPr>
      </w:pPr>
      <w:r>
        <w:rPr>
          <w:rFonts w:hint="eastAsia" w:hAnsi="宋体" w:eastAsia="宋体"/>
          <w:color w:val="000000" w:themeColor="text1"/>
          <w:sz w:val="21"/>
          <w:szCs w:val="21"/>
        </w:rPr>
        <w:t xml:space="preserve">  I</w:t>
      </w:r>
      <w:r>
        <w:rPr>
          <w:rFonts w:hint="eastAsia" w:hAnsi="宋体" w:eastAsia="宋体"/>
          <w:color w:val="000000" w:themeColor="text1"/>
          <w:kern w:val="0"/>
          <w:sz w:val="21"/>
          <w:szCs w:val="21"/>
        </w:rPr>
        <w:t>.</w:t>
      </w:r>
      <w:r>
        <w:rPr>
          <w:rFonts w:hint="eastAsia" w:hAnsi="宋体" w:eastAsia="宋体"/>
          <w:color w:val="000000" w:themeColor="text1"/>
          <w:sz w:val="21"/>
          <w:szCs w:val="21"/>
        </w:rPr>
        <w:t>其他利害关系情况</w:t>
      </w:r>
      <w:r>
        <w:rPr>
          <w:rFonts w:hint="eastAsia" w:hAnsi="宋体" w:eastAsia="宋体"/>
          <w:color w:val="000000" w:themeColor="text1"/>
          <w:kern w:val="0"/>
          <w:sz w:val="21"/>
          <w:szCs w:val="21"/>
        </w:rPr>
        <w:t>。</w:t>
      </w:r>
    </w:p>
    <w:p w14:paraId="6FD11E09">
      <w:pPr>
        <w:pStyle w:val="60"/>
        <w:widowControl/>
        <w:numPr>
          <w:ilvl w:val="0"/>
          <w:numId w:val="13"/>
        </w:numPr>
        <w:snapToGrid w:val="0"/>
        <w:spacing w:line="440" w:lineRule="exact"/>
        <w:ind w:firstLine="396" w:firstLineChars="189"/>
        <w:rPr>
          <w:rFonts w:ascii="宋体" w:hAnsi="宋体" w:cs="宋体"/>
          <w:color w:val="000000" w:themeColor="text1"/>
          <w:kern w:val="0"/>
        </w:rPr>
      </w:pPr>
      <w:r>
        <w:rPr>
          <w:rFonts w:hint="eastAsia" w:ascii="宋体" w:hAnsi="宋体" w:cs="宋体"/>
          <w:color w:val="000000" w:themeColor="text1"/>
        </w:rPr>
        <w:t>现已清楚知道并</w:t>
      </w:r>
      <w:r>
        <w:rPr>
          <w:rFonts w:hint="eastAsia" w:ascii="宋体" w:hAnsi="宋体" w:cs="宋体"/>
          <w:color w:val="000000" w:themeColor="text1"/>
          <w:kern w:val="0"/>
        </w:rPr>
        <w:t>严格遵守政府采购法律法规和现场纪律。</w:t>
      </w:r>
    </w:p>
    <w:p w14:paraId="4CB3856A">
      <w:pPr>
        <w:pStyle w:val="60"/>
        <w:widowControl/>
        <w:numPr>
          <w:ilvl w:val="0"/>
          <w:numId w:val="13"/>
        </w:numPr>
        <w:snapToGrid w:val="0"/>
        <w:spacing w:line="440" w:lineRule="exact"/>
        <w:ind w:firstLine="396" w:firstLineChars="189"/>
        <w:rPr>
          <w:rFonts w:ascii="宋体" w:hAnsi="宋体" w:cs="宋体"/>
          <w:color w:val="000000" w:themeColor="text1"/>
          <w:kern w:val="0"/>
        </w:rPr>
      </w:pPr>
      <w:r>
        <w:rPr>
          <w:rFonts w:hint="eastAsia" w:ascii="宋体" w:hAnsi="宋体" w:cs="宋体"/>
          <w:color w:val="000000" w:themeColor="text1"/>
          <w:kern w:val="0"/>
        </w:rPr>
        <w:t xml:space="preserve">我发现供应商之间存在或可能存在上述第二条第项利害关系。   </w:t>
      </w:r>
    </w:p>
    <w:p w14:paraId="553FF4A6">
      <w:pPr>
        <w:pStyle w:val="60"/>
        <w:widowControl/>
        <w:snapToGrid w:val="0"/>
        <w:spacing w:line="440" w:lineRule="exact"/>
        <w:rPr>
          <w:rFonts w:ascii="宋体" w:hAnsi="宋体" w:cs="宋体"/>
          <w:color w:val="000000" w:themeColor="text1"/>
          <w:kern w:val="0"/>
        </w:rPr>
      </w:pPr>
    </w:p>
    <w:p w14:paraId="3FBFBC4B">
      <w:pPr>
        <w:pStyle w:val="60"/>
        <w:widowControl/>
        <w:snapToGrid w:val="0"/>
        <w:spacing w:line="440" w:lineRule="exact"/>
        <w:jc w:val="center"/>
        <w:rPr>
          <w:rFonts w:ascii="宋体" w:hAnsi="宋体" w:cs="宋体"/>
          <w:color w:val="000000" w:themeColor="text1"/>
          <w:kern w:val="0"/>
        </w:rPr>
      </w:pPr>
      <w:r>
        <w:rPr>
          <w:rFonts w:hint="eastAsia" w:ascii="宋体" w:hAnsi="宋体" w:cs="宋体"/>
          <w:color w:val="000000" w:themeColor="text1"/>
          <w:kern w:val="0"/>
        </w:rPr>
        <w:t xml:space="preserve">                                        供应商：(盖章)</w:t>
      </w:r>
    </w:p>
    <w:p w14:paraId="393739FC">
      <w:pPr>
        <w:pStyle w:val="59"/>
        <w:snapToGrid w:val="0"/>
        <w:spacing w:before="156" w:after="156" w:line="440" w:lineRule="exact"/>
        <w:ind w:firstLine="420" w:firstLineChars="200"/>
        <w:rPr>
          <w:color w:val="000000" w:themeColor="text1"/>
        </w:rPr>
      </w:pPr>
      <w:r>
        <w:rPr>
          <w:rFonts w:hint="eastAsia" w:hAnsi="宋体" w:eastAsia="宋体"/>
          <w:color w:val="000000" w:themeColor="text1"/>
          <w:kern w:val="0"/>
          <w:sz w:val="21"/>
          <w:szCs w:val="21"/>
        </w:rPr>
        <w:t xml:space="preserve">                                                 202</w:t>
      </w:r>
      <w:r>
        <w:rPr>
          <w:rFonts w:hint="eastAsia" w:hAnsi="宋体" w:eastAsia="宋体"/>
          <w:color w:val="000000" w:themeColor="text1"/>
          <w:kern w:val="0"/>
          <w:sz w:val="21"/>
          <w:szCs w:val="21"/>
          <w:lang w:val="en-US" w:eastAsia="zh-CN"/>
        </w:rPr>
        <w:t>5</w:t>
      </w:r>
      <w:r>
        <w:rPr>
          <w:rFonts w:hint="eastAsia" w:hAnsi="宋体" w:eastAsia="宋体"/>
          <w:color w:val="000000" w:themeColor="text1"/>
          <w:kern w:val="0"/>
          <w:sz w:val="21"/>
          <w:szCs w:val="21"/>
        </w:rPr>
        <w:t>年   月   日</w:t>
      </w:r>
    </w:p>
    <w:p w14:paraId="1CBA9628">
      <w:pPr>
        <w:ind w:firstLine="420"/>
        <w:jc w:val="left"/>
        <w:rPr>
          <w:rFonts w:ascii="宋体"/>
          <w:color w:val="000000" w:themeColor="text1"/>
        </w:rPr>
      </w:pPr>
      <w:r>
        <w:rPr>
          <w:rFonts w:hint="eastAsia" w:ascii="宋体" w:hAnsi="宋体"/>
          <w:b/>
          <w:bCs/>
          <w:color w:val="000000" w:themeColor="text1"/>
        </w:rPr>
        <w:t>十</w:t>
      </w:r>
      <w:r>
        <w:rPr>
          <w:rFonts w:hint="eastAsia" w:ascii="宋体" w:hAnsi="宋体"/>
          <w:b/>
          <w:bCs/>
          <w:color w:val="000000" w:themeColor="text1"/>
          <w:lang w:val="en-US" w:eastAsia="zh-CN"/>
        </w:rPr>
        <w:t>五</w:t>
      </w:r>
      <w:r>
        <w:rPr>
          <w:rFonts w:hint="eastAsia" w:ascii="宋体" w:hAnsi="宋体"/>
          <w:b/>
          <w:bCs/>
          <w:color w:val="000000" w:themeColor="text1"/>
          <w:spacing w:val="-4"/>
        </w:rPr>
        <w:t>、政府采购投标人质疑函范本</w:t>
      </w:r>
    </w:p>
    <w:tbl>
      <w:tblPr>
        <w:tblStyle w:val="27"/>
        <w:tblW w:w="9299" w:type="dxa"/>
        <w:jc w:val="center"/>
        <w:tblCellSpacing w:w="0" w:type="dxa"/>
        <w:tblLayout w:type="fixed"/>
        <w:tblCellMar>
          <w:top w:w="0" w:type="dxa"/>
          <w:left w:w="0" w:type="dxa"/>
          <w:bottom w:w="0" w:type="dxa"/>
          <w:right w:w="0" w:type="dxa"/>
        </w:tblCellMar>
      </w:tblPr>
      <w:tblGrid>
        <w:gridCol w:w="9299"/>
      </w:tblGrid>
      <w:tr w14:paraId="0518CB8E">
        <w:tblPrEx>
          <w:tblCellMar>
            <w:top w:w="0" w:type="dxa"/>
            <w:left w:w="0" w:type="dxa"/>
            <w:bottom w:w="0" w:type="dxa"/>
            <w:right w:w="0" w:type="dxa"/>
          </w:tblCellMar>
        </w:tblPrEx>
        <w:trPr>
          <w:tblCellSpacing w:w="0" w:type="dxa"/>
          <w:jc w:val="center"/>
        </w:trPr>
        <w:tc>
          <w:tcPr>
            <w:tcW w:w="9299" w:type="dxa"/>
            <w:vAlign w:val="center"/>
          </w:tcPr>
          <w:tbl>
            <w:tblPr>
              <w:tblStyle w:val="27"/>
              <w:tblW w:w="9299" w:type="dxa"/>
              <w:tblCellSpacing w:w="0" w:type="dxa"/>
              <w:tblInd w:w="0" w:type="dxa"/>
              <w:tblLayout w:type="fixed"/>
              <w:tblCellMar>
                <w:top w:w="0" w:type="dxa"/>
                <w:left w:w="0" w:type="dxa"/>
                <w:bottom w:w="0" w:type="dxa"/>
                <w:right w:w="0" w:type="dxa"/>
              </w:tblCellMar>
            </w:tblPr>
            <w:tblGrid>
              <w:gridCol w:w="9299"/>
            </w:tblGrid>
            <w:tr w14:paraId="2D280E59">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7"/>
                    <w:tblW w:w="7904" w:type="dxa"/>
                    <w:jc w:val="center"/>
                    <w:tblCellSpacing w:w="0" w:type="dxa"/>
                    <w:tblLayout w:type="fixed"/>
                    <w:tblCellMar>
                      <w:top w:w="0" w:type="dxa"/>
                      <w:left w:w="0" w:type="dxa"/>
                      <w:bottom w:w="0" w:type="dxa"/>
                      <w:right w:w="0" w:type="dxa"/>
                    </w:tblCellMar>
                  </w:tblPr>
                  <w:tblGrid>
                    <w:gridCol w:w="7904"/>
                  </w:tblGrid>
                  <w:tr w14:paraId="24C9AEED">
                    <w:trPr>
                      <w:tblCellSpacing w:w="0" w:type="dxa"/>
                      <w:jc w:val="center"/>
                    </w:trPr>
                    <w:tc>
                      <w:tcPr>
                        <w:tcW w:w="7904" w:type="dxa"/>
                        <w:vAlign w:val="center"/>
                      </w:tcPr>
                      <w:p w14:paraId="2C9277E6">
                        <w:pPr>
                          <w:spacing w:beforeAutospacing="1" w:afterAutospacing="1"/>
                          <w:ind w:firstLine="422"/>
                          <w:jc w:val="center"/>
                          <w:rPr>
                            <w:rFonts w:ascii="宋体"/>
                            <w:color w:val="000000" w:themeColor="text1"/>
                            <w:sz w:val="28"/>
                            <w:szCs w:val="28"/>
                          </w:rPr>
                        </w:pPr>
                        <w:r>
                          <w:rPr>
                            <w:rFonts w:hint="eastAsia" w:ascii="宋体" w:hAnsi="宋体"/>
                            <w:b/>
                            <w:color w:val="000000" w:themeColor="text1"/>
                            <w:kern w:val="0"/>
                            <w:sz w:val="28"/>
                            <w:szCs w:val="28"/>
                          </w:rPr>
                          <w:t>质疑函范本</w:t>
                        </w:r>
                      </w:p>
                      <w:p w14:paraId="2115A61D">
                        <w:pPr>
                          <w:adjustRightInd w:val="0"/>
                          <w:snapToGrid w:val="0"/>
                          <w:spacing w:beforeLines="100" w:afterAutospacing="1"/>
                          <w:ind w:firstLine="420"/>
                          <w:jc w:val="left"/>
                          <w:rPr>
                            <w:rFonts w:ascii="宋体"/>
                            <w:color w:val="000000" w:themeColor="text1"/>
                          </w:rPr>
                        </w:pPr>
                        <w:r>
                          <w:rPr>
                            <w:rFonts w:hint="eastAsia" w:ascii="宋体" w:hAnsi="宋体"/>
                            <w:bCs/>
                            <w:color w:val="000000" w:themeColor="text1"/>
                            <w:kern w:val="0"/>
                          </w:rPr>
                          <w:t>一、质疑投标人基本信息</w:t>
                        </w:r>
                      </w:p>
                      <w:p w14:paraId="71C7FD81">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质疑投标人：</w:t>
                        </w:r>
                      </w:p>
                      <w:p w14:paraId="2103C89F">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地址：邮编：</w:t>
                        </w:r>
                      </w:p>
                      <w:p w14:paraId="3E33E081">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联系人：联系电话：</w:t>
                        </w:r>
                      </w:p>
                      <w:p w14:paraId="08527DC6">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授权代表：联系电话：</w:t>
                        </w:r>
                      </w:p>
                      <w:p w14:paraId="641E5021">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地址：邮编：邮箱：</w:t>
                        </w:r>
                      </w:p>
                      <w:p w14:paraId="0DBE739A">
                        <w:pPr>
                          <w:adjustRightInd w:val="0"/>
                          <w:snapToGrid w:val="0"/>
                          <w:spacing w:beforeAutospacing="1" w:afterAutospacing="1"/>
                          <w:ind w:firstLine="420"/>
                          <w:jc w:val="left"/>
                          <w:rPr>
                            <w:rFonts w:ascii="宋体"/>
                            <w:color w:val="000000" w:themeColor="text1"/>
                          </w:rPr>
                        </w:pPr>
                        <w:r>
                          <w:rPr>
                            <w:rFonts w:hint="eastAsia" w:ascii="宋体" w:hAnsi="宋体"/>
                            <w:bCs/>
                            <w:color w:val="000000" w:themeColor="text1"/>
                            <w:kern w:val="0"/>
                          </w:rPr>
                          <w:t>二、质疑项目基本情况</w:t>
                        </w:r>
                      </w:p>
                      <w:p w14:paraId="4E16FFBD">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质疑项目的名称：</w:t>
                        </w:r>
                      </w:p>
                      <w:p w14:paraId="2585FA04">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质疑项目的编号：包号：</w:t>
                        </w:r>
                      </w:p>
                      <w:p w14:paraId="39E7EB6D">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采购人名称：</w:t>
                        </w:r>
                      </w:p>
                      <w:p w14:paraId="4DEA68CC">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采购文件获取日期：</w:t>
                        </w:r>
                      </w:p>
                      <w:p w14:paraId="5307343C">
                        <w:pPr>
                          <w:adjustRightInd w:val="0"/>
                          <w:snapToGrid w:val="0"/>
                          <w:spacing w:beforeAutospacing="1" w:afterAutospacing="1"/>
                          <w:ind w:firstLine="420"/>
                          <w:jc w:val="left"/>
                          <w:rPr>
                            <w:rFonts w:ascii="宋体"/>
                            <w:color w:val="000000" w:themeColor="text1"/>
                          </w:rPr>
                        </w:pPr>
                        <w:r>
                          <w:rPr>
                            <w:rFonts w:hint="eastAsia" w:ascii="宋体" w:hAnsi="宋体"/>
                            <w:bCs/>
                            <w:color w:val="000000" w:themeColor="text1"/>
                            <w:kern w:val="0"/>
                          </w:rPr>
                          <w:t>三、质疑事项具体内容</w:t>
                        </w:r>
                      </w:p>
                      <w:p w14:paraId="03F4F20F">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质疑事项</w:t>
                        </w:r>
                        <w:r>
                          <w:rPr>
                            <w:rFonts w:ascii="宋体" w:hAnsi="宋体"/>
                            <w:color w:val="000000" w:themeColor="text1"/>
                            <w:kern w:val="0"/>
                          </w:rPr>
                          <w:t>1</w:t>
                        </w:r>
                        <w:r>
                          <w:rPr>
                            <w:rFonts w:hint="eastAsia" w:ascii="宋体" w:hAnsi="宋体"/>
                            <w:color w:val="000000" w:themeColor="text1"/>
                            <w:kern w:val="0"/>
                          </w:rPr>
                          <w:t>：</w:t>
                        </w:r>
                      </w:p>
                      <w:p w14:paraId="3FE38C46">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事实依据：</w:t>
                        </w:r>
                      </w:p>
                      <w:p w14:paraId="32ED9F0C">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法律依据：</w:t>
                        </w:r>
                      </w:p>
                      <w:p w14:paraId="3CA7C929">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质疑事项</w:t>
                        </w:r>
                        <w:r>
                          <w:rPr>
                            <w:rFonts w:ascii="宋体" w:hAnsi="宋体"/>
                            <w:color w:val="000000" w:themeColor="text1"/>
                            <w:kern w:val="0"/>
                          </w:rPr>
                          <w:t>2</w:t>
                        </w:r>
                      </w:p>
                      <w:p w14:paraId="0851541B">
                        <w:pPr>
                          <w:adjustRightInd w:val="0"/>
                          <w:snapToGrid w:val="0"/>
                          <w:spacing w:beforeAutospacing="1" w:afterAutospacing="1"/>
                          <w:ind w:firstLine="420"/>
                          <w:jc w:val="left"/>
                          <w:rPr>
                            <w:rFonts w:ascii="宋体"/>
                            <w:color w:val="000000" w:themeColor="text1"/>
                          </w:rPr>
                        </w:pPr>
                        <w:r>
                          <w:rPr>
                            <w:rFonts w:hint="eastAsia" w:ascii="宋体"/>
                            <w:color w:val="000000" w:themeColor="text1"/>
                            <w:kern w:val="0"/>
                          </w:rPr>
                          <w:t>……</w:t>
                        </w:r>
                      </w:p>
                      <w:p w14:paraId="76E30DB9">
                        <w:pPr>
                          <w:adjustRightInd w:val="0"/>
                          <w:snapToGrid w:val="0"/>
                          <w:spacing w:beforeAutospacing="1" w:afterAutospacing="1"/>
                          <w:ind w:firstLine="420"/>
                          <w:jc w:val="left"/>
                          <w:rPr>
                            <w:rFonts w:ascii="宋体"/>
                            <w:color w:val="000000" w:themeColor="text1"/>
                          </w:rPr>
                        </w:pPr>
                        <w:r>
                          <w:rPr>
                            <w:rFonts w:hint="eastAsia" w:ascii="宋体" w:hAnsi="宋体"/>
                            <w:bCs/>
                            <w:color w:val="000000" w:themeColor="text1"/>
                            <w:kern w:val="0"/>
                          </w:rPr>
                          <w:t>四、与质疑事项相关的质疑请求</w:t>
                        </w:r>
                      </w:p>
                      <w:p w14:paraId="3F204EF6">
                        <w:pPr>
                          <w:adjustRightInd w:val="0"/>
                          <w:snapToGrid w:val="0"/>
                          <w:spacing w:beforeAutospacing="1" w:afterAutospacing="1"/>
                          <w:ind w:firstLine="420"/>
                          <w:jc w:val="left"/>
                          <w:rPr>
                            <w:rFonts w:ascii="宋体"/>
                            <w:color w:val="000000" w:themeColor="text1"/>
                          </w:rPr>
                        </w:pPr>
                        <w:r>
                          <w:rPr>
                            <w:rFonts w:hint="eastAsia" w:ascii="宋体" w:hAnsi="宋体"/>
                            <w:color w:val="000000" w:themeColor="text1"/>
                            <w:kern w:val="0"/>
                          </w:rPr>
                          <w:t>请求：</w:t>
                        </w:r>
                      </w:p>
                      <w:p w14:paraId="35F5E2E2">
                        <w:pPr>
                          <w:spacing w:beforeAutospacing="1" w:afterAutospacing="1"/>
                          <w:ind w:firstLine="420"/>
                          <w:jc w:val="left"/>
                          <w:rPr>
                            <w:rFonts w:ascii="宋体"/>
                            <w:color w:val="000000" w:themeColor="text1"/>
                          </w:rPr>
                        </w:pPr>
                        <w:r>
                          <w:rPr>
                            <w:rFonts w:hint="eastAsia" w:ascii="宋体" w:hAnsi="宋体"/>
                            <w:color w:val="000000" w:themeColor="text1"/>
                            <w:kern w:val="0"/>
                          </w:rPr>
                          <w:t>签字</w:t>
                        </w:r>
                        <w:r>
                          <w:rPr>
                            <w:rFonts w:ascii="宋体" w:hAnsi="宋体"/>
                            <w:color w:val="000000" w:themeColor="text1"/>
                            <w:kern w:val="0"/>
                          </w:rPr>
                          <w:t>(</w:t>
                        </w:r>
                        <w:r>
                          <w:rPr>
                            <w:rFonts w:hint="eastAsia" w:ascii="宋体" w:hAnsi="宋体"/>
                            <w:color w:val="000000" w:themeColor="text1"/>
                            <w:kern w:val="0"/>
                          </w:rPr>
                          <w:t>签章</w:t>
                        </w:r>
                        <w:r>
                          <w:rPr>
                            <w:rFonts w:ascii="宋体" w:hAnsi="宋体"/>
                            <w:color w:val="000000" w:themeColor="text1"/>
                            <w:kern w:val="0"/>
                          </w:rPr>
                          <w:t>)</w:t>
                        </w:r>
                        <w:r>
                          <w:rPr>
                            <w:rFonts w:hint="eastAsia" w:ascii="宋体" w:hAnsi="宋体"/>
                            <w:color w:val="000000" w:themeColor="text1"/>
                            <w:kern w:val="0"/>
                          </w:rPr>
                          <w:t>：公章：</w:t>
                        </w:r>
                      </w:p>
                      <w:p w14:paraId="176BCB7B">
                        <w:pPr>
                          <w:spacing w:beforeAutospacing="1" w:afterAutospacing="1"/>
                          <w:ind w:firstLine="420"/>
                          <w:jc w:val="left"/>
                          <w:rPr>
                            <w:rFonts w:ascii="宋体"/>
                            <w:color w:val="000000" w:themeColor="text1"/>
                          </w:rPr>
                        </w:pPr>
                        <w:r>
                          <w:rPr>
                            <w:rFonts w:hint="eastAsia" w:ascii="宋体" w:hAnsi="宋体"/>
                            <w:color w:val="000000" w:themeColor="text1"/>
                            <w:kern w:val="0"/>
                          </w:rPr>
                          <w:t>日期：</w:t>
                        </w:r>
                      </w:p>
                      <w:p w14:paraId="326667C9">
                        <w:pPr>
                          <w:spacing w:beforeAutospacing="1" w:afterAutospacing="1"/>
                          <w:ind w:firstLine="422"/>
                          <w:jc w:val="left"/>
                          <w:rPr>
                            <w:rFonts w:ascii="宋体" w:hAnsi="宋体"/>
                            <w:b/>
                            <w:color w:val="000000" w:themeColor="text1"/>
                            <w:kern w:val="0"/>
                          </w:rPr>
                        </w:pPr>
                      </w:p>
                      <w:p w14:paraId="6A456CA7">
                        <w:pPr>
                          <w:spacing w:beforeAutospacing="1" w:afterAutospacing="1"/>
                          <w:ind w:firstLine="422"/>
                          <w:jc w:val="left"/>
                          <w:rPr>
                            <w:rFonts w:ascii="宋体"/>
                            <w:color w:val="000000" w:themeColor="text1"/>
                          </w:rPr>
                        </w:pPr>
                        <w:r>
                          <w:rPr>
                            <w:rFonts w:hint="eastAsia" w:ascii="宋体" w:hAnsi="宋体"/>
                            <w:b/>
                            <w:color w:val="000000" w:themeColor="text1"/>
                            <w:kern w:val="0"/>
                          </w:rPr>
                          <w:t>质疑函制作说明：</w:t>
                        </w:r>
                      </w:p>
                      <w:p w14:paraId="5E537C76">
                        <w:pPr>
                          <w:spacing w:beforeAutospacing="1" w:afterAutospacing="1"/>
                          <w:ind w:firstLine="420"/>
                          <w:jc w:val="left"/>
                          <w:rPr>
                            <w:rFonts w:ascii="宋体"/>
                            <w:color w:val="000000" w:themeColor="text1"/>
                          </w:rPr>
                        </w:pPr>
                        <w:r>
                          <w:rPr>
                            <w:rFonts w:ascii="宋体" w:hAnsi="宋体"/>
                            <w:color w:val="000000" w:themeColor="text1"/>
                            <w:kern w:val="0"/>
                          </w:rPr>
                          <w:t>1.</w:t>
                        </w:r>
                        <w:r>
                          <w:rPr>
                            <w:rFonts w:hint="eastAsia" w:ascii="宋体" w:hAnsi="宋体"/>
                            <w:color w:val="000000" w:themeColor="text1"/>
                            <w:kern w:val="0"/>
                          </w:rPr>
                          <w:t>投标人提出质疑时，应提交质疑函和必要的证明材料。</w:t>
                        </w:r>
                      </w:p>
                      <w:p w14:paraId="30B9A18A">
                        <w:pPr>
                          <w:spacing w:beforeAutospacing="1" w:afterAutospacing="1"/>
                          <w:ind w:firstLine="420"/>
                          <w:jc w:val="left"/>
                          <w:rPr>
                            <w:rFonts w:ascii="宋体"/>
                            <w:color w:val="000000" w:themeColor="text1"/>
                          </w:rPr>
                        </w:pPr>
                        <w:r>
                          <w:rPr>
                            <w:rFonts w:ascii="宋体" w:hAnsi="宋体"/>
                            <w:color w:val="000000" w:themeColor="text1"/>
                            <w:kern w:val="0"/>
                          </w:rPr>
                          <w:t>2.</w:t>
                        </w:r>
                        <w:r>
                          <w:rPr>
                            <w:rFonts w:hint="eastAsia" w:ascii="宋体" w:hAnsi="宋体"/>
                            <w:color w:val="000000" w:themeColor="text1"/>
                            <w:kern w:val="0"/>
                          </w:rPr>
                          <w:t>质疑投标人若委托代理人进行质疑的，质疑函应按要求列明</w:t>
                        </w:r>
                        <w:r>
                          <w:rPr>
                            <w:rFonts w:hint="eastAsia" w:ascii="宋体"/>
                            <w:color w:val="000000" w:themeColor="text1"/>
                            <w:kern w:val="0"/>
                          </w:rPr>
                          <w:t>“</w:t>
                        </w:r>
                        <w:r>
                          <w:rPr>
                            <w:rFonts w:hint="eastAsia" w:ascii="宋体" w:hAnsi="宋体"/>
                            <w:color w:val="000000" w:themeColor="text1"/>
                            <w:kern w:val="0"/>
                          </w:rPr>
                          <w:t>授权代表</w:t>
                        </w:r>
                        <w:r>
                          <w:rPr>
                            <w:rFonts w:hint="eastAsia" w:ascii="宋体"/>
                            <w:color w:val="000000" w:themeColor="text1"/>
                            <w:kern w:val="0"/>
                          </w:rPr>
                          <w:t>”</w:t>
                        </w:r>
                        <w:r>
                          <w:rPr>
                            <w:rFonts w:hint="eastAsia" w:ascii="宋体" w:hAnsi="宋体"/>
                            <w:color w:val="000000" w:themeColor="text1"/>
                            <w:kern w:val="0"/>
                          </w:rPr>
                          <w:t>的有关内容，并在附件中提交由质疑投标人签署的授权委托书。授权委托书应载明代理人的姓名或者名称、代理事项、具体权限、期限和相关事项。</w:t>
                        </w:r>
                      </w:p>
                      <w:p w14:paraId="34F4B612">
                        <w:pPr>
                          <w:spacing w:beforeAutospacing="1" w:afterAutospacing="1"/>
                          <w:ind w:firstLine="420"/>
                          <w:jc w:val="left"/>
                          <w:rPr>
                            <w:rFonts w:ascii="宋体"/>
                            <w:color w:val="000000" w:themeColor="text1"/>
                          </w:rPr>
                        </w:pPr>
                        <w:r>
                          <w:rPr>
                            <w:rFonts w:ascii="宋体" w:hAnsi="宋体"/>
                            <w:color w:val="000000" w:themeColor="text1"/>
                            <w:kern w:val="0"/>
                          </w:rPr>
                          <w:t>3.</w:t>
                        </w:r>
                        <w:r>
                          <w:rPr>
                            <w:rFonts w:hint="eastAsia" w:ascii="宋体" w:hAnsi="宋体"/>
                            <w:color w:val="000000" w:themeColor="text1"/>
                            <w:kern w:val="0"/>
                          </w:rPr>
                          <w:t>质疑投标人若对项目的某一分包进行质疑，质疑函中应列明具体分包号。</w:t>
                        </w:r>
                      </w:p>
                      <w:p w14:paraId="43CBFA7B">
                        <w:pPr>
                          <w:spacing w:beforeAutospacing="1" w:afterAutospacing="1"/>
                          <w:ind w:firstLine="420"/>
                          <w:jc w:val="left"/>
                          <w:rPr>
                            <w:rFonts w:ascii="宋体"/>
                            <w:color w:val="000000" w:themeColor="text1"/>
                          </w:rPr>
                        </w:pPr>
                        <w:r>
                          <w:rPr>
                            <w:rFonts w:ascii="宋体" w:hAnsi="宋体"/>
                            <w:color w:val="000000" w:themeColor="text1"/>
                            <w:kern w:val="0"/>
                          </w:rPr>
                          <w:t>4.</w:t>
                        </w:r>
                        <w:r>
                          <w:rPr>
                            <w:rFonts w:hint="eastAsia" w:ascii="宋体" w:hAnsi="宋体"/>
                            <w:color w:val="000000" w:themeColor="text1"/>
                            <w:kern w:val="0"/>
                          </w:rPr>
                          <w:t>质疑函的质疑事项应具体、明确，并有必要的事实依据和法律依据。</w:t>
                        </w:r>
                      </w:p>
                      <w:p w14:paraId="75479885">
                        <w:pPr>
                          <w:spacing w:beforeAutospacing="1" w:afterAutospacing="1"/>
                          <w:ind w:firstLine="420"/>
                          <w:jc w:val="left"/>
                          <w:rPr>
                            <w:rFonts w:ascii="宋体"/>
                            <w:color w:val="000000" w:themeColor="text1"/>
                          </w:rPr>
                        </w:pPr>
                        <w:r>
                          <w:rPr>
                            <w:rFonts w:ascii="宋体" w:hAnsi="宋体"/>
                            <w:color w:val="000000" w:themeColor="text1"/>
                            <w:kern w:val="0"/>
                          </w:rPr>
                          <w:t>5.</w:t>
                        </w:r>
                        <w:r>
                          <w:rPr>
                            <w:rFonts w:hint="eastAsia" w:ascii="宋体" w:hAnsi="宋体"/>
                            <w:color w:val="000000" w:themeColor="text1"/>
                            <w:kern w:val="0"/>
                          </w:rPr>
                          <w:t>质疑函的质疑请求应与质疑事项相关。</w:t>
                        </w:r>
                      </w:p>
                      <w:p w14:paraId="16587250">
                        <w:pPr>
                          <w:spacing w:before="100" w:beforeAutospacing="1" w:after="100" w:afterAutospacing="1"/>
                          <w:ind w:firstLine="420"/>
                          <w:jc w:val="left"/>
                          <w:rPr>
                            <w:rFonts w:ascii="宋体"/>
                            <w:color w:val="000000" w:themeColor="text1"/>
                          </w:rPr>
                        </w:pPr>
                        <w:r>
                          <w:rPr>
                            <w:rFonts w:ascii="宋体" w:hAnsi="宋体"/>
                            <w:color w:val="000000" w:themeColor="text1"/>
                            <w:kern w:val="0"/>
                          </w:rPr>
                          <w:t>6.</w:t>
                        </w:r>
                        <w:r>
                          <w:rPr>
                            <w:rFonts w:hint="eastAsia" w:ascii="宋体" w:hAnsi="宋体"/>
                            <w:color w:val="000000" w:themeColor="text1"/>
                            <w:kern w:val="0"/>
                          </w:rPr>
                          <w:t>质疑投标人为自然人的，质疑函应由本人签字；质疑投标人为法人或者其他组织的，质疑函应由法定代表人、主要负责人，或者其授权代表签字或者盖章，并加盖公章。</w:t>
                        </w:r>
                      </w:p>
                    </w:tc>
                  </w:tr>
                </w:tbl>
                <w:p w14:paraId="72A513C3">
                  <w:pPr>
                    <w:ind w:firstLine="360"/>
                    <w:jc w:val="center"/>
                    <w:rPr>
                      <w:rFonts w:ascii="宋体"/>
                      <w:color w:val="000000" w:themeColor="text1"/>
                      <w:sz w:val="18"/>
                      <w:szCs w:val="18"/>
                    </w:rPr>
                  </w:pPr>
                </w:p>
              </w:tc>
            </w:tr>
          </w:tbl>
          <w:p w14:paraId="14EE5910">
            <w:pPr>
              <w:spacing w:line="432" w:lineRule="auto"/>
              <w:ind w:firstLine="360"/>
              <w:jc w:val="center"/>
              <w:rPr>
                <w:rFonts w:ascii="宋体"/>
                <w:color w:val="000000" w:themeColor="text1"/>
                <w:sz w:val="18"/>
                <w:szCs w:val="18"/>
              </w:rPr>
            </w:pPr>
          </w:p>
        </w:tc>
      </w:tr>
    </w:tbl>
    <w:p w14:paraId="07CEB113">
      <w:pPr>
        <w:pStyle w:val="2"/>
        <w:spacing w:line="360" w:lineRule="auto"/>
        <w:rPr>
          <w:rFonts w:ascii="宋体"/>
          <w:color w:val="000000" w:themeColor="text1"/>
          <w:sz w:val="21"/>
          <w:szCs w:val="21"/>
        </w:rPr>
      </w:pPr>
    </w:p>
    <w:p w14:paraId="3239E917">
      <w:pPr>
        <w:rPr>
          <w:b/>
          <w:bCs/>
          <w:color w:val="000000" w:themeColor="text1"/>
          <w:sz w:val="32"/>
          <w:szCs w:val="32"/>
        </w:rPr>
      </w:pPr>
    </w:p>
    <w:p w14:paraId="3A732CA6">
      <w:pPr>
        <w:rPr>
          <w:b/>
          <w:bCs/>
          <w:color w:val="000000" w:themeColor="text1"/>
          <w:sz w:val="32"/>
          <w:szCs w:val="32"/>
        </w:rPr>
      </w:pPr>
    </w:p>
    <w:p w14:paraId="04BF88EA">
      <w:pPr>
        <w:rPr>
          <w:b/>
          <w:bCs/>
          <w:color w:val="000000" w:themeColor="text1"/>
          <w:sz w:val="32"/>
          <w:szCs w:val="32"/>
        </w:rPr>
      </w:pPr>
    </w:p>
    <w:p w14:paraId="041EDC70">
      <w:pPr>
        <w:rPr>
          <w:b/>
          <w:bCs/>
          <w:color w:val="000000" w:themeColor="text1"/>
          <w:sz w:val="32"/>
          <w:szCs w:val="32"/>
        </w:rPr>
      </w:pPr>
    </w:p>
    <w:p w14:paraId="4D4A9E77">
      <w:pPr>
        <w:rPr>
          <w:b/>
          <w:bCs/>
          <w:color w:val="000000" w:themeColor="text1"/>
          <w:sz w:val="32"/>
          <w:szCs w:val="32"/>
        </w:rPr>
      </w:pPr>
    </w:p>
    <w:p w14:paraId="7031D26E">
      <w:pPr>
        <w:rPr>
          <w:b/>
          <w:bCs/>
          <w:color w:val="000000" w:themeColor="text1"/>
          <w:sz w:val="32"/>
          <w:szCs w:val="32"/>
        </w:rPr>
      </w:pPr>
    </w:p>
    <w:p w14:paraId="7DD17A01">
      <w:pPr>
        <w:rPr>
          <w:b/>
          <w:bCs/>
          <w:color w:val="000000" w:themeColor="text1"/>
          <w:sz w:val="32"/>
          <w:szCs w:val="32"/>
        </w:rPr>
      </w:pPr>
    </w:p>
    <w:p w14:paraId="76DED0D9">
      <w:pPr>
        <w:rPr>
          <w:b/>
          <w:bCs/>
          <w:color w:val="000000" w:themeColor="text1"/>
          <w:sz w:val="32"/>
          <w:szCs w:val="32"/>
        </w:rPr>
      </w:pPr>
    </w:p>
    <w:p w14:paraId="0B61CB93">
      <w:pPr>
        <w:rPr>
          <w:b/>
          <w:bCs/>
          <w:color w:val="000000" w:themeColor="text1"/>
          <w:sz w:val="32"/>
          <w:szCs w:val="32"/>
        </w:rPr>
      </w:pPr>
    </w:p>
    <w:p w14:paraId="3ACA7A1C">
      <w:pPr>
        <w:rPr>
          <w:b/>
          <w:bCs/>
          <w:color w:val="000000" w:themeColor="text1"/>
          <w:sz w:val="32"/>
          <w:szCs w:val="32"/>
        </w:rPr>
      </w:pPr>
    </w:p>
    <w:p w14:paraId="2060F89B">
      <w:pPr>
        <w:pStyle w:val="2"/>
        <w:rPr>
          <w:b/>
          <w:bCs/>
          <w:color w:val="000000" w:themeColor="text1"/>
          <w:sz w:val="32"/>
          <w:szCs w:val="32"/>
        </w:rPr>
      </w:pPr>
    </w:p>
    <w:p w14:paraId="0795D261">
      <w:pPr>
        <w:pStyle w:val="25"/>
        <w:ind w:firstLine="321"/>
        <w:rPr>
          <w:b/>
          <w:bCs/>
          <w:color w:val="000000" w:themeColor="text1"/>
          <w:sz w:val="32"/>
          <w:szCs w:val="32"/>
        </w:rPr>
      </w:pPr>
    </w:p>
    <w:p w14:paraId="32B085E5">
      <w:pPr>
        <w:pStyle w:val="21"/>
        <w:rPr>
          <w:b/>
          <w:bCs/>
          <w:color w:val="000000" w:themeColor="text1"/>
          <w:sz w:val="32"/>
          <w:szCs w:val="32"/>
        </w:rPr>
      </w:pPr>
    </w:p>
    <w:p w14:paraId="2BA49D9F">
      <w:pPr>
        <w:rPr>
          <w:color w:val="000000" w:themeColor="text1"/>
        </w:rPr>
      </w:pPr>
    </w:p>
    <w:p w14:paraId="420DA7BE">
      <w:pPr>
        <w:rPr>
          <w:b/>
          <w:bCs/>
          <w:color w:val="000000" w:themeColor="text1"/>
          <w:sz w:val="32"/>
          <w:szCs w:val="32"/>
        </w:rPr>
      </w:pPr>
      <w:r>
        <w:rPr>
          <w:rFonts w:hint="eastAsia"/>
          <w:b/>
          <w:bCs/>
          <w:color w:val="000000" w:themeColor="text1"/>
          <w:sz w:val="32"/>
          <w:szCs w:val="32"/>
        </w:rPr>
        <w:t>附表1、</w:t>
      </w:r>
    </w:p>
    <w:p w14:paraId="231D9895">
      <w:pPr>
        <w:jc w:val="center"/>
        <w:rPr>
          <w:b/>
          <w:bCs/>
          <w:color w:val="000000" w:themeColor="text1"/>
          <w:sz w:val="32"/>
          <w:szCs w:val="32"/>
        </w:rPr>
      </w:pPr>
      <w:r>
        <w:rPr>
          <w:rFonts w:hint="eastAsia"/>
          <w:b/>
          <w:bCs/>
          <w:color w:val="000000" w:themeColor="text1"/>
          <w:sz w:val="32"/>
          <w:szCs w:val="32"/>
        </w:rPr>
        <w:t>履约验收通知书</w:t>
      </w:r>
    </w:p>
    <w:p w14:paraId="3A963B87">
      <w:pPr>
        <w:jc w:val="center"/>
        <w:rPr>
          <w:b/>
          <w:bCs/>
          <w:color w:val="000000" w:themeColor="text1"/>
          <w:sz w:val="32"/>
          <w:szCs w:val="32"/>
        </w:rPr>
      </w:pPr>
    </w:p>
    <w:p w14:paraId="3571AE0F">
      <w:pPr>
        <w:rPr>
          <w:b/>
          <w:bCs/>
          <w:color w:val="000000" w:themeColor="text1"/>
          <w:sz w:val="24"/>
        </w:rPr>
      </w:pPr>
      <w:r>
        <w:rPr>
          <w:rFonts w:hint="eastAsia"/>
          <w:b/>
          <w:bCs/>
          <w:color w:val="000000" w:themeColor="text1"/>
          <w:sz w:val="24"/>
        </w:rPr>
        <w:t>供应商：</w:t>
      </w:r>
    </w:p>
    <w:tbl>
      <w:tblPr>
        <w:tblStyle w:val="27"/>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385"/>
        <w:gridCol w:w="2175"/>
        <w:gridCol w:w="2274"/>
      </w:tblGrid>
      <w:tr w14:paraId="4AE8B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64" w:type="dxa"/>
            <w:vAlign w:val="center"/>
          </w:tcPr>
          <w:p w14:paraId="62C8A03F">
            <w:pPr>
              <w:jc w:val="center"/>
              <w:rPr>
                <w:b/>
                <w:bCs/>
                <w:color w:val="000000" w:themeColor="text1"/>
                <w:sz w:val="24"/>
              </w:rPr>
            </w:pPr>
            <w:r>
              <w:rPr>
                <w:rFonts w:hint="eastAsia"/>
                <w:b/>
                <w:bCs/>
                <w:color w:val="000000" w:themeColor="text1"/>
                <w:sz w:val="24"/>
              </w:rPr>
              <w:t>采购单位</w:t>
            </w:r>
          </w:p>
        </w:tc>
        <w:tc>
          <w:tcPr>
            <w:tcW w:w="6834" w:type="dxa"/>
            <w:gridSpan w:val="3"/>
          </w:tcPr>
          <w:p w14:paraId="7057705F">
            <w:pPr>
              <w:rPr>
                <w:b/>
                <w:bCs/>
                <w:color w:val="000000" w:themeColor="text1"/>
                <w:sz w:val="24"/>
              </w:rPr>
            </w:pPr>
          </w:p>
        </w:tc>
      </w:tr>
      <w:tr w14:paraId="3C99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64" w:type="dxa"/>
            <w:vAlign w:val="center"/>
          </w:tcPr>
          <w:p w14:paraId="546D3506">
            <w:pPr>
              <w:jc w:val="center"/>
              <w:rPr>
                <w:b/>
                <w:bCs/>
                <w:color w:val="000000" w:themeColor="text1"/>
                <w:sz w:val="24"/>
              </w:rPr>
            </w:pPr>
            <w:r>
              <w:rPr>
                <w:rFonts w:hint="eastAsia"/>
                <w:b/>
                <w:bCs/>
                <w:color w:val="000000" w:themeColor="text1"/>
                <w:sz w:val="24"/>
              </w:rPr>
              <w:t>采购项目</w:t>
            </w:r>
          </w:p>
        </w:tc>
        <w:tc>
          <w:tcPr>
            <w:tcW w:w="6834" w:type="dxa"/>
            <w:gridSpan w:val="3"/>
          </w:tcPr>
          <w:p w14:paraId="52D8B540">
            <w:pPr>
              <w:rPr>
                <w:b/>
                <w:bCs/>
                <w:color w:val="000000" w:themeColor="text1"/>
                <w:sz w:val="24"/>
              </w:rPr>
            </w:pPr>
          </w:p>
        </w:tc>
      </w:tr>
      <w:tr w14:paraId="55D4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4" w:type="dxa"/>
            <w:vAlign w:val="center"/>
          </w:tcPr>
          <w:p w14:paraId="447DB078">
            <w:pPr>
              <w:jc w:val="center"/>
              <w:rPr>
                <w:b/>
                <w:bCs/>
                <w:color w:val="000000" w:themeColor="text1"/>
                <w:sz w:val="24"/>
              </w:rPr>
            </w:pPr>
            <w:r>
              <w:rPr>
                <w:rFonts w:hint="eastAsia"/>
                <w:b/>
                <w:bCs/>
                <w:color w:val="000000" w:themeColor="text1"/>
                <w:sz w:val="24"/>
              </w:rPr>
              <w:t>合同金额</w:t>
            </w:r>
          </w:p>
        </w:tc>
        <w:tc>
          <w:tcPr>
            <w:tcW w:w="6834" w:type="dxa"/>
            <w:gridSpan w:val="3"/>
          </w:tcPr>
          <w:p w14:paraId="19018550">
            <w:pPr>
              <w:rPr>
                <w:b/>
                <w:bCs/>
                <w:color w:val="000000" w:themeColor="text1"/>
                <w:sz w:val="24"/>
              </w:rPr>
            </w:pPr>
          </w:p>
        </w:tc>
      </w:tr>
      <w:tr w14:paraId="1310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04EEFCF0">
            <w:pPr>
              <w:jc w:val="center"/>
              <w:rPr>
                <w:b/>
                <w:bCs/>
                <w:color w:val="000000" w:themeColor="text1"/>
                <w:sz w:val="24"/>
              </w:rPr>
            </w:pPr>
            <w:r>
              <w:rPr>
                <w:rFonts w:hint="eastAsia"/>
                <w:b/>
                <w:bCs/>
                <w:color w:val="000000" w:themeColor="text1"/>
                <w:sz w:val="24"/>
              </w:rPr>
              <w:t>验收地点</w:t>
            </w:r>
          </w:p>
        </w:tc>
        <w:tc>
          <w:tcPr>
            <w:tcW w:w="2385" w:type="dxa"/>
          </w:tcPr>
          <w:p w14:paraId="00DD183F">
            <w:pPr>
              <w:rPr>
                <w:b/>
                <w:bCs/>
                <w:color w:val="000000" w:themeColor="text1"/>
                <w:sz w:val="24"/>
              </w:rPr>
            </w:pPr>
          </w:p>
        </w:tc>
        <w:tc>
          <w:tcPr>
            <w:tcW w:w="2175" w:type="dxa"/>
            <w:vAlign w:val="center"/>
          </w:tcPr>
          <w:p w14:paraId="5ADD4E86">
            <w:pPr>
              <w:jc w:val="center"/>
              <w:rPr>
                <w:b/>
                <w:bCs/>
                <w:color w:val="000000" w:themeColor="text1"/>
                <w:sz w:val="24"/>
              </w:rPr>
            </w:pPr>
            <w:r>
              <w:rPr>
                <w:rFonts w:hint="eastAsia"/>
                <w:b/>
                <w:bCs/>
                <w:color w:val="000000" w:themeColor="text1"/>
                <w:sz w:val="24"/>
              </w:rPr>
              <w:t>验收时间</w:t>
            </w:r>
          </w:p>
        </w:tc>
        <w:tc>
          <w:tcPr>
            <w:tcW w:w="2274" w:type="dxa"/>
          </w:tcPr>
          <w:p w14:paraId="7DB0562D">
            <w:pPr>
              <w:rPr>
                <w:b/>
                <w:bCs/>
                <w:color w:val="000000" w:themeColor="text1"/>
                <w:sz w:val="24"/>
              </w:rPr>
            </w:pPr>
          </w:p>
        </w:tc>
      </w:tr>
      <w:tr w14:paraId="1B0E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3CE19E0D">
            <w:pPr>
              <w:jc w:val="center"/>
              <w:rPr>
                <w:b/>
                <w:bCs/>
                <w:color w:val="000000" w:themeColor="text1"/>
                <w:sz w:val="24"/>
              </w:rPr>
            </w:pPr>
            <w:r>
              <w:rPr>
                <w:rFonts w:hint="eastAsia"/>
                <w:b/>
                <w:bCs/>
                <w:color w:val="000000" w:themeColor="text1"/>
                <w:sz w:val="24"/>
              </w:rPr>
              <w:t>联系人</w:t>
            </w:r>
          </w:p>
        </w:tc>
        <w:tc>
          <w:tcPr>
            <w:tcW w:w="2385" w:type="dxa"/>
          </w:tcPr>
          <w:p w14:paraId="16EEA95F">
            <w:pPr>
              <w:rPr>
                <w:b/>
                <w:bCs/>
                <w:color w:val="000000" w:themeColor="text1"/>
                <w:sz w:val="24"/>
              </w:rPr>
            </w:pPr>
          </w:p>
        </w:tc>
        <w:tc>
          <w:tcPr>
            <w:tcW w:w="2175" w:type="dxa"/>
            <w:vAlign w:val="center"/>
          </w:tcPr>
          <w:p w14:paraId="0E5F9442">
            <w:pPr>
              <w:jc w:val="center"/>
              <w:rPr>
                <w:b/>
                <w:bCs/>
                <w:color w:val="000000" w:themeColor="text1"/>
                <w:sz w:val="24"/>
              </w:rPr>
            </w:pPr>
            <w:r>
              <w:rPr>
                <w:rFonts w:hint="eastAsia"/>
                <w:b/>
                <w:bCs/>
                <w:color w:val="000000" w:themeColor="text1"/>
                <w:sz w:val="24"/>
              </w:rPr>
              <w:t>联系方式</w:t>
            </w:r>
          </w:p>
        </w:tc>
        <w:tc>
          <w:tcPr>
            <w:tcW w:w="2274" w:type="dxa"/>
          </w:tcPr>
          <w:p w14:paraId="46A8349B">
            <w:pPr>
              <w:rPr>
                <w:b/>
                <w:bCs/>
                <w:color w:val="000000" w:themeColor="text1"/>
                <w:sz w:val="24"/>
              </w:rPr>
            </w:pPr>
          </w:p>
        </w:tc>
      </w:tr>
      <w:tr w14:paraId="4E4D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598" w:type="dxa"/>
            <w:gridSpan w:val="4"/>
          </w:tcPr>
          <w:p w14:paraId="2EF92ABE">
            <w:pPr>
              <w:rPr>
                <w:b/>
                <w:bCs/>
                <w:color w:val="000000" w:themeColor="text1"/>
                <w:sz w:val="24"/>
              </w:rPr>
            </w:pPr>
          </w:p>
          <w:p w14:paraId="4F6DA786">
            <w:pPr>
              <w:rPr>
                <w:b/>
                <w:bCs/>
                <w:color w:val="000000" w:themeColor="text1"/>
                <w:sz w:val="24"/>
              </w:rPr>
            </w:pPr>
            <w:r>
              <w:rPr>
                <w:rFonts w:hint="eastAsia"/>
                <w:b/>
                <w:bCs/>
                <w:color w:val="000000" w:themeColor="text1"/>
                <w:sz w:val="24"/>
              </w:rPr>
              <w:t>（备注说明）</w:t>
            </w:r>
          </w:p>
          <w:p w14:paraId="5892CAFC">
            <w:pPr>
              <w:rPr>
                <w:b/>
                <w:bCs/>
                <w:color w:val="000000" w:themeColor="text1"/>
                <w:sz w:val="24"/>
              </w:rPr>
            </w:pPr>
          </w:p>
          <w:p w14:paraId="560A6CB5">
            <w:pPr>
              <w:rPr>
                <w:b/>
                <w:bCs/>
                <w:color w:val="000000" w:themeColor="text1"/>
                <w:sz w:val="24"/>
              </w:rPr>
            </w:pPr>
          </w:p>
          <w:p w14:paraId="2828E34B">
            <w:pPr>
              <w:rPr>
                <w:b/>
                <w:bCs/>
                <w:color w:val="000000" w:themeColor="text1"/>
                <w:sz w:val="24"/>
              </w:rPr>
            </w:pPr>
          </w:p>
          <w:p w14:paraId="3E05DBDA">
            <w:pPr>
              <w:rPr>
                <w:b/>
                <w:bCs/>
                <w:color w:val="000000" w:themeColor="text1"/>
                <w:sz w:val="24"/>
              </w:rPr>
            </w:pPr>
          </w:p>
          <w:p w14:paraId="7CC39C51">
            <w:pPr>
              <w:rPr>
                <w:b/>
                <w:bCs/>
                <w:color w:val="000000" w:themeColor="text1"/>
                <w:sz w:val="24"/>
              </w:rPr>
            </w:pPr>
          </w:p>
          <w:p w14:paraId="6D4D6C70">
            <w:pPr>
              <w:rPr>
                <w:b/>
                <w:bCs/>
                <w:color w:val="000000" w:themeColor="text1"/>
                <w:sz w:val="24"/>
              </w:rPr>
            </w:pPr>
          </w:p>
          <w:p w14:paraId="2A19A1CA">
            <w:pPr>
              <w:rPr>
                <w:b/>
                <w:bCs/>
                <w:color w:val="000000" w:themeColor="text1"/>
                <w:sz w:val="24"/>
              </w:rPr>
            </w:pPr>
          </w:p>
          <w:p w14:paraId="688BE59D">
            <w:pPr>
              <w:rPr>
                <w:b/>
                <w:bCs/>
                <w:color w:val="000000" w:themeColor="text1"/>
                <w:sz w:val="24"/>
              </w:rPr>
            </w:pPr>
          </w:p>
          <w:p w14:paraId="62D64CCF">
            <w:pPr>
              <w:rPr>
                <w:b/>
                <w:bCs/>
                <w:color w:val="000000" w:themeColor="text1"/>
                <w:sz w:val="24"/>
              </w:rPr>
            </w:pPr>
          </w:p>
          <w:p w14:paraId="4F394524">
            <w:pPr>
              <w:rPr>
                <w:b/>
                <w:bCs/>
                <w:color w:val="000000" w:themeColor="text1"/>
                <w:sz w:val="24"/>
              </w:rPr>
            </w:pPr>
          </w:p>
          <w:p w14:paraId="4A2F4E0B">
            <w:pPr>
              <w:ind w:firstLine="6746" w:firstLineChars="2800"/>
              <w:rPr>
                <w:b/>
                <w:bCs/>
                <w:color w:val="000000" w:themeColor="text1"/>
                <w:sz w:val="24"/>
              </w:rPr>
            </w:pPr>
            <w:r>
              <w:rPr>
                <w:rFonts w:hint="eastAsia"/>
                <w:b/>
                <w:bCs/>
                <w:color w:val="000000" w:themeColor="text1"/>
                <w:sz w:val="24"/>
              </w:rPr>
              <w:t>盖章</w:t>
            </w:r>
          </w:p>
          <w:p w14:paraId="07EAFB9C">
            <w:pPr>
              <w:ind w:firstLine="6746" w:firstLineChars="2800"/>
              <w:rPr>
                <w:b/>
                <w:bCs/>
                <w:color w:val="000000" w:themeColor="text1"/>
                <w:sz w:val="24"/>
              </w:rPr>
            </w:pPr>
          </w:p>
        </w:tc>
      </w:tr>
    </w:tbl>
    <w:p w14:paraId="07AD162A">
      <w:pPr>
        <w:pStyle w:val="25"/>
        <w:ind w:firstLine="0" w:firstLineChars="0"/>
        <w:rPr>
          <w:color w:val="000000" w:themeColor="text1"/>
        </w:rPr>
      </w:pPr>
    </w:p>
    <w:p w14:paraId="23A06F1E">
      <w:pPr>
        <w:pStyle w:val="25"/>
        <w:ind w:firstLine="0" w:firstLineChars="0"/>
        <w:rPr>
          <w:color w:val="000000" w:themeColor="text1"/>
        </w:rPr>
      </w:pPr>
    </w:p>
    <w:p w14:paraId="63A4E860">
      <w:pPr>
        <w:rPr>
          <w:b/>
          <w:bCs/>
          <w:color w:val="000000" w:themeColor="text1"/>
          <w:sz w:val="32"/>
          <w:szCs w:val="32"/>
        </w:rPr>
      </w:pPr>
      <w:r>
        <w:rPr>
          <w:rFonts w:hint="eastAsia"/>
          <w:b/>
          <w:bCs/>
          <w:color w:val="000000" w:themeColor="text1"/>
          <w:sz w:val="32"/>
          <w:szCs w:val="32"/>
        </w:rPr>
        <w:t>附表2、</w:t>
      </w:r>
    </w:p>
    <w:p w14:paraId="0EBE9392">
      <w:pPr>
        <w:jc w:val="center"/>
        <w:rPr>
          <w:b/>
          <w:bCs/>
          <w:color w:val="000000" w:themeColor="text1"/>
          <w:sz w:val="32"/>
          <w:szCs w:val="32"/>
        </w:rPr>
      </w:pPr>
      <w:r>
        <w:rPr>
          <w:rFonts w:hint="eastAsia"/>
          <w:b/>
          <w:bCs/>
          <w:color w:val="000000" w:themeColor="text1"/>
          <w:sz w:val="32"/>
          <w:szCs w:val="32"/>
        </w:rPr>
        <w:t>政府采购履约验收书</w:t>
      </w:r>
    </w:p>
    <w:tbl>
      <w:tblPr>
        <w:tblStyle w:val="27"/>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411"/>
        <w:gridCol w:w="1170"/>
        <w:gridCol w:w="960"/>
        <w:gridCol w:w="1729"/>
        <w:gridCol w:w="806"/>
        <w:gridCol w:w="15"/>
        <w:gridCol w:w="799"/>
        <w:gridCol w:w="326"/>
        <w:gridCol w:w="1167"/>
      </w:tblGrid>
      <w:tr w14:paraId="1798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11046342">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一、验收方案</w:t>
            </w:r>
          </w:p>
        </w:tc>
      </w:tr>
      <w:tr w14:paraId="284D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3B53A621">
            <w:pPr>
              <w:widowControl/>
              <w:spacing w:line="360" w:lineRule="auto"/>
              <w:jc w:val="center"/>
              <w:rPr>
                <w:rFonts w:ascii="宋体" w:hAnsi="宋体" w:cs="宋体"/>
                <w:b/>
                <w:bCs/>
                <w:color w:val="000000" w:themeColor="text1"/>
              </w:rPr>
            </w:pPr>
            <w:r>
              <w:rPr>
                <w:rFonts w:hint="eastAsia" w:ascii="宋体" w:hAnsi="宋体" w:cs="宋体"/>
                <w:b/>
                <w:bCs/>
                <w:color w:val="000000" w:themeColor="text1"/>
              </w:rPr>
              <w:t>（一）</w:t>
            </w:r>
            <w:r>
              <w:rPr>
                <w:rFonts w:hint="eastAsia" w:ascii="宋体" w:hAnsi="宋体" w:cs="宋体"/>
                <w:b/>
                <w:bCs/>
                <w:color w:val="000000" w:themeColor="text1"/>
                <w:kern w:val="0"/>
              </w:rPr>
              <w:t>项目基本情况</w:t>
            </w:r>
          </w:p>
        </w:tc>
      </w:tr>
      <w:tr w14:paraId="2092F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7D775B84">
            <w:pPr>
              <w:widowControl/>
              <w:jc w:val="center"/>
              <w:rPr>
                <w:rFonts w:ascii="宋体" w:hAnsi="宋体" w:cs="宋体"/>
                <w:b/>
                <w:bCs/>
                <w:color w:val="000000" w:themeColor="text1"/>
              </w:rPr>
            </w:pPr>
            <w:r>
              <w:rPr>
                <w:rFonts w:hint="eastAsia" w:ascii="宋体" w:hAnsi="宋体" w:cs="宋体"/>
                <w:b/>
                <w:bCs/>
                <w:color w:val="000000" w:themeColor="text1"/>
                <w:kern w:val="0"/>
              </w:rPr>
              <w:t>采购人名称</w:t>
            </w:r>
          </w:p>
        </w:tc>
        <w:tc>
          <w:tcPr>
            <w:tcW w:w="3541" w:type="dxa"/>
            <w:gridSpan w:val="3"/>
            <w:vAlign w:val="center"/>
          </w:tcPr>
          <w:p w14:paraId="7094DD28">
            <w:pPr>
              <w:spacing w:line="360" w:lineRule="auto"/>
              <w:jc w:val="center"/>
              <w:rPr>
                <w:rFonts w:ascii="宋体" w:hAnsi="宋体" w:cs="宋体"/>
                <w:b/>
                <w:bCs/>
                <w:color w:val="000000" w:themeColor="text1"/>
              </w:rPr>
            </w:pPr>
          </w:p>
        </w:tc>
        <w:tc>
          <w:tcPr>
            <w:tcW w:w="1729" w:type="dxa"/>
            <w:vAlign w:val="center"/>
          </w:tcPr>
          <w:p w14:paraId="17A8F5FD">
            <w:pPr>
              <w:spacing w:line="360" w:lineRule="auto"/>
              <w:jc w:val="center"/>
              <w:rPr>
                <w:rFonts w:ascii="宋体" w:hAnsi="宋体" w:cs="宋体"/>
                <w:b/>
                <w:bCs/>
                <w:color w:val="000000" w:themeColor="text1"/>
              </w:rPr>
            </w:pPr>
            <w:r>
              <w:rPr>
                <w:rFonts w:hint="eastAsia" w:ascii="宋体" w:hAnsi="宋体" w:cs="宋体"/>
                <w:b/>
                <w:bCs/>
                <w:color w:val="000000" w:themeColor="text1"/>
                <w:kern w:val="0"/>
              </w:rPr>
              <w:t>供应商名称</w:t>
            </w:r>
          </w:p>
        </w:tc>
        <w:tc>
          <w:tcPr>
            <w:tcW w:w="3113" w:type="dxa"/>
            <w:gridSpan w:val="5"/>
            <w:vAlign w:val="center"/>
          </w:tcPr>
          <w:p w14:paraId="5FB61CF9">
            <w:pPr>
              <w:spacing w:line="360" w:lineRule="auto"/>
              <w:jc w:val="center"/>
              <w:rPr>
                <w:rFonts w:ascii="宋体" w:hAnsi="宋体" w:cs="宋体"/>
                <w:b/>
                <w:bCs/>
                <w:color w:val="000000" w:themeColor="text1"/>
              </w:rPr>
            </w:pPr>
          </w:p>
        </w:tc>
      </w:tr>
      <w:tr w14:paraId="71CF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6AC0413B">
            <w:pPr>
              <w:jc w:val="center"/>
              <w:rPr>
                <w:rFonts w:ascii="宋体" w:hAnsi="宋体" w:cs="宋体"/>
                <w:b/>
                <w:bCs/>
                <w:color w:val="000000" w:themeColor="text1"/>
              </w:rPr>
            </w:pPr>
            <w:r>
              <w:rPr>
                <w:rFonts w:hint="eastAsia" w:ascii="宋体" w:hAnsi="宋体" w:cs="宋体"/>
                <w:b/>
                <w:bCs/>
                <w:color w:val="000000" w:themeColor="text1"/>
                <w:kern w:val="0"/>
              </w:rPr>
              <w:t>项目名称</w:t>
            </w:r>
          </w:p>
        </w:tc>
        <w:tc>
          <w:tcPr>
            <w:tcW w:w="3541" w:type="dxa"/>
            <w:gridSpan w:val="3"/>
            <w:vAlign w:val="center"/>
          </w:tcPr>
          <w:p w14:paraId="1C678F12">
            <w:pPr>
              <w:spacing w:line="360" w:lineRule="auto"/>
              <w:jc w:val="center"/>
              <w:rPr>
                <w:rFonts w:ascii="宋体" w:hAnsi="宋体" w:cs="宋体"/>
                <w:b/>
                <w:bCs/>
                <w:color w:val="000000" w:themeColor="text1"/>
              </w:rPr>
            </w:pPr>
          </w:p>
        </w:tc>
        <w:tc>
          <w:tcPr>
            <w:tcW w:w="1729" w:type="dxa"/>
            <w:vAlign w:val="center"/>
          </w:tcPr>
          <w:p w14:paraId="026FD11D">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合同编号</w:t>
            </w:r>
          </w:p>
        </w:tc>
        <w:tc>
          <w:tcPr>
            <w:tcW w:w="3113" w:type="dxa"/>
            <w:gridSpan w:val="5"/>
            <w:vAlign w:val="center"/>
          </w:tcPr>
          <w:p w14:paraId="46137C55">
            <w:pPr>
              <w:spacing w:line="360" w:lineRule="auto"/>
              <w:jc w:val="center"/>
              <w:rPr>
                <w:rFonts w:ascii="宋体" w:hAnsi="宋体" w:cs="宋体"/>
                <w:b/>
                <w:bCs/>
                <w:color w:val="000000" w:themeColor="text1"/>
              </w:rPr>
            </w:pPr>
          </w:p>
        </w:tc>
      </w:tr>
      <w:tr w14:paraId="5E70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37" w:type="dxa"/>
            <w:vAlign w:val="center"/>
          </w:tcPr>
          <w:p w14:paraId="5C528DCC">
            <w:pPr>
              <w:widowControl/>
              <w:jc w:val="center"/>
              <w:rPr>
                <w:rFonts w:ascii="宋体" w:hAnsi="宋体" w:cs="宋体"/>
                <w:b/>
                <w:bCs/>
                <w:color w:val="000000" w:themeColor="text1"/>
              </w:rPr>
            </w:pPr>
            <w:r>
              <w:rPr>
                <w:rFonts w:hint="eastAsia" w:ascii="宋体" w:hAnsi="宋体" w:cs="宋体"/>
                <w:b/>
                <w:bCs/>
                <w:color w:val="000000" w:themeColor="text1"/>
                <w:kern w:val="0"/>
              </w:rPr>
              <w:t>合同签订时间</w:t>
            </w:r>
          </w:p>
        </w:tc>
        <w:tc>
          <w:tcPr>
            <w:tcW w:w="3541" w:type="dxa"/>
            <w:gridSpan w:val="3"/>
            <w:vAlign w:val="center"/>
          </w:tcPr>
          <w:p w14:paraId="26483762">
            <w:pPr>
              <w:spacing w:line="360" w:lineRule="auto"/>
              <w:jc w:val="center"/>
              <w:rPr>
                <w:rFonts w:ascii="宋体" w:hAnsi="宋体" w:cs="宋体"/>
                <w:b/>
                <w:bCs/>
                <w:color w:val="000000" w:themeColor="text1"/>
              </w:rPr>
            </w:pPr>
          </w:p>
        </w:tc>
        <w:tc>
          <w:tcPr>
            <w:tcW w:w="1729" w:type="dxa"/>
            <w:vAlign w:val="center"/>
          </w:tcPr>
          <w:p w14:paraId="0F28A06F">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合同规定验收</w:t>
            </w:r>
          </w:p>
          <w:p w14:paraId="5D2ABBAB">
            <w:pPr>
              <w:widowControl/>
              <w:jc w:val="center"/>
              <w:rPr>
                <w:rFonts w:ascii="宋体" w:hAnsi="宋体" w:cs="宋体"/>
                <w:b/>
                <w:bCs/>
                <w:color w:val="000000" w:themeColor="text1"/>
              </w:rPr>
            </w:pPr>
            <w:r>
              <w:rPr>
                <w:rFonts w:hint="eastAsia" w:ascii="宋体" w:hAnsi="宋体" w:cs="宋体"/>
                <w:b/>
                <w:bCs/>
                <w:color w:val="000000" w:themeColor="text1"/>
                <w:kern w:val="0"/>
              </w:rPr>
              <w:t>时间</w:t>
            </w:r>
          </w:p>
        </w:tc>
        <w:tc>
          <w:tcPr>
            <w:tcW w:w="3113" w:type="dxa"/>
            <w:gridSpan w:val="5"/>
            <w:vAlign w:val="center"/>
          </w:tcPr>
          <w:p w14:paraId="467FD866">
            <w:pPr>
              <w:spacing w:line="360" w:lineRule="auto"/>
              <w:jc w:val="center"/>
              <w:rPr>
                <w:rFonts w:ascii="宋体" w:hAnsi="宋体" w:cs="宋体"/>
                <w:b/>
                <w:bCs/>
                <w:color w:val="000000" w:themeColor="text1"/>
              </w:rPr>
            </w:pPr>
          </w:p>
        </w:tc>
      </w:tr>
      <w:tr w14:paraId="05F0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08C5499C">
            <w:pPr>
              <w:jc w:val="center"/>
              <w:rPr>
                <w:rFonts w:ascii="宋体" w:hAnsi="宋体" w:cs="宋体"/>
                <w:b/>
                <w:bCs/>
                <w:color w:val="000000" w:themeColor="text1"/>
              </w:rPr>
            </w:pPr>
            <w:r>
              <w:rPr>
                <w:rFonts w:hint="eastAsia" w:ascii="宋体" w:hAnsi="宋体" w:cs="宋体"/>
                <w:b/>
                <w:bCs/>
                <w:color w:val="000000" w:themeColor="text1"/>
                <w:kern w:val="0"/>
              </w:rPr>
              <w:t>项目类型</w:t>
            </w:r>
          </w:p>
        </w:tc>
        <w:tc>
          <w:tcPr>
            <w:tcW w:w="3541" w:type="dxa"/>
            <w:gridSpan w:val="3"/>
            <w:vAlign w:val="center"/>
          </w:tcPr>
          <w:p w14:paraId="6CCE0BD1">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□货物/□ 服务</w:t>
            </w:r>
          </w:p>
        </w:tc>
        <w:tc>
          <w:tcPr>
            <w:tcW w:w="1729" w:type="dxa"/>
            <w:vAlign w:val="center"/>
          </w:tcPr>
          <w:p w14:paraId="0F5A4801">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合同金额</w:t>
            </w:r>
          </w:p>
        </w:tc>
        <w:tc>
          <w:tcPr>
            <w:tcW w:w="3113" w:type="dxa"/>
            <w:gridSpan w:val="5"/>
            <w:vAlign w:val="center"/>
          </w:tcPr>
          <w:p w14:paraId="422F590A">
            <w:pPr>
              <w:spacing w:line="360" w:lineRule="auto"/>
              <w:jc w:val="center"/>
              <w:rPr>
                <w:rFonts w:ascii="宋体" w:hAnsi="宋体" w:cs="宋体"/>
                <w:b/>
                <w:bCs/>
                <w:color w:val="000000" w:themeColor="text1"/>
              </w:rPr>
            </w:pPr>
          </w:p>
        </w:tc>
      </w:tr>
      <w:tr w14:paraId="4B6E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1A7A6652">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(二 )验收方式与方法</w:t>
            </w:r>
          </w:p>
        </w:tc>
      </w:tr>
      <w:tr w14:paraId="6414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0D4A3421">
            <w:pPr>
              <w:widowControl/>
              <w:jc w:val="center"/>
              <w:rPr>
                <w:rFonts w:ascii="宋体" w:hAnsi="宋体" w:cs="宋体"/>
                <w:b/>
                <w:bCs/>
                <w:color w:val="000000" w:themeColor="text1"/>
              </w:rPr>
            </w:pPr>
            <w:r>
              <w:rPr>
                <w:rFonts w:hint="eastAsia" w:ascii="宋体" w:hAnsi="宋体" w:cs="宋体"/>
                <w:b/>
                <w:bCs/>
                <w:color w:val="000000" w:themeColor="text1"/>
                <w:kern w:val="0"/>
              </w:rPr>
              <w:t>验收组织方式</w:t>
            </w:r>
          </w:p>
        </w:tc>
        <w:tc>
          <w:tcPr>
            <w:tcW w:w="3541" w:type="dxa"/>
            <w:gridSpan w:val="3"/>
            <w:vAlign w:val="center"/>
          </w:tcPr>
          <w:p w14:paraId="3A062A80">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□自行组织/□ 委托代理</w:t>
            </w:r>
          </w:p>
        </w:tc>
        <w:tc>
          <w:tcPr>
            <w:tcW w:w="1729" w:type="dxa"/>
            <w:vAlign w:val="center"/>
          </w:tcPr>
          <w:p w14:paraId="7826ECDB">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代理机构名称</w:t>
            </w:r>
          </w:p>
        </w:tc>
        <w:tc>
          <w:tcPr>
            <w:tcW w:w="3113" w:type="dxa"/>
            <w:gridSpan w:val="5"/>
            <w:vAlign w:val="center"/>
          </w:tcPr>
          <w:p w14:paraId="67280F09">
            <w:pPr>
              <w:spacing w:line="360" w:lineRule="auto"/>
              <w:jc w:val="center"/>
              <w:rPr>
                <w:rFonts w:ascii="宋体" w:hAnsi="宋体" w:cs="宋体"/>
                <w:b/>
                <w:bCs/>
                <w:color w:val="000000" w:themeColor="text1"/>
              </w:rPr>
            </w:pPr>
          </w:p>
        </w:tc>
      </w:tr>
      <w:tr w14:paraId="2BC1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518D937E">
            <w:pPr>
              <w:widowControl/>
              <w:jc w:val="center"/>
              <w:rPr>
                <w:rFonts w:ascii="宋体" w:hAnsi="宋体" w:cs="宋体"/>
                <w:b/>
                <w:bCs/>
                <w:color w:val="000000" w:themeColor="text1"/>
              </w:rPr>
            </w:pPr>
            <w:r>
              <w:rPr>
                <w:rFonts w:hint="eastAsia" w:ascii="宋体" w:hAnsi="宋体" w:cs="宋体"/>
                <w:b/>
                <w:bCs/>
                <w:color w:val="000000" w:themeColor="text1"/>
                <w:kern w:val="0"/>
              </w:rPr>
              <w:t>验收方式</w:t>
            </w:r>
          </w:p>
        </w:tc>
        <w:tc>
          <w:tcPr>
            <w:tcW w:w="3541" w:type="dxa"/>
            <w:gridSpan w:val="3"/>
            <w:vAlign w:val="center"/>
          </w:tcPr>
          <w:p w14:paraId="7BF785D4">
            <w:pPr>
              <w:widowControl/>
              <w:rPr>
                <w:rFonts w:ascii="宋体" w:hAnsi="宋体" w:cs="宋体"/>
                <w:b/>
                <w:bCs/>
                <w:color w:val="000000" w:themeColor="text1"/>
              </w:rPr>
            </w:pPr>
            <w:r>
              <w:rPr>
                <w:rFonts w:hint="eastAsia" w:ascii="宋体" w:hAnsi="宋体" w:cs="宋体"/>
                <w:b/>
                <w:bCs/>
                <w:color w:val="000000" w:themeColor="text1"/>
                <w:kern w:val="0"/>
              </w:rPr>
              <w:t>□一般验收程序/□简易验收程序</w:t>
            </w:r>
          </w:p>
        </w:tc>
        <w:tc>
          <w:tcPr>
            <w:tcW w:w="1729" w:type="dxa"/>
            <w:vAlign w:val="center"/>
          </w:tcPr>
          <w:p w14:paraId="573709D5">
            <w:pPr>
              <w:widowControl/>
              <w:jc w:val="center"/>
              <w:rPr>
                <w:rFonts w:ascii="宋体" w:hAnsi="宋体" w:cs="宋体"/>
                <w:b/>
                <w:bCs/>
                <w:color w:val="000000" w:themeColor="text1"/>
              </w:rPr>
            </w:pPr>
            <w:r>
              <w:rPr>
                <w:rFonts w:hint="eastAsia" w:ascii="宋体" w:hAnsi="宋体" w:cs="宋体"/>
                <w:b/>
                <w:bCs/>
                <w:color w:val="000000" w:themeColor="text1"/>
                <w:kern w:val="0"/>
              </w:rPr>
              <w:t>选择简易验收</w:t>
            </w:r>
          </w:p>
          <w:p w14:paraId="723E6145">
            <w:pPr>
              <w:widowControl/>
              <w:jc w:val="center"/>
              <w:rPr>
                <w:rFonts w:ascii="宋体" w:hAnsi="宋体" w:cs="宋体"/>
                <w:b/>
                <w:bCs/>
                <w:color w:val="000000" w:themeColor="text1"/>
              </w:rPr>
            </w:pPr>
            <w:r>
              <w:rPr>
                <w:rFonts w:hint="eastAsia" w:ascii="宋体" w:hAnsi="宋体" w:cs="宋体"/>
                <w:b/>
                <w:bCs/>
                <w:color w:val="000000" w:themeColor="text1"/>
                <w:kern w:val="0"/>
              </w:rPr>
              <w:t>理由</w:t>
            </w:r>
          </w:p>
        </w:tc>
        <w:tc>
          <w:tcPr>
            <w:tcW w:w="3113" w:type="dxa"/>
            <w:gridSpan w:val="5"/>
            <w:vAlign w:val="center"/>
          </w:tcPr>
          <w:p w14:paraId="12D4D6C8">
            <w:pPr>
              <w:spacing w:line="360" w:lineRule="auto"/>
              <w:jc w:val="center"/>
              <w:rPr>
                <w:rFonts w:ascii="宋体" w:hAnsi="宋体" w:cs="宋体"/>
                <w:b/>
                <w:bCs/>
                <w:color w:val="000000" w:themeColor="text1"/>
              </w:rPr>
            </w:pPr>
          </w:p>
        </w:tc>
      </w:tr>
      <w:tr w14:paraId="2236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Merge w:val="restart"/>
            <w:vAlign w:val="center"/>
          </w:tcPr>
          <w:p w14:paraId="760E1950">
            <w:pPr>
              <w:widowControl/>
              <w:jc w:val="center"/>
              <w:rPr>
                <w:rFonts w:ascii="宋体" w:hAnsi="宋体" w:cs="宋体"/>
                <w:b/>
                <w:bCs/>
                <w:color w:val="000000" w:themeColor="text1"/>
              </w:rPr>
            </w:pPr>
            <w:r>
              <w:rPr>
                <w:rFonts w:hint="eastAsia" w:ascii="宋体" w:hAnsi="宋体" w:cs="宋体"/>
                <w:b/>
                <w:bCs/>
                <w:color w:val="000000" w:themeColor="text1"/>
                <w:kern w:val="0"/>
              </w:rPr>
              <w:t>大型或复杂项 目</w:t>
            </w:r>
          </w:p>
        </w:tc>
        <w:tc>
          <w:tcPr>
            <w:tcW w:w="3541" w:type="dxa"/>
            <w:gridSpan w:val="3"/>
            <w:vAlign w:val="center"/>
          </w:tcPr>
          <w:p w14:paraId="0C757ABF">
            <w:pPr>
              <w:widowControl/>
              <w:spacing w:line="360" w:lineRule="auto"/>
              <w:jc w:val="center"/>
              <w:rPr>
                <w:rFonts w:ascii="宋体" w:hAnsi="宋体" w:cs="宋体"/>
                <w:b/>
                <w:bCs/>
                <w:color w:val="000000" w:themeColor="text1"/>
              </w:rPr>
            </w:pPr>
            <w:r>
              <w:rPr>
                <w:rFonts w:hint="eastAsia" w:ascii="宋体" w:hAnsi="宋体" w:cs="宋体"/>
                <w:b/>
                <w:bCs/>
                <w:color w:val="000000" w:themeColor="text1"/>
                <w:kern w:val="0"/>
              </w:rPr>
              <w:t>□是/□ 否</w:t>
            </w:r>
          </w:p>
        </w:tc>
        <w:tc>
          <w:tcPr>
            <w:tcW w:w="1729" w:type="dxa"/>
            <w:vMerge w:val="restart"/>
            <w:vAlign w:val="center"/>
          </w:tcPr>
          <w:p w14:paraId="3AEFCA18">
            <w:pPr>
              <w:widowControl/>
              <w:jc w:val="center"/>
              <w:rPr>
                <w:rFonts w:ascii="宋体" w:hAnsi="宋体" w:cs="宋体"/>
                <w:b/>
                <w:bCs/>
                <w:color w:val="000000" w:themeColor="text1"/>
              </w:rPr>
            </w:pPr>
            <w:r>
              <w:rPr>
                <w:rFonts w:hint="eastAsia" w:ascii="宋体" w:hAnsi="宋体" w:cs="宋体"/>
                <w:b/>
                <w:bCs/>
                <w:color w:val="000000" w:themeColor="text1"/>
                <w:kern w:val="0"/>
              </w:rPr>
              <w:t>向社会公众提供的公共服务项目方式</w:t>
            </w:r>
          </w:p>
        </w:tc>
        <w:tc>
          <w:tcPr>
            <w:tcW w:w="3113" w:type="dxa"/>
            <w:gridSpan w:val="5"/>
            <w:vAlign w:val="center"/>
          </w:tcPr>
          <w:p w14:paraId="0D13800E">
            <w:pPr>
              <w:widowControl/>
              <w:jc w:val="center"/>
              <w:rPr>
                <w:rFonts w:ascii="宋体" w:hAnsi="宋体" w:cs="宋体"/>
                <w:b/>
                <w:bCs/>
                <w:color w:val="000000" w:themeColor="text1"/>
              </w:rPr>
            </w:pPr>
            <w:r>
              <w:rPr>
                <w:rFonts w:hint="eastAsia" w:ascii="宋体" w:hAnsi="宋体" w:cs="宋体"/>
                <w:b/>
                <w:bCs/>
                <w:color w:val="000000" w:themeColor="text1"/>
                <w:kern w:val="0"/>
              </w:rPr>
              <w:t>□是/□ 否</w:t>
            </w:r>
          </w:p>
        </w:tc>
      </w:tr>
      <w:tr w14:paraId="33D6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7" w:type="dxa"/>
            <w:vMerge w:val="continue"/>
            <w:vAlign w:val="center"/>
          </w:tcPr>
          <w:p w14:paraId="2EF15FD8">
            <w:pPr>
              <w:spacing w:line="360" w:lineRule="auto"/>
              <w:jc w:val="center"/>
              <w:rPr>
                <w:rFonts w:ascii="宋体" w:hAnsi="宋体" w:cs="宋体"/>
                <w:b/>
                <w:bCs/>
                <w:color w:val="000000" w:themeColor="text1"/>
              </w:rPr>
            </w:pPr>
          </w:p>
        </w:tc>
        <w:tc>
          <w:tcPr>
            <w:tcW w:w="1411" w:type="dxa"/>
            <w:vAlign w:val="center"/>
          </w:tcPr>
          <w:p w14:paraId="37BCC394">
            <w:pPr>
              <w:rPr>
                <w:rFonts w:ascii="宋体" w:hAnsi="宋体" w:cs="宋体"/>
                <w:b/>
                <w:bCs/>
                <w:color w:val="000000" w:themeColor="text1"/>
              </w:rPr>
            </w:pPr>
            <w:r>
              <w:rPr>
                <w:rFonts w:hint="eastAsia"/>
                <w:b/>
                <w:bCs/>
                <w:color w:val="000000" w:themeColor="text1"/>
              </w:rPr>
              <w:t>参与验收检测机构名称</w:t>
            </w:r>
          </w:p>
        </w:tc>
        <w:tc>
          <w:tcPr>
            <w:tcW w:w="2130" w:type="dxa"/>
            <w:gridSpan w:val="2"/>
            <w:vAlign w:val="center"/>
          </w:tcPr>
          <w:p w14:paraId="2331A013">
            <w:pPr>
              <w:spacing w:line="360" w:lineRule="auto"/>
              <w:jc w:val="center"/>
              <w:rPr>
                <w:rFonts w:ascii="宋体" w:hAnsi="宋体" w:cs="宋体"/>
                <w:b/>
                <w:bCs/>
                <w:color w:val="000000" w:themeColor="text1"/>
              </w:rPr>
            </w:pPr>
          </w:p>
        </w:tc>
        <w:tc>
          <w:tcPr>
            <w:tcW w:w="1729" w:type="dxa"/>
            <w:vMerge w:val="continue"/>
            <w:vAlign w:val="center"/>
          </w:tcPr>
          <w:p w14:paraId="659476EE">
            <w:pPr>
              <w:jc w:val="center"/>
              <w:rPr>
                <w:rFonts w:ascii="宋体" w:hAnsi="宋体" w:cs="宋体"/>
                <w:b/>
                <w:bCs/>
                <w:color w:val="000000" w:themeColor="text1"/>
              </w:rPr>
            </w:pPr>
          </w:p>
        </w:tc>
        <w:tc>
          <w:tcPr>
            <w:tcW w:w="1620" w:type="dxa"/>
            <w:gridSpan w:val="3"/>
            <w:vAlign w:val="center"/>
          </w:tcPr>
          <w:p w14:paraId="42138ED4">
            <w:pPr>
              <w:jc w:val="center"/>
              <w:rPr>
                <w:rFonts w:ascii="宋体" w:hAnsi="宋体" w:cs="宋体"/>
                <w:b/>
                <w:bCs/>
                <w:color w:val="000000" w:themeColor="text1"/>
              </w:rPr>
            </w:pPr>
            <w:r>
              <w:rPr>
                <w:rFonts w:hint="eastAsia" w:ascii="宋体" w:hAnsi="宋体" w:cs="宋体"/>
                <w:b/>
                <w:bCs/>
                <w:color w:val="000000" w:themeColor="text1"/>
              </w:rPr>
              <w:t>参与验收服务对象</w:t>
            </w:r>
          </w:p>
        </w:tc>
        <w:tc>
          <w:tcPr>
            <w:tcW w:w="1493" w:type="dxa"/>
            <w:gridSpan w:val="2"/>
          </w:tcPr>
          <w:p w14:paraId="1C89E48B">
            <w:pPr>
              <w:spacing w:line="360" w:lineRule="auto"/>
              <w:rPr>
                <w:rFonts w:ascii="宋体" w:hAnsi="宋体" w:cs="宋体"/>
                <w:b/>
                <w:bCs/>
                <w:color w:val="000000" w:themeColor="text1"/>
              </w:rPr>
            </w:pPr>
          </w:p>
        </w:tc>
      </w:tr>
      <w:tr w14:paraId="30DE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388E4BE8">
            <w:pPr>
              <w:widowControl/>
              <w:spacing w:line="360" w:lineRule="auto"/>
              <w:jc w:val="center"/>
              <w:rPr>
                <w:b/>
                <w:bCs/>
                <w:color w:val="000000" w:themeColor="text1"/>
                <w:sz w:val="32"/>
                <w:szCs w:val="32"/>
              </w:rPr>
            </w:pPr>
            <w:r>
              <w:rPr>
                <w:rFonts w:hint="eastAsia" w:ascii="宋体" w:hAnsi="宋体" w:cs="宋体"/>
                <w:b/>
                <w:bCs/>
                <w:color w:val="000000" w:themeColor="text1"/>
                <w:kern w:val="0"/>
              </w:rPr>
              <w:t>(三）验收人员组成</w:t>
            </w:r>
          </w:p>
        </w:tc>
      </w:tr>
      <w:tr w14:paraId="129D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572903FE">
            <w:pPr>
              <w:widowControl/>
              <w:jc w:val="center"/>
              <w:rPr>
                <w:rFonts w:ascii="宋体" w:hAnsi="宋体" w:cs="宋体"/>
                <w:b/>
                <w:bCs/>
                <w:color w:val="000000" w:themeColor="text1"/>
              </w:rPr>
            </w:pPr>
            <w:r>
              <w:rPr>
                <w:rFonts w:hint="eastAsia" w:ascii="宋体" w:hAnsi="宋体" w:cs="宋体"/>
                <w:b/>
                <w:bCs/>
                <w:color w:val="000000" w:themeColor="text1"/>
                <w:kern w:val="0"/>
              </w:rPr>
              <w:t>验收小组总人数</w:t>
            </w:r>
          </w:p>
        </w:tc>
        <w:tc>
          <w:tcPr>
            <w:tcW w:w="1411" w:type="dxa"/>
            <w:vAlign w:val="center"/>
          </w:tcPr>
          <w:p w14:paraId="4674B62D">
            <w:pPr>
              <w:jc w:val="center"/>
              <w:rPr>
                <w:rFonts w:ascii="宋体" w:hAnsi="宋体" w:cs="宋体"/>
                <w:b/>
                <w:bCs/>
                <w:color w:val="000000" w:themeColor="text1"/>
              </w:rPr>
            </w:pPr>
          </w:p>
        </w:tc>
        <w:tc>
          <w:tcPr>
            <w:tcW w:w="1170" w:type="dxa"/>
            <w:vAlign w:val="center"/>
          </w:tcPr>
          <w:p w14:paraId="3808CACA">
            <w:pPr>
              <w:jc w:val="center"/>
              <w:rPr>
                <w:rFonts w:ascii="宋体" w:hAnsi="宋体" w:cs="宋体"/>
                <w:b/>
                <w:bCs/>
                <w:color w:val="000000" w:themeColor="text1"/>
              </w:rPr>
            </w:pPr>
            <w:r>
              <w:rPr>
                <w:rFonts w:hint="eastAsia" w:ascii="宋体" w:hAnsi="宋体" w:cs="宋体"/>
                <w:b/>
                <w:bCs/>
                <w:color w:val="000000" w:themeColor="text1"/>
              </w:rPr>
              <w:t>专业技术人员人数</w:t>
            </w:r>
          </w:p>
        </w:tc>
        <w:tc>
          <w:tcPr>
            <w:tcW w:w="960" w:type="dxa"/>
            <w:vAlign w:val="center"/>
          </w:tcPr>
          <w:p w14:paraId="2BA33936">
            <w:pPr>
              <w:jc w:val="center"/>
              <w:rPr>
                <w:rFonts w:ascii="宋体" w:hAnsi="宋体" w:cs="宋体"/>
                <w:b/>
                <w:bCs/>
                <w:color w:val="000000" w:themeColor="text1"/>
              </w:rPr>
            </w:pPr>
          </w:p>
        </w:tc>
        <w:tc>
          <w:tcPr>
            <w:tcW w:w="1729" w:type="dxa"/>
            <w:vAlign w:val="center"/>
          </w:tcPr>
          <w:p w14:paraId="022DAF64">
            <w:pPr>
              <w:widowControl/>
              <w:jc w:val="center"/>
              <w:rPr>
                <w:rFonts w:ascii="宋体" w:hAnsi="宋体" w:cs="宋体"/>
                <w:b/>
                <w:bCs/>
                <w:color w:val="000000" w:themeColor="text1"/>
              </w:rPr>
            </w:pPr>
            <w:r>
              <w:rPr>
                <w:rFonts w:hint="eastAsia" w:ascii="宋体" w:hAnsi="宋体" w:cs="宋体"/>
                <w:b/>
                <w:bCs/>
                <w:color w:val="000000" w:themeColor="text1"/>
                <w:kern w:val="0"/>
              </w:rPr>
              <w:t>实际使用人人数(如有）</w:t>
            </w:r>
          </w:p>
        </w:tc>
        <w:tc>
          <w:tcPr>
            <w:tcW w:w="821" w:type="dxa"/>
            <w:gridSpan w:val="2"/>
            <w:vAlign w:val="center"/>
          </w:tcPr>
          <w:p w14:paraId="6F29D799">
            <w:pPr>
              <w:jc w:val="center"/>
              <w:rPr>
                <w:rFonts w:ascii="宋体" w:hAnsi="宋体" w:cs="宋体"/>
                <w:b/>
                <w:bCs/>
                <w:color w:val="000000" w:themeColor="text1"/>
              </w:rPr>
            </w:pPr>
          </w:p>
        </w:tc>
        <w:tc>
          <w:tcPr>
            <w:tcW w:w="1125" w:type="dxa"/>
            <w:gridSpan w:val="2"/>
            <w:vAlign w:val="center"/>
          </w:tcPr>
          <w:p w14:paraId="43D2DB37">
            <w:pPr>
              <w:jc w:val="center"/>
              <w:rPr>
                <w:rFonts w:ascii="宋体" w:hAnsi="宋体" w:cs="宋体"/>
                <w:b/>
                <w:bCs/>
                <w:color w:val="000000" w:themeColor="text1"/>
              </w:rPr>
            </w:pPr>
            <w:r>
              <w:rPr>
                <w:rFonts w:hint="eastAsia" w:ascii="宋体" w:hAnsi="宋体" w:cs="宋体"/>
                <w:b/>
                <w:bCs/>
                <w:color w:val="000000" w:themeColor="text1"/>
              </w:rPr>
              <w:t>其他验收人员数量</w:t>
            </w:r>
          </w:p>
        </w:tc>
        <w:tc>
          <w:tcPr>
            <w:tcW w:w="1167" w:type="dxa"/>
            <w:vAlign w:val="center"/>
          </w:tcPr>
          <w:p w14:paraId="1C4B430E">
            <w:pPr>
              <w:jc w:val="center"/>
              <w:rPr>
                <w:rFonts w:ascii="宋体" w:hAnsi="宋体" w:cs="宋体"/>
                <w:b/>
                <w:bCs/>
                <w:color w:val="000000" w:themeColor="text1"/>
              </w:rPr>
            </w:pPr>
          </w:p>
        </w:tc>
      </w:tr>
      <w:tr w14:paraId="41CD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7" w:type="dxa"/>
            <w:vAlign w:val="center"/>
          </w:tcPr>
          <w:p w14:paraId="072C6076">
            <w:pPr>
              <w:widowControl/>
              <w:rPr>
                <w:rFonts w:ascii="宋体" w:hAnsi="宋体" w:cs="宋体"/>
                <w:b/>
                <w:bCs/>
                <w:color w:val="000000" w:themeColor="text1"/>
              </w:rPr>
            </w:pPr>
            <w:r>
              <w:rPr>
                <w:rFonts w:hint="eastAsia" w:ascii="宋体" w:hAnsi="宋体" w:cs="宋体"/>
                <w:b/>
                <w:bCs/>
                <w:color w:val="000000" w:themeColor="text1"/>
                <w:kern w:val="0"/>
              </w:rPr>
              <w:t>验收人员姓名</w:t>
            </w:r>
          </w:p>
        </w:tc>
        <w:tc>
          <w:tcPr>
            <w:tcW w:w="3541" w:type="dxa"/>
            <w:gridSpan w:val="3"/>
            <w:vAlign w:val="center"/>
          </w:tcPr>
          <w:p w14:paraId="6C55C530">
            <w:pPr>
              <w:widowControl/>
              <w:jc w:val="center"/>
              <w:rPr>
                <w:rFonts w:ascii="宋体" w:hAnsi="宋体" w:cs="宋体"/>
                <w:b/>
                <w:bCs/>
                <w:color w:val="000000" w:themeColor="text1"/>
              </w:rPr>
            </w:pPr>
            <w:r>
              <w:rPr>
                <w:rFonts w:hint="eastAsia" w:ascii="宋体" w:hAnsi="宋体" w:cs="宋体"/>
                <w:b/>
                <w:bCs/>
                <w:color w:val="000000" w:themeColor="text1"/>
                <w:kern w:val="0"/>
              </w:rPr>
              <w:t>工作单位</w:t>
            </w:r>
          </w:p>
        </w:tc>
        <w:tc>
          <w:tcPr>
            <w:tcW w:w="1729" w:type="dxa"/>
            <w:vAlign w:val="center"/>
          </w:tcPr>
          <w:p w14:paraId="30D2E36B">
            <w:pPr>
              <w:jc w:val="center"/>
              <w:rPr>
                <w:rFonts w:ascii="宋体" w:hAnsi="宋体" w:cs="宋体"/>
                <w:b/>
                <w:bCs/>
                <w:color w:val="000000" w:themeColor="text1"/>
              </w:rPr>
            </w:pPr>
            <w:r>
              <w:rPr>
                <w:rFonts w:hint="eastAsia" w:ascii="宋体" w:hAnsi="宋体" w:cs="宋体"/>
                <w:b/>
                <w:bCs/>
                <w:color w:val="000000" w:themeColor="text1"/>
                <w:kern w:val="0"/>
              </w:rPr>
              <w:t>职 称(专业）</w:t>
            </w:r>
          </w:p>
        </w:tc>
        <w:tc>
          <w:tcPr>
            <w:tcW w:w="1946" w:type="dxa"/>
            <w:gridSpan w:val="4"/>
            <w:vAlign w:val="center"/>
          </w:tcPr>
          <w:p w14:paraId="5DF43B6A">
            <w:pPr>
              <w:widowControl/>
              <w:jc w:val="center"/>
              <w:rPr>
                <w:rFonts w:ascii="宋体" w:hAnsi="宋体" w:cs="宋体"/>
                <w:b/>
                <w:bCs/>
                <w:color w:val="000000" w:themeColor="text1"/>
              </w:rPr>
            </w:pPr>
            <w:r>
              <w:rPr>
                <w:rFonts w:hint="eastAsia" w:ascii="宋体" w:hAnsi="宋体" w:cs="宋体"/>
                <w:b/>
                <w:bCs/>
                <w:color w:val="000000" w:themeColor="text1"/>
                <w:kern w:val="0"/>
              </w:rPr>
              <w:t>联系方式</w:t>
            </w:r>
          </w:p>
        </w:tc>
        <w:tc>
          <w:tcPr>
            <w:tcW w:w="1167" w:type="dxa"/>
            <w:vAlign w:val="center"/>
          </w:tcPr>
          <w:p w14:paraId="6302A1CE">
            <w:pPr>
              <w:jc w:val="center"/>
              <w:rPr>
                <w:rFonts w:ascii="宋体" w:hAnsi="宋体" w:cs="宋体"/>
                <w:b/>
                <w:bCs/>
                <w:color w:val="000000" w:themeColor="text1"/>
              </w:rPr>
            </w:pPr>
            <w:r>
              <w:rPr>
                <w:rFonts w:hint="eastAsia" w:ascii="宋体" w:hAnsi="宋体" w:cs="宋体"/>
                <w:b/>
                <w:bCs/>
                <w:color w:val="000000" w:themeColor="text1"/>
              </w:rPr>
              <w:t>备注</w:t>
            </w:r>
          </w:p>
        </w:tc>
      </w:tr>
      <w:tr w14:paraId="0743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080CC3A9">
            <w:pPr>
              <w:rPr>
                <w:b/>
                <w:bCs/>
                <w:color w:val="000000" w:themeColor="text1"/>
                <w:sz w:val="32"/>
                <w:szCs w:val="32"/>
              </w:rPr>
            </w:pPr>
          </w:p>
        </w:tc>
        <w:tc>
          <w:tcPr>
            <w:tcW w:w="3541" w:type="dxa"/>
            <w:gridSpan w:val="3"/>
          </w:tcPr>
          <w:p w14:paraId="17D1F0E3">
            <w:pPr>
              <w:rPr>
                <w:b/>
                <w:bCs/>
                <w:color w:val="000000" w:themeColor="text1"/>
                <w:sz w:val="32"/>
                <w:szCs w:val="32"/>
              </w:rPr>
            </w:pPr>
          </w:p>
        </w:tc>
        <w:tc>
          <w:tcPr>
            <w:tcW w:w="1729" w:type="dxa"/>
          </w:tcPr>
          <w:p w14:paraId="648FF93F">
            <w:pPr>
              <w:rPr>
                <w:b/>
                <w:bCs/>
                <w:color w:val="000000" w:themeColor="text1"/>
                <w:sz w:val="32"/>
                <w:szCs w:val="32"/>
              </w:rPr>
            </w:pPr>
          </w:p>
        </w:tc>
        <w:tc>
          <w:tcPr>
            <w:tcW w:w="1946" w:type="dxa"/>
            <w:gridSpan w:val="4"/>
          </w:tcPr>
          <w:p w14:paraId="3B399387">
            <w:pPr>
              <w:rPr>
                <w:b/>
                <w:bCs/>
                <w:color w:val="000000" w:themeColor="text1"/>
                <w:sz w:val="32"/>
                <w:szCs w:val="32"/>
              </w:rPr>
            </w:pPr>
          </w:p>
        </w:tc>
        <w:tc>
          <w:tcPr>
            <w:tcW w:w="1167" w:type="dxa"/>
          </w:tcPr>
          <w:p w14:paraId="3171D991">
            <w:pPr>
              <w:rPr>
                <w:b/>
                <w:bCs/>
                <w:color w:val="000000" w:themeColor="text1"/>
                <w:sz w:val="32"/>
                <w:szCs w:val="32"/>
              </w:rPr>
            </w:pPr>
          </w:p>
        </w:tc>
      </w:tr>
      <w:tr w14:paraId="10AF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00ABC4F2">
            <w:pPr>
              <w:rPr>
                <w:b/>
                <w:bCs/>
                <w:color w:val="000000" w:themeColor="text1"/>
                <w:sz w:val="32"/>
                <w:szCs w:val="32"/>
              </w:rPr>
            </w:pPr>
          </w:p>
        </w:tc>
        <w:tc>
          <w:tcPr>
            <w:tcW w:w="3541" w:type="dxa"/>
            <w:gridSpan w:val="3"/>
          </w:tcPr>
          <w:p w14:paraId="5DE89173">
            <w:pPr>
              <w:rPr>
                <w:b/>
                <w:bCs/>
                <w:color w:val="000000" w:themeColor="text1"/>
                <w:sz w:val="32"/>
                <w:szCs w:val="32"/>
              </w:rPr>
            </w:pPr>
          </w:p>
        </w:tc>
        <w:tc>
          <w:tcPr>
            <w:tcW w:w="1729" w:type="dxa"/>
          </w:tcPr>
          <w:p w14:paraId="15BF0F55">
            <w:pPr>
              <w:rPr>
                <w:b/>
                <w:bCs/>
                <w:color w:val="000000" w:themeColor="text1"/>
                <w:sz w:val="32"/>
                <w:szCs w:val="32"/>
              </w:rPr>
            </w:pPr>
          </w:p>
        </w:tc>
        <w:tc>
          <w:tcPr>
            <w:tcW w:w="1946" w:type="dxa"/>
            <w:gridSpan w:val="4"/>
          </w:tcPr>
          <w:p w14:paraId="5493FAD3">
            <w:pPr>
              <w:rPr>
                <w:b/>
                <w:bCs/>
                <w:color w:val="000000" w:themeColor="text1"/>
                <w:sz w:val="32"/>
                <w:szCs w:val="32"/>
              </w:rPr>
            </w:pPr>
          </w:p>
        </w:tc>
        <w:tc>
          <w:tcPr>
            <w:tcW w:w="1167" w:type="dxa"/>
          </w:tcPr>
          <w:p w14:paraId="4DF5B46F">
            <w:pPr>
              <w:rPr>
                <w:b/>
                <w:bCs/>
                <w:color w:val="000000" w:themeColor="text1"/>
                <w:sz w:val="32"/>
                <w:szCs w:val="32"/>
              </w:rPr>
            </w:pPr>
          </w:p>
        </w:tc>
      </w:tr>
      <w:tr w14:paraId="7731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36A0064C">
            <w:pPr>
              <w:rPr>
                <w:b/>
                <w:bCs/>
                <w:color w:val="000000" w:themeColor="text1"/>
                <w:sz w:val="32"/>
                <w:szCs w:val="32"/>
              </w:rPr>
            </w:pPr>
          </w:p>
        </w:tc>
        <w:tc>
          <w:tcPr>
            <w:tcW w:w="3541" w:type="dxa"/>
            <w:gridSpan w:val="3"/>
          </w:tcPr>
          <w:p w14:paraId="60556F80">
            <w:pPr>
              <w:rPr>
                <w:b/>
                <w:bCs/>
                <w:color w:val="000000" w:themeColor="text1"/>
                <w:sz w:val="32"/>
                <w:szCs w:val="32"/>
              </w:rPr>
            </w:pPr>
          </w:p>
        </w:tc>
        <w:tc>
          <w:tcPr>
            <w:tcW w:w="1729" w:type="dxa"/>
          </w:tcPr>
          <w:p w14:paraId="3D17B0DB">
            <w:pPr>
              <w:rPr>
                <w:b/>
                <w:bCs/>
                <w:color w:val="000000" w:themeColor="text1"/>
                <w:sz w:val="32"/>
                <w:szCs w:val="32"/>
              </w:rPr>
            </w:pPr>
          </w:p>
        </w:tc>
        <w:tc>
          <w:tcPr>
            <w:tcW w:w="1946" w:type="dxa"/>
            <w:gridSpan w:val="4"/>
          </w:tcPr>
          <w:p w14:paraId="1EAB2D52">
            <w:pPr>
              <w:rPr>
                <w:b/>
                <w:bCs/>
                <w:color w:val="000000" w:themeColor="text1"/>
                <w:sz w:val="32"/>
                <w:szCs w:val="32"/>
              </w:rPr>
            </w:pPr>
          </w:p>
        </w:tc>
        <w:tc>
          <w:tcPr>
            <w:tcW w:w="1167" w:type="dxa"/>
          </w:tcPr>
          <w:p w14:paraId="3106A993">
            <w:pPr>
              <w:rPr>
                <w:b/>
                <w:bCs/>
                <w:color w:val="000000" w:themeColor="text1"/>
                <w:sz w:val="32"/>
                <w:szCs w:val="32"/>
              </w:rPr>
            </w:pPr>
          </w:p>
        </w:tc>
      </w:tr>
      <w:tr w14:paraId="08D9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07E3BC99">
            <w:pPr>
              <w:rPr>
                <w:b/>
                <w:bCs/>
                <w:color w:val="000000" w:themeColor="text1"/>
                <w:sz w:val="32"/>
                <w:szCs w:val="32"/>
              </w:rPr>
            </w:pPr>
          </w:p>
        </w:tc>
        <w:tc>
          <w:tcPr>
            <w:tcW w:w="3541" w:type="dxa"/>
            <w:gridSpan w:val="3"/>
          </w:tcPr>
          <w:p w14:paraId="76FFF3FF">
            <w:pPr>
              <w:rPr>
                <w:b/>
                <w:bCs/>
                <w:color w:val="000000" w:themeColor="text1"/>
                <w:sz w:val="32"/>
                <w:szCs w:val="32"/>
              </w:rPr>
            </w:pPr>
          </w:p>
        </w:tc>
        <w:tc>
          <w:tcPr>
            <w:tcW w:w="1729" w:type="dxa"/>
          </w:tcPr>
          <w:p w14:paraId="38AB8069">
            <w:pPr>
              <w:rPr>
                <w:b/>
                <w:bCs/>
                <w:color w:val="000000" w:themeColor="text1"/>
                <w:sz w:val="32"/>
                <w:szCs w:val="32"/>
              </w:rPr>
            </w:pPr>
          </w:p>
        </w:tc>
        <w:tc>
          <w:tcPr>
            <w:tcW w:w="1946" w:type="dxa"/>
            <w:gridSpan w:val="4"/>
            <w:vAlign w:val="center"/>
          </w:tcPr>
          <w:p w14:paraId="0214F383">
            <w:pPr>
              <w:jc w:val="center"/>
              <w:rPr>
                <w:b/>
                <w:bCs/>
                <w:color w:val="000000" w:themeColor="text1"/>
                <w:sz w:val="32"/>
                <w:szCs w:val="32"/>
              </w:rPr>
            </w:pPr>
          </w:p>
        </w:tc>
        <w:tc>
          <w:tcPr>
            <w:tcW w:w="1167" w:type="dxa"/>
          </w:tcPr>
          <w:p w14:paraId="0CED0CE9">
            <w:pPr>
              <w:rPr>
                <w:b/>
                <w:bCs/>
                <w:color w:val="000000" w:themeColor="text1"/>
                <w:sz w:val="32"/>
                <w:szCs w:val="32"/>
              </w:rPr>
            </w:pPr>
          </w:p>
        </w:tc>
      </w:tr>
      <w:tr w14:paraId="57E5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7F62B165">
            <w:pPr>
              <w:rPr>
                <w:b/>
                <w:bCs/>
                <w:color w:val="000000" w:themeColor="text1"/>
                <w:sz w:val="32"/>
                <w:szCs w:val="32"/>
              </w:rPr>
            </w:pPr>
          </w:p>
        </w:tc>
        <w:tc>
          <w:tcPr>
            <w:tcW w:w="3541" w:type="dxa"/>
            <w:gridSpan w:val="3"/>
          </w:tcPr>
          <w:p w14:paraId="7F909773">
            <w:pPr>
              <w:rPr>
                <w:b/>
                <w:bCs/>
                <w:color w:val="000000" w:themeColor="text1"/>
                <w:sz w:val="32"/>
                <w:szCs w:val="32"/>
              </w:rPr>
            </w:pPr>
          </w:p>
        </w:tc>
        <w:tc>
          <w:tcPr>
            <w:tcW w:w="1729" w:type="dxa"/>
          </w:tcPr>
          <w:p w14:paraId="2BB8BCD5">
            <w:pPr>
              <w:rPr>
                <w:b/>
                <w:bCs/>
                <w:color w:val="000000" w:themeColor="text1"/>
                <w:sz w:val="32"/>
                <w:szCs w:val="32"/>
              </w:rPr>
            </w:pPr>
          </w:p>
        </w:tc>
        <w:tc>
          <w:tcPr>
            <w:tcW w:w="1946" w:type="dxa"/>
            <w:gridSpan w:val="4"/>
          </w:tcPr>
          <w:p w14:paraId="6B758205">
            <w:pPr>
              <w:rPr>
                <w:b/>
                <w:bCs/>
                <w:color w:val="000000" w:themeColor="text1"/>
                <w:sz w:val="32"/>
                <w:szCs w:val="32"/>
              </w:rPr>
            </w:pPr>
          </w:p>
        </w:tc>
        <w:tc>
          <w:tcPr>
            <w:tcW w:w="1167" w:type="dxa"/>
          </w:tcPr>
          <w:p w14:paraId="52AE695F">
            <w:pPr>
              <w:rPr>
                <w:b/>
                <w:bCs/>
                <w:color w:val="000000" w:themeColor="text1"/>
                <w:sz w:val="32"/>
                <w:szCs w:val="32"/>
              </w:rPr>
            </w:pPr>
          </w:p>
        </w:tc>
      </w:tr>
      <w:tr w14:paraId="7120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20" w:type="dxa"/>
            <w:gridSpan w:val="10"/>
            <w:vAlign w:val="center"/>
          </w:tcPr>
          <w:p w14:paraId="0D43D813">
            <w:pPr>
              <w:widowControl/>
              <w:jc w:val="center"/>
              <w:rPr>
                <w:b/>
                <w:bCs/>
                <w:color w:val="000000" w:themeColor="text1"/>
                <w:sz w:val="32"/>
                <w:szCs w:val="32"/>
              </w:rPr>
            </w:pPr>
            <w:r>
              <w:rPr>
                <w:rFonts w:hint="eastAsia" w:ascii="宋体" w:hAnsi="宋体" w:cs="宋体"/>
                <w:b/>
                <w:bCs/>
                <w:color w:val="000000" w:themeColor="text1"/>
                <w:kern w:val="0"/>
              </w:rPr>
              <w:t>(四)验收主要指标和标准</w:t>
            </w:r>
          </w:p>
        </w:tc>
      </w:tr>
      <w:tr w14:paraId="67FD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47A6AF86">
            <w:pPr>
              <w:jc w:val="center"/>
              <w:rPr>
                <w:rFonts w:ascii="宋体" w:hAnsi="宋体" w:cs="宋体"/>
                <w:b/>
                <w:bCs/>
                <w:color w:val="000000" w:themeColor="text1"/>
              </w:rPr>
            </w:pPr>
            <w:r>
              <w:rPr>
                <w:rFonts w:hint="eastAsia" w:ascii="宋体" w:hAnsi="宋体" w:cs="宋体"/>
                <w:b/>
                <w:bCs/>
                <w:color w:val="000000" w:themeColor="text1"/>
              </w:rPr>
              <w:t>序号</w:t>
            </w:r>
          </w:p>
        </w:tc>
        <w:tc>
          <w:tcPr>
            <w:tcW w:w="1411" w:type="dxa"/>
            <w:vAlign w:val="center"/>
          </w:tcPr>
          <w:p w14:paraId="5A3AF8E9">
            <w:pPr>
              <w:jc w:val="center"/>
              <w:rPr>
                <w:rFonts w:ascii="宋体" w:hAnsi="宋体" w:cs="宋体"/>
                <w:b/>
                <w:bCs/>
                <w:color w:val="000000" w:themeColor="text1"/>
              </w:rPr>
            </w:pPr>
            <w:r>
              <w:rPr>
                <w:rFonts w:hint="eastAsia" w:ascii="宋体" w:hAnsi="宋体" w:cs="宋体"/>
                <w:b/>
                <w:bCs/>
                <w:color w:val="000000" w:themeColor="text1"/>
              </w:rPr>
              <w:t>名称</w:t>
            </w:r>
          </w:p>
        </w:tc>
        <w:tc>
          <w:tcPr>
            <w:tcW w:w="1170" w:type="dxa"/>
            <w:vAlign w:val="center"/>
          </w:tcPr>
          <w:p w14:paraId="14B2A62D">
            <w:pPr>
              <w:widowControl/>
              <w:rPr>
                <w:rFonts w:ascii="宋体" w:hAnsi="宋体" w:cs="宋体"/>
                <w:b/>
                <w:bCs/>
                <w:color w:val="000000" w:themeColor="text1"/>
              </w:rPr>
            </w:pPr>
            <w:r>
              <w:rPr>
                <w:rFonts w:hint="eastAsia" w:ascii="宋体" w:hAnsi="宋体" w:cs="宋体"/>
                <w:b/>
                <w:bCs/>
                <w:color w:val="000000" w:themeColor="text1"/>
                <w:kern w:val="0"/>
              </w:rPr>
              <w:t>合同履约时间、地点、方式</w:t>
            </w:r>
          </w:p>
        </w:tc>
        <w:tc>
          <w:tcPr>
            <w:tcW w:w="2689" w:type="dxa"/>
            <w:gridSpan w:val="2"/>
            <w:vAlign w:val="center"/>
          </w:tcPr>
          <w:p w14:paraId="3D8DED70">
            <w:pPr>
              <w:widowControl/>
              <w:rPr>
                <w:rFonts w:ascii="宋体" w:hAnsi="宋体" w:cs="宋体"/>
                <w:b/>
                <w:bCs/>
                <w:color w:val="000000" w:themeColor="text1"/>
              </w:rPr>
            </w:pPr>
            <w:r>
              <w:rPr>
                <w:rFonts w:hint="eastAsia" w:ascii="宋体" w:hAnsi="宋体" w:cs="宋体"/>
                <w:b/>
                <w:bCs/>
                <w:color w:val="000000" w:themeColor="text1"/>
                <w:kern w:val="0"/>
              </w:rPr>
              <w:t>货物型号规格、标准及配置等(或 服务内容、标准）</w:t>
            </w:r>
          </w:p>
        </w:tc>
        <w:tc>
          <w:tcPr>
            <w:tcW w:w="806" w:type="dxa"/>
            <w:vAlign w:val="center"/>
          </w:tcPr>
          <w:p w14:paraId="77DE434C">
            <w:pPr>
              <w:jc w:val="center"/>
              <w:rPr>
                <w:rFonts w:ascii="宋体" w:hAnsi="宋体" w:cs="宋体"/>
                <w:b/>
                <w:bCs/>
                <w:color w:val="000000" w:themeColor="text1"/>
              </w:rPr>
            </w:pPr>
            <w:r>
              <w:rPr>
                <w:rFonts w:hint="eastAsia" w:ascii="宋体" w:hAnsi="宋体" w:cs="宋体"/>
                <w:b/>
                <w:bCs/>
                <w:color w:val="000000" w:themeColor="text1"/>
              </w:rPr>
              <w:t>数量</w:t>
            </w:r>
          </w:p>
        </w:tc>
        <w:tc>
          <w:tcPr>
            <w:tcW w:w="1140" w:type="dxa"/>
            <w:gridSpan w:val="3"/>
            <w:vAlign w:val="center"/>
          </w:tcPr>
          <w:p w14:paraId="54251118">
            <w:pPr>
              <w:jc w:val="center"/>
              <w:rPr>
                <w:rFonts w:ascii="宋体" w:hAnsi="宋体" w:cs="宋体"/>
                <w:b/>
                <w:bCs/>
                <w:color w:val="000000" w:themeColor="text1"/>
              </w:rPr>
            </w:pPr>
            <w:r>
              <w:rPr>
                <w:rFonts w:hint="eastAsia" w:ascii="宋体" w:hAnsi="宋体" w:cs="宋体"/>
                <w:b/>
                <w:bCs/>
                <w:color w:val="000000" w:themeColor="text1"/>
              </w:rPr>
              <w:t>单价</w:t>
            </w:r>
          </w:p>
        </w:tc>
        <w:tc>
          <w:tcPr>
            <w:tcW w:w="1167" w:type="dxa"/>
            <w:vAlign w:val="center"/>
          </w:tcPr>
          <w:p w14:paraId="22959865">
            <w:pPr>
              <w:jc w:val="center"/>
              <w:rPr>
                <w:rFonts w:ascii="宋体" w:hAnsi="宋体" w:cs="宋体"/>
                <w:b/>
                <w:bCs/>
                <w:color w:val="000000" w:themeColor="text1"/>
              </w:rPr>
            </w:pPr>
            <w:r>
              <w:rPr>
                <w:rFonts w:hint="eastAsia" w:ascii="宋体" w:hAnsi="宋体" w:cs="宋体"/>
                <w:b/>
                <w:bCs/>
                <w:color w:val="000000" w:themeColor="text1"/>
              </w:rPr>
              <w:t>金额</w:t>
            </w:r>
          </w:p>
        </w:tc>
      </w:tr>
      <w:tr w14:paraId="49D8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2C7EF81C">
            <w:pPr>
              <w:rPr>
                <w:b/>
                <w:bCs/>
                <w:color w:val="000000" w:themeColor="text1"/>
                <w:sz w:val="32"/>
                <w:szCs w:val="32"/>
              </w:rPr>
            </w:pPr>
          </w:p>
        </w:tc>
        <w:tc>
          <w:tcPr>
            <w:tcW w:w="1411" w:type="dxa"/>
          </w:tcPr>
          <w:p w14:paraId="2E5606C7">
            <w:pPr>
              <w:rPr>
                <w:b/>
                <w:bCs/>
                <w:color w:val="000000" w:themeColor="text1"/>
                <w:sz w:val="32"/>
                <w:szCs w:val="32"/>
              </w:rPr>
            </w:pPr>
          </w:p>
        </w:tc>
        <w:tc>
          <w:tcPr>
            <w:tcW w:w="1170" w:type="dxa"/>
          </w:tcPr>
          <w:p w14:paraId="63FE737C">
            <w:pPr>
              <w:rPr>
                <w:b/>
                <w:bCs/>
                <w:color w:val="000000" w:themeColor="text1"/>
                <w:sz w:val="32"/>
                <w:szCs w:val="32"/>
              </w:rPr>
            </w:pPr>
          </w:p>
        </w:tc>
        <w:tc>
          <w:tcPr>
            <w:tcW w:w="2689" w:type="dxa"/>
            <w:gridSpan w:val="2"/>
          </w:tcPr>
          <w:p w14:paraId="270A1073">
            <w:pPr>
              <w:rPr>
                <w:b/>
                <w:bCs/>
                <w:color w:val="000000" w:themeColor="text1"/>
                <w:sz w:val="32"/>
                <w:szCs w:val="32"/>
              </w:rPr>
            </w:pPr>
          </w:p>
        </w:tc>
        <w:tc>
          <w:tcPr>
            <w:tcW w:w="806" w:type="dxa"/>
          </w:tcPr>
          <w:p w14:paraId="73CBF728">
            <w:pPr>
              <w:rPr>
                <w:b/>
                <w:bCs/>
                <w:color w:val="000000" w:themeColor="text1"/>
                <w:sz w:val="32"/>
                <w:szCs w:val="32"/>
              </w:rPr>
            </w:pPr>
          </w:p>
        </w:tc>
        <w:tc>
          <w:tcPr>
            <w:tcW w:w="1140" w:type="dxa"/>
            <w:gridSpan w:val="3"/>
          </w:tcPr>
          <w:p w14:paraId="68C11FE5">
            <w:pPr>
              <w:rPr>
                <w:b/>
                <w:bCs/>
                <w:color w:val="000000" w:themeColor="text1"/>
                <w:sz w:val="32"/>
                <w:szCs w:val="32"/>
              </w:rPr>
            </w:pPr>
          </w:p>
        </w:tc>
        <w:tc>
          <w:tcPr>
            <w:tcW w:w="1167" w:type="dxa"/>
          </w:tcPr>
          <w:p w14:paraId="1C5A5274">
            <w:pPr>
              <w:rPr>
                <w:b/>
                <w:bCs/>
                <w:color w:val="000000" w:themeColor="text1"/>
                <w:sz w:val="32"/>
                <w:szCs w:val="32"/>
              </w:rPr>
            </w:pPr>
          </w:p>
        </w:tc>
      </w:tr>
      <w:tr w14:paraId="35FA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52582C2E">
            <w:pPr>
              <w:rPr>
                <w:b/>
                <w:bCs/>
                <w:color w:val="000000" w:themeColor="text1"/>
                <w:sz w:val="32"/>
                <w:szCs w:val="32"/>
              </w:rPr>
            </w:pPr>
          </w:p>
        </w:tc>
        <w:tc>
          <w:tcPr>
            <w:tcW w:w="1411" w:type="dxa"/>
          </w:tcPr>
          <w:p w14:paraId="5D25B3E7">
            <w:pPr>
              <w:rPr>
                <w:b/>
                <w:bCs/>
                <w:color w:val="000000" w:themeColor="text1"/>
                <w:sz w:val="32"/>
                <w:szCs w:val="32"/>
              </w:rPr>
            </w:pPr>
          </w:p>
        </w:tc>
        <w:tc>
          <w:tcPr>
            <w:tcW w:w="1170" w:type="dxa"/>
          </w:tcPr>
          <w:p w14:paraId="338E327A">
            <w:pPr>
              <w:rPr>
                <w:b/>
                <w:bCs/>
                <w:color w:val="000000" w:themeColor="text1"/>
                <w:sz w:val="32"/>
                <w:szCs w:val="32"/>
              </w:rPr>
            </w:pPr>
          </w:p>
        </w:tc>
        <w:tc>
          <w:tcPr>
            <w:tcW w:w="2689" w:type="dxa"/>
            <w:gridSpan w:val="2"/>
          </w:tcPr>
          <w:p w14:paraId="61D4AFAD">
            <w:pPr>
              <w:rPr>
                <w:b/>
                <w:bCs/>
                <w:color w:val="000000" w:themeColor="text1"/>
                <w:sz w:val="32"/>
                <w:szCs w:val="32"/>
              </w:rPr>
            </w:pPr>
          </w:p>
        </w:tc>
        <w:tc>
          <w:tcPr>
            <w:tcW w:w="806" w:type="dxa"/>
          </w:tcPr>
          <w:p w14:paraId="2E055964">
            <w:pPr>
              <w:rPr>
                <w:b/>
                <w:bCs/>
                <w:color w:val="000000" w:themeColor="text1"/>
                <w:sz w:val="32"/>
                <w:szCs w:val="32"/>
              </w:rPr>
            </w:pPr>
          </w:p>
        </w:tc>
        <w:tc>
          <w:tcPr>
            <w:tcW w:w="1140" w:type="dxa"/>
            <w:gridSpan w:val="3"/>
          </w:tcPr>
          <w:p w14:paraId="069669D7">
            <w:pPr>
              <w:rPr>
                <w:b/>
                <w:bCs/>
                <w:color w:val="000000" w:themeColor="text1"/>
                <w:sz w:val="32"/>
                <w:szCs w:val="32"/>
              </w:rPr>
            </w:pPr>
          </w:p>
        </w:tc>
        <w:tc>
          <w:tcPr>
            <w:tcW w:w="1167" w:type="dxa"/>
          </w:tcPr>
          <w:p w14:paraId="61746639">
            <w:pPr>
              <w:rPr>
                <w:b/>
                <w:bCs/>
                <w:color w:val="000000" w:themeColor="text1"/>
                <w:sz w:val="32"/>
                <w:szCs w:val="32"/>
              </w:rPr>
            </w:pPr>
          </w:p>
        </w:tc>
      </w:tr>
      <w:tr w14:paraId="6BEB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230F2790">
            <w:pPr>
              <w:rPr>
                <w:b/>
                <w:bCs/>
                <w:color w:val="000000" w:themeColor="text1"/>
                <w:sz w:val="32"/>
                <w:szCs w:val="32"/>
              </w:rPr>
            </w:pPr>
          </w:p>
        </w:tc>
        <w:tc>
          <w:tcPr>
            <w:tcW w:w="1411" w:type="dxa"/>
          </w:tcPr>
          <w:p w14:paraId="1B2D3AA8">
            <w:pPr>
              <w:rPr>
                <w:b/>
                <w:bCs/>
                <w:color w:val="000000" w:themeColor="text1"/>
                <w:sz w:val="32"/>
                <w:szCs w:val="32"/>
              </w:rPr>
            </w:pPr>
          </w:p>
        </w:tc>
        <w:tc>
          <w:tcPr>
            <w:tcW w:w="1170" w:type="dxa"/>
          </w:tcPr>
          <w:p w14:paraId="3F14E9B1">
            <w:pPr>
              <w:rPr>
                <w:b/>
                <w:bCs/>
                <w:color w:val="000000" w:themeColor="text1"/>
                <w:sz w:val="32"/>
                <w:szCs w:val="32"/>
              </w:rPr>
            </w:pPr>
          </w:p>
        </w:tc>
        <w:tc>
          <w:tcPr>
            <w:tcW w:w="2689" w:type="dxa"/>
            <w:gridSpan w:val="2"/>
          </w:tcPr>
          <w:p w14:paraId="741795A5">
            <w:pPr>
              <w:rPr>
                <w:b/>
                <w:bCs/>
                <w:color w:val="000000" w:themeColor="text1"/>
                <w:sz w:val="32"/>
                <w:szCs w:val="32"/>
              </w:rPr>
            </w:pPr>
          </w:p>
        </w:tc>
        <w:tc>
          <w:tcPr>
            <w:tcW w:w="806" w:type="dxa"/>
          </w:tcPr>
          <w:p w14:paraId="3B45D4C9">
            <w:pPr>
              <w:rPr>
                <w:b/>
                <w:bCs/>
                <w:color w:val="000000" w:themeColor="text1"/>
                <w:sz w:val="32"/>
                <w:szCs w:val="32"/>
              </w:rPr>
            </w:pPr>
          </w:p>
        </w:tc>
        <w:tc>
          <w:tcPr>
            <w:tcW w:w="1140" w:type="dxa"/>
            <w:gridSpan w:val="3"/>
          </w:tcPr>
          <w:p w14:paraId="4EAD3169">
            <w:pPr>
              <w:rPr>
                <w:b/>
                <w:bCs/>
                <w:color w:val="000000" w:themeColor="text1"/>
                <w:sz w:val="32"/>
                <w:szCs w:val="32"/>
              </w:rPr>
            </w:pPr>
          </w:p>
        </w:tc>
        <w:tc>
          <w:tcPr>
            <w:tcW w:w="1167" w:type="dxa"/>
          </w:tcPr>
          <w:p w14:paraId="79A59505">
            <w:pPr>
              <w:rPr>
                <w:b/>
                <w:bCs/>
                <w:color w:val="000000" w:themeColor="text1"/>
                <w:sz w:val="32"/>
                <w:szCs w:val="32"/>
              </w:rPr>
            </w:pPr>
          </w:p>
        </w:tc>
      </w:tr>
      <w:tr w14:paraId="4F477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36ED9544">
            <w:pPr>
              <w:rPr>
                <w:b/>
                <w:bCs/>
                <w:color w:val="000000" w:themeColor="text1"/>
                <w:sz w:val="32"/>
                <w:szCs w:val="32"/>
              </w:rPr>
            </w:pPr>
          </w:p>
        </w:tc>
        <w:tc>
          <w:tcPr>
            <w:tcW w:w="1411" w:type="dxa"/>
          </w:tcPr>
          <w:p w14:paraId="77694569">
            <w:pPr>
              <w:rPr>
                <w:b/>
                <w:bCs/>
                <w:color w:val="000000" w:themeColor="text1"/>
                <w:sz w:val="32"/>
                <w:szCs w:val="32"/>
              </w:rPr>
            </w:pPr>
          </w:p>
        </w:tc>
        <w:tc>
          <w:tcPr>
            <w:tcW w:w="1170" w:type="dxa"/>
          </w:tcPr>
          <w:p w14:paraId="3C405294">
            <w:pPr>
              <w:rPr>
                <w:b/>
                <w:bCs/>
                <w:color w:val="000000" w:themeColor="text1"/>
                <w:sz w:val="32"/>
                <w:szCs w:val="32"/>
              </w:rPr>
            </w:pPr>
          </w:p>
        </w:tc>
        <w:tc>
          <w:tcPr>
            <w:tcW w:w="2689" w:type="dxa"/>
            <w:gridSpan w:val="2"/>
          </w:tcPr>
          <w:p w14:paraId="5E9701F3">
            <w:pPr>
              <w:rPr>
                <w:b/>
                <w:bCs/>
                <w:color w:val="000000" w:themeColor="text1"/>
                <w:sz w:val="32"/>
                <w:szCs w:val="32"/>
              </w:rPr>
            </w:pPr>
          </w:p>
        </w:tc>
        <w:tc>
          <w:tcPr>
            <w:tcW w:w="806" w:type="dxa"/>
          </w:tcPr>
          <w:p w14:paraId="5F5C3B2C">
            <w:pPr>
              <w:rPr>
                <w:b/>
                <w:bCs/>
                <w:color w:val="000000" w:themeColor="text1"/>
                <w:sz w:val="32"/>
                <w:szCs w:val="32"/>
              </w:rPr>
            </w:pPr>
          </w:p>
        </w:tc>
        <w:tc>
          <w:tcPr>
            <w:tcW w:w="1140" w:type="dxa"/>
            <w:gridSpan w:val="3"/>
          </w:tcPr>
          <w:p w14:paraId="13F75457">
            <w:pPr>
              <w:rPr>
                <w:b/>
                <w:bCs/>
                <w:color w:val="000000" w:themeColor="text1"/>
                <w:sz w:val="32"/>
                <w:szCs w:val="32"/>
              </w:rPr>
            </w:pPr>
          </w:p>
        </w:tc>
        <w:tc>
          <w:tcPr>
            <w:tcW w:w="1167" w:type="dxa"/>
          </w:tcPr>
          <w:p w14:paraId="08F54C03">
            <w:pPr>
              <w:rPr>
                <w:b/>
                <w:bCs/>
                <w:color w:val="000000" w:themeColor="text1"/>
                <w:sz w:val="32"/>
                <w:szCs w:val="32"/>
              </w:rPr>
            </w:pPr>
          </w:p>
        </w:tc>
      </w:tr>
      <w:tr w14:paraId="1907E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211F5A57">
            <w:pPr>
              <w:widowControl/>
              <w:jc w:val="center"/>
              <w:rPr>
                <w:rFonts w:ascii="宋体" w:hAnsi="宋体" w:cs="宋体"/>
                <w:b/>
                <w:bCs/>
                <w:color w:val="000000" w:themeColor="text1"/>
              </w:rPr>
            </w:pPr>
            <w:r>
              <w:rPr>
                <w:rFonts w:hint="eastAsia" w:ascii="宋体" w:hAnsi="宋体" w:cs="宋体"/>
                <w:b/>
                <w:bCs/>
                <w:color w:val="000000" w:themeColor="text1"/>
                <w:kern w:val="0"/>
              </w:rPr>
              <w:t>二、验收情况</w:t>
            </w:r>
          </w:p>
        </w:tc>
      </w:tr>
      <w:tr w14:paraId="6921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56F794C8">
            <w:pPr>
              <w:widowControl/>
              <w:jc w:val="center"/>
              <w:rPr>
                <w:rFonts w:ascii="宋体" w:hAnsi="宋体" w:cs="宋体"/>
                <w:b/>
                <w:bCs/>
                <w:color w:val="000000" w:themeColor="text1"/>
              </w:rPr>
            </w:pPr>
            <w:r>
              <w:rPr>
                <w:rFonts w:hint="eastAsia" w:ascii="宋体" w:hAnsi="宋体" w:cs="宋体"/>
                <w:b/>
                <w:bCs/>
                <w:color w:val="000000" w:themeColor="text1"/>
                <w:kern w:val="0"/>
              </w:rPr>
              <w:t>第三方参考情况说明</w:t>
            </w:r>
          </w:p>
        </w:tc>
        <w:tc>
          <w:tcPr>
            <w:tcW w:w="1411" w:type="dxa"/>
            <w:vAlign w:val="center"/>
          </w:tcPr>
          <w:p w14:paraId="25255B8D">
            <w:pPr>
              <w:jc w:val="center"/>
              <w:rPr>
                <w:rFonts w:ascii="宋体" w:hAnsi="宋体" w:cs="宋体"/>
                <w:b/>
                <w:bCs/>
                <w:color w:val="000000" w:themeColor="text1"/>
              </w:rPr>
            </w:pPr>
            <w:r>
              <w:rPr>
                <w:rFonts w:hint="eastAsia" w:ascii="宋体" w:hAnsi="宋体" w:cs="宋体"/>
                <w:b/>
                <w:bCs/>
                <w:color w:val="000000" w:themeColor="text1"/>
              </w:rPr>
              <w:t>评价对象</w:t>
            </w:r>
          </w:p>
        </w:tc>
        <w:tc>
          <w:tcPr>
            <w:tcW w:w="2130" w:type="dxa"/>
            <w:gridSpan w:val="2"/>
            <w:vAlign w:val="center"/>
          </w:tcPr>
          <w:p w14:paraId="18F7AD3D">
            <w:pPr>
              <w:jc w:val="center"/>
              <w:rPr>
                <w:rFonts w:ascii="宋体" w:hAnsi="宋体" w:cs="宋体"/>
                <w:b/>
                <w:bCs/>
                <w:color w:val="000000" w:themeColor="text1"/>
              </w:rPr>
            </w:pPr>
            <w:r>
              <w:rPr>
                <w:rFonts w:hint="eastAsia" w:ascii="宋体" w:hAnsi="宋体" w:cs="宋体"/>
                <w:b/>
                <w:bCs/>
                <w:color w:val="000000" w:themeColor="text1"/>
              </w:rPr>
              <w:t>评价结果</w:t>
            </w:r>
          </w:p>
        </w:tc>
        <w:tc>
          <w:tcPr>
            <w:tcW w:w="2535" w:type="dxa"/>
            <w:gridSpan w:val="2"/>
            <w:vAlign w:val="center"/>
          </w:tcPr>
          <w:p w14:paraId="7F697DD1">
            <w:pPr>
              <w:jc w:val="center"/>
              <w:rPr>
                <w:rFonts w:ascii="宋体" w:hAnsi="宋体" w:cs="宋体"/>
                <w:b/>
                <w:bCs/>
                <w:color w:val="000000" w:themeColor="text1"/>
              </w:rPr>
            </w:pPr>
            <w:r>
              <w:rPr>
                <w:rFonts w:hint="eastAsia" w:ascii="宋体" w:hAnsi="宋体" w:cs="宋体"/>
                <w:b/>
                <w:bCs/>
                <w:color w:val="000000" w:themeColor="text1"/>
              </w:rPr>
              <w:t>理由</w:t>
            </w:r>
          </w:p>
        </w:tc>
        <w:tc>
          <w:tcPr>
            <w:tcW w:w="2307" w:type="dxa"/>
            <w:gridSpan w:val="4"/>
            <w:vAlign w:val="center"/>
          </w:tcPr>
          <w:p w14:paraId="2691C9DB">
            <w:pPr>
              <w:jc w:val="center"/>
              <w:rPr>
                <w:rFonts w:ascii="宋体" w:hAnsi="宋体" w:cs="宋体"/>
                <w:b/>
                <w:bCs/>
                <w:color w:val="000000" w:themeColor="text1"/>
              </w:rPr>
            </w:pPr>
            <w:r>
              <w:rPr>
                <w:rFonts w:hint="eastAsia" w:ascii="宋体" w:hAnsi="宋体" w:cs="宋体"/>
                <w:b/>
                <w:bCs/>
                <w:color w:val="000000" w:themeColor="text1"/>
              </w:rPr>
              <w:t>签字</w:t>
            </w:r>
          </w:p>
        </w:tc>
      </w:tr>
      <w:tr w14:paraId="2B8ED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005014B3">
            <w:pPr>
              <w:jc w:val="center"/>
              <w:rPr>
                <w:rFonts w:ascii="宋体" w:hAnsi="宋体" w:cs="宋体"/>
                <w:b/>
                <w:bCs/>
                <w:color w:val="000000" w:themeColor="text1"/>
              </w:rPr>
            </w:pPr>
          </w:p>
        </w:tc>
        <w:tc>
          <w:tcPr>
            <w:tcW w:w="1411" w:type="dxa"/>
            <w:vAlign w:val="center"/>
          </w:tcPr>
          <w:p w14:paraId="49317304">
            <w:pPr>
              <w:jc w:val="center"/>
              <w:rPr>
                <w:rFonts w:ascii="宋体" w:hAnsi="宋体" w:cs="宋体"/>
                <w:b/>
                <w:bCs/>
                <w:color w:val="000000" w:themeColor="text1"/>
              </w:rPr>
            </w:pPr>
            <w:r>
              <w:rPr>
                <w:rFonts w:hint="eastAsia" w:ascii="宋体" w:hAnsi="宋体" w:cs="宋体"/>
                <w:b/>
                <w:bCs/>
                <w:color w:val="000000" w:themeColor="text1"/>
              </w:rPr>
              <w:t>检测机构</w:t>
            </w:r>
          </w:p>
        </w:tc>
        <w:tc>
          <w:tcPr>
            <w:tcW w:w="2130" w:type="dxa"/>
            <w:gridSpan w:val="2"/>
            <w:vAlign w:val="center"/>
          </w:tcPr>
          <w:p w14:paraId="742948B6">
            <w:pPr>
              <w:jc w:val="center"/>
              <w:rPr>
                <w:rFonts w:ascii="宋体" w:hAnsi="宋体" w:cs="宋体"/>
                <w:b/>
                <w:bCs/>
                <w:color w:val="000000" w:themeColor="text1"/>
              </w:rPr>
            </w:pPr>
            <w:r>
              <w:rPr>
                <w:rFonts w:hint="eastAsia" w:ascii="宋体" w:hAnsi="宋体" w:cs="宋体"/>
                <w:b/>
                <w:bCs/>
                <w:color w:val="000000" w:themeColor="text1"/>
                <w:kern w:val="0"/>
              </w:rPr>
              <w:t>□优秀□合格□不合格</w:t>
            </w:r>
          </w:p>
        </w:tc>
        <w:tc>
          <w:tcPr>
            <w:tcW w:w="2535" w:type="dxa"/>
            <w:gridSpan w:val="2"/>
            <w:vAlign w:val="center"/>
          </w:tcPr>
          <w:p w14:paraId="38E7A36C">
            <w:pPr>
              <w:jc w:val="center"/>
              <w:rPr>
                <w:rFonts w:ascii="宋体" w:hAnsi="宋体" w:cs="宋体"/>
                <w:b/>
                <w:bCs/>
                <w:color w:val="000000" w:themeColor="text1"/>
              </w:rPr>
            </w:pPr>
          </w:p>
        </w:tc>
        <w:tc>
          <w:tcPr>
            <w:tcW w:w="2307" w:type="dxa"/>
            <w:gridSpan w:val="4"/>
            <w:vAlign w:val="center"/>
          </w:tcPr>
          <w:p w14:paraId="3819DF51">
            <w:pPr>
              <w:jc w:val="center"/>
              <w:rPr>
                <w:rFonts w:ascii="宋体" w:hAnsi="宋体" w:cs="宋体"/>
                <w:b/>
                <w:bCs/>
                <w:color w:val="000000" w:themeColor="text1"/>
              </w:rPr>
            </w:pPr>
          </w:p>
        </w:tc>
      </w:tr>
      <w:tr w14:paraId="73BFE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198AE5EA">
            <w:pPr>
              <w:jc w:val="center"/>
              <w:rPr>
                <w:rFonts w:ascii="宋体" w:hAnsi="宋体" w:cs="宋体"/>
                <w:b/>
                <w:bCs/>
                <w:color w:val="000000" w:themeColor="text1"/>
              </w:rPr>
            </w:pPr>
          </w:p>
        </w:tc>
        <w:tc>
          <w:tcPr>
            <w:tcW w:w="1411" w:type="dxa"/>
            <w:vAlign w:val="center"/>
          </w:tcPr>
          <w:p w14:paraId="0E17B750">
            <w:pPr>
              <w:widowControl/>
              <w:jc w:val="center"/>
              <w:rPr>
                <w:rFonts w:ascii="宋体" w:hAnsi="宋体" w:cs="宋体"/>
                <w:b/>
                <w:bCs/>
                <w:color w:val="000000" w:themeColor="text1"/>
              </w:rPr>
            </w:pPr>
            <w:r>
              <w:rPr>
                <w:rFonts w:hint="eastAsia" w:ascii="宋体" w:hAnsi="宋体" w:cs="宋体"/>
                <w:b/>
                <w:bCs/>
                <w:color w:val="000000" w:themeColor="text1"/>
                <w:kern w:val="0"/>
              </w:rPr>
              <w:t>服务对象</w:t>
            </w:r>
          </w:p>
        </w:tc>
        <w:tc>
          <w:tcPr>
            <w:tcW w:w="2130" w:type="dxa"/>
            <w:gridSpan w:val="2"/>
            <w:vAlign w:val="center"/>
          </w:tcPr>
          <w:p w14:paraId="1005F798">
            <w:pPr>
              <w:jc w:val="center"/>
              <w:rPr>
                <w:rFonts w:ascii="宋体" w:hAnsi="宋体" w:cs="宋体"/>
                <w:b/>
                <w:bCs/>
                <w:color w:val="000000" w:themeColor="text1"/>
              </w:rPr>
            </w:pPr>
            <w:r>
              <w:rPr>
                <w:rFonts w:hint="eastAsia" w:ascii="宋体" w:hAnsi="宋体" w:cs="宋体"/>
                <w:b/>
                <w:bCs/>
                <w:color w:val="000000" w:themeColor="text1"/>
                <w:kern w:val="0"/>
              </w:rPr>
              <w:t>□优秀□合格□不合格</w:t>
            </w:r>
          </w:p>
        </w:tc>
        <w:tc>
          <w:tcPr>
            <w:tcW w:w="2535" w:type="dxa"/>
            <w:gridSpan w:val="2"/>
            <w:vAlign w:val="center"/>
          </w:tcPr>
          <w:p w14:paraId="240CDEBA">
            <w:pPr>
              <w:jc w:val="center"/>
              <w:rPr>
                <w:rFonts w:ascii="宋体" w:hAnsi="宋体" w:cs="宋体"/>
                <w:b/>
                <w:bCs/>
                <w:color w:val="000000" w:themeColor="text1"/>
              </w:rPr>
            </w:pPr>
          </w:p>
        </w:tc>
        <w:tc>
          <w:tcPr>
            <w:tcW w:w="2307" w:type="dxa"/>
            <w:gridSpan w:val="4"/>
            <w:vAlign w:val="center"/>
          </w:tcPr>
          <w:p w14:paraId="647A41F6">
            <w:pPr>
              <w:jc w:val="center"/>
              <w:rPr>
                <w:rFonts w:ascii="宋体" w:hAnsi="宋体" w:cs="宋体"/>
                <w:b/>
                <w:bCs/>
                <w:color w:val="000000" w:themeColor="text1"/>
              </w:rPr>
            </w:pPr>
          </w:p>
        </w:tc>
      </w:tr>
      <w:tr w14:paraId="3A36B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3DB6B363">
            <w:pPr>
              <w:widowControl/>
              <w:jc w:val="center"/>
              <w:rPr>
                <w:rFonts w:ascii="宋体" w:hAnsi="宋体" w:cs="宋体"/>
                <w:b/>
                <w:bCs/>
                <w:color w:val="000000" w:themeColor="text1"/>
              </w:rPr>
            </w:pPr>
            <w:r>
              <w:rPr>
                <w:rFonts w:hint="eastAsia" w:ascii="宋体" w:hAnsi="宋体" w:cs="宋体"/>
                <w:b/>
                <w:bCs/>
                <w:color w:val="000000" w:themeColor="text1"/>
                <w:kern w:val="0"/>
              </w:rPr>
              <w:t>货物类验收内容</w:t>
            </w:r>
          </w:p>
          <w:p w14:paraId="406AA340">
            <w:pPr>
              <w:widowControl/>
              <w:jc w:val="center"/>
              <w:rPr>
                <w:rFonts w:ascii="宋体" w:hAnsi="宋体" w:cs="宋体"/>
                <w:b/>
                <w:bCs/>
                <w:color w:val="000000" w:themeColor="text1"/>
              </w:rPr>
            </w:pPr>
            <w:r>
              <w:rPr>
                <w:rFonts w:hint="eastAsia" w:ascii="宋体" w:hAnsi="宋体" w:cs="宋体"/>
                <w:b/>
                <w:bCs/>
                <w:color w:val="000000" w:themeColor="text1"/>
                <w:kern w:val="0"/>
              </w:rPr>
              <w:t>及验收情况</w:t>
            </w:r>
          </w:p>
        </w:tc>
        <w:tc>
          <w:tcPr>
            <w:tcW w:w="1411" w:type="dxa"/>
            <w:vAlign w:val="center"/>
          </w:tcPr>
          <w:p w14:paraId="151111B5">
            <w:pPr>
              <w:jc w:val="center"/>
              <w:rPr>
                <w:rFonts w:ascii="宋体" w:hAnsi="宋体" w:cs="宋体"/>
                <w:b/>
                <w:bCs/>
                <w:color w:val="000000" w:themeColor="text1"/>
              </w:rPr>
            </w:pPr>
            <w:r>
              <w:rPr>
                <w:rFonts w:hint="eastAsia" w:ascii="宋体" w:hAnsi="宋体" w:cs="宋体"/>
                <w:b/>
                <w:bCs/>
                <w:color w:val="000000" w:themeColor="text1"/>
              </w:rPr>
              <w:t>评价内容</w:t>
            </w:r>
          </w:p>
        </w:tc>
        <w:tc>
          <w:tcPr>
            <w:tcW w:w="1170" w:type="dxa"/>
            <w:vAlign w:val="center"/>
          </w:tcPr>
          <w:p w14:paraId="4C99222F">
            <w:pPr>
              <w:jc w:val="center"/>
              <w:rPr>
                <w:rFonts w:ascii="宋体" w:hAnsi="宋体" w:cs="宋体"/>
                <w:b/>
                <w:bCs/>
                <w:color w:val="000000" w:themeColor="text1"/>
              </w:rPr>
            </w:pPr>
            <w:r>
              <w:rPr>
                <w:rFonts w:hint="eastAsia" w:ascii="宋体" w:hAnsi="宋体" w:cs="宋体"/>
                <w:b/>
                <w:bCs/>
                <w:color w:val="000000" w:themeColor="text1"/>
              </w:rPr>
              <w:t>评价情况</w:t>
            </w:r>
          </w:p>
        </w:tc>
        <w:tc>
          <w:tcPr>
            <w:tcW w:w="960" w:type="dxa"/>
            <w:vAlign w:val="center"/>
          </w:tcPr>
          <w:p w14:paraId="1C698A1E">
            <w:pPr>
              <w:jc w:val="center"/>
              <w:rPr>
                <w:rFonts w:ascii="宋体" w:hAnsi="宋体" w:cs="宋体"/>
                <w:b/>
                <w:bCs/>
                <w:color w:val="000000" w:themeColor="text1"/>
              </w:rPr>
            </w:pPr>
            <w:r>
              <w:rPr>
                <w:rFonts w:hint="eastAsia" w:ascii="宋体" w:hAnsi="宋体" w:cs="宋体"/>
                <w:b/>
                <w:bCs/>
                <w:color w:val="000000" w:themeColor="text1"/>
              </w:rPr>
              <w:t>理由</w:t>
            </w:r>
          </w:p>
        </w:tc>
        <w:tc>
          <w:tcPr>
            <w:tcW w:w="2535" w:type="dxa"/>
            <w:gridSpan w:val="2"/>
            <w:vAlign w:val="center"/>
          </w:tcPr>
          <w:p w14:paraId="17CC31ED">
            <w:pPr>
              <w:jc w:val="center"/>
              <w:rPr>
                <w:rFonts w:ascii="宋体" w:hAnsi="宋体" w:cs="宋体"/>
                <w:b/>
                <w:bCs/>
                <w:color w:val="000000" w:themeColor="text1"/>
              </w:rPr>
            </w:pPr>
            <w:r>
              <w:rPr>
                <w:rFonts w:hint="eastAsia" w:ascii="宋体" w:hAnsi="宋体" w:cs="宋体"/>
                <w:b/>
                <w:bCs/>
                <w:color w:val="000000" w:themeColor="text1"/>
              </w:rPr>
              <w:t>评价内容</w:t>
            </w:r>
          </w:p>
        </w:tc>
        <w:tc>
          <w:tcPr>
            <w:tcW w:w="1140" w:type="dxa"/>
            <w:gridSpan w:val="3"/>
            <w:vAlign w:val="center"/>
          </w:tcPr>
          <w:p w14:paraId="57583C64">
            <w:pPr>
              <w:jc w:val="center"/>
              <w:rPr>
                <w:rFonts w:ascii="宋体" w:hAnsi="宋体" w:cs="宋体"/>
                <w:b/>
                <w:bCs/>
                <w:color w:val="000000" w:themeColor="text1"/>
              </w:rPr>
            </w:pPr>
            <w:r>
              <w:rPr>
                <w:rFonts w:hint="eastAsia" w:ascii="宋体" w:hAnsi="宋体" w:cs="宋体"/>
                <w:b/>
                <w:bCs/>
                <w:color w:val="000000" w:themeColor="text1"/>
              </w:rPr>
              <w:t>评价情况</w:t>
            </w:r>
          </w:p>
        </w:tc>
        <w:tc>
          <w:tcPr>
            <w:tcW w:w="1167" w:type="dxa"/>
            <w:vAlign w:val="center"/>
          </w:tcPr>
          <w:p w14:paraId="0EC765F9">
            <w:pPr>
              <w:jc w:val="center"/>
              <w:rPr>
                <w:b/>
                <w:bCs/>
                <w:color w:val="000000" w:themeColor="text1"/>
              </w:rPr>
            </w:pPr>
            <w:r>
              <w:rPr>
                <w:rFonts w:hint="eastAsia"/>
                <w:b/>
                <w:bCs/>
                <w:color w:val="000000" w:themeColor="text1"/>
              </w:rPr>
              <w:t>理由</w:t>
            </w:r>
          </w:p>
        </w:tc>
      </w:tr>
      <w:tr w14:paraId="5456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3932C235">
            <w:pPr>
              <w:jc w:val="center"/>
              <w:rPr>
                <w:rFonts w:ascii="宋体" w:hAnsi="宋体" w:cs="宋体"/>
                <w:b/>
                <w:bCs/>
                <w:color w:val="000000" w:themeColor="text1"/>
              </w:rPr>
            </w:pPr>
          </w:p>
        </w:tc>
        <w:tc>
          <w:tcPr>
            <w:tcW w:w="1411" w:type="dxa"/>
            <w:vAlign w:val="center"/>
          </w:tcPr>
          <w:p w14:paraId="11109F72">
            <w:pPr>
              <w:jc w:val="center"/>
              <w:rPr>
                <w:rFonts w:ascii="宋体" w:hAnsi="宋体" w:cs="宋体"/>
                <w:b/>
                <w:bCs/>
                <w:color w:val="000000" w:themeColor="text1"/>
              </w:rPr>
            </w:pPr>
            <w:r>
              <w:rPr>
                <w:rFonts w:hint="eastAsia" w:ascii="宋体" w:hAnsi="宋体" w:cs="宋体"/>
                <w:b/>
                <w:bCs/>
                <w:color w:val="000000" w:themeColor="text1"/>
              </w:rPr>
              <w:t>货物清单</w:t>
            </w:r>
          </w:p>
        </w:tc>
        <w:tc>
          <w:tcPr>
            <w:tcW w:w="1170" w:type="dxa"/>
            <w:vAlign w:val="center"/>
          </w:tcPr>
          <w:p w14:paraId="766D1DE9">
            <w:pPr>
              <w:widowControl/>
              <w:rPr>
                <w:rFonts w:ascii="宋体" w:hAnsi="宋体" w:cs="宋体"/>
                <w:b/>
                <w:bCs/>
                <w:color w:val="000000" w:themeColor="text1"/>
              </w:rPr>
            </w:pPr>
            <w:r>
              <w:rPr>
                <w:rFonts w:hint="eastAsia" w:ascii="宋体" w:hAnsi="宋体" w:cs="宋体"/>
                <w:b/>
                <w:bCs/>
                <w:color w:val="000000" w:themeColor="text1"/>
                <w:kern w:val="0"/>
              </w:rPr>
              <w:t>□合格</w:t>
            </w:r>
          </w:p>
          <w:p w14:paraId="72F721E9">
            <w:pPr>
              <w:widowControl/>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411C8210">
            <w:pPr>
              <w:jc w:val="center"/>
              <w:rPr>
                <w:rFonts w:ascii="宋体" w:hAnsi="宋体" w:cs="宋体"/>
                <w:b/>
                <w:bCs/>
                <w:color w:val="000000" w:themeColor="text1"/>
              </w:rPr>
            </w:pPr>
          </w:p>
        </w:tc>
        <w:tc>
          <w:tcPr>
            <w:tcW w:w="2535" w:type="dxa"/>
            <w:gridSpan w:val="2"/>
            <w:vAlign w:val="center"/>
          </w:tcPr>
          <w:p w14:paraId="73395536">
            <w:pPr>
              <w:widowControl/>
              <w:jc w:val="center"/>
              <w:rPr>
                <w:rFonts w:ascii="宋体" w:hAnsi="宋体" w:cs="宋体"/>
                <w:b/>
                <w:bCs/>
                <w:color w:val="000000" w:themeColor="text1"/>
              </w:rPr>
            </w:pPr>
            <w:r>
              <w:rPr>
                <w:rFonts w:hint="eastAsia" w:ascii="宋体" w:hAnsi="宋体" w:cs="宋体"/>
                <w:b/>
                <w:bCs/>
                <w:color w:val="000000" w:themeColor="text1"/>
                <w:kern w:val="0"/>
              </w:rPr>
              <w:t>品牌、型号、规格、数量及外观质量</w:t>
            </w:r>
          </w:p>
        </w:tc>
        <w:tc>
          <w:tcPr>
            <w:tcW w:w="1140" w:type="dxa"/>
            <w:gridSpan w:val="3"/>
            <w:vAlign w:val="center"/>
          </w:tcPr>
          <w:p w14:paraId="15405EB6">
            <w:pPr>
              <w:widowControl/>
              <w:rPr>
                <w:rFonts w:ascii="宋体" w:hAnsi="宋体" w:cs="宋体"/>
                <w:b/>
                <w:bCs/>
                <w:color w:val="000000" w:themeColor="text1"/>
              </w:rPr>
            </w:pPr>
            <w:r>
              <w:rPr>
                <w:rFonts w:hint="eastAsia" w:ascii="宋体" w:hAnsi="宋体" w:cs="宋体"/>
                <w:b/>
                <w:bCs/>
                <w:color w:val="000000" w:themeColor="text1"/>
                <w:kern w:val="0"/>
              </w:rPr>
              <w:t>□合格</w:t>
            </w:r>
          </w:p>
          <w:p w14:paraId="348553E4">
            <w:pPr>
              <w:widowControl/>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tcPr>
          <w:p w14:paraId="64995456">
            <w:pPr>
              <w:rPr>
                <w:b/>
                <w:bCs/>
                <w:color w:val="000000" w:themeColor="text1"/>
                <w:sz w:val="32"/>
                <w:szCs w:val="32"/>
              </w:rPr>
            </w:pPr>
          </w:p>
        </w:tc>
      </w:tr>
      <w:tr w14:paraId="7B149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3E9F9D9E">
            <w:pPr>
              <w:jc w:val="center"/>
              <w:rPr>
                <w:rFonts w:ascii="宋体" w:hAnsi="宋体" w:cs="宋体"/>
                <w:b/>
                <w:bCs/>
                <w:color w:val="000000" w:themeColor="text1"/>
              </w:rPr>
            </w:pPr>
          </w:p>
        </w:tc>
        <w:tc>
          <w:tcPr>
            <w:tcW w:w="1411" w:type="dxa"/>
            <w:vAlign w:val="center"/>
          </w:tcPr>
          <w:p w14:paraId="7FECA39E">
            <w:pPr>
              <w:jc w:val="center"/>
              <w:rPr>
                <w:rFonts w:ascii="宋体" w:hAnsi="宋体" w:cs="宋体"/>
                <w:b/>
                <w:bCs/>
                <w:color w:val="000000" w:themeColor="text1"/>
              </w:rPr>
            </w:pPr>
            <w:r>
              <w:rPr>
                <w:rFonts w:hint="eastAsia" w:ascii="宋体" w:hAnsi="宋体" w:cs="宋体"/>
                <w:b/>
                <w:bCs/>
                <w:color w:val="000000" w:themeColor="text1"/>
              </w:rPr>
              <w:t>技术、性能指标</w:t>
            </w:r>
          </w:p>
        </w:tc>
        <w:tc>
          <w:tcPr>
            <w:tcW w:w="1170" w:type="dxa"/>
            <w:vAlign w:val="center"/>
          </w:tcPr>
          <w:p w14:paraId="4B2345E8">
            <w:pPr>
              <w:widowControl/>
              <w:rPr>
                <w:rFonts w:ascii="宋体" w:hAnsi="宋体" w:cs="宋体"/>
                <w:b/>
                <w:bCs/>
                <w:color w:val="000000" w:themeColor="text1"/>
              </w:rPr>
            </w:pPr>
            <w:r>
              <w:rPr>
                <w:rFonts w:hint="eastAsia" w:ascii="宋体" w:hAnsi="宋体" w:cs="宋体"/>
                <w:b/>
                <w:bCs/>
                <w:color w:val="000000" w:themeColor="text1"/>
                <w:kern w:val="0"/>
              </w:rPr>
              <w:t>□合格</w:t>
            </w:r>
          </w:p>
          <w:p w14:paraId="7045C474">
            <w:pP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29E69AB8">
            <w:pPr>
              <w:jc w:val="center"/>
              <w:rPr>
                <w:rFonts w:ascii="宋体" w:hAnsi="宋体" w:cs="宋体"/>
                <w:b/>
                <w:bCs/>
                <w:color w:val="000000" w:themeColor="text1"/>
              </w:rPr>
            </w:pPr>
          </w:p>
        </w:tc>
        <w:tc>
          <w:tcPr>
            <w:tcW w:w="2535" w:type="dxa"/>
            <w:gridSpan w:val="2"/>
            <w:vAlign w:val="center"/>
          </w:tcPr>
          <w:p w14:paraId="69864E71">
            <w:pPr>
              <w:widowControl/>
              <w:jc w:val="center"/>
              <w:rPr>
                <w:rFonts w:ascii="宋体" w:hAnsi="宋体" w:cs="宋体"/>
                <w:b/>
                <w:bCs/>
                <w:color w:val="000000" w:themeColor="text1"/>
              </w:rPr>
            </w:pPr>
            <w:r>
              <w:rPr>
                <w:rFonts w:hint="eastAsia" w:ascii="宋体" w:hAnsi="宋体" w:cs="宋体"/>
                <w:b/>
                <w:bCs/>
                <w:color w:val="000000" w:themeColor="text1"/>
                <w:kern w:val="0"/>
              </w:rPr>
              <w:t>运行状况及安装调试</w:t>
            </w:r>
          </w:p>
        </w:tc>
        <w:tc>
          <w:tcPr>
            <w:tcW w:w="1140" w:type="dxa"/>
            <w:gridSpan w:val="3"/>
            <w:vAlign w:val="center"/>
          </w:tcPr>
          <w:p w14:paraId="19C2A208">
            <w:pPr>
              <w:widowControl/>
              <w:rPr>
                <w:rFonts w:ascii="宋体" w:hAnsi="宋体" w:cs="宋体"/>
                <w:b/>
                <w:bCs/>
                <w:color w:val="000000" w:themeColor="text1"/>
              </w:rPr>
            </w:pPr>
            <w:r>
              <w:rPr>
                <w:rFonts w:hint="eastAsia" w:ascii="宋体" w:hAnsi="宋体" w:cs="宋体"/>
                <w:b/>
                <w:bCs/>
                <w:color w:val="000000" w:themeColor="text1"/>
                <w:kern w:val="0"/>
              </w:rPr>
              <w:t>□合格</w:t>
            </w:r>
          </w:p>
          <w:p w14:paraId="0067885D">
            <w:pP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tcPr>
          <w:p w14:paraId="7D8BCD4B">
            <w:pPr>
              <w:rPr>
                <w:b/>
                <w:bCs/>
                <w:color w:val="000000" w:themeColor="text1"/>
                <w:sz w:val="32"/>
                <w:szCs w:val="32"/>
              </w:rPr>
            </w:pPr>
          </w:p>
        </w:tc>
      </w:tr>
      <w:tr w14:paraId="6DDA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48C61991">
            <w:pPr>
              <w:jc w:val="center"/>
              <w:rPr>
                <w:rFonts w:ascii="宋体" w:hAnsi="宋体" w:cs="宋体"/>
                <w:b/>
                <w:bCs/>
                <w:color w:val="000000" w:themeColor="text1"/>
              </w:rPr>
            </w:pPr>
          </w:p>
        </w:tc>
        <w:tc>
          <w:tcPr>
            <w:tcW w:w="1411" w:type="dxa"/>
            <w:vAlign w:val="center"/>
          </w:tcPr>
          <w:p w14:paraId="01BDB9C3">
            <w:pPr>
              <w:jc w:val="center"/>
              <w:rPr>
                <w:rFonts w:ascii="宋体" w:hAnsi="宋体" w:cs="宋体"/>
                <w:b/>
                <w:bCs/>
                <w:color w:val="000000" w:themeColor="text1"/>
              </w:rPr>
            </w:pPr>
            <w:r>
              <w:rPr>
                <w:rFonts w:hint="eastAsia" w:ascii="宋体" w:hAnsi="宋体" w:cs="宋体"/>
                <w:b/>
                <w:bCs/>
                <w:color w:val="000000" w:themeColor="text1"/>
              </w:rPr>
              <w:t>质量证明文件</w:t>
            </w:r>
          </w:p>
        </w:tc>
        <w:tc>
          <w:tcPr>
            <w:tcW w:w="1170" w:type="dxa"/>
            <w:vAlign w:val="center"/>
          </w:tcPr>
          <w:p w14:paraId="7A1D7DE1">
            <w:pPr>
              <w:widowControl/>
              <w:rPr>
                <w:rFonts w:ascii="宋体" w:hAnsi="宋体" w:cs="宋体"/>
                <w:b/>
                <w:bCs/>
                <w:color w:val="000000" w:themeColor="text1"/>
              </w:rPr>
            </w:pPr>
            <w:r>
              <w:rPr>
                <w:rFonts w:hint="eastAsia" w:ascii="宋体" w:hAnsi="宋体" w:cs="宋体"/>
                <w:b/>
                <w:bCs/>
                <w:color w:val="000000" w:themeColor="text1"/>
                <w:kern w:val="0"/>
              </w:rPr>
              <w:t>□合格</w:t>
            </w:r>
          </w:p>
          <w:p w14:paraId="1F61DA9F">
            <w:pP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50269BD9">
            <w:pPr>
              <w:jc w:val="center"/>
              <w:rPr>
                <w:rFonts w:ascii="宋体" w:hAnsi="宋体" w:cs="宋体"/>
                <w:b/>
                <w:bCs/>
                <w:color w:val="000000" w:themeColor="text1"/>
              </w:rPr>
            </w:pPr>
          </w:p>
        </w:tc>
        <w:tc>
          <w:tcPr>
            <w:tcW w:w="2535" w:type="dxa"/>
            <w:gridSpan w:val="2"/>
            <w:vAlign w:val="center"/>
          </w:tcPr>
          <w:p w14:paraId="642D6409">
            <w:pPr>
              <w:jc w:val="center"/>
              <w:rPr>
                <w:rFonts w:ascii="宋体" w:hAnsi="宋体" w:cs="宋体"/>
                <w:b/>
                <w:bCs/>
                <w:color w:val="000000" w:themeColor="text1"/>
              </w:rPr>
            </w:pPr>
            <w:r>
              <w:rPr>
                <w:rFonts w:hint="eastAsia" w:ascii="宋体" w:hAnsi="宋体" w:cs="宋体"/>
                <w:b/>
                <w:bCs/>
                <w:color w:val="000000" w:themeColor="text1"/>
              </w:rPr>
              <w:t>售后服务承诺</w:t>
            </w:r>
          </w:p>
        </w:tc>
        <w:tc>
          <w:tcPr>
            <w:tcW w:w="1140" w:type="dxa"/>
            <w:gridSpan w:val="3"/>
            <w:vAlign w:val="center"/>
          </w:tcPr>
          <w:p w14:paraId="6FB37F9E">
            <w:pPr>
              <w:widowControl/>
              <w:rPr>
                <w:rFonts w:ascii="宋体" w:hAnsi="宋体" w:cs="宋体"/>
                <w:b/>
                <w:bCs/>
                <w:color w:val="000000" w:themeColor="text1"/>
              </w:rPr>
            </w:pPr>
            <w:r>
              <w:rPr>
                <w:rFonts w:hint="eastAsia" w:ascii="宋体" w:hAnsi="宋体" w:cs="宋体"/>
                <w:b/>
                <w:bCs/>
                <w:color w:val="000000" w:themeColor="text1"/>
                <w:kern w:val="0"/>
              </w:rPr>
              <w:t>□合格</w:t>
            </w:r>
          </w:p>
          <w:p w14:paraId="5D96130F">
            <w:pP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tcPr>
          <w:p w14:paraId="1ACCD779">
            <w:pPr>
              <w:rPr>
                <w:b/>
                <w:bCs/>
                <w:color w:val="000000" w:themeColor="text1"/>
                <w:sz w:val="32"/>
                <w:szCs w:val="32"/>
              </w:rPr>
            </w:pPr>
          </w:p>
        </w:tc>
      </w:tr>
      <w:tr w14:paraId="1D90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3260B66C">
            <w:pPr>
              <w:jc w:val="center"/>
              <w:rPr>
                <w:rFonts w:ascii="宋体" w:hAnsi="宋体" w:cs="宋体"/>
                <w:b/>
                <w:bCs/>
                <w:color w:val="000000" w:themeColor="text1"/>
              </w:rPr>
            </w:pPr>
          </w:p>
        </w:tc>
        <w:tc>
          <w:tcPr>
            <w:tcW w:w="1411" w:type="dxa"/>
            <w:vAlign w:val="center"/>
          </w:tcPr>
          <w:p w14:paraId="4E42BCA1">
            <w:pPr>
              <w:jc w:val="center"/>
              <w:rPr>
                <w:rFonts w:ascii="宋体" w:hAnsi="宋体" w:cs="宋体"/>
                <w:b/>
                <w:bCs/>
                <w:color w:val="000000" w:themeColor="text1"/>
              </w:rPr>
            </w:pPr>
            <w:r>
              <w:rPr>
                <w:rFonts w:hint="eastAsia" w:ascii="宋体" w:hAnsi="宋体" w:cs="宋体"/>
                <w:b/>
                <w:bCs/>
                <w:color w:val="000000" w:themeColor="text1"/>
              </w:rPr>
              <w:t>安全标准</w:t>
            </w:r>
          </w:p>
        </w:tc>
        <w:tc>
          <w:tcPr>
            <w:tcW w:w="1170" w:type="dxa"/>
            <w:vAlign w:val="center"/>
          </w:tcPr>
          <w:p w14:paraId="51488A16">
            <w:pPr>
              <w:widowControl/>
              <w:rPr>
                <w:rFonts w:ascii="宋体" w:hAnsi="宋体" w:cs="宋体"/>
                <w:b/>
                <w:bCs/>
                <w:color w:val="000000" w:themeColor="text1"/>
              </w:rPr>
            </w:pPr>
            <w:r>
              <w:rPr>
                <w:rFonts w:hint="eastAsia" w:ascii="宋体" w:hAnsi="宋体" w:cs="宋体"/>
                <w:b/>
                <w:bCs/>
                <w:color w:val="000000" w:themeColor="text1"/>
                <w:kern w:val="0"/>
              </w:rPr>
              <w:t>□合格</w:t>
            </w:r>
          </w:p>
          <w:p w14:paraId="034A34DB">
            <w:pP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0CE1F455">
            <w:pPr>
              <w:jc w:val="center"/>
              <w:rPr>
                <w:rFonts w:ascii="宋体" w:hAnsi="宋体" w:cs="宋体"/>
                <w:b/>
                <w:bCs/>
                <w:color w:val="000000" w:themeColor="text1"/>
              </w:rPr>
            </w:pPr>
          </w:p>
        </w:tc>
        <w:tc>
          <w:tcPr>
            <w:tcW w:w="2535" w:type="dxa"/>
            <w:gridSpan w:val="2"/>
            <w:vAlign w:val="center"/>
          </w:tcPr>
          <w:p w14:paraId="32F30FA3">
            <w:pPr>
              <w:widowControl/>
              <w:rPr>
                <w:rFonts w:ascii="宋体" w:hAnsi="宋体" w:cs="宋体"/>
                <w:b/>
                <w:bCs/>
                <w:color w:val="000000" w:themeColor="text1"/>
              </w:rPr>
            </w:pPr>
            <w:r>
              <w:rPr>
                <w:rFonts w:hint="eastAsia" w:ascii="宋体" w:hAnsi="宋体" w:cs="宋体"/>
                <w:b/>
                <w:bCs/>
                <w:color w:val="000000" w:themeColor="text1"/>
                <w:kern w:val="0"/>
              </w:rPr>
              <w:t>合同履约时间、地点、方</w:t>
            </w:r>
          </w:p>
          <w:p w14:paraId="44F18EBD">
            <w:pPr>
              <w:jc w:val="center"/>
              <w:rPr>
                <w:rFonts w:ascii="宋体" w:hAnsi="宋体" w:cs="宋体"/>
                <w:b/>
                <w:bCs/>
                <w:color w:val="000000" w:themeColor="text1"/>
              </w:rPr>
            </w:pPr>
            <w:r>
              <w:rPr>
                <w:rFonts w:hint="eastAsia" w:ascii="宋体" w:hAnsi="宋体" w:cs="宋体"/>
                <w:b/>
                <w:bCs/>
                <w:color w:val="000000" w:themeColor="text1"/>
                <w:kern w:val="0"/>
              </w:rPr>
              <w:t>式</w:t>
            </w:r>
          </w:p>
        </w:tc>
        <w:tc>
          <w:tcPr>
            <w:tcW w:w="1140" w:type="dxa"/>
            <w:gridSpan w:val="3"/>
            <w:vAlign w:val="center"/>
          </w:tcPr>
          <w:p w14:paraId="7A309C76">
            <w:pPr>
              <w:widowControl/>
              <w:rPr>
                <w:rFonts w:ascii="宋体" w:hAnsi="宋体" w:cs="宋体"/>
                <w:b/>
                <w:bCs/>
                <w:color w:val="000000" w:themeColor="text1"/>
              </w:rPr>
            </w:pPr>
            <w:r>
              <w:rPr>
                <w:rFonts w:hint="eastAsia" w:ascii="宋体" w:hAnsi="宋体" w:cs="宋体"/>
                <w:b/>
                <w:bCs/>
                <w:color w:val="000000" w:themeColor="text1"/>
                <w:kern w:val="0"/>
              </w:rPr>
              <w:t>□合格</w:t>
            </w:r>
          </w:p>
          <w:p w14:paraId="59DFB82A">
            <w:pP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tcPr>
          <w:p w14:paraId="5AA28714">
            <w:pPr>
              <w:rPr>
                <w:b/>
                <w:bCs/>
                <w:color w:val="000000" w:themeColor="text1"/>
                <w:sz w:val="32"/>
                <w:szCs w:val="32"/>
              </w:rPr>
            </w:pPr>
          </w:p>
        </w:tc>
      </w:tr>
      <w:tr w14:paraId="1473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1A142D5F">
            <w:pPr>
              <w:jc w:val="center"/>
              <w:rPr>
                <w:rFonts w:ascii="宋体" w:hAnsi="宋体" w:cs="宋体"/>
                <w:b/>
                <w:bCs/>
                <w:color w:val="000000" w:themeColor="text1"/>
              </w:rPr>
            </w:pPr>
            <w:r>
              <w:rPr>
                <w:rFonts w:hint="eastAsia" w:ascii="宋体" w:hAnsi="宋体" w:cs="宋体"/>
                <w:b/>
                <w:bCs/>
                <w:color w:val="000000" w:themeColor="text1"/>
              </w:rPr>
              <w:t>服务类验收内容及结果</w:t>
            </w:r>
          </w:p>
        </w:tc>
        <w:tc>
          <w:tcPr>
            <w:tcW w:w="1411" w:type="dxa"/>
            <w:vAlign w:val="center"/>
          </w:tcPr>
          <w:p w14:paraId="7E24AA47">
            <w:pPr>
              <w:jc w:val="center"/>
              <w:rPr>
                <w:rFonts w:ascii="宋体" w:hAnsi="宋体" w:cs="宋体"/>
                <w:b/>
                <w:bCs/>
                <w:color w:val="000000" w:themeColor="text1"/>
              </w:rPr>
            </w:pPr>
            <w:r>
              <w:rPr>
                <w:rFonts w:hint="eastAsia" w:ascii="宋体" w:hAnsi="宋体" w:cs="宋体"/>
                <w:b/>
                <w:bCs/>
                <w:color w:val="000000" w:themeColor="text1"/>
              </w:rPr>
              <w:t>评价内容</w:t>
            </w:r>
          </w:p>
        </w:tc>
        <w:tc>
          <w:tcPr>
            <w:tcW w:w="1170" w:type="dxa"/>
            <w:vAlign w:val="center"/>
          </w:tcPr>
          <w:p w14:paraId="50DD84BE">
            <w:pPr>
              <w:jc w:val="center"/>
              <w:rPr>
                <w:rFonts w:ascii="宋体" w:hAnsi="宋体" w:cs="宋体"/>
                <w:b/>
                <w:bCs/>
                <w:color w:val="000000" w:themeColor="text1"/>
              </w:rPr>
            </w:pPr>
            <w:r>
              <w:rPr>
                <w:rFonts w:hint="eastAsia" w:ascii="宋体" w:hAnsi="宋体" w:cs="宋体"/>
                <w:b/>
                <w:bCs/>
                <w:color w:val="000000" w:themeColor="text1"/>
              </w:rPr>
              <w:t>评价情况</w:t>
            </w:r>
          </w:p>
        </w:tc>
        <w:tc>
          <w:tcPr>
            <w:tcW w:w="960" w:type="dxa"/>
            <w:vAlign w:val="center"/>
          </w:tcPr>
          <w:p w14:paraId="23D3299F">
            <w:pPr>
              <w:jc w:val="center"/>
              <w:rPr>
                <w:rFonts w:ascii="宋体" w:hAnsi="宋体" w:cs="宋体"/>
                <w:b/>
                <w:bCs/>
                <w:color w:val="000000" w:themeColor="text1"/>
              </w:rPr>
            </w:pPr>
            <w:r>
              <w:rPr>
                <w:rFonts w:hint="eastAsia" w:ascii="宋体" w:hAnsi="宋体" w:cs="宋体"/>
                <w:b/>
                <w:bCs/>
                <w:color w:val="000000" w:themeColor="text1"/>
              </w:rPr>
              <w:t>理由</w:t>
            </w:r>
          </w:p>
        </w:tc>
        <w:tc>
          <w:tcPr>
            <w:tcW w:w="2535" w:type="dxa"/>
            <w:gridSpan w:val="2"/>
            <w:vAlign w:val="center"/>
          </w:tcPr>
          <w:p w14:paraId="12243CBB">
            <w:pPr>
              <w:jc w:val="center"/>
              <w:rPr>
                <w:rFonts w:ascii="宋体" w:hAnsi="宋体" w:cs="宋体"/>
                <w:b/>
                <w:bCs/>
                <w:color w:val="000000" w:themeColor="text1"/>
              </w:rPr>
            </w:pPr>
            <w:r>
              <w:rPr>
                <w:rFonts w:hint="eastAsia" w:ascii="宋体" w:hAnsi="宋体" w:cs="宋体"/>
                <w:b/>
                <w:bCs/>
                <w:color w:val="000000" w:themeColor="text1"/>
              </w:rPr>
              <w:t>评价内容</w:t>
            </w:r>
          </w:p>
        </w:tc>
        <w:tc>
          <w:tcPr>
            <w:tcW w:w="1140" w:type="dxa"/>
            <w:gridSpan w:val="3"/>
            <w:vAlign w:val="center"/>
          </w:tcPr>
          <w:p w14:paraId="17C37E4B">
            <w:pPr>
              <w:jc w:val="center"/>
              <w:rPr>
                <w:rFonts w:ascii="宋体" w:hAnsi="宋体" w:cs="宋体"/>
                <w:b/>
                <w:bCs/>
                <w:color w:val="000000" w:themeColor="text1"/>
              </w:rPr>
            </w:pPr>
            <w:r>
              <w:rPr>
                <w:rFonts w:hint="eastAsia" w:ascii="宋体" w:hAnsi="宋体" w:cs="宋体"/>
                <w:b/>
                <w:bCs/>
                <w:color w:val="000000" w:themeColor="text1"/>
              </w:rPr>
              <w:t>评价情况</w:t>
            </w:r>
          </w:p>
        </w:tc>
        <w:tc>
          <w:tcPr>
            <w:tcW w:w="1167" w:type="dxa"/>
            <w:vAlign w:val="center"/>
          </w:tcPr>
          <w:p w14:paraId="2B4C58FD">
            <w:pPr>
              <w:jc w:val="center"/>
              <w:rPr>
                <w:rFonts w:ascii="宋体" w:hAnsi="宋体" w:cs="宋体"/>
                <w:b/>
                <w:bCs/>
                <w:color w:val="000000" w:themeColor="text1"/>
              </w:rPr>
            </w:pPr>
            <w:r>
              <w:rPr>
                <w:rFonts w:hint="eastAsia" w:ascii="宋体" w:hAnsi="宋体" w:cs="宋体"/>
                <w:b/>
                <w:bCs/>
                <w:color w:val="000000" w:themeColor="text1"/>
              </w:rPr>
              <w:t>理由</w:t>
            </w:r>
          </w:p>
        </w:tc>
      </w:tr>
      <w:tr w14:paraId="2C11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3995B7CC">
            <w:pPr>
              <w:jc w:val="center"/>
              <w:rPr>
                <w:rFonts w:ascii="宋体" w:hAnsi="宋体" w:cs="宋体"/>
                <w:b/>
                <w:bCs/>
                <w:color w:val="000000" w:themeColor="text1"/>
              </w:rPr>
            </w:pPr>
          </w:p>
        </w:tc>
        <w:tc>
          <w:tcPr>
            <w:tcW w:w="1411" w:type="dxa"/>
            <w:vAlign w:val="center"/>
          </w:tcPr>
          <w:p w14:paraId="281E4617">
            <w:pPr>
              <w:jc w:val="center"/>
              <w:rPr>
                <w:rFonts w:ascii="宋体" w:hAnsi="宋体" w:cs="宋体"/>
                <w:b/>
                <w:bCs/>
                <w:color w:val="000000" w:themeColor="text1"/>
              </w:rPr>
            </w:pPr>
            <w:r>
              <w:rPr>
                <w:rFonts w:hint="eastAsia" w:ascii="宋体" w:hAnsi="宋体" w:cs="宋体"/>
                <w:b/>
                <w:bCs/>
                <w:color w:val="000000" w:themeColor="text1"/>
              </w:rPr>
              <w:t>服务质量</w:t>
            </w:r>
          </w:p>
        </w:tc>
        <w:tc>
          <w:tcPr>
            <w:tcW w:w="1170" w:type="dxa"/>
            <w:vAlign w:val="center"/>
          </w:tcPr>
          <w:p w14:paraId="1223793D">
            <w:pPr>
              <w:widowControl/>
              <w:rPr>
                <w:rFonts w:ascii="宋体" w:hAnsi="宋体" w:cs="宋体"/>
                <w:b/>
                <w:bCs/>
                <w:color w:val="000000" w:themeColor="text1"/>
              </w:rPr>
            </w:pPr>
            <w:r>
              <w:rPr>
                <w:rFonts w:hint="eastAsia" w:ascii="宋体" w:hAnsi="宋体" w:cs="宋体"/>
                <w:b/>
                <w:bCs/>
                <w:color w:val="000000" w:themeColor="text1"/>
                <w:kern w:val="0"/>
              </w:rPr>
              <w:t>□合格</w:t>
            </w:r>
          </w:p>
          <w:p w14:paraId="597E3ACE">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63251FC7">
            <w:pPr>
              <w:jc w:val="center"/>
              <w:rPr>
                <w:rFonts w:ascii="宋体" w:hAnsi="宋体" w:cs="宋体"/>
                <w:b/>
                <w:bCs/>
                <w:color w:val="000000" w:themeColor="text1"/>
              </w:rPr>
            </w:pPr>
          </w:p>
        </w:tc>
        <w:tc>
          <w:tcPr>
            <w:tcW w:w="2535" w:type="dxa"/>
            <w:gridSpan w:val="2"/>
            <w:vAlign w:val="center"/>
          </w:tcPr>
          <w:p w14:paraId="69149A23">
            <w:pPr>
              <w:jc w:val="center"/>
              <w:rPr>
                <w:rFonts w:ascii="宋体" w:hAnsi="宋体" w:cs="宋体"/>
                <w:b/>
                <w:bCs/>
                <w:color w:val="000000" w:themeColor="text1"/>
              </w:rPr>
            </w:pPr>
            <w:r>
              <w:rPr>
                <w:rFonts w:hint="eastAsia" w:ascii="宋体" w:hAnsi="宋体" w:cs="宋体"/>
                <w:b/>
                <w:bCs/>
                <w:color w:val="000000" w:themeColor="text1"/>
              </w:rPr>
              <w:t>服务进度</w:t>
            </w:r>
          </w:p>
        </w:tc>
        <w:tc>
          <w:tcPr>
            <w:tcW w:w="1140" w:type="dxa"/>
            <w:gridSpan w:val="3"/>
            <w:vAlign w:val="center"/>
          </w:tcPr>
          <w:p w14:paraId="52D50EAD">
            <w:pPr>
              <w:widowControl/>
              <w:rPr>
                <w:rFonts w:ascii="宋体" w:hAnsi="宋体" w:cs="宋体"/>
                <w:b/>
                <w:bCs/>
                <w:color w:val="000000" w:themeColor="text1"/>
              </w:rPr>
            </w:pPr>
            <w:r>
              <w:rPr>
                <w:rFonts w:hint="eastAsia" w:ascii="宋体" w:hAnsi="宋体" w:cs="宋体"/>
                <w:b/>
                <w:bCs/>
                <w:color w:val="000000" w:themeColor="text1"/>
                <w:kern w:val="0"/>
              </w:rPr>
              <w:t>□合格</w:t>
            </w:r>
          </w:p>
          <w:p w14:paraId="2211895A">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vAlign w:val="center"/>
          </w:tcPr>
          <w:p w14:paraId="3B04F9D3">
            <w:pPr>
              <w:jc w:val="center"/>
              <w:rPr>
                <w:rFonts w:ascii="宋体" w:hAnsi="宋体" w:cs="宋体"/>
                <w:b/>
                <w:bCs/>
                <w:color w:val="000000" w:themeColor="text1"/>
              </w:rPr>
            </w:pPr>
          </w:p>
        </w:tc>
      </w:tr>
      <w:tr w14:paraId="3516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15A330A6">
            <w:pPr>
              <w:jc w:val="center"/>
              <w:rPr>
                <w:rFonts w:ascii="宋体" w:hAnsi="宋体" w:cs="宋体"/>
                <w:b/>
                <w:bCs/>
                <w:color w:val="000000" w:themeColor="text1"/>
              </w:rPr>
            </w:pPr>
          </w:p>
        </w:tc>
        <w:tc>
          <w:tcPr>
            <w:tcW w:w="1411" w:type="dxa"/>
            <w:vAlign w:val="center"/>
          </w:tcPr>
          <w:p w14:paraId="5B659A5C">
            <w:pPr>
              <w:jc w:val="center"/>
              <w:rPr>
                <w:rFonts w:ascii="宋体" w:hAnsi="宋体" w:cs="宋体"/>
                <w:b/>
                <w:bCs/>
                <w:color w:val="000000" w:themeColor="text1"/>
              </w:rPr>
            </w:pPr>
            <w:r>
              <w:rPr>
                <w:rFonts w:hint="eastAsia" w:ascii="宋体" w:hAnsi="宋体" w:cs="宋体"/>
                <w:b/>
                <w:bCs/>
                <w:color w:val="000000" w:themeColor="text1"/>
              </w:rPr>
              <w:t>人员、设备配置情况</w:t>
            </w:r>
          </w:p>
        </w:tc>
        <w:tc>
          <w:tcPr>
            <w:tcW w:w="1170" w:type="dxa"/>
            <w:vAlign w:val="center"/>
          </w:tcPr>
          <w:p w14:paraId="34B21E14">
            <w:pPr>
              <w:widowControl/>
              <w:rPr>
                <w:rFonts w:ascii="宋体" w:hAnsi="宋体" w:cs="宋体"/>
                <w:b/>
                <w:bCs/>
                <w:color w:val="000000" w:themeColor="text1"/>
              </w:rPr>
            </w:pPr>
            <w:r>
              <w:rPr>
                <w:rFonts w:hint="eastAsia" w:ascii="宋体" w:hAnsi="宋体" w:cs="宋体"/>
                <w:b/>
                <w:bCs/>
                <w:color w:val="000000" w:themeColor="text1"/>
                <w:kern w:val="0"/>
              </w:rPr>
              <w:t>□合格</w:t>
            </w:r>
          </w:p>
          <w:p w14:paraId="31C1ABD0">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28F15A39">
            <w:pPr>
              <w:jc w:val="center"/>
              <w:rPr>
                <w:rFonts w:ascii="宋体" w:hAnsi="宋体" w:cs="宋体"/>
                <w:b/>
                <w:bCs/>
                <w:color w:val="000000" w:themeColor="text1"/>
              </w:rPr>
            </w:pPr>
          </w:p>
        </w:tc>
        <w:tc>
          <w:tcPr>
            <w:tcW w:w="2535" w:type="dxa"/>
            <w:gridSpan w:val="2"/>
            <w:vAlign w:val="center"/>
          </w:tcPr>
          <w:p w14:paraId="69066197">
            <w:pPr>
              <w:jc w:val="center"/>
              <w:rPr>
                <w:rFonts w:ascii="宋体" w:hAnsi="宋体" w:cs="宋体"/>
                <w:b/>
                <w:bCs/>
                <w:color w:val="000000" w:themeColor="text1"/>
              </w:rPr>
            </w:pPr>
            <w:r>
              <w:rPr>
                <w:rFonts w:hint="eastAsia" w:ascii="宋体" w:hAnsi="宋体" w:cs="宋体"/>
                <w:b/>
                <w:bCs/>
                <w:color w:val="000000" w:themeColor="text1"/>
              </w:rPr>
              <w:t>安全标准</w:t>
            </w:r>
          </w:p>
        </w:tc>
        <w:tc>
          <w:tcPr>
            <w:tcW w:w="1140" w:type="dxa"/>
            <w:gridSpan w:val="3"/>
            <w:vAlign w:val="center"/>
          </w:tcPr>
          <w:p w14:paraId="7E130FB7">
            <w:pPr>
              <w:widowControl/>
              <w:rPr>
                <w:rFonts w:ascii="宋体" w:hAnsi="宋体" w:cs="宋体"/>
                <w:b/>
                <w:bCs/>
                <w:color w:val="000000" w:themeColor="text1"/>
              </w:rPr>
            </w:pPr>
            <w:r>
              <w:rPr>
                <w:rFonts w:hint="eastAsia" w:ascii="宋体" w:hAnsi="宋体" w:cs="宋体"/>
                <w:b/>
                <w:bCs/>
                <w:color w:val="000000" w:themeColor="text1"/>
                <w:kern w:val="0"/>
              </w:rPr>
              <w:t>□合格</w:t>
            </w:r>
          </w:p>
          <w:p w14:paraId="1EF3EB36">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vAlign w:val="center"/>
          </w:tcPr>
          <w:p w14:paraId="1E50298E">
            <w:pPr>
              <w:jc w:val="center"/>
              <w:rPr>
                <w:rFonts w:ascii="宋体" w:hAnsi="宋体" w:cs="宋体"/>
                <w:b/>
                <w:bCs/>
                <w:color w:val="000000" w:themeColor="text1"/>
              </w:rPr>
            </w:pPr>
          </w:p>
        </w:tc>
      </w:tr>
      <w:tr w14:paraId="2E3F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324CF445">
            <w:pPr>
              <w:jc w:val="center"/>
              <w:rPr>
                <w:rFonts w:ascii="宋体" w:hAnsi="宋体" w:cs="宋体"/>
                <w:b/>
                <w:bCs/>
                <w:color w:val="000000" w:themeColor="text1"/>
              </w:rPr>
            </w:pPr>
          </w:p>
        </w:tc>
        <w:tc>
          <w:tcPr>
            <w:tcW w:w="1411" w:type="dxa"/>
            <w:vAlign w:val="center"/>
          </w:tcPr>
          <w:p w14:paraId="4DD6F38B">
            <w:pPr>
              <w:jc w:val="center"/>
              <w:rPr>
                <w:rFonts w:ascii="宋体" w:hAnsi="宋体" w:cs="宋体"/>
                <w:b/>
                <w:bCs/>
                <w:color w:val="000000" w:themeColor="text1"/>
              </w:rPr>
            </w:pPr>
            <w:r>
              <w:rPr>
                <w:rFonts w:hint="eastAsia" w:ascii="宋体" w:hAnsi="宋体" w:cs="宋体"/>
                <w:b/>
                <w:bCs/>
                <w:color w:val="000000" w:themeColor="text1"/>
              </w:rPr>
              <w:t>服务承诺实现</w:t>
            </w:r>
          </w:p>
        </w:tc>
        <w:tc>
          <w:tcPr>
            <w:tcW w:w="1170" w:type="dxa"/>
            <w:vAlign w:val="center"/>
          </w:tcPr>
          <w:p w14:paraId="082C26C9">
            <w:pPr>
              <w:widowControl/>
              <w:rPr>
                <w:rFonts w:ascii="宋体" w:hAnsi="宋体" w:cs="宋体"/>
                <w:b/>
                <w:bCs/>
                <w:color w:val="000000" w:themeColor="text1"/>
              </w:rPr>
            </w:pPr>
            <w:r>
              <w:rPr>
                <w:rFonts w:hint="eastAsia" w:ascii="宋体" w:hAnsi="宋体" w:cs="宋体"/>
                <w:b/>
                <w:bCs/>
                <w:color w:val="000000" w:themeColor="text1"/>
                <w:kern w:val="0"/>
              </w:rPr>
              <w:t>□合格</w:t>
            </w:r>
          </w:p>
          <w:p w14:paraId="6A540473">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960" w:type="dxa"/>
            <w:vAlign w:val="center"/>
          </w:tcPr>
          <w:p w14:paraId="327D2F64">
            <w:pPr>
              <w:jc w:val="center"/>
              <w:rPr>
                <w:rFonts w:ascii="宋体" w:hAnsi="宋体" w:cs="宋体"/>
                <w:b/>
                <w:bCs/>
                <w:color w:val="000000" w:themeColor="text1"/>
              </w:rPr>
            </w:pPr>
          </w:p>
        </w:tc>
        <w:tc>
          <w:tcPr>
            <w:tcW w:w="2535" w:type="dxa"/>
            <w:gridSpan w:val="2"/>
            <w:vAlign w:val="center"/>
          </w:tcPr>
          <w:p w14:paraId="79E48958">
            <w:pPr>
              <w:widowControl/>
              <w:rPr>
                <w:rFonts w:ascii="宋体" w:hAnsi="宋体" w:cs="宋体"/>
                <w:b/>
                <w:bCs/>
                <w:color w:val="000000" w:themeColor="text1"/>
              </w:rPr>
            </w:pPr>
            <w:r>
              <w:rPr>
                <w:rFonts w:hint="eastAsia" w:ascii="宋体" w:hAnsi="宋体" w:cs="宋体"/>
                <w:b/>
                <w:bCs/>
                <w:color w:val="000000" w:themeColor="text1"/>
                <w:kern w:val="0"/>
              </w:rPr>
              <w:t>合同履约时间、地点、方</w:t>
            </w:r>
          </w:p>
          <w:p w14:paraId="2BD4C71A">
            <w:pPr>
              <w:jc w:val="center"/>
              <w:rPr>
                <w:rFonts w:ascii="宋体" w:hAnsi="宋体" w:cs="宋体"/>
                <w:b/>
                <w:bCs/>
                <w:color w:val="000000" w:themeColor="text1"/>
              </w:rPr>
            </w:pPr>
            <w:r>
              <w:rPr>
                <w:rFonts w:hint="eastAsia" w:ascii="宋体" w:hAnsi="宋体" w:cs="宋体"/>
                <w:b/>
                <w:bCs/>
                <w:color w:val="000000" w:themeColor="text1"/>
                <w:kern w:val="0"/>
              </w:rPr>
              <w:t>式</w:t>
            </w:r>
          </w:p>
        </w:tc>
        <w:tc>
          <w:tcPr>
            <w:tcW w:w="1140" w:type="dxa"/>
            <w:gridSpan w:val="3"/>
            <w:vAlign w:val="center"/>
          </w:tcPr>
          <w:p w14:paraId="199B9E63">
            <w:pPr>
              <w:widowControl/>
              <w:rPr>
                <w:rFonts w:ascii="宋体" w:hAnsi="宋体" w:cs="宋体"/>
                <w:b/>
                <w:bCs/>
                <w:color w:val="000000" w:themeColor="text1"/>
              </w:rPr>
            </w:pPr>
            <w:r>
              <w:rPr>
                <w:rFonts w:hint="eastAsia" w:ascii="宋体" w:hAnsi="宋体" w:cs="宋体"/>
                <w:b/>
                <w:bCs/>
                <w:color w:val="000000" w:themeColor="text1"/>
                <w:kern w:val="0"/>
              </w:rPr>
              <w:t>□合格</w:t>
            </w:r>
          </w:p>
          <w:p w14:paraId="75488F9E">
            <w:pPr>
              <w:jc w:val="center"/>
              <w:rPr>
                <w:rFonts w:ascii="宋体" w:hAnsi="宋体" w:cs="宋体"/>
                <w:b/>
                <w:bCs/>
                <w:color w:val="000000" w:themeColor="text1"/>
              </w:rPr>
            </w:pPr>
            <w:r>
              <w:rPr>
                <w:rFonts w:hint="eastAsia" w:ascii="宋体" w:hAnsi="宋体" w:cs="宋体"/>
                <w:b/>
                <w:bCs/>
                <w:color w:val="000000" w:themeColor="text1"/>
                <w:kern w:val="0"/>
              </w:rPr>
              <w:t>□不合格</w:t>
            </w:r>
          </w:p>
        </w:tc>
        <w:tc>
          <w:tcPr>
            <w:tcW w:w="1167" w:type="dxa"/>
            <w:vAlign w:val="center"/>
          </w:tcPr>
          <w:p w14:paraId="0E73C040">
            <w:pPr>
              <w:jc w:val="center"/>
              <w:rPr>
                <w:rFonts w:ascii="宋体" w:hAnsi="宋体" w:cs="宋体"/>
                <w:b/>
                <w:bCs/>
                <w:color w:val="000000" w:themeColor="text1"/>
              </w:rPr>
            </w:pPr>
          </w:p>
        </w:tc>
      </w:tr>
      <w:tr w14:paraId="2E07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715B859A">
            <w:pPr>
              <w:jc w:val="center"/>
              <w:rPr>
                <w:rFonts w:ascii="宋体" w:hAnsi="宋体" w:cs="宋体"/>
                <w:b/>
                <w:bCs/>
                <w:color w:val="000000" w:themeColor="text1"/>
              </w:rPr>
            </w:pPr>
            <w:r>
              <w:rPr>
                <w:rFonts w:hint="eastAsia" w:ascii="宋体" w:hAnsi="宋体" w:cs="宋体"/>
                <w:b/>
                <w:bCs/>
                <w:color w:val="000000" w:themeColor="text1"/>
                <w:kern w:val="0"/>
              </w:rPr>
              <w:t>三、验收结论</w:t>
            </w:r>
          </w:p>
        </w:tc>
      </w:tr>
      <w:tr w14:paraId="0A25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737" w:type="dxa"/>
            <w:vAlign w:val="center"/>
          </w:tcPr>
          <w:p w14:paraId="57BB33E9">
            <w:pPr>
              <w:widowControl/>
              <w:jc w:val="center"/>
              <w:rPr>
                <w:rFonts w:ascii="宋体" w:hAnsi="宋体" w:cs="宋体"/>
                <w:b/>
                <w:bCs/>
                <w:color w:val="000000" w:themeColor="text1"/>
              </w:rPr>
            </w:pPr>
            <w:r>
              <w:rPr>
                <w:rFonts w:hint="eastAsia" w:ascii="宋体" w:hAnsi="宋体" w:cs="宋体"/>
                <w:b/>
                <w:bCs/>
                <w:color w:val="000000" w:themeColor="text1"/>
                <w:kern w:val="0"/>
              </w:rPr>
              <w:t>存在问题和改进意见</w:t>
            </w:r>
          </w:p>
        </w:tc>
        <w:tc>
          <w:tcPr>
            <w:tcW w:w="8383" w:type="dxa"/>
            <w:gridSpan w:val="9"/>
            <w:vAlign w:val="center"/>
          </w:tcPr>
          <w:p w14:paraId="2AEB1D4D">
            <w:pPr>
              <w:jc w:val="center"/>
              <w:rPr>
                <w:rFonts w:ascii="宋体" w:hAnsi="宋体" w:cs="宋体"/>
                <w:b/>
                <w:bCs/>
                <w:color w:val="000000" w:themeColor="text1"/>
              </w:rPr>
            </w:pPr>
          </w:p>
        </w:tc>
      </w:tr>
      <w:tr w14:paraId="15D8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4843F277">
            <w:pPr>
              <w:widowControl/>
              <w:jc w:val="center"/>
              <w:rPr>
                <w:rFonts w:ascii="宋体" w:hAnsi="宋体" w:cs="宋体"/>
                <w:b/>
                <w:bCs/>
                <w:color w:val="000000" w:themeColor="text1"/>
              </w:rPr>
            </w:pPr>
            <w:r>
              <w:rPr>
                <w:rFonts w:hint="eastAsia" w:ascii="宋体" w:hAnsi="宋体" w:cs="宋体"/>
                <w:b/>
                <w:bCs/>
                <w:color w:val="000000" w:themeColor="text1"/>
                <w:kern w:val="0"/>
              </w:rPr>
              <w:t>验收小组意见</w:t>
            </w:r>
          </w:p>
        </w:tc>
        <w:tc>
          <w:tcPr>
            <w:tcW w:w="8383" w:type="dxa"/>
            <w:gridSpan w:val="9"/>
            <w:vAlign w:val="center"/>
          </w:tcPr>
          <w:p w14:paraId="344DAEA9">
            <w:pPr>
              <w:widowControl/>
              <w:rPr>
                <w:rFonts w:ascii="宋体" w:hAnsi="宋体" w:cs="宋体"/>
                <w:b/>
                <w:bCs/>
                <w:color w:val="000000" w:themeColor="text1"/>
                <w:kern w:val="0"/>
              </w:rPr>
            </w:pPr>
          </w:p>
          <w:p w14:paraId="7D77E445">
            <w:pPr>
              <w:widowControl/>
              <w:rPr>
                <w:rFonts w:ascii="宋体" w:hAnsi="宋体" w:cs="宋体"/>
                <w:b/>
                <w:bCs/>
                <w:color w:val="000000" w:themeColor="text1"/>
              </w:rPr>
            </w:pPr>
            <w:r>
              <w:rPr>
                <w:rFonts w:hint="eastAsia" w:ascii="宋体" w:hAnsi="宋体" w:cs="宋体"/>
                <w:b/>
                <w:bCs/>
                <w:color w:val="000000" w:themeColor="text1"/>
                <w:kern w:val="0"/>
              </w:rPr>
              <w:t>验收结论性意见: □优秀        □合格       □不合格</w:t>
            </w:r>
          </w:p>
          <w:p w14:paraId="7C1B1050">
            <w:pPr>
              <w:widowControl/>
              <w:rPr>
                <w:rFonts w:ascii="宋体" w:hAnsi="宋体" w:cs="宋体"/>
                <w:b/>
                <w:bCs/>
                <w:color w:val="000000" w:themeColor="text1"/>
                <w:kern w:val="0"/>
              </w:rPr>
            </w:pPr>
          </w:p>
          <w:p w14:paraId="64FDE9A8">
            <w:pPr>
              <w:widowControl/>
              <w:rPr>
                <w:rFonts w:ascii="宋体" w:hAnsi="宋体" w:cs="宋体"/>
                <w:b/>
                <w:bCs/>
                <w:color w:val="000000" w:themeColor="text1"/>
                <w:kern w:val="0"/>
              </w:rPr>
            </w:pPr>
            <w:r>
              <w:rPr>
                <w:rFonts w:hint="eastAsia" w:ascii="宋体" w:hAnsi="宋体" w:cs="宋体"/>
                <w:b/>
                <w:bCs/>
                <w:color w:val="000000" w:themeColor="text1"/>
                <w:kern w:val="0"/>
              </w:rPr>
              <w:t>其他需要说明的事项:</w:t>
            </w:r>
          </w:p>
          <w:p w14:paraId="3CCD0A86">
            <w:pPr>
              <w:widowControl/>
              <w:rPr>
                <w:rFonts w:ascii="宋体" w:hAnsi="宋体" w:cs="宋体"/>
                <w:b/>
                <w:bCs/>
                <w:color w:val="000000" w:themeColor="text1"/>
                <w:kern w:val="0"/>
              </w:rPr>
            </w:pPr>
          </w:p>
          <w:p w14:paraId="11F241C1">
            <w:pPr>
              <w:widowControl/>
              <w:rPr>
                <w:rFonts w:ascii="宋体" w:hAnsi="宋体" w:cs="宋体"/>
                <w:b/>
                <w:bCs/>
                <w:color w:val="000000" w:themeColor="text1"/>
                <w:kern w:val="0"/>
              </w:rPr>
            </w:pPr>
          </w:p>
          <w:p w14:paraId="76E0EF40">
            <w:pPr>
              <w:widowControl/>
              <w:rPr>
                <w:rFonts w:ascii="宋体" w:hAnsi="宋体" w:cs="宋体"/>
                <w:b/>
                <w:bCs/>
                <w:color w:val="000000" w:themeColor="text1"/>
                <w:kern w:val="0"/>
              </w:rPr>
            </w:pPr>
          </w:p>
        </w:tc>
      </w:tr>
      <w:tr w14:paraId="3B5E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23B982F7">
            <w:pPr>
              <w:jc w:val="center"/>
              <w:rPr>
                <w:rFonts w:ascii="宋体" w:hAnsi="宋体" w:cs="宋体"/>
                <w:b/>
                <w:bCs/>
                <w:color w:val="000000" w:themeColor="text1"/>
              </w:rPr>
            </w:pPr>
          </w:p>
        </w:tc>
        <w:tc>
          <w:tcPr>
            <w:tcW w:w="8383" w:type="dxa"/>
            <w:gridSpan w:val="9"/>
            <w:vAlign w:val="center"/>
          </w:tcPr>
          <w:p w14:paraId="67192CFF">
            <w:pPr>
              <w:widowControl/>
              <w:rPr>
                <w:rFonts w:ascii="宋体" w:hAnsi="宋体" w:cs="宋体"/>
                <w:b/>
                <w:bCs/>
                <w:color w:val="000000" w:themeColor="text1"/>
                <w:kern w:val="0"/>
              </w:rPr>
            </w:pPr>
            <w:r>
              <w:rPr>
                <w:rFonts w:hint="eastAsia" w:ascii="宋体" w:hAnsi="宋体" w:cs="宋体"/>
                <w:b/>
                <w:bCs/>
                <w:color w:val="000000" w:themeColor="text1"/>
                <w:kern w:val="0"/>
              </w:rPr>
              <w:t>有异议的意见和说明理由:</w:t>
            </w:r>
          </w:p>
          <w:p w14:paraId="389C80B3">
            <w:pPr>
              <w:jc w:val="center"/>
              <w:rPr>
                <w:rFonts w:ascii="宋体" w:hAnsi="宋体" w:cs="宋体"/>
                <w:b/>
                <w:bCs/>
                <w:color w:val="000000" w:themeColor="text1"/>
                <w:kern w:val="0"/>
              </w:rPr>
            </w:pPr>
          </w:p>
          <w:p w14:paraId="35DCD6B3">
            <w:pPr>
              <w:jc w:val="center"/>
              <w:rPr>
                <w:rFonts w:ascii="宋体" w:hAnsi="宋体" w:cs="宋体"/>
                <w:b/>
                <w:bCs/>
                <w:color w:val="000000" w:themeColor="text1"/>
                <w:kern w:val="0"/>
              </w:rPr>
            </w:pPr>
          </w:p>
          <w:p w14:paraId="0304EE0D">
            <w:pPr>
              <w:jc w:val="center"/>
              <w:rPr>
                <w:rFonts w:ascii="宋体" w:hAnsi="宋体" w:cs="宋体"/>
                <w:b/>
                <w:bCs/>
                <w:color w:val="000000" w:themeColor="text1"/>
                <w:kern w:val="0"/>
              </w:rPr>
            </w:pPr>
          </w:p>
          <w:p w14:paraId="5E61A41C">
            <w:pPr>
              <w:jc w:val="center"/>
              <w:rPr>
                <w:rFonts w:ascii="宋体" w:hAnsi="宋体" w:cs="宋体"/>
                <w:b/>
                <w:bCs/>
                <w:color w:val="000000" w:themeColor="text1"/>
              </w:rPr>
            </w:pPr>
            <w:r>
              <w:rPr>
                <w:rFonts w:hint="eastAsia" w:ascii="宋体" w:hAnsi="宋体" w:cs="宋体"/>
                <w:b/>
                <w:bCs/>
                <w:color w:val="000000" w:themeColor="text1"/>
                <w:kern w:val="0"/>
              </w:rPr>
              <w:t xml:space="preserve">                                 签字：</w:t>
            </w:r>
          </w:p>
        </w:tc>
      </w:tr>
      <w:tr w14:paraId="4990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0120" w:type="dxa"/>
            <w:gridSpan w:val="10"/>
          </w:tcPr>
          <w:p w14:paraId="2D9EFE56">
            <w:pPr>
              <w:widowControl/>
              <w:rPr>
                <w:rFonts w:ascii="宋体" w:hAnsi="宋体" w:cs="宋体"/>
                <w:b/>
                <w:bCs/>
                <w:color w:val="000000" w:themeColor="text1"/>
              </w:rPr>
            </w:pPr>
            <w:r>
              <w:rPr>
                <w:rFonts w:hint="eastAsia" w:ascii="宋体" w:hAnsi="宋体" w:cs="宋体"/>
                <w:b/>
                <w:bCs/>
                <w:color w:val="000000" w:themeColor="text1"/>
                <w:kern w:val="0"/>
              </w:rPr>
              <w:t>验收小组成员签字:</w:t>
            </w:r>
          </w:p>
          <w:p w14:paraId="3CFCFE7A">
            <w:pPr>
              <w:rPr>
                <w:rFonts w:ascii="宋体" w:hAnsi="宋体" w:cs="宋体"/>
                <w:b/>
                <w:bCs/>
                <w:color w:val="000000" w:themeColor="text1"/>
              </w:rPr>
            </w:pPr>
          </w:p>
        </w:tc>
      </w:tr>
      <w:tr w14:paraId="2BBB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78" w:type="dxa"/>
            <w:gridSpan w:val="4"/>
          </w:tcPr>
          <w:p w14:paraId="6147A5C8">
            <w:pPr>
              <w:rPr>
                <w:rFonts w:ascii="宋体" w:hAnsi="宋体" w:cs="宋体"/>
                <w:b/>
                <w:bCs/>
                <w:color w:val="000000" w:themeColor="text1"/>
              </w:rPr>
            </w:pPr>
            <w:r>
              <w:rPr>
                <w:rFonts w:hint="eastAsia" w:ascii="宋体" w:hAnsi="宋体" w:cs="宋体"/>
                <w:b/>
                <w:bCs/>
                <w:color w:val="000000" w:themeColor="text1"/>
              </w:rPr>
              <w:t>采购人意见：</w:t>
            </w:r>
          </w:p>
          <w:p w14:paraId="76D94CD7">
            <w:pPr>
              <w:widowControl/>
              <w:jc w:val="left"/>
              <w:rPr>
                <w:rFonts w:ascii="宋体" w:hAnsi="宋体" w:cs="宋体"/>
                <w:b/>
                <w:bCs/>
                <w:color w:val="000000" w:themeColor="text1"/>
                <w:kern w:val="0"/>
              </w:rPr>
            </w:pPr>
          </w:p>
          <w:p w14:paraId="5331EDAA">
            <w:pPr>
              <w:widowControl/>
              <w:jc w:val="left"/>
              <w:rPr>
                <w:rFonts w:ascii="宋体" w:hAnsi="宋体" w:cs="宋体"/>
                <w:b/>
                <w:bCs/>
                <w:color w:val="000000" w:themeColor="text1"/>
                <w:kern w:val="0"/>
              </w:rPr>
            </w:pPr>
          </w:p>
          <w:p w14:paraId="08D58A61">
            <w:pPr>
              <w:widowControl/>
              <w:jc w:val="left"/>
              <w:rPr>
                <w:rFonts w:ascii="宋体" w:hAnsi="宋体" w:cs="宋体"/>
                <w:b/>
                <w:bCs/>
                <w:color w:val="000000" w:themeColor="text1"/>
                <w:kern w:val="0"/>
              </w:rPr>
            </w:pPr>
          </w:p>
          <w:p w14:paraId="30AA77D3">
            <w:pPr>
              <w:widowControl/>
              <w:jc w:val="left"/>
              <w:rPr>
                <w:rFonts w:ascii="宋体" w:hAnsi="宋体" w:cs="宋体"/>
                <w:b/>
                <w:bCs/>
                <w:color w:val="000000" w:themeColor="text1"/>
                <w:kern w:val="0"/>
              </w:rPr>
            </w:pPr>
          </w:p>
          <w:p w14:paraId="7DF679A0">
            <w:pPr>
              <w:widowControl/>
              <w:jc w:val="left"/>
              <w:rPr>
                <w:rFonts w:ascii="宋体" w:hAnsi="宋体" w:cs="宋体"/>
                <w:b/>
                <w:bCs/>
                <w:color w:val="000000" w:themeColor="text1"/>
                <w:kern w:val="0"/>
              </w:rPr>
            </w:pPr>
          </w:p>
          <w:p w14:paraId="451DE6C0">
            <w:pPr>
              <w:widowControl/>
              <w:jc w:val="left"/>
              <w:rPr>
                <w:rFonts w:ascii="宋体" w:hAnsi="宋体" w:cs="宋体"/>
                <w:b/>
                <w:bCs/>
                <w:color w:val="000000" w:themeColor="text1"/>
                <w:kern w:val="0"/>
              </w:rPr>
            </w:pPr>
          </w:p>
          <w:p w14:paraId="36BB5B78">
            <w:pPr>
              <w:widowControl/>
              <w:jc w:val="left"/>
              <w:rPr>
                <w:rFonts w:ascii="宋体" w:hAnsi="宋体" w:cs="宋体"/>
                <w:b/>
                <w:bCs/>
                <w:color w:val="000000" w:themeColor="text1"/>
              </w:rPr>
            </w:pPr>
            <w:r>
              <w:rPr>
                <w:rFonts w:hint="eastAsia" w:ascii="宋体" w:hAnsi="宋体" w:cs="宋体"/>
                <w:b/>
                <w:bCs/>
                <w:color w:val="000000" w:themeColor="text1"/>
                <w:kern w:val="0"/>
              </w:rPr>
              <w:t>经办人:          负责人：             (盖章）</w:t>
            </w:r>
          </w:p>
          <w:p w14:paraId="7A69C290">
            <w:pPr>
              <w:widowControl/>
              <w:jc w:val="left"/>
              <w:rPr>
                <w:rFonts w:ascii="宋体" w:hAnsi="宋体" w:cs="宋体"/>
                <w:b/>
                <w:bCs/>
                <w:color w:val="000000" w:themeColor="text1"/>
                <w:kern w:val="0"/>
              </w:rPr>
            </w:pPr>
          </w:p>
          <w:p w14:paraId="169D486A">
            <w:pPr>
              <w:widowControl/>
              <w:ind w:firstLine="3373" w:firstLineChars="1600"/>
              <w:jc w:val="left"/>
              <w:rPr>
                <w:rFonts w:ascii="宋体" w:hAnsi="宋体" w:cs="宋体"/>
                <w:b/>
                <w:bCs/>
                <w:color w:val="000000" w:themeColor="text1"/>
              </w:rPr>
            </w:pPr>
            <w:r>
              <w:rPr>
                <w:rFonts w:hint="eastAsia" w:ascii="宋体" w:hAnsi="宋体" w:cs="宋体"/>
                <w:b/>
                <w:bCs/>
                <w:color w:val="000000" w:themeColor="text1"/>
                <w:kern w:val="0"/>
              </w:rPr>
              <w:t>年    月    日</w:t>
            </w:r>
          </w:p>
        </w:tc>
        <w:tc>
          <w:tcPr>
            <w:tcW w:w="4842" w:type="dxa"/>
            <w:gridSpan w:val="6"/>
          </w:tcPr>
          <w:p w14:paraId="74C8FB70">
            <w:pPr>
              <w:rPr>
                <w:rFonts w:ascii="宋体" w:hAnsi="宋体" w:cs="宋体"/>
                <w:b/>
                <w:bCs/>
                <w:color w:val="000000" w:themeColor="text1"/>
              </w:rPr>
            </w:pPr>
            <w:r>
              <w:rPr>
                <w:rFonts w:hint="eastAsia" w:ascii="宋体" w:hAnsi="宋体" w:cs="宋体"/>
                <w:b/>
                <w:bCs/>
                <w:color w:val="000000" w:themeColor="text1"/>
              </w:rPr>
              <w:t>供应商确认：</w:t>
            </w:r>
          </w:p>
          <w:p w14:paraId="3FCEC302">
            <w:pPr>
              <w:widowControl/>
              <w:jc w:val="left"/>
              <w:rPr>
                <w:rFonts w:ascii="宋体" w:hAnsi="宋体" w:cs="宋体"/>
                <w:b/>
                <w:bCs/>
                <w:color w:val="000000" w:themeColor="text1"/>
                <w:kern w:val="0"/>
              </w:rPr>
            </w:pPr>
          </w:p>
          <w:p w14:paraId="4A7B7DAC">
            <w:pPr>
              <w:widowControl/>
              <w:jc w:val="left"/>
              <w:rPr>
                <w:rFonts w:ascii="宋体" w:hAnsi="宋体" w:cs="宋体"/>
                <w:b/>
                <w:bCs/>
                <w:color w:val="000000" w:themeColor="text1"/>
                <w:kern w:val="0"/>
              </w:rPr>
            </w:pPr>
          </w:p>
          <w:p w14:paraId="19016F01">
            <w:pPr>
              <w:widowControl/>
              <w:jc w:val="left"/>
              <w:rPr>
                <w:rFonts w:ascii="宋体" w:hAnsi="宋体" w:cs="宋体"/>
                <w:b/>
                <w:bCs/>
                <w:color w:val="000000" w:themeColor="text1"/>
                <w:kern w:val="0"/>
              </w:rPr>
            </w:pPr>
          </w:p>
          <w:p w14:paraId="38E56EB4">
            <w:pPr>
              <w:widowControl/>
              <w:jc w:val="left"/>
              <w:rPr>
                <w:rFonts w:ascii="宋体" w:hAnsi="宋体" w:cs="宋体"/>
                <w:b/>
                <w:bCs/>
                <w:color w:val="000000" w:themeColor="text1"/>
                <w:kern w:val="0"/>
              </w:rPr>
            </w:pPr>
          </w:p>
          <w:p w14:paraId="34DBA76B">
            <w:pPr>
              <w:widowControl/>
              <w:jc w:val="left"/>
              <w:rPr>
                <w:rFonts w:ascii="宋体" w:hAnsi="宋体" w:cs="宋体"/>
                <w:b/>
                <w:bCs/>
                <w:color w:val="000000" w:themeColor="text1"/>
                <w:kern w:val="0"/>
              </w:rPr>
            </w:pPr>
          </w:p>
          <w:p w14:paraId="6790501B">
            <w:pPr>
              <w:widowControl/>
              <w:jc w:val="left"/>
              <w:rPr>
                <w:rFonts w:ascii="宋体" w:hAnsi="宋体" w:cs="宋体"/>
                <w:b/>
                <w:bCs/>
                <w:color w:val="000000" w:themeColor="text1"/>
                <w:kern w:val="0"/>
              </w:rPr>
            </w:pPr>
          </w:p>
          <w:p w14:paraId="632A3D3D">
            <w:pPr>
              <w:widowControl/>
              <w:jc w:val="left"/>
              <w:rPr>
                <w:rFonts w:ascii="宋体" w:hAnsi="宋体" w:cs="宋体"/>
                <w:b/>
                <w:bCs/>
                <w:color w:val="000000" w:themeColor="text1"/>
                <w:kern w:val="0"/>
              </w:rPr>
            </w:pPr>
            <w:r>
              <w:rPr>
                <w:rFonts w:hint="eastAsia" w:ascii="宋体" w:hAnsi="宋体" w:cs="宋体"/>
                <w:b/>
                <w:bCs/>
                <w:color w:val="000000" w:themeColor="text1"/>
                <w:kern w:val="0"/>
              </w:rPr>
              <w:t>供应商盖章或授权代表签字：</w:t>
            </w:r>
          </w:p>
          <w:p w14:paraId="78EC8B76">
            <w:pPr>
              <w:widowControl/>
              <w:jc w:val="left"/>
              <w:rPr>
                <w:rFonts w:ascii="宋体" w:hAnsi="宋体" w:cs="宋体"/>
                <w:b/>
                <w:bCs/>
                <w:color w:val="000000" w:themeColor="text1"/>
                <w:kern w:val="0"/>
              </w:rPr>
            </w:pPr>
            <w:r>
              <w:rPr>
                <w:rFonts w:hint="eastAsia" w:ascii="宋体" w:hAnsi="宋体" w:cs="宋体"/>
                <w:b/>
                <w:bCs/>
                <w:color w:val="000000" w:themeColor="text1"/>
                <w:kern w:val="0"/>
              </w:rPr>
              <w:t>联系电话：</w:t>
            </w:r>
          </w:p>
          <w:p w14:paraId="3780B8D7">
            <w:pPr>
              <w:widowControl/>
              <w:ind w:firstLine="3162" w:firstLineChars="1500"/>
              <w:jc w:val="left"/>
              <w:rPr>
                <w:rFonts w:ascii="宋体" w:hAnsi="宋体" w:cs="宋体"/>
                <w:b/>
                <w:bCs/>
                <w:color w:val="000000" w:themeColor="text1"/>
              </w:rPr>
            </w:pPr>
            <w:r>
              <w:rPr>
                <w:rFonts w:hint="eastAsia" w:ascii="宋体" w:hAnsi="宋体" w:cs="宋体"/>
                <w:b/>
                <w:bCs/>
                <w:color w:val="000000" w:themeColor="text1"/>
                <w:kern w:val="0"/>
              </w:rPr>
              <w:t>年    月    日</w:t>
            </w:r>
          </w:p>
        </w:tc>
      </w:tr>
    </w:tbl>
    <w:p w14:paraId="0EE5BA5C">
      <w:pPr>
        <w:rPr>
          <w:b/>
          <w:bCs/>
          <w:color w:val="000000" w:themeColor="text1"/>
          <w:sz w:val="24"/>
        </w:rPr>
      </w:pPr>
      <w:r>
        <w:rPr>
          <w:rFonts w:hint="eastAsia" w:ascii="宋体" w:hAnsi="宋体" w:cs="宋体"/>
          <w:b/>
          <w:bCs/>
          <w:color w:val="000000" w:themeColor="text1"/>
          <w:kern w:val="0"/>
        </w:rPr>
        <w:t>注:该表为履约验收书的综合性参考模板,验 收组织机构可以根据工作实际进行调整。</w:t>
      </w:r>
    </w:p>
    <w:p w14:paraId="19F00F16">
      <w:pPr>
        <w:pStyle w:val="2"/>
        <w:rPr>
          <w:rFonts w:ascii="Times New Roman" w:hAnsi="Times New Roman" w:cs="Times New Roman"/>
          <w:color w:val="000000" w:themeColor="text1"/>
          <w:sz w:val="21"/>
          <w:szCs w:val="21"/>
        </w:rPr>
      </w:pPr>
    </w:p>
    <w:sectPr>
      <w:headerReference r:id="rId11" w:type="default"/>
      <w:footerReference r:id="rId12"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modern"/>
    <w:pitch w:val="default"/>
    <w:sig w:usb0="E00006FF" w:usb1="0000FCFF" w:usb2="00000001" w:usb3="00000000" w:csb0="6000019F" w:csb1="DFD70000"/>
  </w:font>
  <w:font w:name="Century Gothic">
    <w:altName w:val="NumberOnly"/>
    <w:panose1 w:val="020B0502020202020204"/>
    <w:charset w:val="00"/>
    <w:family w:val="swiss"/>
    <w:pitch w:val="default"/>
    <w:sig w:usb0="00000000" w:usb1="00000000" w:usb2="00000000" w:usb3="00000000" w:csb0="0000009F" w:csb1="00000000"/>
  </w:font>
  <w:font w:name="NumberOnly">
    <w:panose1 w:val="020B0500000000000000"/>
    <w:charset w:val="00"/>
    <w:family w:val="auto"/>
    <w:pitch w:val="default"/>
    <w:sig w:usb0="8000002F" w:usb1="10000048" w:usb2="00000000" w:usb3="00000000" w:csb0="00000111" w:csb1="4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93"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DD2ED">
    <w:pPr>
      <w:pStyle w:val="19"/>
      <w:framePr w:wrap="around" w:vAnchor="text" w:hAnchor="margin" w:xAlign="center" w:y="1"/>
      <w:rPr>
        <w:rStyle w:val="31"/>
      </w:rPr>
    </w:pPr>
    <w:r>
      <w:fldChar w:fldCharType="begin"/>
    </w:r>
    <w:r>
      <w:rPr>
        <w:rStyle w:val="31"/>
      </w:rPr>
      <w:instrText xml:space="preserve">PAGE  </w:instrText>
    </w:r>
    <w:r>
      <w:fldChar w:fldCharType="separate"/>
    </w:r>
    <w:r>
      <w:rPr>
        <w:rStyle w:val="31"/>
      </w:rPr>
      <w:t>27</w:t>
    </w:r>
    <w:r>
      <w:fldChar w:fldCharType="end"/>
    </w:r>
  </w:p>
  <w:p w14:paraId="5E542ED4">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21C1">
    <w:pPr>
      <w:pStyle w:val="19"/>
      <w:framePr w:wrap="around" w:vAnchor="text" w:hAnchor="margin" w:xAlign="center" w:y="1"/>
      <w:rPr>
        <w:rStyle w:val="31"/>
      </w:rPr>
    </w:pPr>
    <w:r>
      <w:fldChar w:fldCharType="begin"/>
    </w:r>
    <w:r>
      <w:rPr>
        <w:rStyle w:val="31"/>
      </w:rPr>
      <w:instrText xml:space="preserve">PAGE  </w:instrText>
    </w:r>
    <w:r>
      <w:fldChar w:fldCharType="end"/>
    </w:r>
  </w:p>
  <w:p w14:paraId="61D98027">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915B5">
    <w:pPr>
      <w:pStyle w:val="19"/>
      <w:jc w:val="center"/>
    </w:pPr>
    <w:r>
      <w:pict>
        <v:shape id="文本框 1111" o:spid="_x0000_s409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UFSTzwEAAKsDAAAOAAAAAAAAAAEAIAAAAB4BAABkcnMv&#10;ZTJvRG9jLnhtbFBLBQYAAAAABgAGAFkBAABfBQAAAAA=&#10;">
          <v:path/>
          <v:fill on="f" focussize="0,0"/>
          <v:stroke on="f" joinstyle="miter"/>
          <v:imagedata o:title=""/>
          <o:lock v:ext="edit"/>
          <v:textbox inset="0mm,0mm,0mm,0mm" style="mso-fit-shape-to-text:t;">
            <w:txbxContent>
              <w:p w14:paraId="0111AEA8">
                <w:pPr>
                  <w:pStyle w:val="19"/>
                </w:pPr>
                <w:r>
                  <w:fldChar w:fldCharType="begin"/>
                </w:r>
                <w:r>
                  <w:instrText xml:space="preserve"> PAGE  \* MERGEFORMAT </w:instrText>
                </w:r>
                <w:r>
                  <w:fldChar w:fldCharType="separate"/>
                </w:r>
                <w:r>
                  <w:t>41</w:t>
                </w:r>
                <w:r>
                  <w:fldChar w:fldCharType="end"/>
                </w:r>
              </w:p>
            </w:txbxContent>
          </v:textbox>
        </v:shape>
      </w:pict>
    </w:r>
  </w:p>
  <w:p w14:paraId="091AB1CE">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B4354">
    <w:pPr>
      <w:pStyle w:val="19"/>
    </w:pPr>
    <w:r>
      <w:pict>
        <v:shape id="文本框 1110" o:spid="_x0000_s409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1YPZuzwEAAKsDAAAOAAAAAAAAAAEAIAAAAB4BAABkcnMv&#10;ZTJvRG9jLnhtbFBLBQYAAAAABgAGAFkBAABfBQAAAAA=&#10;">
          <v:path/>
          <v:fill on="f" focussize="0,0"/>
          <v:stroke on="f" joinstyle="miter"/>
          <v:imagedata o:title=""/>
          <o:lock v:ext="edit"/>
          <v:textbox inset="0mm,0mm,0mm,0mm" style="mso-fit-shape-to-text:t;">
            <w:txbxContent>
              <w:p w14:paraId="5C6157AA">
                <w:pPr>
                  <w:pStyle w:val="19"/>
                </w:pPr>
                <w:r>
                  <w:fldChar w:fldCharType="begin"/>
                </w:r>
                <w:r>
                  <w:instrText xml:space="preserve"> PAGE  \* MERGEFORMAT </w:instrText>
                </w:r>
                <w:r>
                  <w:fldChar w:fldCharType="separate"/>
                </w:r>
                <w:r>
                  <w:t>20</w:t>
                </w:r>
                <w:r>
                  <w:fldChar w:fldCharType="end"/>
                </w:r>
              </w:p>
            </w:txbxContent>
          </v:textbox>
        </v:shape>
      </w:pict>
    </w:r>
    <w:r>
      <w:pict>
        <v:shape id="文本框 1096" o:spid="_x0000_s409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EId3mzwEAAKsDAAAOAAAAAAAAAAEAIAAAAB4BAABkcnMv&#10;ZTJvRG9jLnhtbFBLBQYAAAAABgAGAFkBAABfBQAAAAA=&#10;">
          <v:path/>
          <v:fill on="f" focussize="0,0"/>
          <v:stroke on="f" joinstyle="miter"/>
          <v:imagedata o:title=""/>
          <o:lock v:ext="edit"/>
          <v:textbox inset="0mm,0mm,0mm,0mm" style="mso-fit-shape-to-text:t;">
            <w:txbxContent>
              <w:p w14:paraId="0E7FBA93">
                <w:pPr>
                  <w:pStyle w:val="19"/>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0C34A">
    <w:pPr>
      <w:pStyle w:val="19"/>
      <w:rPr>
        <w:rFonts w:cs="Times New Roman"/>
      </w:rPr>
    </w:pPr>
    <w:r>
      <w:pict>
        <v:shape id="文本框 4" o:spid="_x0000_s4100" o:spt="202" type="#_x0000_t202" style="position:absolute;left:0pt;margin-top:0pt;height:12.2pt;width:10.1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A6F9881">
                <w:pPr>
                  <w:pStyle w:val="19"/>
                  <w:rPr>
                    <w:rFonts w:cs="Times New Roman"/>
                  </w:rPr>
                </w:pPr>
                <w:r>
                  <w:fldChar w:fldCharType="begin"/>
                </w:r>
                <w:r>
                  <w:instrText xml:space="preserve"> PAGE  \* MERGEFORMAT </w:instrText>
                </w:r>
                <w:r>
                  <w:fldChar w:fldCharType="separate"/>
                </w:r>
                <w:r>
                  <w:t>46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1C158">
    <w:pPr>
      <w:pStyle w:val="19"/>
      <w:rPr>
        <w:rFonts w:cs="Times New Roman"/>
      </w:rPr>
    </w:pPr>
    <w:r>
      <w:pict>
        <v:shape id="_x0000_s4101" o:spid="_x0000_s410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41CA2B05">
                <w:pPr>
                  <w:pStyle w:val="19"/>
                  <w:rPr>
                    <w:rFonts w:cs="Times New Roman"/>
                  </w:rPr>
                </w:pPr>
                <w:r>
                  <w:fldChar w:fldCharType="begin"/>
                </w:r>
                <w:r>
                  <w:instrText xml:space="preserve"> PAGE  \* MERGEFORMAT </w:instrText>
                </w:r>
                <w:r>
                  <w:fldChar w:fldCharType="separate"/>
                </w:r>
                <w:r>
                  <w:t>75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99EE5">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A1122">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AC2D2">
    <w:pPr>
      <w:pStyle w:val="20"/>
      <w:pBdr>
        <w:top w:val="none" w:color="auto" w:sz="0" w:space="0"/>
        <w:left w:val="none" w:color="auto" w:sz="0" w:space="0"/>
        <w:bottom w:val="none" w:color="auto" w:sz="0" w:space="0"/>
        <w:right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71FF">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83ED4"/>
    <w:multiLevelType w:val="singleLevel"/>
    <w:tmpl w:val="80683ED4"/>
    <w:lvl w:ilvl="0" w:tentative="0">
      <w:start w:val="1"/>
      <w:numFmt w:val="chineseCounting"/>
      <w:suff w:val="nothing"/>
      <w:lvlText w:val="%1、"/>
      <w:lvlJc w:val="left"/>
      <w:rPr>
        <w:rFonts w:hint="eastAsia"/>
      </w:rPr>
    </w:lvl>
  </w:abstractNum>
  <w:abstractNum w:abstractNumId="1">
    <w:nsid w:val="A74323CB"/>
    <w:multiLevelType w:val="singleLevel"/>
    <w:tmpl w:val="A74323CB"/>
    <w:lvl w:ilvl="0" w:tentative="0">
      <w:start w:val="6"/>
      <w:numFmt w:val="chineseCounting"/>
      <w:suff w:val="nothing"/>
      <w:lvlText w:val="第%1章、"/>
      <w:lvlJc w:val="left"/>
      <w:rPr>
        <w:rFonts w:hint="eastAsia"/>
      </w:rPr>
    </w:lvl>
  </w:abstractNum>
  <w:abstractNum w:abstractNumId="2">
    <w:nsid w:val="D101EEFE"/>
    <w:multiLevelType w:val="singleLevel"/>
    <w:tmpl w:val="D101EEFE"/>
    <w:lvl w:ilvl="0" w:tentative="0">
      <w:start w:val="1"/>
      <w:numFmt w:val="decimal"/>
      <w:lvlText w:val="%1."/>
      <w:lvlJc w:val="left"/>
      <w:pPr>
        <w:tabs>
          <w:tab w:val="left" w:pos="312"/>
        </w:tabs>
      </w:p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83"/>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2"/>
    <w:multiLevelType w:val="singleLevel"/>
    <w:tmpl w:val="00000012"/>
    <w:lvl w:ilvl="0" w:tentative="0">
      <w:start w:val="1"/>
      <w:numFmt w:val="decimal"/>
      <w:pStyle w:val="9"/>
      <w:lvlText w:val="%1."/>
      <w:lvlJc w:val="left"/>
      <w:pPr>
        <w:tabs>
          <w:tab w:val="left" w:pos="360"/>
        </w:tabs>
        <w:ind w:left="360" w:hanging="360"/>
      </w:pPr>
    </w:lvl>
  </w:abstractNum>
  <w:abstractNum w:abstractNumId="6">
    <w:nsid w:val="0C34DE15"/>
    <w:multiLevelType w:val="singleLevel"/>
    <w:tmpl w:val="0C34DE15"/>
    <w:lvl w:ilvl="0" w:tentative="0">
      <w:start w:val="1"/>
      <w:numFmt w:val="decimal"/>
      <w:lvlText w:val="%1."/>
      <w:lvlJc w:val="left"/>
      <w:pPr>
        <w:tabs>
          <w:tab w:val="left" w:pos="312"/>
        </w:tabs>
      </w:pPr>
    </w:lvl>
  </w:abstractNum>
  <w:abstractNum w:abstractNumId="7">
    <w:nsid w:val="225A8346"/>
    <w:multiLevelType w:val="singleLevel"/>
    <w:tmpl w:val="225A8346"/>
    <w:lvl w:ilvl="0" w:tentative="0">
      <w:start w:val="1"/>
      <w:numFmt w:val="decimal"/>
      <w:lvlText w:val="%1."/>
      <w:lvlJc w:val="left"/>
      <w:pPr>
        <w:tabs>
          <w:tab w:val="left" w:pos="312"/>
        </w:tabs>
      </w:pPr>
    </w:lvl>
  </w:abstractNum>
  <w:abstractNum w:abstractNumId="8">
    <w:nsid w:val="2F3820AD"/>
    <w:multiLevelType w:val="multilevel"/>
    <w:tmpl w:val="2F3820AD"/>
    <w:lvl w:ilvl="0" w:tentative="0">
      <w:start w:val="1"/>
      <w:numFmt w:val="chineseCountingThousand"/>
      <w:pStyle w:val="96"/>
      <w:suff w:val="space"/>
      <w:lvlText w:val="第%1章"/>
      <w:lvlJc w:val="left"/>
      <w:pPr>
        <w:ind w:left="3118" w:hanging="425"/>
      </w:pPr>
      <w:rPr>
        <w:rFonts w:hint="default" w:ascii="Times New Roman" w:hAnsi="Times New Roman" w:eastAsia="宋体"/>
        <w:b/>
        <w:bCs/>
        <w:i w:val="0"/>
        <w:iCs w:val="0"/>
        <w:sz w:val="36"/>
        <w:szCs w:val="36"/>
      </w:rPr>
    </w:lvl>
    <w:lvl w:ilvl="1" w:tentative="0">
      <w:start w:val="1"/>
      <w:numFmt w:val="decimal"/>
      <w:isLgl/>
      <w:suff w:val="space"/>
      <w:lvlText w:val="%1.%2"/>
      <w:lvlJc w:val="left"/>
      <w:pPr>
        <w:ind w:left="-1418" w:hanging="992"/>
      </w:pPr>
      <w:rPr>
        <w:rFonts w:hint="default" w:ascii="Times New Roman" w:hAnsi="Times New Roman" w:eastAsia="宋体"/>
        <w:b/>
        <w:bCs/>
        <w:i w:val="0"/>
        <w:iCs w:val="0"/>
        <w:sz w:val="32"/>
        <w:szCs w:val="32"/>
      </w:rPr>
    </w:lvl>
    <w:lvl w:ilvl="2" w:tentative="0">
      <w:start w:val="1"/>
      <w:numFmt w:val="decimal"/>
      <w:isLgl/>
      <w:suff w:val="space"/>
      <w:lvlText w:val="%1.%2.%3"/>
      <w:lvlJc w:val="left"/>
      <w:pPr>
        <w:ind w:left="-1275" w:hanging="1135"/>
      </w:pPr>
      <w:rPr>
        <w:b/>
        <w:bCs/>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bCs/>
        <w:i w:val="0"/>
        <w:iCs w:val="0"/>
        <w:sz w:val="21"/>
        <w:szCs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9">
    <w:nsid w:val="4DD4552D"/>
    <w:multiLevelType w:val="singleLevel"/>
    <w:tmpl w:val="4DD4552D"/>
    <w:lvl w:ilvl="0" w:tentative="0">
      <w:start w:val="1"/>
      <w:numFmt w:val="decimal"/>
      <w:lvlText w:val="%1."/>
      <w:lvlJc w:val="left"/>
      <w:pPr>
        <w:tabs>
          <w:tab w:val="left" w:pos="312"/>
        </w:tabs>
      </w:p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62650AD1"/>
    <w:multiLevelType w:val="singleLevel"/>
    <w:tmpl w:val="62650AD1"/>
    <w:lvl w:ilvl="0" w:tentative="0">
      <w:start w:val="5"/>
      <w:numFmt w:val="chineseCounting"/>
      <w:suff w:val="nothing"/>
      <w:lvlText w:val="%1、"/>
      <w:lvlJc w:val="left"/>
    </w:lvl>
  </w:abstractNum>
  <w:num w:numId="1">
    <w:abstractNumId w:val="5"/>
  </w:num>
  <w:num w:numId="2">
    <w:abstractNumId w:val="3"/>
  </w:num>
  <w:num w:numId="3">
    <w:abstractNumId w:val="8"/>
  </w:num>
  <w:num w:numId="4">
    <w:abstractNumId w:val="12"/>
  </w:num>
  <w:num w:numId="5">
    <w:abstractNumId w:val="4"/>
  </w:num>
  <w:num w:numId="6">
    <w:abstractNumId w:val="7"/>
  </w:num>
  <w:num w:numId="7">
    <w:abstractNumId w:val="9"/>
  </w:num>
  <w:num w:numId="8">
    <w:abstractNumId w:val="6"/>
  </w:num>
  <w:num w:numId="9">
    <w:abstractNumId w:val="2"/>
  </w:num>
  <w:num w:numId="10">
    <w:abstractNumId w:val="0"/>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revisionView w:markup="0"/>
  <w:trackRevisions w:val="1"/>
  <w:documentProtection w:enforcement="0"/>
  <w:defaultTabStop w:val="420"/>
  <w:doNotHyphenateCaps/>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2NhNGRiMDI1MzU0YjUxZjQ4ZGI3ZWZkOTdjMGI5YzAifQ=="/>
  </w:docVars>
  <w:rsids>
    <w:rsidRoot w:val="00AB5FE3"/>
    <w:rsid w:val="00080B07"/>
    <w:rsid w:val="00085E3F"/>
    <w:rsid w:val="000A6518"/>
    <w:rsid w:val="000A6EA5"/>
    <w:rsid w:val="000A7D4C"/>
    <w:rsid w:val="000C6610"/>
    <w:rsid w:val="000C77EB"/>
    <w:rsid w:val="000E2FB6"/>
    <w:rsid w:val="000F6B12"/>
    <w:rsid w:val="00114D92"/>
    <w:rsid w:val="00125217"/>
    <w:rsid w:val="0013112C"/>
    <w:rsid w:val="00137FEA"/>
    <w:rsid w:val="001626D3"/>
    <w:rsid w:val="00182178"/>
    <w:rsid w:val="001834CA"/>
    <w:rsid w:val="001C41A0"/>
    <w:rsid w:val="002212E3"/>
    <w:rsid w:val="00246239"/>
    <w:rsid w:val="002476EC"/>
    <w:rsid w:val="002578BC"/>
    <w:rsid w:val="002630BB"/>
    <w:rsid w:val="00276989"/>
    <w:rsid w:val="00286B27"/>
    <w:rsid w:val="002933E3"/>
    <w:rsid w:val="002A4192"/>
    <w:rsid w:val="002A4EC2"/>
    <w:rsid w:val="002C10E2"/>
    <w:rsid w:val="002E5228"/>
    <w:rsid w:val="002F1F12"/>
    <w:rsid w:val="00304941"/>
    <w:rsid w:val="00345A33"/>
    <w:rsid w:val="0037093F"/>
    <w:rsid w:val="00396788"/>
    <w:rsid w:val="003A2AE4"/>
    <w:rsid w:val="003D7403"/>
    <w:rsid w:val="00403135"/>
    <w:rsid w:val="00403F14"/>
    <w:rsid w:val="004125C2"/>
    <w:rsid w:val="00422953"/>
    <w:rsid w:val="004828FF"/>
    <w:rsid w:val="004B1D2F"/>
    <w:rsid w:val="004B636D"/>
    <w:rsid w:val="004C011E"/>
    <w:rsid w:val="004C1FB7"/>
    <w:rsid w:val="004E616D"/>
    <w:rsid w:val="004F705B"/>
    <w:rsid w:val="00500CB3"/>
    <w:rsid w:val="00502855"/>
    <w:rsid w:val="005245A6"/>
    <w:rsid w:val="00525867"/>
    <w:rsid w:val="005277DD"/>
    <w:rsid w:val="0053477E"/>
    <w:rsid w:val="005529AF"/>
    <w:rsid w:val="005571CE"/>
    <w:rsid w:val="005B0AC2"/>
    <w:rsid w:val="005C2B58"/>
    <w:rsid w:val="005C368A"/>
    <w:rsid w:val="005D042E"/>
    <w:rsid w:val="005D18B2"/>
    <w:rsid w:val="005D1DD8"/>
    <w:rsid w:val="005D4603"/>
    <w:rsid w:val="005E293A"/>
    <w:rsid w:val="005F4E0A"/>
    <w:rsid w:val="00627BE8"/>
    <w:rsid w:val="0063302E"/>
    <w:rsid w:val="0065712C"/>
    <w:rsid w:val="00671B9C"/>
    <w:rsid w:val="00680296"/>
    <w:rsid w:val="00695EAD"/>
    <w:rsid w:val="00696B6B"/>
    <w:rsid w:val="006A05E6"/>
    <w:rsid w:val="006B37F8"/>
    <w:rsid w:val="006D2DE6"/>
    <w:rsid w:val="006D6F3B"/>
    <w:rsid w:val="006E05BE"/>
    <w:rsid w:val="006F0FED"/>
    <w:rsid w:val="006F1F2B"/>
    <w:rsid w:val="007123E2"/>
    <w:rsid w:val="007210A0"/>
    <w:rsid w:val="00732078"/>
    <w:rsid w:val="00732D56"/>
    <w:rsid w:val="00757577"/>
    <w:rsid w:val="007C1DFF"/>
    <w:rsid w:val="00816A89"/>
    <w:rsid w:val="008404D4"/>
    <w:rsid w:val="0084405B"/>
    <w:rsid w:val="0085052E"/>
    <w:rsid w:val="00870FA5"/>
    <w:rsid w:val="0087765A"/>
    <w:rsid w:val="0089566F"/>
    <w:rsid w:val="008B1607"/>
    <w:rsid w:val="008C4571"/>
    <w:rsid w:val="008C7032"/>
    <w:rsid w:val="008F1B3A"/>
    <w:rsid w:val="00902810"/>
    <w:rsid w:val="009166B9"/>
    <w:rsid w:val="009269A2"/>
    <w:rsid w:val="00935718"/>
    <w:rsid w:val="00935D0C"/>
    <w:rsid w:val="0097186B"/>
    <w:rsid w:val="009C4BC9"/>
    <w:rsid w:val="009D1D3E"/>
    <w:rsid w:val="009E2AC8"/>
    <w:rsid w:val="009E5347"/>
    <w:rsid w:val="00A72290"/>
    <w:rsid w:val="00AB5FE3"/>
    <w:rsid w:val="00AD5831"/>
    <w:rsid w:val="00AF113E"/>
    <w:rsid w:val="00B217EC"/>
    <w:rsid w:val="00B27298"/>
    <w:rsid w:val="00B4695C"/>
    <w:rsid w:val="00B52256"/>
    <w:rsid w:val="00B7779D"/>
    <w:rsid w:val="00B813F8"/>
    <w:rsid w:val="00BB5AA2"/>
    <w:rsid w:val="00BE625F"/>
    <w:rsid w:val="00BF0E19"/>
    <w:rsid w:val="00C05D0A"/>
    <w:rsid w:val="00C06E98"/>
    <w:rsid w:val="00C21FA8"/>
    <w:rsid w:val="00C6409D"/>
    <w:rsid w:val="00C80A07"/>
    <w:rsid w:val="00CA788B"/>
    <w:rsid w:val="00CB57EA"/>
    <w:rsid w:val="00CE1B67"/>
    <w:rsid w:val="00CF186F"/>
    <w:rsid w:val="00D07048"/>
    <w:rsid w:val="00D154C0"/>
    <w:rsid w:val="00D32A95"/>
    <w:rsid w:val="00D619D4"/>
    <w:rsid w:val="00DA6BD7"/>
    <w:rsid w:val="00DC5A60"/>
    <w:rsid w:val="00DC681D"/>
    <w:rsid w:val="00DD4137"/>
    <w:rsid w:val="00DE0419"/>
    <w:rsid w:val="00E03208"/>
    <w:rsid w:val="00E26ED2"/>
    <w:rsid w:val="00E445B5"/>
    <w:rsid w:val="00E45870"/>
    <w:rsid w:val="00E5310F"/>
    <w:rsid w:val="00E6570F"/>
    <w:rsid w:val="00E6634A"/>
    <w:rsid w:val="00E93DE2"/>
    <w:rsid w:val="00EA233A"/>
    <w:rsid w:val="00EC49F7"/>
    <w:rsid w:val="00ED6DA1"/>
    <w:rsid w:val="00EF746E"/>
    <w:rsid w:val="00F04776"/>
    <w:rsid w:val="00F25A07"/>
    <w:rsid w:val="00F35149"/>
    <w:rsid w:val="00F551AB"/>
    <w:rsid w:val="00F62782"/>
    <w:rsid w:val="00F6462F"/>
    <w:rsid w:val="00FB2387"/>
    <w:rsid w:val="00FC4989"/>
    <w:rsid w:val="00FD444D"/>
    <w:rsid w:val="010A7C9D"/>
    <w:rsid w:val="0112363F"/>
    <w:rsid w:val="0119677B"/>
    <w:rsid w:val="011A24F4"/>
    <w:rsid w:val="012A4559"/>
    <w:rsid w:val="012C2953"/>
    <w:rsid w:val="01301E4F"/>
    <w:rsid w:val="013D4B60"/>
    <w:rsid w:val="01466B37"/>
    <w:rsid w:val="01543C57"/>
    <w:rsid w:val="015C2B0C"/>
    <w:rsid w:val="015C48BA"/>
    <w:rsid w:val="015E5112"/>
    <w:rsid w:val="016000FF"/>
    <w:rsid w:val="016E475C"/>
    <w:rsid w:val="017165B7"/>
    <w:rsid w:val="017B7436"/>
    <w:rsid w:val="017C0DF6"/>
    <w:rsid w:val="019127B6"/>
    <w:rsid w:val="019463C9"/>
    <w:rsid w:val="019B6A55"/>
    <w:rsid w:val="019F20D3"/>
    <w:rsid w:val="01B24D96"/>
    <w:rsid w:val="01C56903"/>
    <w:rsid w:val="01CD25C1"/>
    <w:rsid w:val="01CF1291"/>
    <w:rsid w:val="01EB28EE"/>
    <w:rsid w:val="01F66ABD"/>
    <w:rsid w:val="01FA41F9"/>
    <w:rsid w:val="02076F1C"/>
    <w:rsid w:val="02182ED7"/>
    <w:rsid w:val="02294804"/>
    <w:rsid w:val="02301FCF"/>
    <w:rsid w:val="024F520B"/>
    <w:rsid w:val="02532161"/>
    <w:rsid w:val="026919C5"/>
    <w:rsid w:val="02727043"/>
    <w:rsid w:val="02750329"/>
    <w:rsid w:val="028E0FF9"/>
    <w:rsid w:val="02A944BD"/>
    <w:rsid w:val="02BC3862"/>
    <w:rsid w:val="02CD1F13"/>
    <w:rsid w:val="02D33214"/>
    <w:rsid w:val="02D50DC8"/>
    <w:rsid w:val="02E132C9"/>
    <w:rsid w:val="02E1776D"/>
    <w:rsid w:val="02F609E5"/>
    <w:rsid w:val="02F83041"/>
    <w:rsid w:val="02FC6AE7"/>
    <w:rsid w:val="0317318F"/>
    <w:rsid w:val="032D29B2"/>
    <w:rsid w:val="03394EB3"/>
    <w:rsid w:val="03591D17"/>
    <w:rsid w:val="03625911"/>
    <w:rsid w:val="036363D4"/>
    <w:rsid w:val="036956D0"/>
    <w:rsid w:val="036A59B4"/>
    <w:rsid w:val="0374413D"/>
    <w:rsid w:val="037B2E73"/>
    <w:rsid w:val="03800D34"/>
    <w:rsid w:val="03836A76"/>
    <w:rsid w:val="03857FB0"/>
    <w:rsid w:val="03940498"/>
    <w:rsid w:val="039842DB"/>
    <w:rsid w:val="03A72764"/>
    <w:rsid w:val="03AD764F"/>
    <w:rsid w:val="03BB1D6C"/>
    <w:rsid w:val="03BE330C"/>
    <w:rsid w:val="03C2759E"/>
    <w:rsid w:val="03D16770"/>
    <w:rsid w:val="03D56637"/>
    <w:rsid w:val="03F82FC0"/>
    <w:rsid w:val="040A684F"/>
    <w:rsid w:val="040C6A6B"/>
    <w:rsid w:val="04133956"/>
    <w:rsid w:val="0419699F"/>
    <w:rsid w:val="0422003D"/>
    <w:rsid w:val="04274596"/>
    <w:rsid w:val="0429177F"/>
    <w:rsid w:val="04333D6C"/>
    <w:rsid w:val="04395F88"/>
    <w:rsid w:val="045301F6"/>
    <w:rsid w:val="047E71AE"/>
    <w:rsid w:val="047F0FEB"/>
    <w:rsid w:val="048459F1"/>
    <w:rsid w:val="04B2316F"/>
    <w:rsid w:val="04B36EE7"/>
    <w:rsid w:val="04B862AB"/>
    <w:rsid w:val="04BE1328"/>
    <w:rsid w:val="04C515B3"/>
    <w:rsid w:val="04C97E11"/>
    <w:rsid w:val="04D94B9F"/>
    <w:rsid w:val="04DA1079"/>
    <w:rsid w:val="04DC4690"/>
    <w:rsid w:val="04F76DD4"/>
    <w:rsid w:val="04FB2790"/>
    <w:rsid w:val="04FC263C"/>
    <w:rsid w:val="050634BB"/>
    <w:rsid w:val="05322B63"/>
    <w:rsid w:val="05340EA7"/>
    <w:rsid w:val="05341DD6"/>
    <w:rsid w:val="05353DA0"/>
    <w:rsid w:val="053718C6"/>
    <w:rsid w:val="05410997"/>
    <w:rsid w:val="05571F68"/>
    <w:rsid w:val="055907ED"/>
    <w:rsid w:val="055F2BCB"/>
    <w:rsid w:val="056819F2"/>
    <w:rsid w:val="056821C5"/>
    <w:rsid w:val="0574160C"/>
    <w:rsid w:val="05812800"/>
    <w:rsid w:val="05882122"/>
    <w:rsid w:val="05900FD6"/>
    <w:rsid w:val="059B1E55"/>
    <w:rsid w:val="059E7538"/>
    <w:rsid w:val="05A312E2"/>
    <w:rsid w:val="05A52CD4"/>
    <w:rsid w:val="05AF76AE"/>
    <w:rsid w:val="05CF5FA2"/>
    <w:rsid w:val="05DA5047"/>
    <w:rsid w:val="05DC421B"/>
    <w:rsid w:val="05E25CD6"/>
    <w:rsid w:val="05E7509A"/>
    <w:rsid w:val="05FD666C"/>
    <w:rsid w:val="06060C46"/>
    <w:rsid w:val="061439B5"/>
    <w:rsid w:val="06236C32"/>
    <w:rsid w:val="063858F6"/>
    <w:rsid w:val="06544AEA"/>
    <w:rsid w:val="0680104B"/>
    <w:rsid w:val="068648B3"/>
    <w:rsid w:val="069074E0"/>
    <w:rsid w:val="06A651EC"/>
    <w:rsid w:val="06B244F7"/>
    <w:rsid w:val="06B55693"/>
    <w:rsid w:val="06C63A0E"/>
    <w:rsid w:val="06D4354A"/>
    <w:rsid w:val="06D74B6E"/>
    <w:rsid w:val="06DA0C16"/>
    <w:rsid w:val="06E17D3B"/>
    <w:rsid w:val="06E23B26"/>
    <w:rsid w:val="06F74968"/>
    <w:rsid w:val="06FC2DC7"/>
    <w:rsid w:val="07106873"/>
    <w:rsid w:val="071D2DDA"/>
    <w:rsid w:val="07277465"/>
    <w:rsid w:val="073D0CEA"/>
    <w:rsid w:val="073E37B1"/>
    <w:rsid w:val="075A4F86"/>
    <w:rsid w:val="07612C2A"/>
    <w:rsid w:val="0768045D"/>
    <w:rsid w:val="07794699"/>
    <w:rsid w:val="07806076"/>
    <w:rsid w:val="07966D78"/>
    <w:rsid w:val="079E3E7E"/>
    <w:rsid w:val="07A34FF1"/>
    <w:rsid w:val="07A82607"/>
    <w:rsid w:val="07B05CEC"/>
    <w:rsid w:val="07C252B9"/>
    <w:rsid w:val="07C8001C"/>
    <w:rsid w:val="07CF5DE6"/>
    <w:rsid w:val="07D71CEE"/>
    <w:rsid w:val="07E31891"/>
    <w:rsid w:val="07E35D35"/>
    <w:rsid w:val="07FB6BDB"/>
    <w:rsid w:val="07FC2953"/>
    <w:rsid w:val="080D4B60"/>
    <w:rsid w:val="08161C67"/>
    <w:rsid w:val="084E1568"/>
    <w:rsid w:val="085409E1"/>
    <w:rsid w:val="08583CAF"/>
    <w:rsid w:val="08602EE2"/>
    <w:rsid w:val="086C1A35"/>
    <w:rsid w:val="086D1AA0"/>
    <w:rsid w:val="08872B64"/>
    <w:rsid w:val="089D4A3D"/>
    <w:rsid w:val="08A47272"/>
    <w:rsid w:val="08A7142D"/>
    <w:rsid w:val="08AF79C5"/>
    <w:rsid w:val="08B75C21"/>
    <w:rsid w:val="08BB4A5B"/>
    <w:rsid w:val="08BE7FAE"/>
    <w:rsid w:val="08C711B3"/>
    <w:rsid w:val="08DD77CD"/>
    <w:rsid w:val="08E73603"/>
    <w:rsid w:val="08EC29C7"/>
    <w:rsid w:val="08FB569F"/>
    <w:rsid w:val="09167A44"/>
    <w:rsid w:val="09273A00"/>
    <w:rsid w:val="092C1016"/>
    <w:rsid w:val="09442803"/>
    <w:rsid w:val="09492CEF"/>
    <w:rsid w:val="094A2521"/>
    <w:rsid w:val="09522F3E"/>
    <w:rsid w:val="09572537"/>
    <w:rsid w:val="095C5D9F"/>
    <w:rsid w:val="0962248A"/>
    <w:rsid w:val="096919AA"/>
    <w:rsid w:val="096D3B08"/>
    <w:rsid w:val="097529BD"/>
    <w:rsid w:val="0978425B"/>
    <w:rsid w:val="098009A4"/>
    <w:rsid w:val="098B280A"/>
    <w:rsid w:val="098C579F"/>
    <w:rsid w:val="09A3577C"/>
    <w:rsid w:val="09A723BB"/>
    <w:rsid w:val="09AD2157"/>
    <w:rsid w:val="09B87FD0"/>
    <w:rsid w:val="09CC3F61"/>
    <w:rsid w:val="09D207B5"/>
    <w:rsid w:val="09D618D0"/>
    <w:rsid w:val="09DD2A43"/>
    <w:rsid w:val="0A0720FF"/>
    <w:rsid w:val="0A0E4EFB"/>
    <w:rsid w:val="0A1B3564"/>
    <w:rsid w:val="0A261AF6"/>
    <w:rsid w:val="0A424F95"/>
    <w:rsid w:val="0A426D43"/>
    <w:rsid w:val="0A51342A"/>
    <w:rsid w:val="0A6F38B0"/>
    <w:rsid w:val="0A820F4B"/>
    <w:rsid w:val="0A8301E9"/>
    <w:rsid w:val="0AAC0660"/>
    <w:rsid w:val="0AB614DF"/>
    <w:rsid w:val="0AB94B2B"/>
    <w:rsid w:val="0AC03176"/>
    <w:rsid w:val="0AC0410C"/>
    <w:rsid w:val="0AD667A6"/>
    <w:rsid w:val="0AE55920"/>
    <w:rsid w:val="0AEF4C50"/>
    <w:rsid w:val="0AFD72A6"/>
    <w:rsid w:val="0B087907"/>
    <w:rsid w:val="0B0E131B"/>
    <w:rsid w:val="0B111A12"/>
    <w:rsid w:val="0B1A381C"/>
    <w:rsid w:val="0B2536F3"/>
    <w:rsid w:val="0B2705C9"/>
    <w:rsid w:val="0B3C19E4"/>
    <w:rsid w:val="0B422D73"/>
    <w:rsid w:val="0B504272"/>
    <w:rsid w:val="0B5F56D3"/>
    <w:rsid w:val="0B680A2B"/>
    <w:rsid w:val="0B7F7B23"/>
    <w:rsid w:val="0B8E7D66"/>
    <w:rsid w:val="0B9E444D"/>
    <w:rsid w:val="0BB023D2"/>
    <w:rsid w:val="0BB2614A"/>
    <w:rsid w:val="0BB53545"/>
    <w:rsid w:val="0BC124ED"/>
    <w:rsid w:val="0BD47E6F"/>
    <w:rsid w:val="0BD9544A"/>
    <w:rsid w:val="0BE14FCA"/>
    <w:rsid w:val="0BFA234D"/>
    <w:rsid w:val="0C000C64"/>
    <w:rsid w:val="0C0835A5"/>
    <w:rsid w:val="0C0A7AA8"/>
    <w:rsid w:val="0C0B13B7"/>
    <w:rsid w:val="0C1464BD"/>
    <w:rsid w:val="0C1666D9"/>
    <w:rsid w:val="0C175FAD"/>
    <w:rsid w:val="0C1A784C"/>
    <w:rsid w:val="0C2030B4"/>
    <w:rsid w:val="0C395F24"/>
    <w:rsid w:val="0C3B5596"/>
    <w:rsid w:val="0C430B50"/>
    <w:rsid w:val="0C43164B"/>
    <w:rsid w:val="0C4A6E11"/>
    <w:rsid w:val="0C605BA6"/>
    <w:rsid w:val="0C662A91"/>
    <w:rsid w:val="0C6C74AB"/>
    <w:rsid w:val="0C6E02C3"/>
    <w:rsid w:val="0C833643"/>
    <w:rsid w:val="0C8A2C92"/>
    <w:rsid w:val="0C8F3D96"/>
    <w:rsid w:val="0CA23AC9"/>
    <w:rsid w:val="0CB87790"/>
    <w:rsid w:val="0CC22FE6"/>
    <w:rsid w:val="0CC25F19"/>
    <w:rsid w:val="0CC3477E"/>
    <w:rsid w:val="0CD10852"/>
    <w:rsid w:val="0CD22DCF"/>
    <w:rsid w:val="0CDD0FA5"/>
    <w:rsid w:val="0CE33205"/>
    <w:rsid w:val="0CE40585"/>
    <w:rsid w:val="0CE51C08"/>
    <w:rsid w:val="0CEB16A1"/>
    <w:rsid w:val="0CEC743A"/>
    <w:rsid w:val="0CEF2A86"/>
    <w:rsid w:val="0D062A3C"/>
    <w:rsid w:val="0D132C19"/>
    <w:rsid w:val="0D251794"/>
    <w:rsid w:val="0D2564A8"/>
    <w:rsid w:val="0D2734E0"/>
    <w:rsid w:val="0D295F98"/>
    <w:rsid w:val="0D2D6ACA"/>
    <w:rsid w:val="0D2E2F71"/>
    <w:rsid w:val="0D3443CA"/>
    <w:rsid w:val="0D3A63F7"/>
    <w:rsid w:val="0D4728C2"/>
    <w:rsid w:val="0D512DA1"/>
    <w:rsid w:val="0D6917CA"/>
    <w:rsid w:val="0D705975"/>
    <w:rsid w:val="0D774F56"/>
    <w:rsid w:val="0D933D59"/>
    <w:rsid w:val="0D9773A6"/>
    <w:rsid w:val="0D9F4AB0"/>
    <w:rsid w:val="0DB02216"/>
    <w:rsid w:val="0DB55A7E"/>
    <w:rsid w:val="0DBC79F0"/>
    <w:rsid w:val="0DBE26D2"/>
    <w:rsid w:val="0DCA6ABF"/>
    <w:rsid w:val="0DCC638D"/>
    <w:rsid w:val="0DED6FC6"/>
    <w:rsid w:val="0DEE0F90"/>
    <w:rsid w:val="0DFC18FF"/>
    <w:rsid w:val="0E01025C"/>
    <w:rsid w:val="0E121122"/>
    <w:rsid w:val="0E14400C"/>
    <w:rsid w:val="0E3B2427"/>
    <w:rsid w:val="0E4F21C3"/>
    <w:rsid w:val="0E552DBD"/>
    <w:rsid w:val="0E572FD9"/>
    <w:rsid w:val="0E5E6115"/>
    <w:rsid w:val="0E680170"/>
    <w:rsid w:val="0E707BF7"/>
    <w:rsid w:val="0E8337BB"/>
    <w:rsid w:val="0E903DF5"/>
    <w:rsid w:val="0E943D45"/>
    <w:rsid w:val="0E9B3E36"/>
    <w:rsid w:val="0EA578A0"/>
    <w:rsid w:val="0EA73583"/>
    <w:rsid w:val="0EAE0E4B"/>
    <w:rsid w:val="0EB35D57"/>
    <w:rsid w:val="0ECC307F"/>
    <w:rsid w:val="0EEC1973"/>
    <w:rsid w:val="0EED1247"/>
    <w:rsid w:val="0F0B456E"/>
    <w:rsid w:val="0F380715"/>
    <w:rsid w:val="0F3B40A8"/>
    <w:rsid w:val="0F3D3F7D"/>
    <w:rsid w:val="0F40581B"/>
    <w:rsid w:val="0F4079EA"/>
    <w:rsid w:val="0F56503F"/>
    <w:rsid w:val="0F5E1AD0"/>
    <w:rsid w:val="0F6054C9"/>
    <w:rsid w:val="0F673DF2"/>
    <w:rsid w:val="0F735BF1"/>
    <w:rsid w:val="0F7756E1"/>
    <w:rsid w:val="0F7F36E4"/>
    <w:rsid w:val="0F7F6343"/>
    <w:rsid w:val="0F96368D"/>
    <w:rsid w:val="0F977F80"/>
    <w:rsid w:val="0FAC0BDF"/>
    <w:rsid w:val="0FAD48B7"/>
    <w:rsid w:val="0FB15F2D"/>
    <w:rsid w:val="0FB32491"/>
    <w:rsid w:val="0FB87AA7"/>
    <w:rsid w:val="0FBA737B"/>
    <w:rsid w:val="0FC1070A"/>
    <w:rsid w:val="0FD0094D"/>
    <w:rsid w:val="0FEB2934"/>
    <w:rsid w:val="0FED7751"/>
    <w:rsid w:val="0FEE72AD"/>
    <w:rsid w:val="0FFA058B"/>
    <w:rsid w:val="1010343F"/>
    <w:rsid w:val="10134FA4"/>
    <w:rsid w:val="10321608"/>
    <w:rsid w:val="10453CB6"/>
    <w:rsid w:val="1048744F"/>
    <w:rsid w:val="104A6951"/>
    <w:rsid w:val="104C257C"/>
    <w:rsid w:val="10506D54"/>
    <w:rsid w:val="10515172"/>
    <w:rsid w:val="10545A22"/>
    <w:rsid w:val="106B68C8"/>
    <w:rsid w:val="10740D11"/>
    <w:rsid w:val="107B3D46"/>
    <w:rsid w:val="108A4FA0"/>
    <w:rsid w:val="108B0D18"/>
    <w:rsid w:val="109127D2"/>
    <w:rsid w:val="10AE63FA"/>
    <w:rsid w:val="10B93AD7"/>
    <w:rsid w:val="10B97633"/>
    <w:rsid w:val="10C83D1A"/>
    <w:rsid w:val="10D2337A"/>
    <w:rsid w:val="10DD2B7B"/>
    <w:rsid w:val="10E2302E"/>
    <w:rsid w:val="10F13271"/>
    <w:rsid w:val="112A6783"/>
    <w:rsid w:val="114636B8"/>
    <w:rsid w:val="114F1D45"/>
    <w:rsid w:val="11552DD2"/>
    <w:rsid w:val="116C6D9B"/>
    <w:rsid w:val="116F23E8"/>
    <w:rsid w:val="11733C86"/>
    <w:rsid w:val="117B6FDE"/>
    <w:rsid w:val="11866772"/>
    <w:rsid w:val="118A1ED0"/>
    <w:rsid w:val="118F65E6"/>
    <w:rsid w:val="119B5EA3"/>
    <w:rsid w:val="11A96BDF"/>
    <w:rsid w:val="11CB5870"/>
    <w:rsid w:val="11CB7FF4"/>
    <w:rsid w:val="11D84431"/>
    <w:rsid w:val="11DE3CD2"/>
    <w:rsid w:val="11E85B1A"/>
    <w:rsid w:val="11EA22F1"/>
    <w:rsid w:val="11EB6357"/>
    <w:rsid w:val="11ED3EAE"/>
    <w:rsid w:val="11F272A1"/>
    <w:rsid w:val="11F67276"/>
    <w:rsid w:val="12047CB0"/>
    <w:rsid w:val="12091810"/>
    <w:rsid w:val="120B2110"/>
    <w:rsid w:val="121D3BF2"/>
    <w:rsid w:val="122F062D"/>
    <w:rsid w:val="122F22A3"/>
    <w:rsid w:val="12333415"/>
    <w:rsid w:val="125B696E"/>
    <w:rsid w:val="125E0D24"/>
    <w:rsid w:val="12617F82"/>
    <w:rsid w:val="126B2BAF"/>
    <w:rsid w:val="126E269F"/>
    <w:rsid w:val="12723D6D"/>
    <w:rsid w:val="12771554"/>
    <w:rsid w:val="127B49E4"/>
    <w:rsid w:val="128A6105"/>
    <w:rsid w:val="128B5ABB"/>
    <w:rsid w:val="1299596E"/>
    <w:rsid w:val="129F0AAB"/>
    <w:rsid w:val="12BB6D36"/>
    <w:rsid w:val="12BC165D"/>
    <w:rsid w:val="12F708E7"/>
    <w:rsid w:val="130A5461"/>
    <w:rsid w:val="130D2EB5"/>
    <w:rsid w:val="130F3E82"/>
    <w:rsid w:val="131909D0"/>
    <w:rsid w:val="132F62D2"/>
    <w:rsid w:val="134C29E0"/>
    <w:rsid w:val="13552489"/>
    <w:rsid w:val="135567C5"/>
    <w:rsid w:val="13631AD8"/>
    <w:rsid w:val="13685340"/>
    <w:rsid w:val="13813C3C"/>
    <w:rsid w:val="13855EF2"/>
    <w:rsid w:val="1393060F"/>
    <w:rsid w:val="1393634E"/>
    <w:rsid w:val="13D11138"/>
    <w:rsid w:val="13D80F6B"/>
    <w:rsid w:val="13DE4113"/>
    <w:rsid w:val="13DF5603"/>
    <w:rsid w:val="13FD3CDB"/>
    <w:rsid w:val="1403423A"/>
    <w:rsid w:val="14035330"/>
    <w:rsid w:val="14086FAC"/>
    <w:rsid w:val="141259D8"/>
    <w:rsid w:val="141B0041"/>
    <w:rsid w:val="1428547C"/>
    <w:rsid w:val="143309BD"/>
    <w:rsid w:val="14332A87"/>
    <w:rsid w:val="14345E3A"/>
    <w:rsid w:val="144E581F"/>
    <w:rsid w:val="145853B5"/>
    <w:rsid w:val="145C4EA5"/>
    <w:rsid w:val="1465121C"/>
    <w:rsid w:val="147158F4"/>
    <w:rsid w:val="14737CA6"/>
    <w:rsid w:val="14893CDD"/>
    <w:rsid w:val="1498706D"/>
    <w:rsid w:val="14A724C4"/>
    <w:rsid w:val="14B4083D"/>
    <w:rsid w:val="14B85D75"/>
    <w:rsid w:val="14BE346A"/>
    <w:rsid w:val="14CF3499"/>
    <w:rsid w:val="14CF6317"/>
    <w:rsid w:val="14E11BE5"/>
    <w:rsid w:val="14F72E20"/>
    <w:rsid w:val="150952B8"/>
    <w:rsid w:val="151237B6"/>
    <w:rsid w:val="153320AA"/>
    <w:rsid w:val="153B1DB4"/>
    <w:rsid w:val="153B5E8A"/>
    <w:rsid w:val="154716B1"/>
    <w:rsid w:val="154D0C92"/>
    <w:rsid w:val="155115F3"/>
    <w:rsid w:val="15593193"/>
    <w:rsid w:val="155A7BF6"/>
    <w:rsid w:val="155B515D"/>
    <w:rsid w:val="155C3217"/>
    <w:rsid w:val="156C736A"/>
    <w:rsid w:val="156D6C3E"/>
    <w:rsid w:val="157E7AEC"/>
    <w:rsid w:val="158F1C8D"/>
    <w:rsid w:val="15914DE7"/>
    <w:rsid w:val="159211B8"/>
    <w:rsid w:val="15A9411A"/>
    <w:rsid w:val="15B270DB"/>
    <w:rsid w:val="15B605E5"/>
    <w:rsid w:val="15DA0777"/>
    <w:rsid w:val="15E96C0C"/>
    <w:rsid w:val="16175528"/>
    <w:rsid w:val="162110A9"/>
    <w:rsid w:val="16295EE4"/>
    <w:rsid w:val="163634D4"/>
    <w:rsid w:val="163A2FC4"/>
    <w:rsid w:val="164901B2"/>
    <w:rsid w:val="164A206A"/>
    <w:rsid w:val="164F1AD0"/>
    <w:rsid w:val="165017EB"/>
    <w:rsid w:val="166404C6"/>
    <w:rsid w:val="166753F2"/>
    <w:rsid w:val="167364D6"/>
    <w:rsid w:val="167A614F"/>
    <w:rsid w:val="16831F71"/>
    <w:rsid w:val="1687506D"/>
    <w:rsid w:val="169804E7"/>
    <w:rsid w:val="16AE750E"/>
    <w:rsid w:val="16BA0531"/>
    <w:rsid w:val="16BC1C2B"/>
    <w:rsid w:val="16C723D2"/>
    <w:rsid w:val="16EC2D18"/>
    <w:rsid w:val="16F5513D"/>
    <w:rsid w:val="16FF39CF"/>
    <w:rsid w:val="171750B3"/>
    <w:rsid w:val="171E28E6"/>
    <w:rsid w:val="17216EDD"/>
    <w:rsid w:val="174B2FAF"/>
    <w:rsid w:val="17571954"/>
    <w:rsid w:val="176A5B2B"/>
    <w:rsid w:val="176C18A3"/>
    <w:rsid w:val="1770197C"/>
    <w:rsid w:val="17740335"/>
    <w:rsid w:val="17873814"/>
    <w:rsid w:val="17887D5F"/>
    <w:rsid w:val="178A43F9"/>
    <w:rsid w:val="17B374D2"/>
    <w:rsid w:val="17BF5E77"/>
    <w:rsid w:val="17D56D11"/>
    <w:rsid w:val="17E70F2A"/>
    <w:rsid w:val="17EC6540"/>
    <w:rsid w:val="18026B7E"/>
    <w:rsid w:val="180C273E"/>
    <w:rsid w:val="181136A8"/>
    <w:rsid w:val="181A358A"/>
    <w:rsid w:val="18311585"/>
    <w:rsid w:val="18504D21"/>
    <w:rsid w:val="185A1BD3"/>
    <w:rsid w:val="186B3909"/>
    <w:rsid w:val="186E1092"/>
    <w:rsid w:val="18720289"/>
    <w:rsid w:val="18890C52"/>
    <w:rsid w:val="18893D8F"/>
    <w:rsid w:val="18910E95"/>
    <w:rsid w:val="189C1D14"/>
    <w:rsid w:val="18A32F63"/>
    <w:rsid w:val="18B03A11"/>
    <w:rsid w:val="18C025DC"/>
    <w:rsid w:val="18C272A1"/>
    <w:rsid w:val="18CF73E2"/>
    <w:rsid w:val="18E721F3"/>
    <w:rsid w:val="190243E2"/>
    <w:rsid w:val="1908743E"/>
    <w:rsid w:val="19127B16"/>
    <w:rsid w:val="19232435"/>
    <w:rsid w:val="192B12EA"/>
    <w:rsid w:val="19355CC5"/>
    <w:rsid w:val="193D5B32"/>
    <w:rsid w:val="197607B7"/>
    <w:rsid w:val="198B6B31"/>
    <w:rsid w:val="198D51E7"/>
    <w:rsid w:val="19A61090"/>
    <w:rsid w:val="19B60BB4"/>
    <w:rsid w:val="19C71013"/>
    <w:rsid w:val="19D90D46"/>
    <w:rsid w:val="19EF40C6"/>
    <w:rsid w:val="19FE3E37"/>
    <w:rsid w:val="19FF69FF"/>
    <w:rsid w:val="1A06239F"/>
    <w:rsid w:val="1A071E95"/>
    <w:rsid w:val="1A085187"/>
    <w:rsid w:val="1A2B6074"/>
    <w:rsid w:val="1A4408B5"/>
    <w:rsid w:val="1A4B687B"/>
    <w:rsid w:val="1A5F2FF9"/>
    <w:rsid w:val="1A693E78"/>
    <w:rsid w:val="1A6B5E42"/>
    <w:rsid w:val="1A6E148E"/>
    <w:rsid w:val="1A721F8D"/>
    <w:rsid w:val="1A754272"/>
    <w:rsid w:val="1A8D2EA4"/>
    <w:rsid w:val="1A9F3028"/>
    <w:rsid w:val="1AA41354"/>
    <w:rsid w:val="1AB3613A"/>
    <w:rsid w:val="1ABA46D4"/>
    <w:rsid w:val="1AC35C7E"/>
    <w:rsid w:val="1AC76DF0"/>
    <w:rsid w:val="1ACA41CA"/>
    <w:rsid w:val="1ACD005B"/>
    <w:rsid w:val="1AD35795"/>
    <w:rsid w:val="1AD559B1"/>
    <w:rsid w:val="1AFE6CB6"/>
    <w:rsid w:val="1AFF2A2E"/>
    <w:rsid w:val="1B1A7C3C"/>
    <w:rsid w:val="1B3834DB"/>
    <w:rsid w:val="1B391A9C"/>
    <w:rsid w:val="1B3C333B"/>
    <w:rsid w:val="1B3C35B9"/>
    <w:rsid w:val="1B440441"/>
    <w:rsid w:val="1B4D379A"/>
    <w:rsid w:val="1B59686F"/>
    <w:rsid w:val="1B597E38"/>
    <w:rsid w:val="1B5E59A7"/>
    <w:rsid w:val="1B5F14F9"/>
    <w:rsid w:val="1B6A4F0B"/>
    <w:rsid w:val="1B6F1AB4"/>
    <w:rsid w:val="1B785E55"/>
    <w:rsid w:val="1B866CAC"/>
    <w:rsid w:val="1B9118D8"/>
    <w:rsid w:val="1B935B8A"/>
    <w:rsid w:val="1B950B3C"/>
    <w:rsid w:val="1B9A67A6"/>
    <w:rsid w:val="1B9B2757"/>
    <w:rsid w:val="1B9E4E79"/>
    <w:rsid w:val="1BA809D0"/>
    <w:rsid w:val="1BA86C22"/>
    <w:rsid w:val="1BB235FD"/>
    <w:rsid w:val="1BB35E2F"/>
    <w:rsid w:val="1BB44AB4"/>
    <w:rsid w:val="1BB6133F"/>
    <w:rsid w:val="1BC05C58"/>
    <w:rsid w:val="1BC31CAE"/>
    <w:rsid w:val="1BC577D4"/>
    <w:rsid w:val="1BC8151F"/>
    <w:rsid w:val="1BCE450B"/>
    <w:rsid w:val="1BD45C69"/>
    <w:rsid w:val="1C162336"/>
    <w:rsid w:val="1C172E9C"/>
    <w:rsid w:val="1C180C2E"/>
    <w:rsid w:val="1C1C03C3"/>
    <w:rsid w:val="1C3109C5"/>
    <w:rsid w:val="1C3339B4"/>
    <w:rsid w:val="1C3428A6"/>
    <w:rsid w:val="1C3D241A"/>
    <w:rsid w:val="1C4701E9"/>
    <w:rsid w:val="1C580648"/>
    <w:rsid w:val="1C5E5533"/>
    <w:rsid w:val="1C6174E0"/>
    <w:rsid w:val="1C67119B"/>
    <w:rsid w:val="1C6C5EA1"/>
    <w:rsid w:val="1C735482"/>
    <w:rsid w:val="1C756548"/>
    <w:rsid w:val="1C7D180E"/>
    <w:rsid w:val="1C862B65"/>
    <w:rsid w:val="1C8C707E"/>
    <w:rsid w:val="1C9A0C60"/>
    <w:rsid w:val="1CA3724C"/>
    <w:rsid w:val="1CA7512B"/>
    <w:rsid w:val="1CAD3695"/>
    <w:rsid w:val="1CAF4AE3"/>
    <w:rsid w:val="1CBE266D"/>
    <w:rsid w:val="1CBF2475"/>
    <w:rsid w:val="1CD24EBC"/>
    <w:rsid w:val="1CD263B8"/>
    <w:rsid w:val="1CD852E5"/>
    <w:rsid w:val="1CDA1373"/>
    <w:rsid w:val="1CE0522F"/>
    <w:rsid w:val="1CE11DDF"/>
    <w:rsid w:val="1CE3192D"/>
    <w:rsid w:val="1CEC2B3E"/>
    <w:rsid w:val="1CF17370"/>
    <w:rsid w:val="1CFF0AC4"/>
    <w:rsid w:val="1D0C1708"/>
    <w:rsid w:val="1D13456F"/>
    <w:rsid w:val="1D1722B1"/>
    <w:rsid w:val="1D331190"/>
    <w:rsid w:val="1D412E8A"/>
    <w:rsid w:val="1D434E54"/>
    <w:rsid w:val="1D444728"/>
    <w:rsid w:val="1D4B5AB7"/>
    <w:rsid w:val="1D570900"/>
    <w:rsid w:val="1D5A03F0"/>
    <w:rsid w:val="1D666D95"/>
    <w:rsid w:val="1D732E41"/>
    <w:rsid w:val="1D8A14F0"/>
    <w:rsid w:val="1D8D60CF"/>
    <w:rsid w:val="1D94745E"/>
    <w:rsid w:val="1DB034A7"/>
    <w:rsid w:val="1DC843E2"/>
    <w:rsid w:val="1DCB6BF8"/>
    <w:rsid w:val="1DCE5D66"/>
    <w:rsid w:val="1DDB32DF"/>
    <w:rsid w:val="1DE101C9"/>
    <w:rsid w:val="1DE1381D"/>
    <w:rsid w:val="1DEF28E6"/>
    <w:rsid w:val="1DF223D6"/>
    <w:rsid w:val="1DF6391F"/>
    <w:rsid w:val="1E026ABD"/>
    <w:rsid w:val="1E164317"/>
    <w:rsid w:val="1E21783A"/>
    <w:rsid w:val="1E2A6014"/>
    <w:rsid w:val="1E2F362A"/>
    <w:rsid w:val="1E322B1A"/>
    <w:rsid w:val="1E426EBA"/>
    <w:rsid w:val="1E5029D9"/>
    <w:rsid w:val="1E553655"/>
    <w:rsid w:val="1E5E181A"/>
    <w:rsid w:val="1E617A35"/>
    <w:rsid w:val="1E635082"/>
    <w:rsid w:val="1E735BEA"/>
    <w:rsid w:val="1E831DB3"/>
    <w:rsid w:val="1E8A6AB3"/>
    <w:rsid w:val="1E9772EF"/>
    <w:rsid w:val="1E9811D0"/>
    <w:rsid w:val="1E9D2342"/>
    <w:rsid w:val="1EAC54E7"/>
    <w:rsid w:val="1ED1023E"/>
    <w:rsid w:val="1EF108E0"/>
    <w:rsid w:val="1EFF2FFD"/>
    <w:rsid w:val="1F3B3A5E"/>
    <w:rsid w:val="1F4142CA"/>
    <w:rsid w:val="1F4C6F8C"/>
    <w:rsid w:val="1F4D1FBA"/>
    <w:rsid w:val="1F5056D8"/>
    <w:rsid w:val="1F544CBA"/>
    <w:rsid w:val="1F574BE7"/>
    <w:rsid w:val="1F624FA9"/>
    <w:rsid w:val="1F647304"/>
    <w:rsid w:val="1F8B2AE2"/>
    <w:rsid w:val="1F8D685B"/>
    <w:rsid w:val="1F9C6A9E"/>
    <w:rsid w:val="1FAC2878"/>
    <w:rsid w:val="1FB15454"/>
    <w:rsid w:val="1FC91057"/>
    <w:rsid w:val="1FF73CD4"/>
    <w:rsid w:val="200D34F7"/>
    <w:rsid w:val="201725C8"/>
    <w:rsid w:val="201A79C2"/>
    <w:rsid w:val="201B6DAB"/>
    <w:rsid w:val="20304BC9"/>
    <w:rsid w:val="20322F5E"/>
    <w:rsid w:val="203521EF"/>
    <w:rsid w:val="2040567B"/>
    <w:rsid w:val="204F58BE"/>
    <w:rsid w:val="206770AC"/>
    <w:rsid w:val="206B142F"/>
    <w:rsid w:val="208A65C1"/>
    <w:rsid w:val="20911160"/>
    <w:rsid w:val="209459C7"/>
    <w:rsid w:val="209634ED"/>
    <w:rsid w:val="20A976C4"/>
    <w:rsid w:val="20B35E4D"/>
    <w:rsid w:val="20B63B8F"/>
    <w:rsid w:val="20CF4C51"/>
    <w:rsid w:val="20D254D7"/>
    <w:rsid w:val="20DD2ECA"/>
    <w:rsid w:val="20FD7003"/>
    <w:rsid w:val="21025026"/>
    <w:rsid w:val="21135DB8"/>
    <w:rsid w:val="2116549F"/>
    <w:rsid w:val="211803A6"/>
    <w:rsid w:val="212D20A3"/>
    <w:rsid w:val="213049DA"/>
    <w:rsid w:val="21315F6F"/>
    <w:rsid w:val="21460DAB"/>
    <w:rsid w:val="2150416A"/>
    <w:rsid w:val="21620C8B"/>
    <w:rsid w:val="216C24A0"/>
    <w:rsid w:val="2174135D"/>
    <w:rsid w:val="21747FCA"/>
    <w:rsid w:val="21801C61"/>
    <w:rsid w:val="21915D17"/>
    <w:rsid w:val="21B93F30"/>
    <w:rsid w:val="21BB2780"/>
    <w:rsid w:val="21BD65E7"/>
    <w:rsid w:val="21C73A0C"/>
    <w:rsid w:val="21CA1154"/>
    <w:rsid w:val="21D86E71"/>
    <w:rsid w:val="21DC13D3"/>
    <w:rsid w:val="220646A2"/>
    <w:rsid w:val="220B1C2D"/>
    <w:rsid w:val="22317971"/>
    <w:rsid w:val="223E3E3C"/>
    <w:rsid w:val="226715E5"/>
    <w:rsid w:val="226B7039"/>
    <w:rsid w:val="227546C9"/>
    <w:rsid w:val="227E248B"/>
    <w:rsid w:val="22950A47"/>
    <w:rsid w:val="22B20386"/>
    <w:rsid w:val="22B67BCB"/>
    <w:rsid w:val="22D14CB0"/>
    <w:rsid w:val="22D97312"/>
    <w:rsid w:val="22DD3655"/>
    <w:rsid w:val="22DF51B4"/>
    <w:rsid w:val="22F10DC9"/>
    <w:rsid w:val="22F469BA"/>
    <w:rsid w:val="23034243"/>
    <w:rsid w:val="230F7587"/>
    <w:rsid w:val="231132FF"/>
    <w:rsid w:val="233A4603"/>
    <w:rsid w:val="233C7CDD"/>
    <w:rsid w:val="235C3345"/>
    <w:rsid w:val="235E1CD0"/>
    <w:rsid w:val="23621DAC"/>
    <w:rsid w:val="236F73FC"/>
    <w:rsid w:val="2374166F"/>
    <w:rsid w:val="237B7CED"/>
    <w:rsid w:val="23836253"/>
    <w:rsid w:val="239006C7"/>
    <w:rsid w:val="239E59A9"/>
    <w:rsid w:val="23A83C63"/>
    <w:rsid w:val="23B048C6"/>
    <w:rsid w:val="23B348A8"/>
    <w:rsid w:val="23B80E3C"/>
    <w:rsid w:val="23C95987"/>
    <w:rsid w:val="23E26A49"/>
    <w:rsid w:val="23E40A13"/>
    <w:rsid w:val="23E42CBC"/>
    <w:rsid w:val="23F01166"/>
    <w:rsid w:val="23F63A81"/>
    <w:rsid w:val="23FA3D93"/>
    <w:rsid w:val="23FD0C78"/>
    <w:rsid w:val="240F698F"/>
    <w:rsid w:val="24264B88"/>
    <w:rsid w:val="2432352D"/>
    <w:rsid w:val="2435301D"/>
    <w:rsid w:val="24376D95"/>
    <w:rsid w:val="244F1E0A"/>
    <w:rsid w:val="24503D37"/>
    <w:rsid w:val="24571B75"/>
    <w:rsid w:val="24653902"/>
    <w:rsid w:val="24773635"/>
    <w:rsid w:val="247D1459"/>
    <w:rsid w:val="247E5FA4"/>
    <w:rsid w:val="249064A5"/>
    <w:rsid w:val="249F22D2"/>
    <w:rsid w:val="24A24B56"/>
    <w:rsid w:val="24B03C1C"/>
    <w:rsid w:val="24B30B11"/>
    <w:rsid w:val="24C148B0"/>
    <w:rsid w:val="24CD7497"/>
    <w:rsid w:val="24CF0D7F"/>
    <w:rsid w:val="24E80B88"/>
    <w:rsid w:val="251855C4"/>
    <w:rsid w:val="251D7019"/>
    <w:rsid w:val="252235A1"/>
    <w:rsid w:val="252C3253"/>
    <w:rsid w:val="252D7EE3"/>
    <w:rsid w:val="2533755C"/>
    <w:rsid w:val="253D5B31"/>
    <w:rsid w:val="25565941"/>
    <w:rsid w:val="25657932"/>
    <w:rsid w:val="257506C0"/>
    <w:rsid w:val="2586533D"/>
    <w:rsid w:val="25893620"/>
    <w:rsid w:val="259124D5"/>
    <w:rsid w:val="25942C89"/>
    <w:rsid w:val="259A5AC2"/>
    <w:rsid w:val="259D70CC"/>
    <w:rsid w:val="259F2E44"/>
    <w:rsid w:val="25A77F4A"/>
    <w:rsid w:val="25AE12D9"/>
    <w:rsid w:val="25B032A3"/>
    <w:rsid w:val="25B23A96"/>
    <w:rsid w:val="25B61F3B"/>
    <w:rsid w:val="25BC1C48"/>
    <w:rsid w:val="25C603D0"/>
    <w:rsid w:val="25CD12A2"/>
    <w:rsid w:val="25D04EC2"/>
    <w:rsid w:val="25DF5936"/>
    <w:rsid w:val="25E6488B"/>
    <w:rsid w:val="25EB6089"/>
    <w:rsid w:val="2601765A"/>
    <w:rsid w:val="260459BC"/>
    <w:rsid w:val="261B0839"/>
    <w:rsid w:val="2626473C"/>
    <w:rsid w:val="262C7776"/>
    <w:rsid w:val="263C0703"/>
    <w:rsid w:val="2657371E"/>
    <w:rsid w:val="26632AEE"/>
    <w:rsid w:val="2666750E"/>
    <w:rsid w:val="266876DA"/>
    <w:rsid w:val="26726C49"/>
    <w:rsid w:val="26773DC1"/>
    <w:rsid w:val="267D2343"/>
    <w:rsid w:val="26904E9E"/>
    <w:rsid w:val="26940F9E"/>
    <w:rsid w:val="26950406"/>
    <w:rsid w:val="269577DC"/>
    <w:rsid w:val="269F1C1D"/>
    <w:rsid w:val="26C03072"/>
    <w:rsid w:val="26D33C77"/>
    <w:rsid w:val="26D94133"/>
    <w:rsid w:val="270A274C"/>
    <w:rsid w:val="270C569C"/>
    <w:rsid w:val="271433BD"/>
    <w:rsid w:val="27174C5C"/>
    <w:rsid w:val="27565784"/>
    <w:rsid w:val="27595274"/>
    <w:rsid w:val="275A1718"/>
    <w:rsid w:val="276C4FA7"/>
    <w:rsid w:val="27764078"/>
    <w:rsid w:val="27781B9E"/>
    <w:rsid w:val="277A7BA9"/>
    <w:rsid w:val="2786362E"/>
    <w:rsid w:val="27A377C7"/>
    <w:rsid w:val="27A504B9"/>
    <w:rsid w:val="27B16D5C"/>
    <w:rsid w:val="27B94B35"/>
    <w:rsid w:val="27D65CA8"/>
    <w:rsid w:val="27E56B08"/>
    <w:rsid w:val="27E72880"/>
    <w:rsid w:val="27E92A9C"/>
    <w:rsid w:val="27F751B9"/>
    <w:rsid w:val="27F76F67"/>
    <w:rsid w:val="27FE74DC"/>
    <w:rsid w:val="280865D8"/>
    <w:rsid w:val="2810627B"/>
    <w:rsid w:val="28186EDD"/>
    <w:rsid w:val="282A79A9"/>
    <w:rsid w:val="282B4E63"/>
    <w:rsid w:val="283A748E"/>
    <w:rsid w:val="2842352C"/>
    <w:rsid w:val="285443B9"/>
    <w:rsid w:val="28697739"/>
    <w:rsid w:val="286D547B"/>
    <w:rsid w:val="287301D9"/>
    <w:rsid w:val="2881386A"/>
    <w:rsid w:val="28820DB5"/>
    <w:rsid w:val="288307FB"/>
    <w:rsid w:val="28855AE5"/>
    <w:rsid w:val="28861EB0"/>
    <w:rsid w:val="28895693"/>
    <w:rsid w:val="288B3B53"/>
    <w:rsid w:val="28920A3E"/>
    <w:rsid w:val="289E3886"/>
    <w:rsid w:val="28A546A3"/>
    <w:rsid w:val="28A644E9"/>
    <w:rsid w:val="28AA1FF2"/>
    <w:rsid w:val="28AF339E"/>
    <w:rsid w:val="28B41ED8"/>
    <w:rsid w:val="28B60BD0"/>
    <w:rsid w:val="28B67424"/>
    <w:rsid w:val="28C3509B"/>
    <w:rsid w:val="28C80903"/>
    <w:rsid w:val="28CE01FC"/>
    <w:rsid w:val="28E148BA"/>
    <w:rsid w:val="28F74247"/>
    <w:rsid w:val="28FE4325"/>
    <w:rsid w:val="2919107E"/>
    <w:rsid w:val="291C47AB"/>
    <w:rsid w:val="291E43A9"/>
    <w:rsid w:val="29276E05"/>
    <w:rsid w:val="292813A2"/>
    <w:rsid w:val="29325D7D"/>
    <w:rsid w:val="29361D11"/>
    <w:rsid w:val="2936586D"/>
    <w:rsid w:val="294F692F"/>
    <w:rsid w:val="29602282"/>
    <w:rsid w:val="29671ECA"/>
    <w:rsid w:val="297840D8"/>
    <w:rsid w:val="29890093"/>
    <w:rsid w:val="298B0594"/>
    <w:rsid w:val="29915199"/>
    <w:rsid w:val="29AC1FD3"/>
    <w:rsid w:val="29CD5F2C"/>
    <w:rsid w:val="29D46625"/>
    <w:rsid w:val="29D907E2"/>
    <w:rsid w:val="29DA1C41"/>
    <w:rsid w:val="29F179E6"/>
    <w:rsid w:val="29FA0F90"/>
    <w:rsid w:val="2A021BF3"/>
    <w:rsid w:val="2A1056ED"/>
    <w:rsid w:val="2A2860FB"/>
    <w:rsid w:val="2A377AEF"/>
    <w:rsid w:val="2A3A05D7"/>
    <w:rsid w:val="2A3D0E7D"/>
    <w:rsid w:val="2A407B09"/>
    <w:rsid w:val="2A4E4E38"/>
    <w:rsid w:val="2A51417B"/>
    <w:rsid w:val="2A5616A7"/>
    <w:rsid w:val="2A571F3F"/>
    <w:rsid w:val="2A5A0253"/>
    <w:rsid w:val="2A6B1546"/>
    <w:rsid w:val="2A6D3510"/>
    <w:rsid w:val="2A816FBC"/>
    <w:rsid w:val="2A8F232F"/>
    <w:rsid w:val="2A9B449A"/>
    <w:rsid w:val="2AA1140C"/>
    <w:rsid w:val="2AA178F5"/>
    <w:rsid w:val="2AAB4039"/>
    <w:rsid w:val="2AB723F0"/>
    <w:rsid w:val="2ABE1FBE"/>
    <w:rsid w:val="2AC1560A"/>
    <w:rsid w:val="2AC62C21"/>
    <w:rsid w:val="2ACD6F90"/>
    <w:rsid w:val="2AD03A9F"/>
    <w:rsid w:val="2AD510B6"/>
    <w:rsid w:val="2ADE00B1"/>
    <w:rsid w:val="2AF7102C"/>
    <w:rsid w:val="2AFA2CC5"/>
    <w:rsid w:val="2AFB6D6E"/>
    <w:rsid w:val="2B006133"/>
    <w:rsid w:val="2B1240B8"/>
    <w:rsid w:val="2B163448"/>
    <w:rsid w:val="2B1C0464"/>
    <w:rsid w:val="2B24795B"/>
    <w:rsid w:val="2B312EE2"/>
    <w:rsid w:val="2B4A3852"/>
    <w:rsid w:val="2B4E3437"/>
    <w:rsid w:val="2B66442F"/>
    <w:rsid w:val="2B672C9E"/>
    <w:rsid w:val="2B6A7A50"/>
    <w:rsid w:val="2B701554"/>
    <w:rsid w:val="2B76668D"/>
    <w:rsid w:val="2B797C93"/>
    <w:rsid w:val="2B7B0969"/>
    <w:rsid w:val="2B8374CF"/>
    <w:rsid w:val="2B97636B"/>
    <w:rsid w:val="2BA754F7"/>
    <w:rsid w:val="2BBA6A76"/>
    <w:rsid w:val="2BC03B14"/>
    <w:rsid w:val="2BE65808"/>
    <w:rsid w:val="2BF84388"/>
    <w:rsid w:val="2BFB2D9E"/>
    <w:rsid w:val="2C0B3E32"/>
    <w:rsid w:val="2C11611D"/>
    <w:rsid w:val="2C311F1A"/>
    <w:rsid w:val="2C477D91"/>
    <w:rsid w:val="2C8C1EA7"/>
    <w:rsid w:val="2CA07ACB"/>
    <w:rsid w:val="2CA52EE0"/>
    <w:rsid w:val="2CC66F08"/>
    <w:rsid w:val="2CCD473A"/>
    <w:rsid w:val="2CD2133E"/>
    <w:rsid w:val="2CD45AC9"/>
    <w:rsid w:val="2CD51841"/>
    <w:rsid w:val="2CD922DE"/>
    <w:rsid w:val="2CF14795"/>
    <w:rsid w:val="2CF55A32"/>
    <w:rsid w:val="2CFA4E04"/>
    <w:rsid w:val="2CFD0D24"/>
    <w:rsid w:val="2D0068BE"/>
    <w:rsid w:val="2D2105E2"/>
    <w:rsid w:val="2D3111DB"/>
    <w:rsid w:val="2D3A16A4"/>
    <w:rsid w:val="2D4367AA"/>
    <w:rsid w:val="2D6E1E26"/>
    <w:rsid w:val="2D7B6B31"/>
    <w:rsid w:val="2D7F7721"/>
    <w:rsid w:val="2D815DCE"/>
    <w:rsid w:val="2D8A6DF4"/>
    <w:rsid w:val="2D9E60D7"/>
    <w:rsid w:val="2DB75A57"/>
    <w:rsid w:val="2DC773DC"/>
    <w:rsid w:val="2DC90DAC"/>
    <w:rsid w:val="2DF90E26"/>
    <w:rsid w:val="2E0221C2"/>
    <w:rsid w:val="2E0A6052"/>
    <w:rsid w:val="2E10616D"/>
    <w:rsid w:val="2E220AB6"/>
    <w:rsid w:val="2E271C28"/>
    <w:rsid w:val="2E2760CC"/>
    <w:rsid w:val="2E3B213B"/>
    <w:rsid w:val="2E513149"/>
    <w:rsid w:val="2E5B79EF"/>
    <w:rsid w:val="2E5F1C45"/>
    <w:rsid w:val="2E725599"/>
    <w:rsid w:val="2E74304B"/>
    <w:rsid w:val="2E7B3001"/>
    <w:rsid w:val="2E876B6B"/>
    <w:rsid w:val="2EA65243"/>
    <w:rsid w:val="2EAB7A61"/>
    <w:rsid w:val="2EE30245"/>
    <w:rsid w:val="2EE459AB"/>
    <w:rsid w:val="2EE67D35"/>
    <w:rsid w:val="2EF249AD"/>
    <w:rsid w:val="2EF33724"/>
    <w:rsid w:val="2EFD79CB"/>
    <w:rsid w:val="2F067A90"/>
    <w:rsid w:val="2F1A2282"/>
    <w:rsid w:val="2F212B1B"/>
    <w:rsid w:val="2F2C3963"/>
    <w:rsid w:val="2F3565C7"/>
    <w:rsid w:val="2F370591"/>
    <w:rsid w:val="2F387890"/>
    <w:rsid w:val="2F473DBF"/>
    <w:rsid w:val="2F47569E"/>
    <w:rsid w:val="2F520F27"/>
    <w:rsid w:val="2F5B427F"/>
    <w:rsid w:val="2F64077E"/>
    <w:rsid w:val="2F675B97"/>
    <w:rsid w:val="2F6F3887"/>
    <w:rsid w:val="2F797A5E"/>
    <w:rsid w:val="2F7B222C"/>
    <w:rsid w:val="2F8B42D5"/>
    <w:rsid w:val="2F8E1DD4"/>
    <w:rsid w:val="2F9E7FC7"/>
    <w:rsid w:val="2FA10FC4"/>
    <w:rsid w:val="2FA774C5"/>
    <w:rsid w:val="2FB27C17"/>
    <w:rsid w:val="2FBE65BC"/>
    <w:rsid w:val="2FD20D51"/>
    <w:rsid w:val="2FDC0024"/>
    <w:rsid w:val="2FE14B66"/>
    <w:rsid w:val="2FEA1F34"/>
    <w:rsid w:val="2FF344B8"/>
    <w:rsid w:val="300C7328"/>
    <w:rsid w:val="30127F10"/>
    <w:rsid w:val="301B57BD"/>
    <w:rsid w:val="302503B5"/>
    <w:rsid w:val="3025663B"/>
    <w:rsid w:val="3038636F"/>
    <w:rsid w:val="30470360"/>
    <w:rsid w:val="306C7DC6"/>
    <w:rsid w:val="307B5DD0"/>
    <w:rsid w:val="308C66BA"/>
    <w:rsid w:val="309A0DD7"/>
    <w:rsid w:val="30A42613"/>
    <w:rsid w:val="30B22558"/>
    <w:rsid w:val="30B26121"/>
    <w:rsid w:val="30CE0A81"/>
    <w:rsid w:val="30E84D27"/>
    <w:rsid w:val="310B75DF"/>
    <w:rsid w:val="31140460"/>
    <w:rsid w:val="311939C4"/>
    <w:rsid w:val="311F308B"/>
    <w:rsid w:val="3126183C"/>
    <w:rsid w:val="312D0C67"/>
    <w:rsid w:val="31344D88"/>
    <w:rsid w:val="313E1763"/>
    <w:rsid w:val="31440D43"/>
    <w:rsid w:val="314F3970"/>
    <w:rsid w:val="31576CC8"/>
    <w:rsid w:val="31692558"/>
    <w:rsid w:val="31842F76"/>
    <w:rsid w:val="31A57A34"/>
    <w:rsid w:val="31AA6DF8"/>
    <w:rsid w:val="31B02DD9"/>
    <w:rsid w:val="31C2233D"/>
    <w:rsid w:val="31C43679"/>
    <w:rsid w:val="31EA5447"/>
    <w:rsid w:val="31F14A27"/>
    <w:rsid w:val="32026C34"/>
    <w:rsid w:val="320B71D7"/>
    <w:rsid w:val="320F30FF"/>
    <w:rsid w:val="32140715"/>
    <w:rsid w:val="321D437C"/>
    <w:rsid w:val="32335040"/>
    <w:rsid w:val="32452FC5"/>
    <w:rsid w:val="32476D3D"/>
    <w:rsid w:val="324F6353"/>
    <w:rsid w:val="32773CA5"/>
    <w:rsid w:val="327F0285"/>
    <w:rsid w:val="328A752A"/>
    <w:rsid w:val="32956F36"/>
    <w:rsid w:val="32987847"/>
    <w:rsid w:val="32AE7004"/>
    <w:rsid w:val="32B819E9"/>
    <w:rsid w:val="32DC6D10"/>
    <w:rsid w:val="32DF2AD1"/>
    <w:rsid w:val="32F04CDF"/>
    <w:rsid w:val="32F61F10"/>
    <w:rsid w:val="32FC7B27"/>
    <w:rsid w:val="32FD564D"/>
    <w:rsid w:val="33031326"/>
    <w:rsid w:val="330662B0"/>
    <w:rsid w:val="33122EA7"/>
    <w:rsid w:val="3321758E"/>
    <w:rsid w:val="33334CCF"/>
    <w:rsid w:val="333A41AC"/>
    <w:rsid w:val="334B4252"/>
    <w:rsid w:val="334E5EA9"/>
    <w:rsid w:val="335F00B6"/>
    <w:rsid w:val="336A5F84"/>
    <w:rsid w:val="336D0EA2"/>
    <w:rsid w:val="33705E1F"/>
    <w:rsid w:val="3374374B"/>
    <w:rsid w:val="337C34FD"/>
    <w:rsid w:val="33824093"/>
    <w:rsid w:val="33883FA7"/>
    <w:rsid w:val="338E62A6"/>
    <w:rsid w:val="33947D60"/>
    <w:rsid w:val="33A33D0F"/>
    <w:rsid w:val="33CB74FA"/>
    <w:rsid w:val="33D77C4D"/>
    <w:rsid w:val="33D95773"/>
    <w:rsid w:val="33E01FD7"/>
    <w:rsid w:val="33E32A95"/>
    <w:rsid w:val="33F24A86"/>
    <w:rsid w:val="3402116D"/>
    <w:rsid w:val="341744ED"/>
    <w:rsid w:val="341E587B"/>
    <w:rsid w:val="34287D5C"/>
    <w:rsid w:val="343B01DB"/>
    <w:rsid w:val="344E43B3"/>
    <w:rsid w:val="345117AD"/>
    <w:rsid w:val="3467179E"/>
    <w:rsid w:val="34675474"/>
    <w:rsid w:val="34711E4F"/>
    <w:rsid w:val="347B4A7C"/>
    <w:rsid w:val="347E211E"/>
    <w:rsid w:val="348C4974"/>
    <w:rsid w:val="34900BED"/>
    <w:rsid w:val="349B3B69"/>
    <w:rsid w:val="349E1AAD"/>
    <w:rsid w:val="34A201CE"/>
    <w:rsid w:val="34A32234"/>
    <w:rsid w:val="34AF4725"/>
    <w:rsid w:val="34B00BC9"/>
    <w:rsid w:val="34B779E1"/>
    <w:rsid w:val="34B86614"/>
    <w:rsid w:val="34D10B40"/>
    <w:rsid w:val="34D6584F"/>
    <w:rsid w:val="34EA76F6"/>
    <w:rsid w:val="34EC597A"/>
    <w:rsid w:val="34EE2C2D"/>
    <w:rsid w:val="34EE524E"/>
    <w:rsid w:val="34FE62BA"/>
    <w:rsid w:val="350A0461"/>
    <w:rsid w:val="351422B6"/>
    <w:rsid w:val="35357321"/>
    <w:rsid w:val="354C3F3F"/>
    <w:rsid w:val="355552CD"/>
    <w:rsid w:val="35586B6B"/>
    <w:rsid w:val="355C665B"/>
    <w:rsid w:val="35625666"/>
    <w:rsid w:val="356539A2"/>
    <w:rsid w:val="35855987"/>
    <w:rsid w:val="3589141A"/>
    <w:rsid w:val="358931C8"/>
    <w:rsid w:val="359446FC"/>
    <w:rsid w:val="359F479A"/>
    <w:rsid w:val="35A713E2"/>
    <w:rsid w:val="35B20971"/>
    <w:rsid w:val="35D201CC"/>
    <w:rsid w:val="35D2691D"/>
    <w:rsid w:val="35DE12FB"/>
    <w:rsid w:val="35E6309D"/>
    <w:rsid w:val="35E87382"/>
    <w:rsid w:val="35EF127D"/>
    <w:rsid w:val="35FE0154"/>
    <w:rsid w:val="36140CE4"/>
    <w:rsid w:val="361C399C"/>
    <w:rsid w:val="361D0290"/>
    <w:rsid w:val="361E7F1E"/>
    <w:rsid w:val="36251143"/>
    <w:rsid w:val="362D0306"/>
    <w:rsid w:val="36394BEF"/>
    <w:rsid w:val="363C581C"/>
    <w:rsid w:val="364610BA"/>
    <w:rsid w:val="365E732E"/>
    <w:rsid w:val="366003CD"/>
    <w:rsid w:val="3660217B"/>
    <w:rsid w:val="36664456"/>
    <w:rsid w:val="36735CB8"/>
    <w:rsid w:val="36783969"/>
    <w:rsid w:val="367F267F"/>
    <w:rsid w:val="36B50FBE"/>
    <w:rsid w:val="36C24638"/>
    <w:rsid w:val="36C24E74"/>
    <w:rsid w:val="36D32E8A"/>
    <w:rsid w:val="36D4391E"/>
    <w:rsid w:val="36D87F64"/>
    <w:rsid w:val="36DB3EF8"/>
    <w:rsid w:val="370535C9"/>
    <w:rsid w:val="371165B2"/>
    <w:rsid w:val="37133D74"/>
    <w:rsid w:val="37441A9D"/>
    <w:rsid w:val="374F7A97"/>
    <w:rsid w:val="37682A67"/>
    <w:rsid w:val="376E2FA9"/>
    <w:rsid w:val="377063EE"/>
    <w:rsid w:val="379C4E4D"/>
    <w:rsid w:val="37AF26E3"/>
    <w:rsid w:val="37B207B5"/>
    <w:rsid w:val="37B64BF5"/>
    <w:rsid w:val="37B7401D"/>
    <w:rsid w:val="37CD33BF"/>
    <w:rsid w:val="37E13D72"/>
    <w:rsid w:val="37E70A68"/>
    <w:rsid w:val="380F20AB"/>
    <w:rsid w:val="382A4C2C"/>
    <w:rsid w:val="38390ED6"/>
    <w:rsid w:val="38412DE1"/>
    <w:rsid w:val="38502C1E"/>
    <w:rsid w:val="38523D46"/>
    <w:rsid w:val="38536A0C"/>
    <w:rsid w:val="38575800"/>
    <w:rsid w:val="385C2605"/>
    <w:rsid w:val="385F275A"/>
    <w:rsid w:val="38657F1D"/>
    <w:rsid w:val="386C12AB"/>
    <w:rsid w:val="386F2B4A"/>
    <w:rsid w:val="38795776"/>
    <w:rsid w:val="38804D57"/>
    <w:rsid w:val="38806A69"/>
    <w:rsid w:val="38814027"/>
    <w:rsid w:val="38895FDC"/>
    <w:rsid w:val="388F0AF6"/>
    <w:rsid w:val="3897727A"/>
    <w:rsid w:val="38A004C0"/>
    <w:rsid w:val="38C63DD6"/>
    <w:rsid w:val="38C66C94"/>
    <w:rsid w:val="38D42B66"/>
    <w:rsid w:val="38F461CB"/>
    <w:rsid w:val="390B0AC4"/>
    <w:rsid w:val="39127FEB"/>
    <w:rsid w:val="391D07F7"/>
    <w:rsid w:val="392456D3"/>
    <w:rsid w:val="39423DBA"/>
    <w:rsid w:val="39627FB8"/>
    <w:rsid w:val="39673821"/>
    <w:rsid w:val="3967781E"/>
    <w:rsid w:val="396B4FE9"/>
    <w:rsid w:val="39761CB6"/>
    <w:rsid w:val="398610CE"/>
    <w:rsid w:val="39901AB2"/>
    <w:rsid w:val="39972358"/>
    <w:rsid w:val="399860D0"/>
    <w:rsid w:val="399B34CA"/>
    <w:rsid w:val="39A86313"/>
    <w:rsid w:val="39AB195F"/>
    <w:rsid w:val="39AD1B7B"/>
    <w:rsid w:val="39B1489C"/>
    <w:rsid w:val="39C80763"/>
    <w:rsid w:val="39CB0253"/>
    <w:rsid w:val="39CD6B09"/>
    <w:rsid w:val="39DE7F87"/>
    <w:rsid w:val="39E41315"/>
    <w:rsid w:val="39FF161A"/>
    <w:rsid w:val="3A080B60"/>
    <w:rsid w:val="3A0A236E"/>
    <w:rsid w:val="3A1F5EA9"/>
    <w:rsid w:val="3A2A4F7A"/>
    <w:rsid w:val="3A2B6F44"/>
    <w:rsid w:val="3A372F24"/>
    <w:rsid w:val="3A4F795A"/>
    <w:rsid w:val="3A914FF9"/>
    <w:rsid w:val="3A9B7C26"/>
    <w:rsid w:val="3AA508F0"/>
    <w:rsid w:val="3ABF45FD"/>
    <w:rsid w:val="3AC21656"/>
    <w:rsid w:val="3AE727FD"/>
    <w:rsid w:val="3AE923D1"/>
    <w:rsid w:val="3AED5A53"/>
    <w:rsid w:val="3AFB6043"/>
    <w:rsid w:val="3B1F0857"/>
    <w:rsid w:val="3B2C2F74"/>
    <w:rsid w:val="3B3013DF"/>
    <w:rsid w:val="3B351E28"/>
    <w:rsid w:val="3B3B4F65"/>
    <w:rsid w:val="3B3D3844"/>
    <w:rsid w:val="3B3D6F2F"/>
    <w:rsid w:val="3B441AFA"/>
    <w:rsid w:val="3B443E1A"/>
    <w:rsid w:val="3B471B5C"/>
    <w:rsid w:val="3B5210DD"/>
    <w:rsid w:val="3B6C7053"/>
    <w:rsid w:val="3B7E14D2"/>
    <w:rsid w:val="3B7F30A4"/>
    <w:rsid w:val="3B860DF8"/>
    <w:rsid w:val="3B8763FC"/>
    <w:rsid w:val="3B953D01"/>
    <w:rsid w:val="3BAA6EAA"/>
    <w:rsid w:val="3BAC7C11"/>
    <w:rsid w:val="3BB6283D"/>
    <w:rsid w:val="3BB83F2C"/>
    <w:rsid w:val="3BB865B6"/>
    <w:rsid w:val="3BBA03DE"/>
    <w:rsid w:val="3BD3519D"/>
    <w:rsid w:val="3BD55D97"/>
    <w:rsid w:val="3BE6207A"/>
    <w:rsid w:val="3BEE1FD7"/>
    <w:rsid w:val="3C011D0B"/>
    <w:rsid w:val="3C047A4D"/>
    <w:rsid w:val="3C065573"/>
    <w:rsid w:val="3C181F48"/>
    <w:rsid w:val="3C1C08F2"/>
    <w:rsid w:val="3C2379A6"/>
    <w:rsid w:val="3C3F06E2"/>
    <w:rsid w:val="3C5309BF"/>
    <w:rsid w:val="3C5A141B"/>
    <w:rsid w:val="3C6504EB"/>
    <w:rsid w:val="3C6B604E"/>
    <w:rsid w:val="3C85293C"/>
    <w:rsid w:val="3C90308E"/>
    <w:rsid w:val="3C9A5CBB"/>
    <w:rsid w:val="3CA71EE7"/>
    <w:rsid w:val="3CA803D8"/>
    <w:rsid w:val="3CA83E9E"/>
    <w:rsid w:val="3CA97838"/>
    <w:rsid w:val="3CBE7BFC"/>
    <w:rsid w:val="3CCF005B"/>
    <w:rsid w:val="3CD76F0F"/>
    <w:rsid w:val="3CDE3DFA"/>
    <w:rsid w:val="3CE0414D"/>
    <w:rsid w:val="3CE05103"/>
    <w:rsid w:val="3CE2453C"/>
    <w:rsid w:val="3D0870C9"/>
    <w:rsid w:val="3D1617E6"/>
    <w:rsid w:val="3D197528"/>
    <w:rsid w:val="3D233F03"/>
    <w:rsid w:val="3D2B0A17"/>
    <w:rsid w:val="3D2C725B"/>
    <w:rsid w:val="3D3659E4"/>
    <w:rsid w:val="3D583BAC"/>
    <w:rsid w:val="3D6878D1"/>
    <w:rsid w:val="3D6E2F60"/>
    <w:rsid w:val="3D762284"/>
    <w:rsid w:val="3D785FFC"/>
    <w:rsid w:val="3D834756"/>
    <w:rsid w:val="3D8C1AA8"/>
    <w:rsid w:val="3D8F3346"/>
    <w:rsid w:val="3D9121A6"/>
    <w:rsid w:val="3DB42DAD"/>
    <w:rsid w:val="3DBF4D70"/>
    <w:rsid w:val="3DD551FD"/>
    <w:rsid w:val="3DE47B23"/>
    <w:rsid w:val="3DEF139C"/>
    <w:rsid w:val="3DF84AC8"/>
    <w:rsid w:val="3E0C4997"/>
    <w:rsid w:val="3E0E1A8B"/>
    <w:rsid w:val="3E173448"/>
    <w:rsid w:val="3E355FD3"/>
    <w:rsid w:val="3E3D2DA2"/>
    <w:rsid w:val="3E5500EC"/>
    <w:rsid w:val="3E6D4FD7"/>
    <w:rsid w:val="3E703177"/>
    <w:rsid w:val="3E945B9C"/>
    <w:rsid w:val="3E9E1A93"/>
    <w:rsid w:val="3EAE1708"/>
    <w:rsid w:val="3EB5502E"/>
    <w:rsid w:val="3EC3363A"/>
    <w:rsid w:val="3EC47912"/>
    <w:rsid w:val="3EC60FE9"/>
    <w:rsid w:val="3EC86B10"/>
    <w:rsid w:val="3EF75647"/>
    <w:rsid w:val="3F001864"/>
    <w:rsid w:val="3F0043D7"/>
    <w:rsid w:val="3F1461F9"/>
    <w:rsid w:val="3F157CE6"/>
    <w:rsid w:val="3F23643C"/>
    <w:rsid w:val="3F3A646D"/>
    <w:rsid w:val="3F4636FB"/>
    <w:rsid w:val="3F707D68"/>
    <w:rsid w:val="3F7E18C4"/>
    <w:rsid w:val="3F9F3283"/>
    <w:rsid w:val="3FBD063E"/>
    <w:rsid w:val="3FC90D91"/>
    <w:rsid w:val="3FCC4B29"/>
    <w:rsid w:val="3FCD1FEB"/>
    <w:rsid w:val="3FCF6801"/>
    <w:rsid w:val="3FD77D0F"/>
    <w:rsid w:val="3FD9158E"/>
    <w:rsid w:val="3FDB2873"/>
    <w:rsid w:val="3FE931E1"/>
    <w:rsid w:val="3FEB6F5A"/>
    <w:rsid w:val="3FEC3932"/>
    <w:rsid w:val="3FEE25A6"/>
    <w:rsid w:val="3FF40BF3"/>
    <w:rsid w:val="3FF81676"/>
    <w:rsid w:val="3FFB2F15"/>
    <w:rsid w:val="400022D9"/>
    <w:rsid w:val="400224F5"/>
    <w:rsid w:val="400E31F7"/>
    <w:rsid w:val="401069C0"/>
    <w:rsid w:val="40161AFD"/>
    <w:rsid w:val="402257BC"/>
    <w:rsid w:val="40324B88"/>
    <w:rsid w:val="40327434"/>
    <w:rsid w:val="40387CC5"/>
    <w:rsid w:val="40464190"/>
    <w:rsid w:val="404C551E"/>
    <w:rsid w:val="404E54E6"/>
    <w:rsid w:val="404E74E8"/>
    <w:rsid w:val="404F3354"/>
    <w:rsid w:val="40642868"/>
    <w:rsid w:val="407A208B"/>
    <w:rsid w:val="408472AD"/>
    <w:rsid w:val="408A531C"/>
    <w:rsid w:val="40AD06B3"/>
    <w:rsid w:val="40B51316"/>
    <w:rsid w:val="40C36F50"/>
    <w:rsid w:val="40CF687B"/>
    <w:rsid w:val="40D566D8"/>
    <w:rsid w:val="40E63681"/>
    <w:rsid w:val="410C362B"/>
    <w:rsid w:val="41163086"/>
    <w:rsid w:val="411B386E"/>
    <w:rsid w:val="41316174"/>
    <w:rsid w:val="41346D8E"/>
    <w:rsid w:val="41456B3D"/>
    <w:rsid w:val="414A13C3"/>
    <w:rsid w:val="41556814"/>
    <w:rsid w:val="416426BC"/>
    <w:rsid w:val="41780CC1"/>
    <w:rsid w:val="417D62D7"/>
    <w:rsid w:val="4185518C"/>
    <w:rsid w:val="418A27A2"/>
    <w:rsid w:val="41A61BC7"/>
    <w:rsid w:val="41AC2719"/>
    <w:rsid w:val="41D91034"/>
    <w:rsid w:val="41D9777C"/>
    <w:rsid w:val="41DF336F"/>
    <w:rsid w:val="41E21890"/>
    <w:rsid w:val="41E603CA"/>
    <w:rsid w:val="41F36890"/>
    <w:rsid w:val="41FD11C6"/>
    <w:rsid w:val="420662CD"/>
    <w:rsid w:val="42156510"/>
    <w:rsid w:val="424B6A9E"/>
    <w:rsid w:val="4251200C"/>
    <w:rsid w:val="4254775F"/>
    <w:rsid w:val="425A2175"/>
    <w:rsid w:val="425F3C2F"/>
    <w:rsid w:val="426254CD"/>
    <w:rsid w:val="427174BE"/>
    <w:rsid w:val="428138C2"/>
    <w:rsid w:val="42887029"/>
    <w:rsid w:val="428951C6"/>
    <w:rsid w:val="42896E92"/>
    <w:rsid w:val="42AE24C0"/>
    <w:rsid w:val="42B431B4"/>
    <w:rsid w:val="42B80332"/>
    <w:rsid w:val="42C442A5"/>
    <w:rsid w:val="42C55559"/>
    <w:rsid w:val="42CE79F1"/>
    <w:rsid w:val="42D00D65"/>
    <w:rsid w:val="42D25C32"/>
    <w:rsid w:val="42DA32B5"/>
    <w:rsid w:val="42DE4996"/>
    <w:rsid w:val="42E14644"/>
    <w:rsid w:val="42E61C5A"/>
    <w:rsid w:val="42E934F8"/>
    <w:rsid w:val="42F16E1E"/>
    <w:rsid w:val="43034F10"/>
    <w:rsid w:val="430420E0"/>
    <w:rsid w:val="43361F5E"/>
    <w:rsid w:val="43431CD7"/>
    <w:rsid w:val="434C241E"/>
    <w:rsid w:val="434F5A51"/>
    <w:rsid w:val="43572B58"/>
    <w:rsid w:val="436D237B"/>
    <w:rsid w:val="43955EE6"/>
    <w:rsid w:val="43AD04C3"/>
    <w:rsid w:val="43B835F7"/>
    <w:rsid w:val="43BA278C"/>
    <w:rsid w:val="43C37F4D"/>
    <w:rsid w:val="43CC3598"/>
    <w:rsid w:val="43D16466"/>
    <w:rsid w:val="43D41199"/>
    <w:rsid w:val="43E67E8E"/>
    <w:rsid w:val="43E837B0"/>
    <w:rsid w:val="43EE3644"/>
    <w:rsid w:val="43F6411F"/>
    <w:rsid w:val="43FD3403"/>
    <w:rsid w:val="4400124C"/>
    <w:rsid w:val="4416031D"/>
    <w:rsid w:val="4416460A"/>
    <w:rsid w:val="441D78FE"/>
    <w:rsid w:val="44241ED7"/>
    <w:rsid w:val="4427077C"/>
    <w:rsid w:val="44285A31"/>
    <w:rsid w:val="443316B9"/>
    <w:rsid w:val="44421112"/>
    <w:rsid w:val="444924A1"/>
    <w:rsid w:val="444960F1"/>
    <w:rsid w:val="444C01E3"/>
    <w:rsid w:val="445F3A72"/>
    <w:rsid w:val="446612A5"/>
    <w:rsid w:val="446F2386"/>
    <w:rsid w:val="447339C1"/>
    <w:rsid w:val="44750341"/>
    <w:rsid w:val="447679E5"/>
    <w:rsid w:val="44774C2D"/>
    <w:rsid w:val="44782B04"/>
    <w:rsid w:val="447F2366"/>
    <w:rsid w:val="448636F5"/>
    <w:rsid w:val="4487121B"/>
    <w:rsid w:val="44971A6E"/>
    <w:rsid w:val="449A2CFC"/>
    <w:rsid w:val="44C164DB"/>
    <w:rsid w:val="44D22D47"/>
    <w:rsid w:val="44DA134B"/>
    <w:rsid w:val="44E346E2"/>
    <w:rsid w:val="44E67CEF"/>
    <w:rsid w:val="44F30024"/>
    <w:rsid w:val="45234283"/>
    <w:rsid w:val="45431E78"/>
    <w:rsid w:val="45443C99"/>
    <w:rsid w:val="45486BFC"/>
    <w:rsid w:val="45594965"/>
    <w:rsid w:val="45634464"/>
    <w:rsid w:val="45704B69"/>
    <w:rsid w:val="45796DB6"/>
    <w:rsid w:val="45872DBD"/>
    <w:rsid w:val="45875227"/>
    <w:rsid w:val="45941E41"/>
    <w:rsid w:val="459736E0"/>
    <w:rsid w:val="45A243E5"/>
    <w:rsid w:val="45B270D1"/>
    <w:rsid w:val="45B44292"/>
    <w:rsid w:val="45C60138"/>
    <w:rsid w:val="45F251BA"/>
    <w:rsid w:val="46053EB3"/>
    <w:rsid w:val="46127736"/>
    <w:rsid w:val="46176298"/>
    <w:rsid w:val="46292768"/>
    <w:rsid w:val="46601D24"/>
    <w:rsid w:val="466B0DF4"/>
    <w:rsid w:val="46872BF6"/>
    <w:rsid w:val="46A75BA4"/>
    <w:rsid w:val="46B275C3"/>
    <w:rsid w:val="46B4027C"/>
    <w:rsid w:val="46B85D95"/>
    <w:rsid w:val="46C862E9"/>
    <w:rsid w:val="46CE3131"/>
    <w:rsid w:val="46E14BDC"/>
    <w:rsid w:val="46E719AA"/>
    <w:rsid w:val="46EB5A91"/>
    <w:rsid w:val="46EE5581"/>
    <w:rsid w:val="46EF0D45"/>
    <w:rsid w:val="46FF3D9B"/>
    <w:rsid w:val="471A6376"/>
    <w:rsid w:val="473A6E96"/>
    <w:rsid w:val="4743767B"/>
    <w:rsid w:val="47490A0A"/>
    <w:rsid w:val="47590C4D"/>
    <w:rsid w:val="47625049"/>
    <w:rsid w:val="47635FE4"/>
    <w:rsid w:val="4769525D"/>
    <w:rsid w:val="478D317F"/>
    <w:rsid w:val="47AB5220"/>
    <w:rsid w:val="47AC4801"/>
    <w:rsid w:val="47B916EB"/>
    <w:rsid w:val="47CD5197"/>
    <w:rsid w:val="47D209FF"/>
    <w:rsid w:val="47D46525"/>
    <w:rsid w:val="47E0136E"/>
    <w:rsid w:val="47E97841"/>
    <w:rsid w:val="47EF7803"/>
    <w:rsid w:val="480A2FEC"/>
    <w:rsid w:val="48180B08"/>
    <w:rsid w:val="481B2DAE"/>
    <w:rsid w:val="48281515"/>
    <w:rsid w:val="482E241C"/>
    <w:rsid w:val="48360F8E"/>
    <w:rsid w:val="484511D1"/>
    <w:rsid w:val="48594C7C"/>
    <w:rsid w:val="485B09F4"/>
    <w:rsid w:val="485E1830"/>
    <w:rsid w:val="48861061"/>
    <w:rsid w:val="488717E9"/>
    <w:rsid w:val="488C313F"/>
    <w:rsid w:val="488C5052"/>
    <w:rsid w:val="488F3FF4"/>
    <w:rsid w:val="48943F06"/>
    <w:rsid w:val="48945ACF"/>
    <w:rsid w:val="48A0658E"/>
    <w:rsid w:val="48BE72AB"/>
    <w:rsid w:val="48D70F76"/>
    <w:rsid w:val="48E44E8E"/>
    <w:rsid w:val="48EC789E"/>
    <w:rsid w:val="48F1714C"/>
    <w:rsid w:val="4907693C"/>
    <w:rsid w:val="4919020E"/>
    <w:rsid w:val="49267254"/>
    <w:rsid w:val="492D450B"/>
    <w:rsid w:val="492E090B"/>
    <w:rsid w:val="492E7EB7"/>
    <w:rsid w:val="49396F88"/>
    <w:rsid w:val="493E1062"/>
    <w:rsid w:val="495B0E15"/>
    <w:rsid w:val="495C4A24"/>
    <w:rsid w:val="4968786D"/>
    <w:rsid w:val="496D6C31"/>
    <w:rsid w:val="4970361A"/>
    <w:rsid w:val="49865F45"/>
    <w:rsid w:val="498D6C0C"/>
    <w:rsid w:val="499E09AD"/>
    <w:rsid w:val="49C600F0"/>
    <w:rsid w:val="49E26CB1"/>
    <w:rsid w:val="49ED38CE"/>
    <w:rsid w:val="4A001822"/>
    <w:rsid w:val="4A064990"/>
    <w:rsid w:val="4A1F062B"/>
    <w:rsid w:val="4A2319E6"/>
    <w:rsid w:val="4A273550"/>
    <w:rsid w:val="4A286FFC"/>
    <w:rsid w:val="4A5C7865"/>
    <w:rsid w:val="4A6022F2"/>
    <w:rsid w:val="4A606796"/>
    <w:rsid w:val="4A671E62"/>
    <w:rsid w:val="4A6A31FF"/>
    <w:rsid w:val="4A7459B6"/>
    <w:rsid w:val="4A783AE0"/>
    <w:rsid w:val="4A7C47B1"/>
    <w:rsid w:val="4A835FE1"/>
    <w:rsid w:val="4A8D3803"/>
    <w:rsid w:val="4A9111A3"/>
    <w:rsid w:val="4A973914"/>
    <w:rsid w:val="4AB77B8A"/>
    <w:rsid w:val="4AB95EED"/>
    <w:rsid w:val="4ABB0378"/>
    <w:rsid w:val="4ABB39CC"/>
    <w:rsid w:val="4ABB6284"/>
    <w:rsid w:val="4ACA1E61"/>
    <w:rsid w:val="4AE278CD"/>
    <w:rsid w:val="4B0B21E7"/>
    <w:rsid w:val="4B39238C"/>
    <w:rsid w:val="4B4139C7"/>
    <w:rsid w:val="4B427C4A"/>
    <w:rsid w:val="4B4614E8"/>
    <w:rsid w:val="4B490BF4"/>
    <w:rsid w:val="4B4E7520"/>
    <w:rsid w:val="4B6853C8"/>
    <w:rsid w:val="4B6B0F4E"/>
    <w:rsid w:val="4B8169C4"/>
    <w:rsid w:val="4B82523C"/>
    <w:rsid w:val="4B8A4D56"/>
    <w:rsid w:val="4B8A7E26"/>
    <w:rsid w:val="4B9366F7"/>
    <w:rsid w:val="4B983D0E"/>
    <w:rsid w:val="4BA25AB5"/>
    <w:rsid w:val="4BAB42AF"/>
    <w:rsid w:val="4BB516D1"/>
    <w:rsid w:val="4BB52B12"/>
    <w:rsid w:val="4BE75D6C"/>
    <w:rsid w:val="4BFF390A"/>
    <w:rsid w:val="4C04250E"/>
    <w:rsid w:val="4C0F1393"/>
    <w:rsid w:val="4C121D12"/>
    <w:rsid w:val="4C127407"/>
    <w:rsid w:val="4C2A705C"/>
    <w:rsid w:val="4C2B46F8"/>
    <w:rsid w:val="4C30370E"/>
    <w:rsid w:val="4C3709D2"/>
    <w:rsid w:val="4C393582"/>
    <w:rsid w:val="4C3A464C"/>
    <w:rsid w:val="4C3C7F6D"/>
    <w:rsid w:val="4C4E6F2A"/>
    <w:rsid w:val="4C4F6AC2"/>
    <w:rsid w:val="4C50253F"/>
    <w:rsid w:val="4C742085"/>
    <w:rsid w:val="4C7B1665"/>
    <w:rsid w:val="4C7E2F03"/>
    <w:rsid w:val="4C8449BE"/>
    <w:rsid w:val="4C8A5D4C"/>
    <w:rsid w:val="4C957A15"/>
    <w:rsid w:val="4CAC7A71"/>
    <w:rsid w:val="4CAD75B0"/>
    <w:rsid w:val="4CC141A1"/>
    <w:rsid w:val="4CCA6149"/>
    <w:rsid w:val="4CD60F91"/>
    <w:rsid w:val="4CD86AB8"/>
    <w:rsid w:val="4CE338D3"/>
    <w:rsid w:val="4CF733A7"/>
    <w:rsid w:val="4D0065ED"/>
    <w:rsid w:val="4D0B0C3B"/>
    <w:rsid w:val="4D0E1D9F"/>
    <w:rsid w:val="4D2D38AC"/>
    <w:rsid w:val="4D3161C8"/>
    <w:rsid w:val="4D3C7046"/>
    <w:rsid w:val="4D40640B"/>
    <w:rsid w:val="4D477AD7"/>
    <w:rsid w:val="4D550108"/>
    <w:rsid w:val="4D5A74CD"/>
    <w:rsid w:val="4D616426"/>
    <w:rsid w:val="4D671BE9"/>
    <w:rsid w:val="4D695962"/>
    <w:rsid w:val="4D750DAA"/>
    <w:rsid w:val="4D761E2D"/>
    <w:rsid w:val="4D7762D0"/>
    <w:rsid w:val="4D783DF7"/>
    <w:rsid w:val="4D8B58D8"/>
    <w:rsid w:val="4D8C33FE"/>
    <w:rsid w:val="4D8E77CF"/>
    <w:rsid w:val="4D9440F4"/>
    <w:rsid w:val="4D987FF5"/>
    <w:rsid w:val="4D9959F3"/>
    <w:rsid w:val="4DA46304"/>
    <w:rsid w:val="4DAB41CC"/>
    <w:rsid w:val="4DAD3AA0"/>
    <w:rsid w:val="4DBA61BD"/>
    <w:rsid w:val="4DBC3EDE"/>
    <w:rsid w:val="4DC36BE3"/>
    <w:rsid w:val="4DCD4A82"/>
    <w:rsid w:val="4DCD5EF0"/>
    <w:rsid w:val="4DD62507"/>
    <w:rsid w:val="4DE84AD8"/>
    <w:rsid w:val="4DF53699"/>
    <w:rsid w:val="4DFF5E06"/>
    <w:rsid w:val="4E14696C"/>
    <w:rsid w:val="4E212CD7"/>
    <w:rsid w:val="4E28264C"/>
    <w:rsid w:val="4E2F2707"/>
    <w:rsid w:val="4E3072E6"/>
    <w:rsid w:val="4E323FA5"/>
    <w:rsid w:val="4E396F72"/>
    <w:rsid w:val="4E3B4775"/>
    <w:rsid w:val="4E401035"/>
    <w:rsid w:val="4E572490"/>
    <w:rsid w:val="4E577EB0"/>
    <w:rsid w:val="4E5E4D9B"/>
    <w:rsid w:val="4E676B5A"/>
    <w:rsid w:val="4E6A373F"/>
    <w:rsid w:val="4E7445BE"/>
    <w:rsid w:val="4E74636C"/>
    <w:rsid w:val="4E797E26"/>
    <w:rsid w:val="4E880069"/>
    <w:rsid w:val="4EA65BE4"/>
    <w:rsid w:val="4EA75B41"/>
    <w:rsid w:val="4EAB4A19"/>
    <w:rsid w:val="4EB8120D"/>
    <w:rsid w:val="4EEE3A0D"/>
    <w:rsid w:val="4EF33D8C"/>
    <w:rsid w:val="4EF71A94"/>
    <w:rsid w:val="4F1162B1"/>
    <w:rsid w:val="4F367AC5"/>
    <w:rsid w:val="4F5341B6"/>
    <w:rsid w:val="4F660572"/>
    <w:rsid w:val="4F6E3703"/>
    <w:rsid w:val="4F6E38FD"/>
    <w:rsid w:val="4F724D92"/>
    <w:rsid w:val="4F781E8C"/>
    <w:rsid w:val="4F7D2593"/>
    <w:rsid w:val="4F7D3946"/>
    <w:rsid w:val="4F844CD5"/>
    <w:rsid w:val="4F87507A"/>
    <w:rsid w:val="4F936CC6"/>
    <w:rsid w:val="4F944AAD"/>
    <w:rsid w:val="4FA64C4B"/>
    <w:rsid w:val="4FBA24A4"/>
    <w:rsid w:val="4FBC621D"/>
    <w:rsid w:val="4FC32178"/>
    <w:rsid w:val="4FD277EE"/>
    <w:rsid w:val="4FE74643"/>
    <w:rsid w:val="4FF508AB"/>
    <w:rsid w:val="4FFC0D0F"/>
    <w:rsid w:val="4FFF6109"/>
    <w:rsid w:val="50195C4F"/>
    <w:rsid w:val="501F67AB"/>
    <w:rsid w:val="502717A7"/>
    <w:rsid w:val="5038161B"/>
    <w:rsid w:val="503A57CF"/>
    <w:rsid w:val="50434F44"/>
    <w:rsid w:val="505F59D8"/>
    <w:rsid w:val="508F3931"/>
    <w:rsid w:val="5097309C"/>
    <w:rsid w:val="50A11DB6"/>
    <w:rsid w:val="50A74084"/>
    <w:rsid w:val="50A8021B"/>
    <w:rsid w:val="50AC61A8"/>
    <w:rsid w:val="50BB0282"/>
    <w:rsid w:val="50C335DB"/>
    <w:rsid w:val="50C35389"/>
    <w:rsid w:val="50C51101"/>
    <w:rsid w:val="50D502BD"/>
    <w:rsid w:val="50E020A0"/>
    <w:rsid w:val="50E13A61"/>
    <w:rsid w:val="50FB0FC7"/>
    <w:rsid w:val="50FF4773"/>
    <w:rsid w:val="51025F68"/>
    <w:rsid w:val="51062206"/>
    <w:rsid w:val="51153A1E"/>
    <w:rsid w:val="5119144D"/>
    <w:rsid w:val="51194D9B"/>
    <w:rsid w:val="512203D3"/>
    <w:rsid w:val="512D7421"/>
    <w:rsid w:val="51312C3A"/>
    <w:rsid w:val="513B13C3"/>
    <w:rsid w:val="51835FBF"/>
    <w:rsid w:val="5184720E"/>
    <w:rsid w:val="5186367E"/>
    <w:rsid w:val="518C1C1F"/>
    <w:rsid w:val="51916E0F"/>
    <w:rsid w:val="519607C4"/>
    <w:rsid w:val="51A11B6E"/>
    <w:rsid w:val="51A74CAA"/>
    <w:rsid w:val="51A921FE"/>
    <w:rsid w:val="51AB1001"/>
    <w:rsid w:val="51B84C69"/>
    <w:rsid w:val="51CB6BEB"/>
    <w:rsid w:val="51D57E05"/>
    <w:rsid w:val="51DD0D57"/>
    <w:rsid w:val="51E90E1F"/>
    <w:rsid w:val="51ED4DB3"/>
    <w:rsid w:val="51EE28D9"/>
    <w:rsid w:val="5201260D"/>
    <w:rsid w:val="5208275B"/>
    <w:rsid w:val="520B6FE7"/>
    <w:rsid w:val="5226798E"/>
    <w:rsid w:val="522956BF"/>
    <w:rsid w:val="522E6D9F"/>
    <w:rsid w:val="523634E2"/>
    <w:rsid w:val="523F1387"/>
    <w:rsid w:val="52412A09"/>
    <w:rsid w:val="52701540"/>
    <w:rsid w:val="527E3C5D"/>
    <w:rsid w:val="52992845"/>
    <w:rsid w:val="52A42F98"/>
    <w:rsid w:val="52B14033"/>
    <w:rsid w:val="52CA0C50"/>
    <w:rsid w:val="52CA50F4"/>
    <w:rsid w:val="52CF270B"/>
    <w:rsid w:val="52D53B6B"/>
    <w:rsid w:val="52F0375D"/>
    <w:rsid w:val="52FC56E5"/>
    <w:rsid w:val="52FD4477"/>
    <w:rsid w:val="53004672"/>
    <w:rsid w:val="53102204"/>
    <w:rsid w:val="531C359A"/>
    <w:rsid w:val="53226CDE"/>
    <w:rsid w:val="533267F6"/>
    <w:rsid w:val="535866CB"/>
    <w:rsid w:val="536E6DF1"/>
    <w:rsid w:val="53852DC9"/>
    <w:rsid w:val="5386726D"/>
    <w:rsid w:val="5394125E"/>
    <w:rsid w:val="539A2647"/>
    <w:rsid w:val="53A21BCD"/>
    <w:rsid w:val="53B362F1"/>
    <w:rsid w:val="53BD333C"/>
    <w:rsid w:val="53D224B3"/>
    <w:rsid w:val="53DE11E6"/>
    <w:rsid w:val="53E36977"/>
    <w:rsid w:val="53EC5EEE"/>
    <w:rsid w:val="53F236CE"/>
    <w:rsid w:val="53F71F19"/>
    <w:rsid w:val="541E45D5"/>
    <w:rsid w:val="543F6C0C"/>
    <w:rsid w:val="545729B8"/>
    <w:rsid w:val="545E41F2"/>
    <w:rsid w:val="546724CF"/>
    <w:rsid w:val="5470546B"/>
    <w:rsid w:val="547801D1"/>
    <w:rsid w:val="547A13B1"/>
    <w:rsid w:val="54971006"/>
    <w:rsid w:val="54992FD0"/>
    <w:rsid w:val="549C0E54"/>
    <w:rsid w:val="54A81AD8"/>
    <w:rsid w:val="54B5148C"/>
    <w:rsid w:val="54BA4CF5"/>
    <w:rsid w:val="54BA5D29"/>
    <w:rsid w:val="54BC6CBF"/>
    <w:rsid w:val="54E104D3"/>
    <w:rsid w:val="54E67898"/>
    <w:rsid w:val="550C4962"/>
    <w:rsid w:val="5511700B"/>
    <w:rsid w:val="55173EF5"/>
    <w:rsid w:val="551B429B"/>
    <w:rsid w:val="55256612"/>
    <w:rsid w:val="55267953"/>
    <w:rsid w:val="5528770F"/>
    <w:rsid w:val="55320D2F"/>
    <w:rsid w:val="553E1482"/>
    <w:rsid w:val="554F18E1"/>
    <w:rsid w:val="55517407"/>
    <w:rsid w:val="556F6AA8"/>
    <w:rsid w:val="5572737D"/>
    <w:rsid w:val="557B0928"/>
    <w:rsid w:val="55937A20"/>
    <w:rsid w:val="55940A76"/>
    <w:rsid w:val="559D43FA"/>
    <w:rsid w:val="55A7171D"/>
    <w:rsid w:val="55B04E29"/>
    <w:rsid w:val="55BA384A"/>
    <w:rsid w:val="55C56D42"/>
    <w:rsid w:val="55E4027B"/>
    <w:rsid w:val="55E5452C"/>
    <w:rsid w:val="55E6645A"/>
    <w:rsid w:val="55F75F50"/>
    <w:rsid w:val="56121AE8"/>
    <w:rsid w:val="56232D5F"/>
    <w:rsid w:val="56340C59"/>
    <w:rsid w:val="565C42B5"/>
    <w:rsid w:val="566A7942"/>
    <w:rsid w:val="567A1BA7"/>
    <w:rsid w:val="569C0B56"/>
    <w:rsid w:val="56AE4675"/>
    <w:rsid w:val="56CF2CD9"/>
    <w:rsid w:val="56DD3805"/>
    <w:rsid w:val="56F05104"/>
    <w:rsid w:val="570D0271"/>
    <w:rsid w:val="570D735E"/>
    <w:rsid w:val="5714693E"/>
    <w:rsid w:val="57187DBB"/>
    <w:rsid w:val="57346FE0"/>
    <w:rsid w:val="573B211D"/>
    <w:rsid w:val="573E6377"/>
    <w:rsid w:val="574B3E25"/>
    <w:rsid w:val="57607DD5"/>
    <w:rsid w:val="576176AA"/>
    <w:rsid w:val="57713D91"/>
    <w:rsid w:val="57757B5A"/>
    <w:rsid w:val="578F4217"/>
    <w:rsid w:val="579B00B7"/>
    <w:rsid w:val="57BD2E27"/>
    <w:rsid w:val="57C55CC2"/>
    <w:rsid w:val="57D1482F"/>
    <w:rsid w:val="57DF1211"/>
    <w:rsid w:val="57EC3559"/>
    <w:rsid w:val="57F00593"/>
    <w:rsid w:val="581464FF"/>
    <w:rsid w:val="581F559B"/>
    <w:rsid w:val="58276B45"/>
    <w:rsid w:val="583059FA"/>
    <w:rsid w:val="5838665C"/>
    <w:rsid w:val="58405BF7"/>
    <w:rsid w:val="584274DB"/>
    <w:rsid w:val="58621B57"/>
    <w:rsid w:val="586C668C"/>
    <w:rsid w:val="587F24DD"/>
    <w:rsid w:val="58823D7B"/>
    <w:rsid w:val="588D25EC"/>
    <w:rsid w:val="588E2720"/>
    <w:rsid w:val="5893679F"/>
    <w:rsid w:val="58A75590"/>
    <w:rsid w:val="58BE3005"/>
    <w:rsid w:val="58C0702C"/>
    <w:rsid w:val="58D469B1"/>
    <w:rsid w:val="58E32A6C"/>
    <w:rsid w:val="58E40592"/>
    <w:rsid w:val="58E660B8"/>
    <w:rsid w:val="58E80082"/>
    <w:rsid w:val="58E95BA9"/>
    <w:rsid w:val="58F24A5D"/>
    <w:rsid w:val="59060509"/>
    <w:rsid w:val="590B3D71"/>
    <w:rsid w:val="59101340"/>
    <w:rsid w:val="591075D9"/>
    <w:rsid w:val="59127415"/>
    <w:rsid w:val="591470C9"/>
    <w:rsid w:val="59267244"/>
    <w:rsid w:val="592B1108"/>
    <w:rsid w:val="594D4389"/>
    <w:rsid w:val="595B6AA6"/>
    <w:rsid w:val="59613991"/>
    <w:rsid w:val="596671F9"/>
    <w:rsid w:val="59682F71"/>
    <w:rsid w:val="5981262F"/>
    <w:rsid w:val="598C1AFC"/>
    <w:rsid w:val="598F4D7B"/>
    <w:rsid w:val="5999312B"/>
    <w:rsid w:val="599A6E9E"/>
    <w:rsid w:val="59A21A4A"/>
    <w:rsid w:val="59B241EC"/>
    <w:rsid w:val="59DB7BE7"/>
    <w:rsid w:val="59DD395F"/>
    <w:rsid w:val="59DF76D7"/>
    <w:rsid w:val="59E20F76"/>
    <w:rsid w:val="59E7033A"/>
    <w:rsid w:val="59F0510C"/>
    <w:rsid w:val="59F44805"/>
    <w:rsid w:val="59F91E1B"/>
    <w:rsid w:val="59FA6C11"/>
    <w:rsid w:val="5A081E6B"/>
    <w:rsid w:val="5A166E71"/>
    <w:rsid w:val="5A24734A"/>
    <w:rsid w:val="5A334251"/>
    <w:rsid w:val="5A3815CF"/>
    <w:rsid w:val="5A643739"/>
    <w:rsid w:val="5A6A2BB5"/>
    <w:rsid w:val="5A6B49D9"/>
    <w:rsid w:val="5A6F6C7B"/>
    <w:rsid w:val="5A736550"/>
    <w:rsid w:val="5A7D0C1A"/>
    <w:rsid w:val="5A8B33BB"/>
    <w:rsid w:val="5A9B2ED2"/>
    <w:rsid w:val="5AAA30C6"/>
    <w:rsid w:val="5AAF0F91"/>
    <w:rsid w:val="5AB0697E"/>
    <w:rsid w:val="5AE12FDB"/>
    <w:rsid w:val="5AEB79A9"/>
    <w:rsid w:val="5AF96577"/>
    <w:rsid w:val="5AFB2DB8"/>
    <w:rsid w:val="5AFC1BC3"/>
    <w:rsid w:val="5B094184"/>
    <w:rsid w:val="5B0D460E"/>
    <w:rsid w:val="5B2410B1"/>
    <w:rsid w:val="5B3550D5"/>
    <w:rsid w:val="5B4672E2"/>
    <w:rsid w:val="5B8B2F47"/>
    <w:rsid w:val="5B9360A5"/>
    <w:rsid w:val="5BA858A7"/>
    <w:rsid w:val="5BB950FA"/>
    <w:rsid w:val="5BCA17E8"/>
    <w:rsid w:val="5BD3501A"/>
    <w:rsid w:val="5BD62414"/>
    <w:rsid w:val="5BE15A6C"/>
    <w:rsid w:val="5BE471B7"/>
    <w:rsid w:val="5BE77A78"/>
    <w:rsid w:val="5BED775E"/>
    <w:rsid w:val="5BFB00CD"/>
    <w:rsid w:val="5C095D32"/>
    <w:rsid w:val="5C337866"/>
    <w:rsid w:val="5C35761E"/>
    <w:rsid w:val="5C533A65"/>
    <w:rsid w:val="5C593045"/>
    <w:rsid w:val="5C645C72"/>
    <w:rsid w:val="5C6A0DAE"/>
    <w:rsid w:val="5C6E4D42"/>
    <w:rsid w:val="5C82434A"/>
    <w:rsid w:val="5C8B28B2"/>
    <w:rsid w:val="5C96110B"/>
    <w:rsid w:val="5C98591B"/>
    <w:rsid w:val="5C9C18B0"/>
    <w:rsid w:val="5C9D6A42"/>
    <w:rsid w:val="5CA249EC"/>
    <w:rsid w:val="5CB309A7"/>
    <w:rsid w:val="5CC32C34"/>
    <w:rsid w:val="5CC71FCE"/>
    <w:rsid w:val="5CD34BA6"/>
    <w:rsid w:val="5CD64696"/>
    <w:rsid w:val="5D1551BE"/>
    <w:rsid w:val="5D184CAE"/>
    <w:rsid w:val="5D1B4AA0"/>
    <w:rsid w:val="5D1C02FB"/>
    <w:rsid w:val="5D1D22C5"/>
    <w:rsid w:val="5D2E002E"/>
    <w:rsid w:val="5D301FF8"/>
    <w:rsid w:val="5D33021A"/>
    <w:rsid w:val="5D415FB3"/>
    <w:rsid w:val="5D4930BA"/>
    <w:rsid w:val="5D4B0BE0"/>
    <w:rsid w:val="5D5416B3"/>
    <w:rsid w:val="5D5D4C8F"/>
    <w:rsid w:val="5D6726BF"/>
    <w:rsid w:val="5D795015"/>
    <w:rsid w:val="5D804D2D"/>
    <w:rsid w:val="5D88074A"/>
    <w:rsid w:val="5D8A4A6A"/>
    <w:rsid w:val="5D99787E"/>
    <w:rsid w:val="5DA44563"/>
    <w:rsid w:val="5DB37EE1"/>
    <w:rsid w:val="5DB54B16"/>
    <w:rsid w:val="5DC154E3"/>
    <w:rsid w:val="5DE0757A"/>
    <w:rsid w:val="5DE41F49"/>
    <w:rsid w:val="5DE828D3"/>
    <w:rsid w:val="5DE833AE"/>
    <w:rsid w:val="5DEC419B"/>
    <w:rsid w:val="5DFB43B4"/>
    <w:rsid w:val="5E244AC4"/>
    <w:rsid w:val="5E2B55C7"/>
    <w:rsid w:val="5E3E30A1"/>
    <w:rsid w:val="5E4044BD"/>
    <w:rsid w:val="5E435D5B"/>
    <w:rsid w:val="5E79352B"/>
    <w:rsid w:val="5E8B67AA"/>
    <w:rsid w:val="5E922527"/>
    <w:rsid w:val="5EA507C4"/>
    <w:rsid w:val="5EA7453C"/>
    <w:rsid w:val="5EA93E10"/>
    <w:rsid w:val="5EB804F7"/>
    <w:rsid w:val="5EB84BE6"/>
    <w:rsid w:val="5EBC040D"/>
    <w:rsid w:val="5EC727A1"/>
    <w:rsid w:val="5ED3385A"/>
    <w:rsid w:val="5EDC4FA5"/>
    <w:rsid w:val="5EF332DD"/>
    <w:rsid w:val="5F027F30"/>
    <w:rsid w:val="5F0454EA"/>
    <w:rsid w:val="5F090D52"/>
    <w:rsid w:val="5F0B4ACB"/>
    <w:rsid w:val="5F120299"/>
    <w:rsid w:val="5F1F7124"/>
    <w:rsid w:val="5F2B6A73"/>
    <w:rsid w:val="5F3C4C84"/>
    <w:rsid w:val="5F473629"/>
    <w:rsid w:val="5F4E2C09"/>
    <w:rsid w:val="5F7F40F4"/>
    <w:rsid w:val="5F814D8D"/>
    <w:rsid w:val="5F9204D2"/>
    <w:rsid w:val="5F9C5723"/>
    <w:rsid w:val="5F9E64F2"/>
    <w:rsid w:val="5FAF18FA"/>
    <w:rsid w:val="5FBA3DFB"/>
    <w:rsid w:val="5FCC3972"/>
    <w:rsid w:val="5FE175D9"/>
    <w:rsid w:val="5FE86BBA"/>
    <w:rsid w:val="5FF4555F"/>
    <w:rsid w:val="5FF960C3"/>
    <w:rsid w:val="6000600D"/>
    <w:rsid w:val="60057CBB"/>
    <w:rsid w:val="600F3289"/>
    <w:rsid w:val="60184E61"/>
    <w:rsid w:val="60194FC5"/>
    <w:rsid w:val="601C4AB5"/>
    <w:rsid w:val="60295011"/>
    <w:rsid w:val="602C1A92"/>
    <w:rsid w:val="6037369D"/>
    <w:rsid w:val="606A59D9"/>
    <w:rsid w:val="607A18F4"/>
    <w:rsid w:val="60806DF2"/>
    <w:rsid w:val="60820DBC"/>
    <w:rsid w:val="608368E3"/>
    <w:rsid w:val="60883EF9"/>
    <w:rsid w:val="608904EF"/>
    <w:rsid w:val="608B2761"/>
    <w:rsid w:val="60900493"/>
    <w:rsid w:val="60997B1C"/>
    <w:rsid w:val="60B42F40"/>
    <w:rsid w:val="60BB1675"/>
    <w:rsid w:val="60C43183"/>
    <w:rsid w:val="60EE0200"/>
    <w:rsid w:val="60F26B98"/>
    <w:rsid w:val="6109328C"/>
    <w:rsid w:val="61120392"/>
    <w:rsid w:val="611A2DA3"/>
    <w:rsid w:val="612C6F7A"/>
    <w:rsid w:val="6133756F"/>
    <w:rsid w:val="614147D4"/>
    <w:rsid w:val="615362B5"/>
    <w:rsid w:val="615763EA"/>
    <w:rsid w:val="6162474A"/>
    <w:rsid w:val="617F52FC"/>
    <w:rsid w:val="61840B64"/>
    <w:rsid w:val="61860438"/>
    <w:rsid w:val="6186668A"/>
    <w:rsid w:val="618B3CA1"/>
    <w:rsid w:val="619863BE"/>
    <w:rsid w:val="61BD1FD9"/>
    <w:rsid w:val="61D218D0"/>
    <w:rsid w:val="61D71060"/>
    <w:rsid w:val="61DD271C"/>
    <w:rsid w:val="61E91174"/>
    <w:rsid w:val="61ED04B8"/>
    <w:rsid w:val="61F25ACE"/>
    <w:rsid w:val="61F26A64"/>
    <w:rsid w:val="621974FF"/>
    <w:rsid w:val="621D6A10"/>
    <w:rsid w:val="621F43E9"/>
    <w:rsid w:val="624E0C70"/>
    <w:rsid w:val="62593D9F"/>
    <w:rsid w:val="62637709"/>
    <w:rsid w:val="626B6B22"/>
    <w:rsid w:val="6272702E"/>
    <w:rsid w:val="627B3D15"/>
    <w:rsid w:val="627E086B"/>
    <w:rsid w:val="628F156F"/>
    <w:rsid w:val="6291178B"/>
    <w:rsid w:val="62914D3D"/>
    <w:rsid w:val="6294085A"/>
    <w:rsid w:val="62A82630"/>
    <w:rsid w:val="62B7593C"/>
    <w:rsid w:val="62B86D17"/>
    <w:rsid w:val="62BB059B"/>
    <w:rsid w:val="62C236F2"/>
    <w:rsid w:val="62D43425"/>
    <w:rsid w:val="62D76737"/>
    <w:rsid w:val="62E0626E"/>
    <w:rsid w:val="62E91CEB"/>
    <w:rsid w:val="62ED4E82"/>
    <w:rsid w:val="630264ED"/>
    <w:rsid w:val="630B0357"/>
    <w:rsid w:val="630E63DB"/>
    <w:rsid w:val="631657EC"/>
    <w:rsid w:val="63247F09"/>
    <w:rsid w:val="632E2B36"/>
    <w:rsid w:val="63400ABB"/>
    <w:rsid w:val="635A7DCF"/>
    <w:rsid w:val="635D166D"/>
    <w:rsid w:val="636054C6"/>
    <w:rsid w:val="6373506A"/>
    <w:rsid w:val="63822E81"/>
    <w:rsid w:val="63A9455A"/>
    <w:rsid w:val="63AE2FFE"/>
    <w:rsid w:val="63B219B9"/>
    <w:rsid w:val="63BE1D63"/>
    <w:rsid w:val="63D07235"/>
    <w:rsid w:val="63F518A5"/>
    <w:rsid w:val="63FF44D2"/>
    <w:rsid w:val="640D3E00"/>
    <w:rsid w:val="640E501C"/>
    <w:rsid w:val="64485E79"/>
    <w:rsid w:val="644B5969"/>
    <w:rsid w:val="64526CF8"/>
    <w:rsid w:val="646210E9"/>
    <w:rsid w:val="647629E6"/>
    <w:rsid w:val="647924D6"/>
    <w:rsid w:val="6484052D"/>
    <w:rsid w:val="64A13EE0"/>
    <w:rsid w:val="64A31301"/>
    <w:rsid w:val="64BF4696"/>
    <w:rsid w:val="64CC2606"/>
    <w:rsid w:val="64CC6AAA"/>
    <w:rsid w:val="64E92780"/>
    <w:rsid w:val="64FE5D20"/>
    <w:rsid w:val="65006754"/>
    <w:rsid w:val="65031DA0"/>
    <w:rsid w:val="65057E5F"/>
    <w:rsid w:val="650E0E71"/>
    <w:rsid w:val="65121B32"/>
    <w:rsid w:val="651B17E0"/>
    <w:rsid w:val="652B51EE"/>
    <w:rsid w:val="65402FF4"/>
    <w:rsid w:val="654A0BBB"/>
    <w:rsid w:val="654C4C64"/>
    <w:rsid w:val="65510D5D"/>
    <w:rsid w:val="65530F79"/>
    <w:rsid w:val="65532501"/>
    <w:rsid w:val="65532D27"/>
    <w:rsid w:val="657A14A7"/>
    <w:rsid w:val="657C227E"/>
    <w:rsid w:val="657C58B7"/>
    <w:rsid w:val="65823C65"/>
    <w:rsid w:val="65826AB4"/>
    <w:rsid w:val="659155FE"/>
    <w:rsid w:val="65981DC9"/>
    <w:rsid w:val="65B25CA0"/>
    <w:rsid w:val="65BF3A0D"/>
    <w:rsid w:val="65C1502B"/>
    <w:rsid w:val="65D727E8"/>
    <w:rsid w:val="65D92444"/>
    <w:rsid w:val="65EB2F60"/>
    <w:rsid w:val="65FF44AA"/>
    <w:rsid w:val="6618187B"/>
    <w:rsid w:val="662F1EA6"/>
    <w:rsid w:val="6632293D"/>
    <w:rsid w:val="6635067F"/>
    <w:rsid w:val="663C1574"/>
    <w:rsid w:val="6647649F"/>
    <w:rsid w:val="66507267"/>
    <w:rsid w:val="665F4929"/>
    <w:rsid w:val="666845B1"/>
    <w:rsid w:val="668F7D8F"/>
    <w:rsid w:val="669C130A"/>
    <w:rsid w:val="66AA6977"/>
    <w:rsid w:val="66B23A7E"/>
    <w:rsid w:val="66BC4EBD"/>
    <w:rsid w:val="66C33EDD"/>
    <w:rsid w:val="66D653F4"/>
    <w:rsid w:val="66DB0439"/>
    <w:rsid w:val="66F2244D"/>
    <w:rsid w:val="67082C60"/>
    <w:rsid w:val="67144738"/>
    <w:rsid w:val="6716400D"/>
    <w:rsid w:val="672030DD"/>
    <w:rsid w:val="6741667C"/>
    <w:rsid w:val="675D1C3B"/>
    <w:rsid w:val="6760469D"/>
    <w:rsid w:val="676517E2"/>
    <w:rsid w:val="67697684"/>
    <w:rsid w:val="676A0C1E"/>
    <w:rsid w:val="676F6E46"/>
    <w:rsid w:val="6780592A"/>
    <w:rsid w:val="67975157"/>
    <w:rsid w:val="679F2254"/>
    <w:rsid w:val="67A45E41"/>
    <w:rsid w:val="67B975D6"/>
    <w:rsid w:val="67E519F4"/>
    <w:rsid w:val="67EE0AA6"/>
    <w:rsid w:val="67FA56DC"/>
    <w:rsid w:val="68051B05"/>
    <w:rsid w:val="680E2F36"/>
    <w:rsid w:val="68126ECA"/>
    <w:rsid w:val="68243893"/>
    <w:rsid w:val="68293B0B"/>
    <w:rsid w:val="682F12D7"/>
    <w:rsid w:val="6873723D"/>
    <w:rsid w:val="688354E1"/>
    <w:rsid w:val="68AF64C7"/>
    <w:rsid w:val="68B06C88"/>
    <w:rsid w:val="68BA4E6C"/>
    <w:rsid w:val="68C1269E"/>
    <w:rsid w:val="68C31F72"/>
    <w:rsid w:val="68C87588"/>
    <w:rsid w:val="68D51CA5"/>
    <w:rsid w:val="68DE0B5A"/>
    <w:rsid w:val="68F726B8"/>
    <w:rsid w:val="68F75DC5"/>
    <w:rsid w:val="68FC5484"/>
    <w:rsid w:val="69011A1A"/>
    <w:rsid w:val="69024763"/>
    <w:rsid w:val="69231144"/>
    <w:rsid w:val="69372BDB"/>
    <w:rsid w:val="694A0B5C"/>
    <w:rsid w:val="694A61EF"/>
    <w:rsid w:val="69610F46"/>
    <w:rsid w:val="69625237"/>
    <w:rsid w:val="696372B1"/>
    <w:rsid w:val="69653029"/>
    <w:rsid w:val="69692B1A"/>
    <w:rsid w:val="696F20FA"/>
    <w:rsid w:val="69700C8D"/>
    <w:rsid w:val="69863531"/>
    <w:rsid w:val="69872FA0"/>
    <w:rsid w:val="699F478D"/>
    <w:rsid w:val="699F653B"/>
    <w:rsid w:val="69A04061"/>
    <w:rsid w:val="69B8529B"/>
    <w:rsid w:val="69BB116B"/>
    <w:rsid w:val="69C12F13"/>
    <w:rsid w:val="69CF4947"/>
    <w:rsid w:val="69D837FB"/>
    <w:rsid w:val="69E24997"/>
    <w:rsid w:val="69E40206"/>
    <w:rsid w:val="69E403F2"/>
    <w:rsid w:val="69E6795F"/>
    <w:rsid w:val="69F66377"/>
    <w:rsid w:val="69F85C4B"/>
    <w:rsid w:val="69FB39BE"/>
    <w:rsid w:val="6A010FA4"/>
    <w:rsid w:val="6A0445F0"/>
    <w:rsid w:val="6A1031D1"/>
    <w:rsid w:val="6A1F3E9A"/>
    <w:rsid w:val="6A2A2D10"/>
    <w:rsid w:val="6A31115D"/>
    <w:rsid w:val="6A366774"/>
    <w:rsid w:val="6A457745"/>
    <w:rsid w:val="6A5441AD"/>
    <w:rsid w:val="6A6432E1"/>
    <w:rsid w:val="6A65575B"/>
    <w:rsid w:val="6A6D6639"/>
    <w:rsid w:val="6A703DD6"/>
    <w:rsid w:val="6A707ED8"/>
    <w:rsid w:val="6A7A6958"/>
    <w:rsid w:val="6A7D2190"/>
    <w:rsid w:val="6A86594D"/>
    <w:rsid w:val="6AB546D1"/>
    <w:rsid w:val="6AC931FE"/>
    <w:rsid w:val="6ACA583A"/>
    <w:rsid w:val="6ADE7537"/>
    <w:rsid w:val="6AE54422"/>
    <w:rsid w:val="6AFD4626"/>
    <w:rsid w:val="6B122D3D"/>
    <w:rsid w:val="6B15282D"/>
    <w:rsid w:val="6B2C11AC"/>
    <w:rsid w:val="6B347157"/>
    <w:rsid w:val="6B4C44A1"/>
    <w:rsid w:val="6B535DB3"/>
    <w:rsid w:val="6B746EEE"/>
    <w:rsid w:val="6B760935"/>
    <w:rsid w:val="6B941410"/>
    <w:rsid w:val="6B953323"/>
    <w:rsid w:val="6B9876E6"/>
    <w:rsid w:val="6BA30ED2"/>
    <w:rsid w:val="6BB65DBE"/>
    <w:rsid w:val="6BB87D88"/>
    <w:rsid w:val="6BCE135A"/>
    <w:rsid w:val="6BCE4EB6"/>
    <w:rsid w:val="6BE04BE9"/>
    <w:rsid w:val="6C004482"/>
    <w:rsid w:val="6C054650"/>
    <w:rsid w:val="6C0A6F4B"/>
    <w:rsid w:val="6C0A7EB8"/>
    <w:rsid w:val="6C0C3C2F"/>
    <w:rsid w:val="6C1121B0"/>
    <w:rsid w:val="6C16685D"/>
    <w:rsid w:val="6C1B20C5"/>
    <w:rsid w:val="6C264CF2"/>
    <w:rsid w:val="6C2E2748"/>
    <w:rsid w:val="6C335661"/>
    <w:rsid w:val="6C3F4984"/>
    <w:rsid w:val="6C557385"/>
    <w:rsid w:val="6C7F4402"/>
    <w:rsid w:val="6C8068BA"/>
    <w:rsid w:val="6C84446E"/>
    <w:rsid w:val="6C8A5741"/>
    <w:rsid w:val="6C922387"/>
    <w:rsid w:val="6CA53765"/>
    <w:rsid w:val="6CB1650B"/>
    <w:rsid w:val="6CC160A5"/>
    <w:rsid w:val="6CD02EB0"/>
    <w:rsid w:val="6CE95D1F"/>
    <w:rsid w:val="6CEE311B"/>
    <w:rsid w:val="6CFA617E"/>
    <w:rsid w:val="6D0112BB"/>
    <w:rsid w:val="6D090170"/>
    <w:rsid w:val="6D254FA9"/>
    <w:rsid w:val="6D2A25C0"/>
    <w:rsid w:val="6D2D20B0"/>
    <w:rsid w:val="6D3120DC"/>
    <w:rsid w:val="6D31456B"/>
    <w:rsid w:val="6D321474"/>
    <w:rsid w:val="6D323B6A"/>
    <w:rsid w:val="6D367056"/>
    <w:rsid w:val="6D3B1ED6"/>
    <w:rsid w:val="6D3B47CD"/>
    <w:rsid w:val="6D400E0B"/>
    <w:rsid w:val="6D401DE3"/>
    <w:rsid w:val="6D481511"/>
    <w:rsid w:val="6D5345F7"/>
    <w:rsid w:val="6D592EA5"/>
    <w:rsid w:val="6D6A3304"/>
    <w:rsid w:val="6D9263B7"/>
    <w:rsid w:val="6D982F66"/>
    <w:rsid w:val="6DAE1443"/>
    <w:rsid w:val="6DB5165F"/>
    <w:rsid w:val="6DB85E1E"/>
    <w:rsid w:val="6DC36570"/>
    <w:rsid w:val="6DD6296D"/>
    <w:rsid w:val="6DDE1239"/>
    <w:rsid w:val="6DEE5CE3"/>
    <w:rsid w:val="6E0252EB"/>
    <w:rsid w:val="6E0B0643"/>
    <w:rsid w:val="6E144856"/>
    <w:rsid w:val="6E1B085B"/>
    <w:rsid w:val="6E35746E"/>
    <w:rsid w:val="6E4A0A40"/>
    <w:rsid w:val="6E5673E4"/>
    <w:rsid w:val="6E6B2787"/>
    <w:rsid w:val="6E71573F"/>
    <w:rsid w:val="6E775CD9"/>
    <w:rsid w:val="6E95077A"/>
    <w:rsid w:val="6EBC7C0D"/>
    <w:rsid w:val="6ECD58F9"/>
    <w:rsid w:val="6ED76777"/>
    <w:rsid w:val="6ED8429D"/>
    <w:rsid w:val="6EE13152"/>
    <w:rsid w:val="6EF91340"/>
    <w:rsid w:val="6EF94E42"/>
    <w:rsid w:val="6EFE1F56"/>
    <w:rsid w:val="6F07038F"/>
    <w:rsid w:val="6F0B2A24"/>
    <w:rsid w:val="6F15104E"/>
    <w:rsid w:val="6F196D90"/>
    <w:rsid w:val="6F2B7743"/>
    <w:rsid w:val="6F3C409E"/>
    <w:rsid w:val="6F55769C"/>
    <w:rsid w:val="6F6C6F5B"/>
    <w:rsid w:val="6F6D2C38"/>
    <w:rsid w:val="6F735EDE"/>
    <w:rsid w:val="6F7E1F94"/>
    <w:rsid w:val="6F8F7052"/>
    <w:rsid w:val="6F9208F0"/>
    <w:rsid w:val="6F9F7F11"/>
    <w:rsid w:val="6FA17D64"/>
    <w:rsid w:val="6FAA3E8C"/>
    <w:rsid w:val="6FAD2495"/>
    <w:rsid w:val="6FB24AEE"/>
    <w:rsid w:val="6FBA2CEB"/>
    <w:rsid w:val="6FBB4ED7"/>
    <w:rsid w:val="70004BFE"/>
    <w:rsid w:val="70207F5D"/>
    <w:rsid w:val="7024037A"/>
    <w:rsid w:val="70271038"/>
    <w:rsid w:val="70293633"/>
    <w:rsid w:val="703025E3"/>
    <w:rsid w:val="703D085C"/>
    <w:rsid w:val="70673B2B"/>
    <w:rsid w:val="708244C1"/>
    <w:rsid w:val="70934920"/>
    <w:rsid w:val="70C17042"/>
    <w:rsid w:val="70C525FF"/>
    <w:rsid w:val="70D32F6E"/>
    <w:rsid w:val="70DA7783"/>
    <w:rsid w:val="70DC1E23"/>
    <w:rsid w:val="70F52EE5"/>
    <w:rsid w:val="70F76C5D"/>
    <w:rsid w:val="71063344"/>
    <w:rsid w:val="710F044A"/>
    <w:rsid w:val="712612F0"/>
    <w:rsid w:val="71275759"/>
    <w:rsid w:val="71290DE0"/>
    <w:rsid w:val="712D267F"/>
    <w:rsid w:val="7137174F"/>
    <w:rsid w:val="71381023"/>
    <w:rsid w:val="713D663A"/>
    <w:rsid w:val="7141612A"/>
    <w:rsid w:val="71461992"/>
    <w:rsid w:val="714F4210"/>
    <w:rsid w:val="715220E5"/>
    <w:rsid w:val="71982DB9"/>
    <w:rsid w:val="719E59C1"/>
    <w:rsid w:val="71B2551F"/>
    <w:rsid w:val="71BC1C54"/>
    <w:rsid w:val="71BD28C9"/>
    <w:rsid w:val="71DE1484"/>
    <w:rsid w:val="71E7082E"/>
    <w:rsid w:val="71FF9AFF"/>
    <w:rsid w:val="720075C4"/>
    <w:rsid w:val="72066845"/>
    <w:rsid w:val="72071742"/>
    <w:rsid w:val="720F34EA"/>
    <w:rsid w:val="721B585C"/>
    <w:rsid w:val="721C5103"/>
    <w:rsid w:val="722507C3"/>
    <w:rsid w:val="72442376"/>
    <w:rsid w:val="724779A2"/>
    <w:rsid w:val="724A3B69"/>
    <w:rsid w:val="726F5114"/>
    <w:rsid w:val="727367B7"/>
    <w:rsid w:val="72751C33"/>
    <w:rsid w:val="72823F46"/>
    <w:rsid w:val="728F7B7A"/>
    <w:rsid w:val="72A72905"/>
    <w:rsid w:val="72B1108D"/>
    <w:rsid w:val="72FA2A34"/>
    <w:rsid w:val="72FC49FE"/>
    <w:rsid w:val="73221F8B"/>
    <w:rsid w:val="734168B5"/>
    <w:rsid w:val="73463ECB"/>
    <w:rsid w:val="73467A28"/>
    <w:rsid w:val="736B56E0"/>
    <w:rsid w:val="7375655F"/>
    <w:rsid w:val="737A5923"/>
    <w:rsid w:val="7386251A"/>
    <w:rsid w:val="739F299E"/>
    <w:rsid w:val="73A16271"/>
    <w:rsid w:val="73B329A0"/>
    <w:rsid w:val="73B91685"/>
    <w:rsid w:val="73BB6668"/>
    <w:rsid w:val="73C978F4"/>
    <w:rsid w:val="73DF219A"/>
    <w:rsid w:val="73FF57AE"/>
    <w:rsid w:val="74051691"/>
    <w:rsid w:val="74143FCA"/>
    <w:rsid w:val="74251D33"/>
    <w:rsid w:val="742A559B"/>
    <w:rsid w:val="742C1313"/>
    <w:rsid w:val="74310511"/>
    <w:rsid w:val="743261FE"/>
    <w:rsid w:val="74443CD1"/>
    <w:rsid w:val="74463A57"/>
    <w:rsid w:val="744974A0"/>
    <w:rsid w:val="74563F49"/>
    <w:rsid w:val="74566390"/>
    <w:rsid w:val="74620891"/>
    <w:rsid w:val="746A5998"/>
    <w:rsid w:val="746C0889"/>
    <w:rsid w:val="74737FFE"/>
    <w:rsid w:val="74851328"/>
    <w:rsid w:val="748E5B2A"/>
    <w:rsid w:val="748E78D8"/>
    <w:rsid w:val="74AD7044"/>
    <w:rsid w:val="74B37D3A"/>
    <w:rsid w:val="74BE7A92"/>
    <w:rsid w:val="74C81F26"/>
    <w:rsid w:val="74CC7A87"/>
    <w:rsid w:val="74CE23CA"/>
    <w:rsid w:val="74CF1C9F"/>
    <w:rsid w:val="74D310AD"/>
    <w:rsid w:val="74D733CC"/>
    <w:rsid w:val="74E90EDC"/>
    <w:rsid w:val="74F64460"/>
    <w:rsid w:val="74F80580"/>
    <w:rsid w:val="7501454E"/>
    <w:rsid w:val="75063912"/>
    <w:rsid w:val="75093403"/>
    <w:rsid w:val="7521699E"/>
    <w:rsid w:val="75232716"/>
    <w:rsid w:val="752C32FA"/>
    <w:rsid w:val="752E4C17"/>
    <w:rsid w:val="75394200"/>
    <w:rsid w:val="753F5076"/>
    <w:rsid w:val="75535D0D"/>
    <w:rsid w:val="755830E8"/>
    <w:rsid w:val="75674CAF"/>
    <w:rsid w:val="75805C64"/>
    <w:rsid w:val="758919FB"/>
    <w:rsid w:val="75A31338"/>
    <w:rsid w:val="75BB2B51"/>
    <w:rsid w:val="75BC66C7"/>
    <w:rsid w:val="75C9401B"/>
    <w:rsid w:val="75DA08FB"/>
    <w:rsid w:val="75FE45EA"/>
    <w:rsid w:val="760249F6"/>
    <w:rsid w:val="761B311C"/>
    <w:rsid w:val="762625CB"/>
    <w:rsid w:val="762B1157"/>
    <w:rsid w:val="76401A17"/>
    <w:rsid w:val="766C390F"/>
    <w:rsid w:val="768371E5"/>
    <w:rsid w:val="768857E3"/>
    <w:rsid w:val="769211D6"/>
    <w:rsid w:val="769B4760"/>
    <w:rsid w:val="76A00FB7"/>
    <w:rsid w:val="76B13D52"/>
    <w:rsid w:val="76BB24DB"/>
    <w:rsid w:val="76C515AB"/>
    <w:rsid w:val="76DB2B7D"/>
    <w:rsid w:val="76DE7A48"/>
    <w:rsid w:val="76EB4669"/>
    <w:rsid w:val="76EC2CDC"/>
    <w:rsid w:val="76F37EC6"/>
    <w:rsid w:val="76F61765"/>
    <w:rsid w:val="76F84D3B"/>
    <w:rsid w:val="76FA74A7"/>
    <w:rsid w:val="773B69D8"/>
    <w:rsid w:val="774444B7"/>
    <w:rsid w:val="775645CA"/>
    <w:rsid w:val="775A6197"/>
    <w:rsid w:val="775A7450"/>
    <w:rsid w:val="77732DB5"/>
    <w:rsid w:val="778D1204"/>
    <w:rsid w:val="77966E40"/>
    <w:rsid w:val="77A45665"/>
    <w:rsid w:val="77B0550D"/>
    <w:rsid w:val="77B22C19"/>
    <w:rsid w:val="77BC29AE"/>
    <w:rsid w:val="77C96E79"/>
    <w:rsid w:val="77CC6F41"/>
    <w:rsid w:val="77CE0C01"/>
    <w:rsid w:val="77DE3442"/>
    <w:rsid w:val="77DF3D82"/>
    <w:rsid w:val="77E15385"/>
    <w:rsid w:val="77E33B2E"/>
    <w:rsid w:val="77EA751B"/>
    <w:rsid w:val="77EB6DF0"/>
    <w:rsid w:val="77F55EC0"/>
    <w:rsid w:val="780E2ADE"/>
    <w:rsid w:val="780F5E0D"/>
    <w:rsid w:val="78216CB5"/>
    <w:rsid w:val="78405FDD"/>
    <w:rsid w:val="78670B6C"/>
    <w:rsid w:val="78793CF8"/>
    <w:rsid w:val="78915BE9"/>
    <w:rsid w:val="7896095C"/>
    <w:rsid w:val="78A51C5C"/>
    <w:rsid w:val="78A771BA"/>
    <w:rsid w:val="78C0027C"/>
    <w:rsid w:val="78C034AA"/>
    <w:rsid w:val="78C837DE"/>
    <w:rsid w:val="78CD68DC"/>
    <w:rsid w:val="78D67AA0"/>
    <w:rsid w:val="78E22D0F"/>
    <w:rsid w:val="7904460D"/>
    <w:rsid w:val="790A3CF7"/>
    <w:rsid w:val="790F4D60"/>
    <w:rsid w:val="791232F5"/>
    <w:rsid w:val="791D122B"/>
    <w:rsid w:val="791D1542"/>
    <w:rsid w:val="792D5A15"/>
    <w:rsid w:val="793D1D56"/>
    <w:rsid w:val="7943763C"/>
    <w:rsid w:val="794669D3"/>
    <w:rsid w:val="796E00ED"/>
    <w:rsid w:val="798968C0"/>
    <w:rsid w:val="799139C7"/>
    <w:rsid w:val="799D6BB0"/>
    <w:rsid w:val="79B319FF"/>
    <w:rsid w:val="79B853F7"/>
    <w:rsid w:val="79C45B4A"/>
    <w:rsid w:val="79CD2C51"/>
    <w:rsid w:val="79DD4C66"/>
    <w:rsid w:val="79F23DFF"/>
    <w:rsid w:val="79FC7092"/>
    <w:rsid w:val="7A26770A"/>
    <w:rsid w:val="7A2F1E3C"/>
    <w:rsid w:val="7A4E3666"/>
    <w:rsid w:val="7A501FCA"/>
    <w:rsid w:val="7A57076C"/>
    <w:rsid w:val="7A5944E4"/>
    <w:rsid w:val="7A670D6C"/>
    <w:rsid w:val="7A730598"/>
    <w:rsid w:val="7A766C03"/>
    <w:rsid w:val="7A820211"/>
    <w:rsid w:val="7A862E00"/>
    <w:rsid w:val="7A8C48BA"/>
    <w:rsid w:val="7A8D2E7E"/>
    <w:rsid w:val="7A9D627D"/>
    <w:rsid w:val="7AA00365"/>
    <w:rsid w:val="7AC53928"/>
    <w:rsid w:val="7ACA4115"/>
    <w:rsid w:val="7ADB139D"/>
    <w:rsid w:val="7AF75AAB"/>
    <w:rsid w:val="7B0C250C"/>
    <w:rsid w:val="7B132BBB"/>
    <w:rsid w:val="7B197943"/>
    <w:rsid w:val="7B28769B"/>
    <w:rsid w:val="7B2929D9"/>
    <w:rsid w:val="7B3360A6"/>
    <w:rsid w:val="7B3B169A"/>
    <w:rsid w:val="7B403A09"/>
    <w:rsid w:val="7B507092"/>
    <w:rsid w:val="7B5353D8"/>
    <w:rsid w:val="7B57685E"/>
    <w:rsid w:val="7B580C40"/>
    <w:rsid w:val="7B5E6E40"/>
    <w:rsid w:val="7B6C55E2"/>
    <w:rsid w:val="7B755C7A"/>
    <w:rsid w:val="7B851309"/>
    <w:rsid w:val="7B876E2F"/>
    <w:rsid w:val="7B893390"/>
    <w:rsid w:val="7B8E6714"/>
    <w:rsid w:val="7B933A26"/>
    <w:rsid w:val="7B9B0B2D"/>
    <w:rsid w:val="7B9B28DB"/>
    <w:rsid w:val="7B9C3FC0"/>
    <w:rsid w:val="7B9D6653"/>
    <w:rsid w:val="7BA85C83"/>
    <w:rsid w:val="7BB13139"/>
    <w:rsid w:val="7BC57958"/>
    <w:rsid w:val="7BCF222C"/>
    <w:rsid w:val="7BDF6C6B"/>
    <w:rsid w:val="7BE14BE3"/>
    <w:rsid w:val="7BEE5100"/>
    <w:rsid w:val="7BF30969"/>
    <w:rsid w:val="7BFD27E5"/>
    <w:rsid w:val="7C2711AD"/>
    <w:rsid w:val="7C29529E"/>
    <w:rsid w:val="7C2A7CC7"/>
    <w:rsid w:val="7C442F72"/>
    <w:rsid w:val="7C4D0079"/>
    <w:rsid w:val="7C507DDD"/>
    <w:rsid w:val="7C5807CC"/>
    <w:rsid w:val="7C705B15"/>
    <w:rsid w:val="7C724DB6"/>
    <w:rsid w:val="7C75137E"/>
    <w:rsid w:val="7C765821"/>
    <w:rsid w:val="7C7D7B7D"/>
    <w:rsid w:val="7C8B1B4C"/>
    <w:rsid w:val="7C8E3DDA"/>
    <w:rsid w:val="7C9E76E8"/>
    <w:rsid w:val="7CA0464C"/>
    <w:rsid w:val="7CAF5249"/>
    <w:rsid w:val="7CC0084B"/>
    <w:rsid w:val="7CCD740C"/>
    <w:rsid w:val="7CD2057E"/>
    <w:rsid w:val="7CE00EED"/>
    <w:rsid w:val="7CEC5AE4"/>
    <w:rsid w:val="7CED079C"/>
    <w:rsid w:val="7CED7166"/>
    <w:rsid w:val="7D056BA5"/>
    <w:rsid w:val="7D0E5A5A"/>
    <w:rsid w:val="7D1868D9"/>
    <w:rsid w:val="7D2C4132"/>
    <w:rsid w:val="7D311748"/>
    <w:rsid w:val="7D43322A"/>
    <w:rsid w:val="7D44147C"/>
    <w:rsid w:val="7D625DA6"/>
    <w:rsid w:val="7D6D1972"/>
    <w:rsid w:val="7D7B7371"/>
    <w:rsid w:val="7D823DE2"/>
    <w:rsid w:val="7D82740B"/>
    <w:rsid w:val="7D8F6CF8"/>
    <w:rsid w:val="7D943A85"/>
    <w:rsid w:val="7D960C66"/>
    <w:rsid w:val="7D9677FD"/>
    <w:rsid w:val="7D9B6B4F"/>
    <w:rsid w:val="7DA939D5"/>
    <w:rsid w:val="7DB11BB4"/>
    <w:rsid w:val="7DBA173E"/>
    <w:rsid w:val="7DC2038D"/>
    <w:rsid w:val="7DCB2ACE"/>
    <w:rsid w:val="7DCC76C3"/>
    <w:rsid w:val="7DCE51E9"/>
    <w:rsid w:val="7DD0567E"/>
    <w:rsid w:val="7DD24253"/>
    <w:rsid w:val="7DD369A2"/>
    <w:rsid w:val="7DDB16B4"/>
    <w:rsid w:val="7DE64953"/>
    <w:rsid w:val="7E115E8E"/>
    <w:rsid w:val="7E29333C"/>
    <w:rsid w:val="7E2B6198"/>
    <w:rsid w:val="7E355268"/>
    <w:rsid w:val="7E470887"/>
    <w:rsid w:val="7E4A0AE0"/>
    <w:rsid w:val="7E526461"/>
    <w:rsid w:val="7E573431"/>
    <w:rsid w:val="7E6104FB"/>
    <w:rsid w:val="7E9F0934"/>
    <w:rsid w:val="7EA22004"/>
    <w:rsid w:val="7EC05102"/>
    <w:rsid w:val="7ECD54A1"/>
    <w:rsid w:val="7EDC7492"/>
    <w:rsid w:val="7EEB5927"/>
    <w:rsid w:val="7EEE2D18"/>
    <w:rsid w:val="7EF944E8"/>
    <w:rsid w:val="7EFC7B34"/>
    <w:rsid w:val="7F0C01C9"/>
    <w:rsid w:val="7F0F1615"/>
    <w:rsid w:val="7F203823"/>
    <w:rsid w:val="7F2872CD"/>
    <w:rsid w:val="7F2D5F40"/>
    <w:rsid w:val="7F315A30"/>
    <w:rsid w:val="7F3C5156"/>
    <w:rsid w:val="7F433593"/>
    <w:rsid w:val="7F4E66AC"/>
    <w:rsid w:val="7F5B0CFF"/>
    <w:rsid w:val="7F610B64"/>
    <w:rsid w:val="7F802513"/>
    <w:rsid w:val="7FA22E89"/>
    <w:rsid w:val="7FA45E4D"/>
    <w:rsid w:val="7FBD085D"/>
    <w:rsid w:val="7FC078C2"/>
    <w:rsid w:val="7FCE14D1"/>
    <w:rsid w:val="7FD60385"/>
    <w:rsid w:val="7FF01447"/>
    <w:rsid w:val="7FFC4290"/>
    <w:rsid w:val="7FFD1DB6"/>
    <w:rsid w:val="DDEFF289"/>
    <w:rsid w:val="ED3FCBFC"/>
    <w:rsid w:val="FEFF0716"/>
    <w:rsid w:val="FFED40C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qFormat="1" w:uiPriority="39" w:name="toc 3"/>
    <w:lsdException w:uiPriority="0" w:name="toc 4"/>
    <w:lsdException w:uiPriority="0" w:name="toc 5"/>
    <w:lsdException w:qFormat="1" w:uiPriority="0" w:semiHidden="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99" w:semiHidden="0" w:name="caption" w:locked="1"/>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qFormat="1" w:unhideWhenUsed="0" w:uiPriority="99"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ocked="1"/>
    <w:lsdException w:uiPriority="0" w:name="Salutation"/>
    <w:lsdException w:uiPriority="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99" w:semiHidden="0" w:name="Strong"/>
    <w:lsdException w:qFormat="1" w:unhideWhenUsed="0" w:uiPriority="20" w:semiHidden="0" w:name="Emphasis" w:locked="1"/>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qFormat="1" w:uiPriority="0" w:semiHidden="0" w:name="HTML Code"/>
    <w:lsdException w:qFormat="1" w:uiPriority="0" w:semiHidden="0" w:name="HTML Definition"/>
    <w:lsdException w:qFormat="1" w:uiPriority="0" w:semiHidden="0" w:name="HTML Keyboard"/>
    <w:lsdException w:uiPriority="0" w:name="HTML Preformatted"/>
    <w:lsdException w:qFormat="1" w:uiPriority="0" w:semiHidden="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99" w:name="Balloon Text"/>
    <w:lsdException w:qFormat="1" w:unhideWhenUsed="0" w:uiPriority="99" w:semiHidden="0" w:name="Table Grid"/>
    <w:lsdException w:unhideWhenUsed="0" w:uiPriority="99" w:semiHidden="0"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55"/>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40"/>
    <w:qFormat/>
    <w:uiPriority w:val="99"/>
    <w:pPr>
      <w:keepNext/>
      <w:keepLines/>
      <w:spacing w:line="360" w:lineRule="auto"/>
      <w:outlineLvl w:val="1"/>
    </w:pPr>
    <w:rPr>
      <w:rFonts w:ascii="Cambria" w:hAnsi="Cambria" w:cs="Cambria"/>
      <w:b/>
      <w:bCs/>
      <w:kern w:val="0"/>
      <w:sz w:val="32"/>
      <w:szCs w:val="32"/>
    </w:rPr>
  </w:style>
  <w:style w:type="paragraph" w:styleId="5">
    <w:name w:val="heading 3"/>
    <w:basedOn w:val="1"/>
    <w:next w:val="1"/>
    <w:link w:val="41"/>
    <w:qFormat/>
    <w:uiPriority w:val="99"/>
    <w:pPr>
      <w:keepNext/>
      <w:keepLines/>
      <w:outlineLvl w:val="2"/>
    </w:pPr>
    <w:rPr>
      <w:b/>
      <w:bCs/>
      <w:kern w:val="0"/>
      <w:sz w:val="32"/>
      <w:szCs w:val="32"/>
    </w:rPr>
  </w:style>
  <w:style w:type="paragraph" w:styleId="6">
    <w:name w:val="heading 4"/>
    <w:basedOn w:val="1"/>
    <w:next w:val="1"/>
    <w:link w:val="42"/>
    <w:qFormat/>
    <w:locked/>
    <w:uiPriority w:val="99"/>
    <w:pPr>
      <w:keepNext/>
      <w:keepLines/>
      <w:spacing w:before="280" w:after="290" w:line="376" w:lineRule="auto"/>
      <w:outlineLvl w:val="3"/>
    </w:pPr>
    <w:rPr>
      <w:rFonts w:ascii="Cambria" w:hAnsi="Cambria" w:cs="Cambria"/>
      <w:b/>
      <w:bCs/>
      <w:sz w:val="28"/>
      <w:szCs w:val="28"/>
    </w:rPr>
  </w:style>
  <w:style w:type="paragraph" w:styleId="7">
    <w:name w:val="heading 5"/>
    <w:basedOn w:val="1"/>
    <w:next w:val="1"/>
    <w:link w:val="43"/>
    <w:qFormat/>
    <w:locked/>
    <w:uiPriority w:val="99"/>
    <w:pPr>
      <w:keepNext/>
      <w:keepLines/>
      <w:spacing w:before="280" w:after="290" w:line="376" w:lineRule="auto"/>
      <w:outlineLvl w:val="4"/>
    </w:pPr>
    <w:rPr>
      <w:b/>
      <w:bCs/>
      <w:sz w:val="28"/>
      <w:szCs w:val="28"/>
    </w:rPr>
  </w:style>
  <w:style w:type="paragraph" w:styleId="8">
    <w:name w:val="heading 6"/>
    <w:basedOn w:val="1"/>
    <w:next w:val="1"/>
    <w:link w:val="44"/>
    <w:qFormat/>
    <w:locked/>
    <w:uiPriority w:val="99"/>
    <w:pPr>
      <w:keepNext/>
      <w:keepLines/>
      <w:spacing w:before="240" w:after="64" w:line="320" w:lineRule="auto"/>
      <w:outlineLvl w:val="5"/>
    </w:pPr>
    <w:rPr>
      <w:rFonts w:ascii="Cambria" w:hAnsi="Cambria" w:cs="Cambria"/>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qFormat/>
    <w:uiPriority w:val="99"/>
    <w:pPr>
      <w:spacing w:after="120"/>
    </w:pPr>
    <w:rPr>
      <w:kern w:val="0"/>
      <w:sz w:val="24"/>
      <w:szCs w:val="24"/>
    </w:rPr>
  </w:style>
  <w:style w:type="paragraph" w:styleId="9">
    <w:name w:val="List Number"/>
    <w:basedOn w:val="1"/>
    <w:qFormat/>
    <w:uiPriority w:val="99"/>
    <w:pPr>
      <w:numPr>
        <w:ilvl w:val="0"/>
        <w:numId w:val="1"/>
      </w:numPr>
    </w:pPr>
  </w:style>
  <w:style w:type="paragraph" w:styleId="10">
    <w:name w:val="Normal Indent"/>
    <w:basedOn w:val="1"/>
    <w:next w:val="1"/>
    <w:qFormat/>
    <w:uiPriority w:val="99"/>
    <w:pPr>
      <w:ind w:firstLine="488"/>
    </w:pPr>
  </w:style>
  <w:style w:type="paragraph" w:styleId="11">
    <w:name w:val="caption"/>
    <w:basedOn w:val="1"/>
    <w:next w:val="1"/>
    <w:qFormat/>
    <w:locked/>
    <w:uiPriority w:val="99"/>
    <w:rPr>
      <w:rFonts w:ascii="Arial" w:hAnsi="Arial" w:eastAsia="黑体" w:cs="Arial"/>
      <w:kern w:val="0"/>
      <w:sz w:val="20"/>
      <w:szCs w:val="20"/>
    </w:rPr>
  </w:style>
  <w:style w:type="paragraph" w:styleId="12">
    <w:name w:val="annotation text"/>
    <w:basedOn w:val="1"/>
    <w:link w:val="47"/>
    <w:semiHidden/>
    <w:qFormat/>
    <w:uiPriority w:val="99"/>
    <w:pPr>
      <w:jc w:val="left"/>
    </w:pPr>
    <w:rPr>
      <w:sz w:val="24"/>
      <w:szCs w:val="24"/>
    </w:rPr>
  </w:style>
  <w:style w:type="paragraph" w:styleId="13">
    <w:name w:val="Body Text Indent"/>
    <w:basedOn w:val="1"/>
    <w:link w:val="48"/>
    <w:qFormat/>
    <w:uiPriority w:val="99"/>
    <w:pPr>
      <w:spacing w:line="480" w:lineRule="exact"/>
      <w:ind w:firstLine="570"/>
    </w:pPr>
    <w:rPr>
      <w:kern w:val="0"/>
      <w:sz w:val="20"/>
      <w:szCs w:val="20"/>
    </w:rPr>
  </w:style>
  <w:style w:type="paragraph" w:styleId="14">
    <w:name w:val="List 2"/>
    <w:basedOn w:val="1"/>
    <w:qFormat/>
    <w:uiPriority w:val="99"/>
    <w:pPr>
      <w:ind w:left="840" w:hanging="420"/>
    </w:pPr>
  </w:style>
  <w:style w:type="paragraph" w:styleId="15">
    <w:name w:val="toc 3"/>
    <w:basedOn w:val="1"/>
    <w:next w:val="1"/>
    <w:semiHidden/>
    <w:unhideWhenUsed/>
    <w:qFormat/>
    <w:uiPriority w:val="39"/>
    <w:pPr>
      <w:ind w:left="840" w:leftChars="400"/>
    </w:pPr>
  </w:style>
  <w:style w:type="paragraph" w:styleId="16">
    <w:name w:val="Plain Text"/>
    <w:basedOn w:val="1"/>
    <w:next w:val="1"/>
    <w:link w:val="49"/>
    <w:qFormat/>
    <w:uiPriority w:val="99"/>
    <w:rPr>
      <w:rFonts w:ascii="宋体" w:hAnsi="Courier New" w:cs="宋体"/>
      <w:kern w:val="0"/>
      <w:sz w:val="20"/>
      <w:szCs w:val="20"/>
    </w:rPr>
  </w:style>
  <w:style w:type="paragraph" w:styleId="17">
    <w:name w:val="Body Text Indent 2"/>
    <w:basedOn w:val="1"/>
    <w:link w:val="50"/>
    <w:qFormat/>
    <w:uiPriority w:val="99"/>
    <w:pPr>
      <w:snapToGrid w:val="0"/>
      <w:ind w:firstLine="542" w:firstLineChars="225"/>
    </w:pPr>
    <w:rPr>
      <w:kern w:val="0"/>
      <w:sz w:val="20"/>
      <w:szCs w:val="20"/>
    </w:rPr>
  </w:style>
  <w:style w:type="paragraph" w:styleId="18">
    <w:name w:val="Balloon Text"/>
    <w:basedOn w:val="1"/>
    <w:link w:val="51"/>
    <w:semiHidden/>
    <w:qFormat/>
    <w:uiPriority w:val="99"/>
    <w:rPr>
      <w:sz w:val="18"/>
      <w:szCs w:val="18"/>
    </w:rPr>
  </w:style>
  <w:style w:type="paragraph" w:styleId="19">
    <w:name w:val="footer"/>
    <w:basedOn w:val="1"/>
    <w:link w:val="52"/>
    <w:qFormat/>
    <w:uiPriority w:val="99"/>
    <w:pPr>
      <w:widowControl/>
      <w:tabs>
        <w:tab w:val="center" w:pos="4153"/>
        <w:tab w:val="right" w:pos="8306"/>
      </w:tabs>
      <w:overflowPunct w:val="0"/>
      <w:autoSpaceDE w:val="0"/>
      <w:autoSpaceDN w:val="0"/>
      <w:adjustRightInd w:val="0"/>
      <w:textAlignment w:val="baseline"/>
    </w:pPr>
    <w:rPr>
      <w:kern w:val="0"/>
      <w:sz w:val="18"/>
      <w:szCs w:val="18"/>
    </w:rPr>
  </w:style>
  <w:style w:type="paragraph" w:styleId="20">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1">
    <w:name w:val="toc 6"/>
    <w:basedOn w:val="1"/>
    <w:next w:val="1"/>
    <w:unhideWhenUsed/>
    <w:qFormat/>
    <w:uiPriority w:val="0"/>
    <w:pPr>
      <w:ind w:left="2100" w:leftChars="1000"/>
    </w:pPr>
  </w:style>
  <w:style w:type="paragraph" w:styleId="22">
    <w:name w:val="Normal (Web)"/>
    <w:basedOn w:val="1"/>
    <w:qFormat/>
    <w:uiPriority w:val="99"/>
    <w:pPr>
      <w:spacing w:before="100" w:beforeAutospacing="1" w:after="100" w:afterAutospacing="1"/>
      <w:jc w:val="left"/>
    </w:pPr>
    <w:rPr>
      <w:kern w:val="0"/>
      <w:sz w:val="24"/>
      <w:szCs w:val="24"/>
    </w:rPr>
  </w:style>
  <w:style w:type="paragraph" w:styleId="23">
    <w:name w:val="Title"/>
    <w:basedOn w:val="1"/>
    <w:next w:val="1"/>
    <w:qFormat/>
    <w:locked/>
    <w:uiPriority w:val="0"/>
    <w:pPr>
      <w:spacing w:before="240" w:after="60"/>
      <w:jc w:val="center"/>
      <w:outlineLvl w:val="0"/>
    </w:pPr>
    <w:rPr>
      <w:rFonts w:ascii="Cambria" w:hAnsi="Cambria"/>
      <w:b/>
      <w:bCs/>
      <w:sz w:val="32"/>
      <w:szCs w:val="32"/>
    </w:rPr>
  </w:style>
  <w:style w:type="paragraph" w:styleId="24">
    <w:name w:val="annotation subject"/>
    <w:basedOn w:val="12"/>
    <w:next w:val="12"/>
    <w:link w:val="165"/>
    <w:semiHidden/>
    <w:unhideWhenUsed/>
    <w:qFormat/>
    <w:uiPriority w:val="0"/>
    <w:rPr>
      <w:b/>
      <w:bCs/>
      <w:sz w:val="21"/>
      <w:szCs w:val="21"/>
    </w:rPr>
  </w:style>
  <w:style w:type="paragraph" w:styleId="25">
    <w:name w:val="Body Text First Indent"/>
    <w:basedOn w:val="2"/>
    <w:next w:val="1"/>
    <w:link w:val="46"/>
    <w:qFormat/>
    <w:uiPriority w:val="99"/>
    <w:pPr>
      <w:ind w:firstLine="420" w:firstLineChars="100"/>
    </w:pPr>
    <w:rPr>
      <w:rFonts w:ascii="Times New Roman" w:hAnsi="Times New Roman" w:cs="Times New Roman"/>
      <w:sz w:val="21"/>
      <w:szCs w:val="21"/>
    </w:rPr>
  </w:style>
  <w:style w:type="paragraph" w:styleId="26">
    <w:name w:val="Body Text First Indent 2"/>
    <w:basedOn w:val="13"/>
    <w:next w:val="25"/>
    <w:qFormat/>
    <w:uiPriority w:val="0"/>
    <w:pPr>
      <w:ind w:firstLine="420" w:firstLineChars="200"/>
    </w:pPr>
  </w:style>
  <w:style w:type="table" w:styleId="28">
    <w:name w:val="Table Grid"/>
    <w:basedOn w:val="27"/>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style>
  <w:style w:type="character" w:styleId="31">
    <w:name w:val="page number"/>
    <w:basedOn w:val="29"/>
    <w:qFormat/>
    <w:uiPriority w:val="99"/>
  </w:style>
  <w:style w:type="character" w:styleId="32">
    <w:name w:val="FollowedHyperlink"/>
    <w:unhideWhenUsed/>
    <w:qFormat/>
    <w:uiPriority w:val="0"/>
    <w:rPr>
      <w:color w:val="3177FD"/>
      <w:u w:val="none"/>
    </w:rPr>
  </w:style>
  <w:style w:type="character" w:styleId="33">
    <w:name w:val="HTML Definition"/>
    <w:unhideWhenUsed/>
    <w:qFormat/>
    <w:uiPriority w:val="0"/>
    <w:rPr>
      <w:i/>
    </w:rPr>
  </w:style>
  <w:style w:type="character" w:styleId="34">
    <w:name w:val="Hyperlink"/>
    <w:qFormat/>
    <w:uiPriority w:val="99"/>
    <w:rPr>
      <w:color w:val="3177FD"/>
      <w:u w:val="none"/>
    </w:rPr>
  </w:style>
  <w:style w:type="character" w:styleId="35">
    <w:name w:val="HTML Code"/>
    <w:unhideWhenUsed/>
    <w:qFormat/>
    <w:uiPriority w:val="0"/>
    <w:rPr>
      <w:rFonts w:ascii="Consolas" w:hAnsi="Consolas" w:eastAsia="Consolas" w:cs="Consolas"/>
      <w:sz w:val="21"/>
      <w:szCs w:val="21"/>
    </w:rPr>
  </w:style>
  <w:style w:type="character" w:styleId="36">
    <w:name w:val="annotation reference"/>
    <w:semiHidden/>
    <w:qFormat/>
    <w:uiPriority w:val="99"/>
    <w:rPr>
      <w:sz w:val="21"/>
      <w:szCs w:val="21"/>
    </w:rPr>
  </w:style>
  <w:style w:type="character" w:styleId="37">
    <w:name w:val="HTML Keyboard"/>
    <w:unhideWhenUsed/>
    <w:qFormat/>
    <w:uiPriority w:val="0"/>
    <w:rPr>
      <w:rFonts w:hint="default" w:ascii="Consolas" w:hAnsi="Consolas" w:eastAsia="Consolas" w:cs="Consolas"/>
      <w:sz w:val="21"/>
      <w:szCs w:val="21"/>
    </w:rPr>
  </w:style>
  <w:style w:type="character" w:styleId="38">
    <w:name w:val="HTML Sample"/>
    <w:unhideWhenUsed/>
    <w:qFormat/>
    <w:uiPriority w:val="0"/>
    <w:rPr>
      <w:rFonts w:hint="default" w:ascii="Consolas" w:hAnsi="Consolas" w:eastAsia="Consolas" w:cs="Consolas"/>
      <w:sz w:val="21"/>
      <w:szCs w:val="21"/>
    </w:rPr>
  </w:style>
  <w:style w:type="character" w:customStyle="1" w:styleId="39">
    <w:name w:val="Heading 1 Char"/>
    <w:qFormat/>
    <w:locked/>
    <w:uiPriority w:val="99"/>
    <w:rPr>
      <w:rFonts w:eastAsia="宋体"/>
      <w:b/>
      <w:bCs/>
      <w:kern w:val="44"/>
      <w:sz w:val="44"/>
      <w:szCs w:val="44"/>
      <w:lang w:val="en-US" w:eastAsia="zh-CN"/>
    </w:rPr>
  </w:style>
  <w:style w:type="character" w:customStyle="1" w:styleId="40">
    <w:name w:val="标题 2 Char"/>
    <w:link w:val="4"/>
    <w:semiHidden/>
    <w:qFormat/>
    <w:locked/>
    <w:uiPriority w:val="99"/>
    <w:rPr>
      <w:rFonts w:ascii="Cambria" w:hAnsi="Cambria" w:eastAsia="宋体" w:cs="Cambria"/>
      <w:b/>
      <w:bCs/>
      <w:sz w:val="32"/>
      <w:szCs w:val="32"/>
    </w:rPr>
  </w:style>
  <w:style w:type="character" w:customStyle="1" w:styleId="41">
    <w:name w:val="标题 3 Char"/>
    <w:link w:val="5"/>
    <w:semiHidden/>
    <w:qFormat/>
    <w:locked/>
    <w:uiPriority w:val="99"/>
    <w:rPr>
      <w:rFonts w:ascii="Calibri" w:hAnsi="Calibri" w:cs="Calibri"/>
      <w:b/>
      <w:bCs/>
      <w:sz w:val="32"/>
      <w:szCs w:val="32"/>
    </w:rPr>
  </w:style>
  <w:style w:type="character" w:customStyle="1" w:styleId="42">
    <w:name w:val="标题 4 Char"/>
    <w:link w:val="6"/>
    <w:semiHidden/>
    <w:qFormat/>
    <w:locked/>
    <w:uiPriority w:val="99"/>
    <w:rPr>
      <w:rFonts w:ascii="Cambria" w:hAnsi="Cambria" w:eastAsia="宋体" w:cs="Cambria"/>
      <w:b/>
      <w:bCs/>
      <w:kern w:val="2"/>
      <w:sz w:val="28"/>
      <w:szCs w:val="28"/>
    </w:rPr>
  </w:style>
  <w:style w:type="character" w:customStyle="1" w:styleId="43">
    <w:name w:val="标题 5 Char"/>
    <w:link w:val="7"/>
    <w:semiHidden/>
    <w:qFormat/>
    <w:locked/>
    <w:uiPriority w:val="99"/>
    <w:rPr>
      <w:rFonts w:ascii="Calibri" w:hAnsi="Calibri" w:cs="Calibri"/>
      <w:b/>
      <w:bCs/>
      <w:kern w:val="2"/>
      <w:sz w:val="28"/>
      <w:szCs w:val="28"/>
    </w:rPr>
  </w:style>
  <w:style w:type="character" w:customStyle="1" w:styleId="44">
    <w:name w:val="标题 6 Char"/>
    <w:link w:val="8"/>
    <w:semiHidden/>
    <w:qFormat/>
    <w:locked/>
    <w:uiPriority w:val="99"/>
    <w:rPr>
      <w:rFonts w:ascii="Cambria" w:hAnsi="Cambria" w:eastAsia="宋体" w:cs="Cambria"/>
      <w:b/>
      <w:bCs/>
      <w:kern w:val="2"/>
      <w:sz w:val="24"/>
      <w:szCs w:val="24"/>
    </w:rPr>
  </w:style>
  <w:style w:type="character" w:customStyle="1" w:styleId="45">
    <w:name w:val="正文文本 Char"/>
    <w:link w:val="2"/>
    <w:semiHidden/>
    <w:qFormat/>
    <w:locked/>
    <w:uiPriority w:val="99"/>
    <w:rPr>
      <w:rFonts w:ascii="Calibri" w:hAnsi="Calibri" w:cs="Calibri"/>
      <w:sz w:val="24"/>
      <w:szCs w:val="24"/>
    </w:rPr>
  </w:style>
  <w:style w:type="character" w:customStyle="1" w:styleId="46">
    <w:name w:val="正文首行缩进 Char"/>
    <w:link w:val="25"/>
    <w:semiHidden/>
    <w:qFormat/>
    <w:uiPriority w:val="99"/>
    <w:rPr>
      <w:rFonts w:ascii="Calibri" w:hAnsi="Calibri" w:cs="Calibri"/>
      <w:sz w:val="24"/>
      <w:szCs w:val="21"/>
    </w:rPr>
  </w:style>
  <w:style w:type="character" w:customStyle="1" w:styleId="47">
    <w:name w:val="批注文字 Char"/>
    <w:link w:val="12"/>
    <w:semiHidden/>
    <w:qFormat/>
    <w:locked/>
    <w:uiPriority w:val="99"/>
    <w:rPr>
      <w:rFonts w:ascii="Calibri" w:hAnsi="Calibri" w:cs="Calibri"/>
      <w:kern w:val="2"/>
      <w:sz w:val="24"/>
      <w:szCs w:val="24"/>
    </w:rPr>
  </w:style>
  <w:style w:type="character" w:customStyle="1" w:styleId="48">
    <w:name w:val="正文文本缩进 Char"/>
    <w:link w:val="13"/>
    <w:semiHidden/>
    <w:qFormat/>
    <w:locked/>
    <w:uiPriority w:val="99"/>
    <w:rPr>
      <w:rFonts w:ascii="Calibri" w:hAnsi="Calibri" w:cs="Calibri"/>
      <w:sz w:val="24"/>
      <w:szCs w:val="24"/>
    </w:rPr>
  </w:style>
  <w:style w:type="character" w:customStyle="1" w:styleId="49">
    <w:name w:val="纯文本 Char1"/>
    <w:link w:val="16"/>
    <w:semiHidden/>
    <w:qFormat/>
    <w:locked/>
    <w:uiPriority w:val="99"/>
    <w:rPr>
      <w:rFonts w:ascii="宋体" w:hAnsi="Courier New" w:cs="宋体"/>
      <w:sz w:val="21"/>
      <w:szCs w:val="21"/>
    </w:rPr>
  </w:style>
  <w:style w:type="character" w:customStyle="1" w:styleId="50">
    <w:name w:val="正文文本缩进 2 Char"/>
    <w:link w:val="17"/>
    <w:semiHidden/>
    <w:qFormat/>
    <w:locked/>
    <w:uiPriority w:val="99"/>
    <w:rPr>
      <w:rFonts w:ascii="Calibri" w:hAnsi="Calibri" w:cs="Calibri"/>
      <w:sz w:val="24"/>
      <w:szCs w:val="24"/>
    </w:rPr>
  </w:style>
  <w:style w:type="character" w:customStyle="1" w:styleId="51">
    <w:name w:val="批注框文本 Char1"/>
    <w:link w:val="18"/>
    <w:qFormat/>
    <w:locked/>
    <w:uiPriority w:val="99"/>
    <w:rPr>
      <w:rFonts w:ascii="Calibri" w:hAnsi="Calibri" w:cs="Calibri"/>
      <w:kern w:val="2"/>
      <w:sz w:val="18"/>
      <w:szCs w:val="18"/>
    </w:rPr>
  </w:style>
  <w:style w:type="character" w:customStyle="1" w:styleId="52">
    <w:name w:val="页脚 Char"/>
    <w:link w:val="19"/>
    <w:semiHidden/>
    <w:qFormat/>
    <w:locked/>
    <w:uiPriority w:val="99"/>
    <w:rPr>
      <w:rFonts w:ascii="Calibri" w:hAnsi="Calibri" w:cs="Calibri"/>
      <w:sz w:val="18"/>
      <w:szCs w:val="18"/>
    </w:rPr>
  </w:style>
  <w:style w:type="character" w:customStyle="1" w:styleId="53">
    <w:name w:val="页眉 Char"/>
    <w:link w:val="20"/>
    <w:semiHidden/>
    <w:qFormat/>
    <w:locked/>
    <w:uiPriority w:val="99"/>
    <w:rPr>
      <w:rFonts w:ascii="Calibri" w:hAnsi="Calibri" w:cs="Calibri"/>
      <w:sz w:val="18"/>
      <w:szCs w:val="18"/>
    </w:rPr>
  </w:style>
  <w:style w:type="paragraph" w:customStyle="1" w:styleId="54">
    <w:name w:val="正文（首行缩进2字符）"/>
    <w:basedOn w:val="1"/>
    <w:next w:val="1"/>
    <w:qFormat/>
    <w:uiPriority w:val="99"/>
    <w:pPr>
      <w:spacing w:line="360" w:lineRule="auto"/>
      <w:ind w:firstLine="420" w:firstLineChars="200"/>
    </w:pPr>
  </w:style>
  <w:style w:type="character" w:customStyle="1" w:styleId="55">
    <w:name w:val="标题 1 Char"/>
    <w:link w:val="3"/>
    <w:qFormat/>
    <w:locked/>
    <w:uiPriority w:val="99"/>
    <w:rPr>
      <w:rFonts w:ascii="Calibri" w:hAnsi="Calibri" w:cs="Calibri"/>
      <w:b/>
      <w:bCs/>
      <w:kern w:val="44"/>
      <w:sz w:val="44"/>
      <w:szCs w:val="44"/>
    </w:rPr>
  </w:style>
  <w:style w:type="character" w:customStyle="1" w:styleId="56">
    <w:name w:val="批注主题 Char"/>
    <w:link w:val="57"/>
    <w:semiHidden/>
    <w:qFormat/>
    <w:locked/>
    <w:uiPriority w:val="99"/>
    <w:rPr>
      <w:rFonts w:ascii="Calibri" w:hAnsi="Calibri" w:cs="Calibri"/>
      <w:b/>
      <w:bCs/>
      <w:kern w:val="2"/>
      <w:sz w:val="24"/>
      <w:szCs w:val="24"/>
    </w:rPr>
  </w:style>
  <w:style w:type="paragraph" w:customStyle="1" w:styleId="57">
    <w:name w:val="批注主题1"/>
    <w:basedOn w:val="12"/>
    <w:next w:val="12"/>
    <w:link w:val="56"/>
    <w:qFormat/>
    <w:uiPriority w:val="99"/>
    <w:rPr>
      <w:b/>
      <w:bCs/>
    </w:rPr>
  </w:style>
  <w:style w:type="character" w:customStyle="1" w:styleId="58">
    <w:name w:val="纯文本 Char"/>
    <w:link w:val="59"/>
    <w:semiHidden/>
    <w:qFormat/>
    <w:locked/>
    <w:uiPriority w:val="99"/>
    <w:rPr>
      <w:rFonts w:ascii="宋体" w:hAnsi="Courier New" w:eastAsia="Times New Roman" w:cs="宋体"/>
      <w:kern w:val="2"/>
      <w:sz w:val="24"/>
      <w:szCs w:val="24"/>
    </w:rPr>
  </w:style>
  <w:style w:type="paragraph" w:customStyle="1" w:styleId="59">
    <w:name w:val="纯文本1"/>
    <w:basedOn w:val="60"/>
    <w:link w:val="58"/>
    <w:qFormat/>
    <w:uiPriority w:val="99"/>
    <w:pPr>
      <w:spacing w:beforeLines="50" w:afterLines="50" w:line="400" w:lineRule="exact"/>
    </w:pPr>
    <w:rPr>
      <w:rFonts w:ascii="宋体" w:hAnsi="Courier New" w:eastAsia="Times New Roman" w:cs="宋体"/>
      <w:sz w:val="24"/>
      <w:szCs w:val="24"/>
    </w:rPr>
  </w:style>
  <w:style w:type="paragraph" w:customStyle="1" w:styleId="60">
    <w:name w:val="正文1"/>
    <w:basedOn w:val="15"/>
    <w:next w:val="1"/>
    <w:qFormat/>
    <w:uiPriority w:val="99"/>
  </w:style>
  <w:style w:type="character" w:customStyle="1" w:styleId="61">
    <w:name w:val="批注框文本 Char"/>
    <w:link w:val="62"/>
    <w:semiHidden/>
    <w:qFormat/>
    <w:locked/>
    <w:uiPriority w:val="99"/>
    <w:rPr>
      <w:rFonts w:ascii="Calibri" w:hAnsi="Calibri" w:cs="Calibri"/>
      <w:kern w:val="2"/>
      <w:sz w:val="18"/>
      <w:szCs w:val="18"/>
    </w:rPr>
  </w:style>
  <w:style w:type="paragraph" w:customStyle="1" w:styleId="62">
    <w:name w:val="批注框文本1"/>
    <w:basedOn w:val="1"/>
    <w:link w:val="61"/>
    <w:qFormat/>
    <w:uiPriority w:val="99"/>
    <w:rPr>
      <w:sz w:val="18"/>
      <w:szCs w:val="18"/>
    </w:rPr>
  </w:style>
  <w:style w:type="paragraph" w:customStyle="1" w:styleId="63">
    <w:name w:val="正文文本缩进1"/>
    <w:basedOn w:val="1"/>
    <w:qFormat/>
    <w:uiPriority w:val="99"/>
    <w:pPr>
      <w:spacing w:line="200" w:lineRule="exact"/>
      <w:ind w:firstLine="301"/>
    </w:pPr>
    <w:rPr>
      <w:rFonts w:ascii="宋体" w:hAnsi="Courier New" w:cs="宋体"/>
      <w:spacing w:val="-4"/>
      <w:kern w:val="0"/>
      <w:sz w:val="18"/>
      <w:szCs w:val="18"/>
    </w:rPr>
  </w:style>
  <w:style w:type="paragraph" w:customStyle="1" w:styleId="64">
    <w:name w:val="纯文本2"/>
    <w:basedOn w:val="1"/>
    <w:qFormat/>
    <w:uiPriority w:val="99"/>
    <w:rPr>
      <w:rFonts w:ascii="宋体" w:hAnsi="Courier New" w:eastAsia="Times New Roman" w:cs="宋体"/>
      <w:sz w:val="30"/>
      <w:szCs w:val="30"/>
    </w:rPr>
  </w:style>
  <w:style w:type="paragraph" w:customStyle="1" w:styleId="65">
    <w:name w:val="普通(网站)1"/>
    <w:basedOn w:val="1"/>
    <w:qFormat/>
    <w:uiPriority w:val="99"/>
    <w:pPr>
      <w:spacing w:beforeAutospacing="1" w:afterAutospacing="1"/>
      <w:jc w:val="left"/>
    </w:pPr>
    <w:rPr>
      <w:kern w:val="0"/>
      <w:sz w:val="24"/>
      <w:szCs w:val="24"/>
    </w:rPr>
  </w:style>
  <w:style w:type="paragraph" w:customStyle="1" w:styleId="66">
    <w:name w:val="正文缩进1"/>
    <w:basedOn w:val="1"/>
    <w:qFormat/>
    <w:uiPriority w:val="99"/>
    <w:pPr>
      <w:ind w:firstLine="420" w:firstLineChars="200"/>
    </w:pPr>
  </w:style>
  <w:style w:type="paragraph" w:customStyle="1" w:styleId="67">
    <w:name w:val="正文文本 31"/>
    <w:basedOn w:val="1"/>
    <w:qFormat/>
    <w:uiPriority w:val="99"/>
    <w:pPr>
      <w:spacing w:after="120"/>
    </w:pPr>
    <w:rPr>
      <w:kern w:val="0"/>
      <w:sz w:val="16"/>
      <w:szCs w:val="16"/>
    </w:rPr>
  </w:style>
  <w:style w:type="paragraph" w:customStyle="1" w:styleId="68">
    <w:name w:val="正文文本缩进11"/>
    <w:basedOn w:val="1"/>
    <w:qFormat/>
    <w:uiPriority w:val="99"/>
    <w:pPr>
      <w:spacing w:line="200" w:lineRule="exact"/>
      <w:ind w:firstLine="301"/>
    </w:pPr>
  </w:style>
  <w:style w:type="paragraph" w:customStyle="1" w:styleId="69">
    <w:name w:val="文本块1"/>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70">
    <w:name w:val="正文文本缩进 21"/>
    <w:basedOn w:val="1"/>
    <w:qFormat/>
    <w:uiPriority w:val="99"/>
    <w:pPr>
      <w:snapToGrid w:val="0"/>
      <w:ind w:firstLine="542" w:firstLineChars="225"/>
    </w:pPr>
    <w:rPr>
      <w:kern w:val="0"/>
      <w:sz w:val="24"/>
      <w:szCs w:val="24"/>
    </w:rPr>
  </w:style>
  <w:style w:type="paragraph" w:customStyle="1" w:styleId="71">
    <w:name w:val="正文文本缩进 31"/>
    <w:basedOn w:val="1"/>
    <w:qFormat/>
    <w:uiPriority w:val="99"/>
    <w:pPr>
      <w:snapToGrid w:val="0"/>
      <w:ind w:firstLine="480" w:firstLineChars="200"/>
      <w:jc w:val="left"/>
    </w:pPr>
    <w:rPr>
      <w:rFonts w:ascii="??_GB2312" w:hAnsi="宋体" w:eastAsia="Times New Roman" w:cs="??_GB2312"/>
      <w:color w:val="000000"/>
      <w:sz w:val="24"/>
      <w:szCs w:val="24"/>
    </w:rPr>
  </w:style>
  <w:style w:type="paragraph" w:customStyle="1" w:styleId="72">
    <w:name w:val="普通(网站)11"/>
    <w:basedOn w:val="1"/>
    <w:qFormat/>
    <w:uiPriority w:val="99"/>
    <w:pPr>
      <w:widowControl/>
      <w:spacing w:beforeAutospacing="1" w:afterAutospacing="1"/>
      <w:jc w:val="left"/>
    </w:pPr>
    <w:rPr>
      <w:rFonts w:ascii="宋体" w:hAnsi="宋体" w:cs="宋体"/>
      <w:kern w:val="0"/>
      <w:sz w:val="24"/>
      <w:szCs w:val="24"/>
    </w:rPr>
  </w:style>
  <w:style w:type="paragraph" w:customStyle="1" w:styleId="73">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列表 21"/>
    <w:basedOn w:val="1"/>
    <w:qFormat/>
    <w:uiPriority w:val="99"/>
    <w:pPr>
      <w:ind w:left="200" w:leftChars="200" w:hanging="200" w:hangingChars="200"/>
    </w:pPr>
    <w:rPr>
      <w:sz w:val="28"/>
      <w:szCs w:val="28"/>
    </w:rPr>
  </w:style>
  <w:style w:type="paragraph" w:customStyle="1" w:styleId="76">
    <w:name w:val="默认段落字体 Para Char Char Char Char Char Char Char Char Char1 Char Char Char Char"/>
    <w:basedOn w:val="1"/>
    <w:qFormat/>
    <w:uiPriority w:val="99"/>
    <w:rPr>
      <w:rFonts w:ascii="Tahoma" w:hAnsi="Tahoma" w:cs="Tahoma"/>
      <w:sz w:val="24"/>
      <w:szCs w:val="24"/>
    </w:rPr>
  </w:style>
  <w:style w:type="paragraph" w:customStyle="1" w:styleId="77">
    <w:name w:val="纯文本21"/>
    <w:basedOn w:val="1"/>
    <w:qFormat/>
    <w:uiPriority w:val="99"/>
    <w:pPr>
      <w:spacing w:beforeLines="50" w:afterLines="50" w:line="400" w:lineRule="exact"/>
    </w:pPr>
    <w:rPr>
      <w:rFonts w:ascii="宋体" w:hAnsi="Courier New" w:cs="宋体"/>
    </w:rPr>
  </w:style>
  <w:style w:type="paragraph" w:customStyle="1" w:styleId="78">
    <w:name w:val="彩色列表 - 强调文字颜色 11"/>
    <w:basedOn w:val="1"/>
    <w:qFormat/>
    <w:uiPriority w:val="99"/>
    <w:pPr>
      <w:ind w:firstLine="420" w:firstLineChars="200"/>
    </w:pPr>
  </w:style>
  <w:style w:type="paragraph" w:customStyle="1" w:styleId="79">
    <w:name w:val="修订1"/>
    <w:qFormat/>
    <w:uiPriority w:val="99"/>
    <w:rPr>
      <w:rFonts w:ascii="Calibri" w:hAnsi="Calibri" w:eastAsia="宋体" w:cs="Calibri"/>
      <w:kern w:val="2"/>
      <w:sz w:val="21"/>
      <w:szCs w:val="21"/>
      <w:lang w:val="en-US" w:eastAsia="zh-CN" w:bidi="ar-SA"/>
    </w:rPr>
  </w:style>
  <w:style w:type="paragraph" w:customStyle="1" w:styleId="80">
    <w:name w:val="列出段落1"/>
    <w:basedOn w:val="1"/>
    <w:qFormat/>
    <w:uiPriority w:val="99"/>
    <w:pPr>
      <w:ind w:firstLine="420" w:firstLineChars="200"/>
    </w:pPr>
  </w:style>
  <w:style w:type="paragraph" w:customStyle="1" w:styleId="81">
    <w:name w:val="纯文本3"/>
    <w:basedOn w:val="1"/>
    <w:qFormat/>
    <w:uiPriority w:val="99"/>
    <w:pPr>
      <w:adjustRightInd w:val="0"/>
      <w:textAlignment w:val="baseline"/>
    </w:pPr>
    <w:rPr>
      <w:rFonts w:ascii="宋体" w:hAnsi="Courier New" w:eastAsia="楷体_GB2312" w:cs="宋体"/>
      <w:sz w:val="26"/>
      <w:szCs w:val="26"/>
    </w:rPr>
  </w:style>
  <w:style w:type="paragraph" w:customStyle="1" w:styleId="82">
    <w:name w:val="表内文字"/>
    <w:basedOn w:val="1"/>
    <w:qFormat/>
    <w:uiPriority w:val="99"/>
    <w:pPr>
      <w:tabs>
        <w:tab w:val="left" w:pos="1418"/>
      </w:tabs>
      <w:spacing w:line="360" w:lineRule="auto"/>
      <w:jc w:val="center"/>
    </w:pPr>
    <w:rPr>
      <w:rFonts w:ascii="??_GB2312" w:eastAsia="Times New Roman" w:cs="??_GB2312"/>
      <w:spacing w:val="-20"/>
      <w:kern w:val="0"/>
      <w:sz w:val="24"/>
      <w:szCs w:val="24"/>
    </w:rPr>
  </w:style>
  <w:style w:type="paragraph" w:customStyle="1" w:styleId="83">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cs="Times New Roman"/>
      <w:w w:val="105"/>
      <w:kern w:val="0"/>
      <w:sz w:val="24"/>
      <w:szCs w:val="24"/>
    </w:rPr>
  </w:style>
  <w:style w:type="paragraph" w:customStyle="1" w:styleId="84">
    <w:name w:val="纯文本4"/>
    <w:basedOn w:val="1"/>
    <w:qFormat/>
    <w:uiPriority w:val="99"/>
    <w:pPr>
      <w:adjustRightInd w:val="0"/>
      <w:textAlignment w:val="baseline"/>
    </w:pPr>
    <w:rPr>
      <w:rFonts w:ascii="宋体" w:hAnsi="Courier New" w:eastAsia="楷体_GB2312" w:cs="宋体"/>
      <w:sz w:val="26"/>
      <w:szCs w:val="26"/>
    </w:rPr>
  </w:style>
  <w:style w:type="paragraph" w:customStyle="1" w:styleId="85">
    <w:name w:val="Table Paragraph"/>
    <w:basedOn w:val="1"/>
    <w:qFormat/>
    <w:uiPriority w:val="99"/>
    <w:pPr>
      <w:jc w:val="left"/>
    </w:pPr>
    <w:rPr>
      <w:kern w:val="0"/>
      <w:sz w:val="22"/>
      <w:szCs w:val="22"/>
      <w:lang w:eastAsia="en-US"/>
    </w:rPr>
  </w:style>
  <w:style w:type="character" w:customStyle="1" w:styleId="86">
    <w:name w:val="批注引用1"/>
    <w:qFormat/>
    <w:uiPriority w:val="99"/>
    <w:rPr>
      <w:sz w:val="21"/>
      <w:szCs w:val="21"/>
    </w:rPr>
  </w:style>
  <w:style w:type="character" w:customStyle="1" w:styleId="87">
    <w:name w:val="标题 2 Char Char"/>
    <w:qFormat/>
    <w:uiPriority w:val="99"/>
    <w:rPr>
      <w:rFonts w:eastAsia="宋体"/>
      <w:kern w:val="2"/>
      <w:sz w:val="28"/>
      <w:szCs w:val="28"/>
      <w:lang w:val="en-US" w:eastAsia="zh-CN"/>
    </w:rPr>
  </w:style>
  <w:style w:type="paragraph" w:customStyle="1" w:styleId="88">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89">
    <w:name w:val="列表段落1"/>
    <w:basedOn w:val="1"/>
    <w:qFormat/>
    <w:uiPriority w:val="99"/>
    <w:pPr>
      <w:ind w:firstLine="420" w:firstLineChars="200"/>
    </w:pPr>
  </w:style>
  <w:style w:type="paragraph" w:customStyle="1" w:styleId="90">
    <w:name w:val="纯文本5"/>
    <w:basedOn w:val="1"/>
    <w:qFormat/>
    <w:uiPriority w:val="99"/>
    <w:rPr>
      <w:rFonts w:ascii="宋体" w:hAnsi="Courier New" w:eastAsia="Times New Roman" w:cs="宋体"/>
      <w:sz w:val="30"/>
      <w:szCs w:val="30"/>
    </w:rPr>
  </w:style>
  <w:style w:type="paragraph" w:customStyle="1" w:styleId="91">
    <w:name w:val="文本块2"/>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92">
    <w:name w:val="正文文本缩进2"/>
    <w:basedOn w:val="1"/>
    <w:qFormat/>
    <w:uiPriority w:val="99"/>
    <w:pPr>
      <w:spacing w:line="200" w:lineRule="exact"/>
      <w:ind w:firstLine="301"/>
    </w:pPr>
    <w:rPr>
      <w:rFonts w:ascii="宋体" w:hAnsi="Courier New" w:cs="宋体"/>
      <w:spacing w:val="-4"/>
      <w:kern w:val="0"/>
      <w:sz w:val="18"/>
      <w:szCs w:val="18"/>
    </w:rPr>
  </w:style>
  <w:style w:type="paragraph" w:customStyle="1" w:styleId="93">
    <w:name w:val="正文文本 32"/>
    <w:basedOn w:val="1"/>
    <w:qFormat/>
    <w:uiPriority w:val="99"/>
    <w:pPr>
      <w:spacing w:after="120"/>
    </w:pPr>
    <w:rPr>
      <w:kern w:val="0"/>
      <w:sz w:val="16"/>
      <w:szCs w:val="16"/>
    </w:rPr>
  </w:style>
  <w:style w:type="paragraph" w:customStyle="1" w:styleId="94">
    <w:name w:val="Body Text Indent1"/>
    <w:basedOn w:val="1"/>
    <w:qFormat/>
    <w:uiPriority w:val="99"/>
    <w:pPr>
      <w:spacing w:line="200" w:lineRule="exact"/>
      <w:ind w:firstLine="301"/>
    </w:pPr>
    <w:rPr>
      <w:rFonts w:ascii="宋体" w:hAnsi="Courier New" w:cs="宋体"/>
      <w:spacing w:val="-4"/>
      <w:kern w:val="0"/>
      <w:sz w:val="18"/>
      <w:szCs w:val="18"/>
    </w:rPr>
  </w:style>
  <w:style w:type="paragraph" w:customStyle="1" w:styleId="95">
    <w:name w:val="List Paragraph1"/>
    <w:basedOn w:val="1"/>
    <w:qFormat/>
    <w:uiPriority w:val="99"/>
    <w:pPr>
      <w:ind w:firstLine="420" w:firstLineChars="200"/>
    </w:pPr>
  </w:style>
  <w:style w:type="paragraph" w:customStyle="1" w:styleId="96">
    <w:name w:val="GG标题2"/>
    <w:basedOn w:val="4"/>
    <w:next w:val="97"/>
    <w:qFormat/>
    <w:uiPriority w:val="99"/>
    <w:pPr>
      <w:numPr>
        <w:ilvl w:val="0"/>
        <w:numId w:val="3"/>
      </w:numPr>
      <w:spacing w:line="312" w:lineRule="auto"/>
    </w:pPr>
    <w:rPr>
      <w:rFonts w:ascii="Times New Roman" w:hAnsi="Times New Roman" w:cs="Times New Roman"/>
    </w:rPr>
  </w:style>
  <w:style w:type="paragraph" w:customStyle="1" w:styleId="97">
    <w:name w:val="GG正文2"/>
    <w:basedOn w:val="1"/>
    <w:qFormat/>
    <w:uiPriority w:val="99"/>
    <w:pPr>
      <w:ind w:firstLine="200"/>
    </w:pPr>
    <w:rPr>
      <w:rFonts w:ascii="Times New Roman" w:hAnsi="Times New Roman" w:cs="Times New Roman"/>
      <w:kern w:val="21"/>
    </w:rPr>
  </w:style>
  <w:style w:type="paragraph" w:customStyle="1" w:styleId="98">
    <w:name w:val="标题 81"/>
    <w:basedOn w:val="1"/>
    <w:qFormat/>
    <w:uiPriority w:val="99"/>
    <w:pPr>
      <w:autoSpaceDE w:val="0"/>
      <w:autoSpaceDN w:val="0"/>
      <w:ind w:left="636"/>
      <w:jc w:val="left"/>
      <w:outlineLvl w:val="8"/>
    </w:pPr>
    <w:rPr>
      <w:rFonts w:ascii="宋体" w:hAnsi="宋体" w:cs="宋体"/>
      <w:b/>
      <w:bCs/>
      <w:kern w:val="0"/>
      <w:lang w:val="zh-CN"/>
    </w:rPr>
  </w:style>
  <w:style w:type="paragraph" w:customStyle="1" w:styleId="99">
    <w:name w:val="列出段落2"/>
    <w:basedOn w:val="1"/>
    <w:qFormat/>
    <w:uiPriority w:val="99"/>
    <w:pPr>
      <w:ind w:firstLine="420" w:firstLineChars="200"/>
    </w:pPr>
  </w:style>
  <w:style w:type="paragraph" w:customStyle="1" w:styleId="100">
    <w:name w:val="GG标题1"/>
    <w:basedOn w:val="3"/>
    <w:next w:val="97"/>
    <w:qFormat/>
    <w:uiPriority w:val="99"/>
    <w:pPr>
      <w:spacing w:beforeLines="150" w:afterLines="100" w:line="312" w:lineRule="auto"/>
      <w:ind w:left="3118" w:hanging="425"/>
      <w:jc w:val="center"/>
    </w:pPr>
    <w:rPr>
      <w:rFonts w:ascii="Times New Roman" w:hAnsi="Times New Roman" w:cs="Times New Roman"/>
      <w:sz w:val="36"/>
      <w:szCs w:val="36"/>
    </w:rPr>
  </w:style>
  <w:style w:type="paragraph" w:customStyle="1" w:styleId="101">
    <w:name w:val="GG标题3"/>
    <w:basedOn w:val="5"/>
    <w:next w:val="97"/>
    <w:qFormat/>
    <w:uiPriority w:val="99"/>
    <w:pPr>
      <w:spacing w:line="312" w:lineRule="auto"/>
      <w:ind w:left="-1275" w:hanging="1135"/>
    </w:pPr>
    <w:rPr>
      <w:rFonts w:ascii="Times New Roman" w:hAnsi="Times New Roman" w:cs="Times New Roman"/>
      <w:kern w:val="2"/>
      <w:sz w:val="30"/>
      <w:szCs w:val="30"/>
    </w:rPr>
  </w:style>
  <w:style w:type="paragraph" w:customStyle="1" w:styleId="102">
    <w:name w:val="GG标题4"/>
    <w:basedOn w:val="6"/>
    <w:next w:val="97"/>
    <w:qFormat/>
    <w:uiPriority w:val="99"/>
    <w:pPr>
      <w:spacing w:before="0" w:after="0" w:line="312" w:lineRule="auto"/>
    </w:pPr>
    <w:rPr>
      <w:rFonts w:ascii="Times New Roman" w:hAnsi="Times New Roman" w:cs="Times New Roman"/>
    </w:rPr>
  </w:style>
  <w:style w:type="paragraph" w:customStyle="1" w:styleId="103">
    <w:name w:val="GG标题5"/>
    <w:basedOn w:val="7"/>
    <w:next w:val="97"/>
    <w:qFormat/>
    <w:uiPriority w:val="99"/>
    <w:pPr>
      <w:spacing w:before="0" w:after="0" w:line="312" w:lineRule="auto"/>
    </w:pPr>
    <w:rPr>
      <w:rFonts w:ascii="Times New Roman" w:hAnsi="Times New Roman" w:cs="Times New Roman"/>
      <w:i/>
      <w:iCs/>
      <w:sz w:val="24"/>
      <w:szCs w:val="24"/>
    </w:rPr>
  </w:style>
  <w:style w:type="paragraph" w:customStyle="1" w:styleId="104">
    <w:name w:val="GG标题6"/>
    <w:basedOn w:val="8"/>
    <w:next w:val="97"/>
    <w:qFormat/>
    <w:uiPriority w:val="99"/>
    <w:pPr>
      <w:spacing w:before="0" w:after="0" w:line="312" w:lineRule="auto"/>
    </w:pPr>
    <w:rPr>
      <w:rFonts w:ascii="Times New Roman" w:hAnsi="Times New Roman" w:cs="Times New Roman"/>
      <w:sz w:val="21"/>
      <w:szCs w:val="21"/>
    </w:rPr>
  </w:style>
  <w:style w:type="paragraph" w:customStyle="1" w:styleId="105">
    <w:name w:val="List Paragraph2"/>
    <w:basedOn w:val="1"/>
    <w:qFormat/>
    <w:uiPriority w:val="99"/>
    <w:pPr>
      <w:ind w:firstLine="420" w:firstLineChars="200"/>
    </w:pPr>
  </w:style>
  <w:style w:type="paragraph" w:customStyle="1" w:styleId="106">
    <w:name w:val="正文2"/>
    <w:basedOn w:val="1"/>
    <w:qFormat/>
    <w:uiPriority w:val="99"/>
    <w:pPr>
      <w:spacing w:before="156" w:line="360" w:lineRule="auto"/>
      <w:ind w:firstLine="510" w:firstLineChars="200"/>
    </w:pPr>
    <w:rPr>
      <w:sz w:val="24"/>
      <w:szCs w:val="24"/>
    </w:rPr>
  </w:style>
  <w:style w:type="paragraph" w:customStyle="1" w:styleId="107">
    <w:name w:val="列出段落3"/>
    <w:basedOn w:val="1"/>
    <w:qFormat/>
    <w:uiPriority w:val="99"/>
    <w:pPr>
      <w:ind w:firstLine="420" w:firstLineChars="200"/>
    </w:pPr>
  </w:style>
  <w:style w:type="paragraph" w:customStyle="1" w:styleId="108">
    <w:name w:val="列出段落4"/>
    <w:basedOn w:val="1"/>
    <w:qFormat/>
    <w:uiPriority w:val="99"/>
    <w:pPr>
      <w:ind w:firstLine="420" w:firstLineChars="200"/>
    </w:pPr>
  </w:style>
  <w:style w:type="paragraph" w:customStyle="1" w:styleId="109">
    <w:name w:val="[Normal]"/>
    <w:qFormat/>
    <w:uiPriority w:val="99"/>
    <w:rPr>
      <w:rFonts w:ascii="宋体" w:hAnsi="宋体" w:eastAsia="宋体" w:cs="宋体"/>
      <w:sz w:val="24"/>
      <w:szCs w:val="24"/>
      <w:lang w:val="zh-CN" w:eastAsia="zh-CN" w:bidi="ar-SA"/>
    </w:rPr>
  </w:style>
  <w:style w:type="paragraph" w:customStyle="1" w:styleId="110">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111">
    <w:name w:val="DAS正文"/>
    <w:basedOn w:val="1"/>
    <w:qFormat/>
    <w:uiPriority w:val="99"/>
    <w:pPr>
      <w:spacing w:line="360" w:lineRule="auto"/>
      <w:ind w:right="181" w:firstLine="480" w:firstLineChars="200"/>
    </w:pPr>
    <w:rPr>
      <w:rFonts w:ascii="Verdana" w:hAnsi="Verdana" w:cs="Verdana"/>
      <w:sz w:val="24"/>
      <w:szCs w:val="24"/>
    </w:rPr>
  </w:style>
  <w:style w:type="paragraph" w:customStyle="1" w:styleId="112">
    <w:name w:val="Normal Indent1"/>
    <w:basedOn w:val="1"/>
    <w:qFormat/>
    <w:uiPriority w:val="0"/>
    <w:pPr>
      <w:ind w:firstLine="420" w:firstLineChars="200"/>
    </w:pPr>
  </w:style>
  <w:style w:type="paragraph" w:customStyle="1" w:styleId="113">
    <w:name w:val="报告正文"/>
    <w:qFormat/>
    <w:uiPriority w:val="0"/>
    <w:pPr>
      <w:spacing w:line="360" w:lineRule="auto"/>
      <w:ind w:firstLine="200" w:firstLineChars="200"/>
      <w:jc w:val="both"/>
    </w:pPr>
    <w:rPr>
      <w:rFonts w:ascii="Calibri" w:hAnsi="Calibri" w:eastAsia="仿宋" w:cs="黑体"/>
      <w:kern w:val="2"/>
      <w:sz w:val="28"/>
      <w:szCs w:val="22"/>
      <w:lang w:val="en-US" w:eastAsia="zh-CN" w:bidi="ar-SA"/>
    </w:rPr>
  </w:style>
  <w:style w:type="paragraph" w:customStyle="1" w:styleId="114">
    <w:name w:val="列出段落5"/>
    <w:basedOn w:val="1"/>
    <w:qFormat/>
    <w:uiPriority w:val="34"/>
    <w:pPr>
      <w:ind w:firstLine="420" w:firstLineChars="200"/>
    </w:pPr>
  </w:style>
  <w:style w:type="character" w:customStyle="1" w:styleId="115">
    <w:name w:val="ant-select-tree-checkbox"/>
    <w:basedOn w:val="29"/>
    <w:qFormat/>
    <w:uiPriority w:val="0"/>
  </w:style>
  <w:style w:type="character" w:customStyle="1" w:styleId="116">
    <w:name w:val="change-camera-place"/>
    <w:qFormat/>
    <w:uiPriority w:val="0"/>
    <w:rPr>
      <w:color w:val="3177FD"/>
    </w:rPr>
  </w:style>
  <w:style w:type="character" w:customStyle="1" w:styleId="117">
    <w:name w:val="last-of-type"/>
    <w:qFormat/>
    <w:uiPriority w:val="0"/>
    <w:rPr>
      <w:color w:val="FF4A44"/>
      <w:sz w:val="27"/>
      <w:szCs w:val="27"/>
    </w:rPr>
  </w:style>
  <w:style w:type="character" w:customStyle="1" w:styleId="118">
    <w:name w:val="last-child6"/>
    <w:basedOn w:val="29"/>
    <w:qFormat/>
    <w:uiPriority w:val="0"/>
  </w:style>
  <w:style w:type="character" w:customStyle="1" w:styleId="119">
    <w:name w:val="last-child7"/>
    <w:basedOn w:val="29"/>
    <w:qFormat/>
    <w:uiPriority w:val="0"/>
  </w:style>
  <w:style w:type="character" w:customStyle="1" w:styleId="120">
    <w:name w:val="last-child8"/>
    <w:basedOn w:val="29"/>
    <w:qFormat/>
    <w:uiPriority w:val="0"/>
  </w:style>
  <w:style w:type="character" w:customStyle="1" w:styleId="121">
    <w:name w:val="last-child9"/>
    <w:basedOn w:val="29"/>
    <w:qFormat/>
    <w:uiPriority w:val="0"/>
  </w:style>
  <w:style w:type="character" w:customStyle="1" w:styleId="122">
    <w:name w:val="first-child5"/>
    <w:basedOn w:val="29"/>
    <w:qFormat/>
    <w:uiPriority w:val="0"/>
  </w:style>
  <w:style w:type="character" w:customStyle="1" w:styleId="123">
    <w:name w:val="ant-input52"/>
    <w:basedOn w:val="29"/>
    <w:qFormat/>
    <w:uiPriority w:val="0"/>
  </w:style>
  <w:style w:type="character" w:customStyle="1" w:styleId="124">
    <w:name w:val="current"/>
    <w:qFormat/>
    <w:uiPriority w:val="0"/>
    <w:rPr>
      <w:color w:val="00C1DE"/>
    </w:rPr>
  </w:style>
  <w:style w:type="character" w:customStyle="1" w:styleId="125">
    <w:name w:val="current1"/>
    <w:qFormat/>
    <w:uiPriority w:val="0"/>
    <w:rPr>
      <w:color w:val="00C1DE"/>
    </w:rPr>
  </w:style>
  <w:style w:type="character" w:customStyle="1" w:styleId="126">
    <w:name w:val="ant-radio+*"/>
    <w:basedOn w:val="29"/>
    <w:qFormat/>
    <w:uiPriority w:val="0"/>
  </w:style>
  <w:style w:type="character" w:customStyle="1" w:styleId="127">
    <w:name w:val="ant-tree-checkbox2"/>
    <w:basedOn w:val="29"/>
    <w:qFormat/>
    <w:uiPriority w:val="0"/>
  </w:style>
  <w:style w:type="character" w:customStyle="1" w:styleId="128">
    <w:name w:val="ant-tree-switcher"/>
    <w:basedOn w:val="29"/>
    <w:qFormat/>
    <w:uiPriority w:val="0"/>
  </w:style>
  <w:style w:type="character" w:customStyle="1" w:styleId="129">
    <w:name w:val="ant-tree-iconele"/>
    <w:basedOn w:val="29"/>
    <w:qFormat/>
    <w:uiPriority w:val="0"/>
  </w:style>
  <w:style w:type="character" w:customStyle="1" w:styleId="130">
    <w:name w:val="ant-tree-icon_loading"/>
    <w:qFormat/>
    <w:uiPriority w:val="0"/>
    <w:rPr>
      <w:shd w:val="clear" w:color="auto" w:fill="FFFFFF"/>
    </w:rPr>
  </w:style>
  <w:style w:type="character" w:customStyle="1" w:styleId="131">
    <w:name w:val="info-label"/>
    <w:qFormat/>
    <w:uiPriority w:val="0"/>
    <w:rPr>
      <w:b/>
    </w:rPr>
  </w:style>
  <w:style w:type="character" w:customStyle="1" w:styleId="132">
    <w:name w:val="info-content"/>
    <w:qFormat/>
    <w:uiPriority w:val="0"/>
    <w:rPr>
      <w:color w:val="808080"/>
    </w:rPr>
  </w:style>
  <w:style w:type="character" w:customStyle="1" w:styleId="133">
    <w:name w:val="ant-select-tree-switcher"/>
    <w:basedOn w:val="29"/>
    <w:qFormat/>
    <w:uiPriority w:val="0"/>
  </w:style>
  <w:style w:type="character" w:customStyle="1" w:styleId="134">
    <w:name w:val="ant-select-tree-iconele"/>
    <w:basedOn w:val="29"/>
    <w:qFormat/>
    <w:uiPriority w:val="0"/>
  </w:style>
  <w:style w:type="character" w:customStyle="1" w:styleId="135">
    <w:name w:val="temp"/>
    <w:basedOn w:val="29"/>
    <w:qFormat/>
    <w:uiPriority w:val="0"/>
  </w:style>
  <w:style w:type="character" w:customStyle="1" w:styleId="136">
    <w:name w:val="ant-badge-status-dot2"/>
    <w:qFormat/>
    <w:uiPriority w:val="0"/>
    <w:rPr>
      <w:shd w:val="clear" w:color="auto" w:fill="FFFFFF"/>
    </w:rPr>
  </w:style>
  <w:style w:type="character" w:customStyle="1" w:styleId="137">
    <w:name w:val="all-fit-info"/>
    <w:qFormat/>
    <w:uiPriority w:val="0"/>
    <w:rPr>
      <w:color w:val="939393"/>
    </w:rPr>
  </w:style>
  <w:style w:type="character" w:customStyle="1" w:styleId="138">
    <w:name w:val="all-fit-info1"/>
    <w:qFormat/>
    <w:uiPriority w:val="0"/>
    <w:rPr>
      <w:color w:val="939393"/>
    </w:rPr>
  </w:style>
  <w:style w:type="character" w:customStyle="1" w:styleId="139">
    <w:name w:val="all-fit-info2"/>
    <w:qFormat/>
    <w:uiPriority w:val="0"/>
    <w:rPr>
      <w:color w:val="939393"/>
    </w:rPr>
  </w:style>
  <w:style w:type="character" w:customStyle="1" w:styleId="140">
    <w:name w:val="label2"/>
    <w:basedOn w:val="29"/>
    <w:qFormat/>
    <w:uiPriority w:val="0"/>
  </w:style>
  <w:style w:type="character" w:customStyle="1" w:styleId="141">
    <w:name w:val="content10"/>
    <w:basedOn w:val="29"/>
    <w:qFormat/>
    <w:uiPriority w:val="0"/>
  </w:style>
  <w:style w:type="character" w:customStyle="1" w:styleId="142">
    <w:name w:val="tag-type"/>
    <w:qFormat/>
    <w:uiPriority w:val="0"/>
    <w:rPr>
      <w:color w:val="FFFFFF"/>
      <w:sz w:val="18"/>
      <w:szCs w:val="18"/>
      <w:shd w:val="clear" w:color="auto" w:fill="317FFD"/>
    </w:rPr>
  </w:style>
  <w:style w:type="character" w:customStyle="1" w:styleId="143">
    <w:name w:val="tag-type1"/>
    <w:qFormat/>
    <w:uiPriority w:val="0"/>
    <w:rPr>
      <w:color w:val="FFFFFF"/>
      <w:sz w:val="18"/>
      <w:szCs w:val="18"/>
      <w:shd w:val="clear" w:color="auto" w:fill="317FFD"/>
    </w:rPr>
  </w:style>
  <w:style w:type="character" w:customStyle="1" w:styleId="144">
    <w:name w:val="hover10"/>
    <w:qFormat/>
    <w:uiPriority w:val="0"/>
    <w:rPr>
      <w:color w:val="3177FD"/>
    </w:rPr>
  </w:style>
  <w:style w:type="character" w:customStyle="1" w:styleId="145">
    <w:name w:val="ant-form-item-children1"/>
    <w:basedOn w:val="29"/>
    <w:qFormat/>
    <w:uiPriority w:val="0"/>
  </w:style>
  <w:style w:type="character" w:customStyle="1" w:styleId="146">
    <w:name w:val="ant-tree-checkbox"/>
    <w:basedOn w:val="29"/>
    <w:qFormat/>
    <w:uiPriority w:val="0"/>
  </w:style>
  <w:style w:type="character" w:customStyle="1" w:styleId="147">
    <w:name w:val="last-child4"/>
    <w:basedOn w:val="29"/>
    <w:qFormat/>
    <w:uiPriority w:val="0"/>
  </w:style>
  <w:style w:type="character" w:customStyle="1" w:styleId="148">
    <w:name w:val="last-child5"/>
    <w:basedOn w:val="29"/>
    <w:qFormat/>
    <w:uiPriority w:val="0"/>
  </w:style>
  <w:style w:type="character" w:customStyle="1" w:styleId="149">
    <w:name w:val="temp1"/>
    <w:basedOn w:val="29"/>
    <w:qFormat/>
    <w:uiPriority w:val="0"/>
  </w:style>
  <w:style w:type="character" w:customStyle="1" w:styleId="150">
    <w:name w:val="temp2"/>
    <w:basedOn w:val="29"/>
    <w:qFormat/>
    <w:uiPriority w:val="0"/>
  </w:style>
  <w:style w:type="character" w:customStyle="1" w:styleId="151">
    <w:name w:val="ant-select-tree-checkbox2"/>
    <w:basedOn w:val="29"/>
    <w:qFormat/>
    <w:uiPriority w:val="0"/>
  </w:style>
  <w:style w:type="character" w:customStyle="1" w:styleId="152">
    <w:name w:val="last-child2"/>
    <w:basedOn w:val="29"/>
    <w:qFormat/>
    <w:uiPriority w:val="0"/>
  </w:style>
  <w:style w:type="character" w:customStyle="1" w:styleId="153">
    <w:name w:val="last-child3"/>
    <w:basedOn w:val="29"/>
    <w:qFormat/>
    <w:uiPriority w:val="0"/>
  </w:style>
  <w:style w:type="character" w:customStyle="1" w:styleId="154">
    <w:name w:val="label"/>
    <w:basedOn w:val="29"/>
    <w:qFormat/>
    <w:uiPriority w:val="0"/>
  </w:style>
  <w:style w:type="character" w:customStyle="1" w:styleId="155">
    <w:name w:val="temp6"/>
    <w:basedOn w:val="29"/>
    <w:qFormat/>
    <w:uiPriority w:val="0"/>
  </w:style>
  <w:style w:type="character" w:customStyle="1" w:styleId="156">
    <w:name w:val="temp7"/>
    <w:basedOn w:val="29"/>
    <w:qFormat/>
    <w:uiPriority w:val="0"/>
  </w:style>
  <w:style w:type="character" w:customStyle="1" w:styleId="157">
    <w:name w:val="temp8"/>
    <w:basedOn w:val="29"/>
    <w:qFormat/>
    <w:uiPriority w:val="0"/>
  </w:style>
  <w:style w:type="character" w:customStyle="1" w:styleId="158">
    <w:name w:val="content"/>
    <w:basedOn w:val="29"/>
    <w:qFormat/>
    <w:uiPriority w:val="0"/>
  </w:style>
  <w:style w:type="character" w:customStyle="1" w:styleId="159">
    <w:name w:val="last-child"/>
    <w:basedOn w:val="29"/>
    <w:qFormat/>
    <w:uiPriority w:val="0"/>
  </w:style>
  <w:style w:type="character" w:customStyle="1" w:styleId="160">
    <w:name w:val="last-child1"/>
    <w:basedOn w:val="29"/>
    <w:qFormat/>
    <w:uiPriority w:val="0"/>
  </w:style>
  <w:style w:type="character" w:customStyle="1" w:styleId="161">
    <w:name w:val="first-child"/>
    <w:basedOn w:val="29"/>
    <w:qFormat/>
    <w:uiPriority w:val="0"/>
  </w:style>
  <w:style w:type="character" w:customStyle="1" w:styleId="162">
    <w:name w:val="first-child4"/>
    <w:basedOn w:val="29"/>
    <w:qFormat/>
    <w:uiPriority w:val="0"/>
  </w:style>
  <w:style w:type="character" w:customStyle="1" w:styleId="163">
    <w:name w:val="hover11"/>
    <w:qFormat/>
    <w:uiPriority w:val="0"/>
    <w:rPr>
      <w:color w:val="3177FD"/>
    </w:rPr>
  </w:style>
  <w:style w:type="paragraph" w:styleId="164">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character" w:customStyle="1" w:styleId="165">
    <w:name w:val="批注主题 Char1"/>
    <w:basedOn w:val="47"/>
    <w:link w:val="24"/>
    <w:semiHidden/>
    <w:qFormat/>
    <w:uiPriority w:val="0"/>
    <w:rPr>
      <w:rFonts w:ascii="Calibri" w:hAnsi="Calibri" w:cs="Calibri"/>
      <w:b/>
      <w:bCs/>
      <w:kern w:val="2"/>
      <w:sz w:val="21"/>
      <w:szCs w:val="21"/>
    </w:rPr>
  </w:style>
  <w:style w:type="paragraph" w:customStyle="1" w:styleId="166">
    <w:name w:val="修订2"/>
    <w:hidden/>
    <w:unhideWhenUsed/>
    <w:qFormat/>
    <w:uiPriority w:val="99"/>
    <w:rPr>
      <w:rFonts w:ascii="Calibri" w:hAnsi="Calibri" w:eastAsia="宋体" w:cs="Calibri"/>
      <w:kern w:val="2"/>
      <w:sz w:val="21"/>
      <w:szCs w:val="21"/>
      <w:lang w:val="en-US" w:eastAsia="zh-CN" w:bidi="ar-SA"/>
    </w:rPr>
  </w:style>
  <w:style w:type="paragraph" w:styleId="167">
    <w:name w:val="List Paragraph"/>
    <w:basedOn w:val="1"/>
    <w:qFormat/>
    <w:uiPriority w:val="34"/>
    <w:pPr>
      <w:ind w:firstLine="420" w:firstLineChars="200"/>
    </w:pPr>
    <w:rPr>
      <w:rFonts w:ascii="Times New Roman" w:hAnsi="Times New Roman" w:cs="Times New Roman"/>
      <w:szCs w:val="24"/>
    </w:rPr>
  </w:style>
  <w:style w:type="paragraph" w:customStyle="1" w:styleId="168">
    <w:name w:val="No Spacing1"/>
    <w:qFormat/>
    <w:uiPriority w:val="0"/>
    <w:rPr>
      <w:rFonts w:ascii="Times New Roman" w:hAnsi="Times New Roman" w:eastAsia="??" w:cs="宋体"/>
      <w:sz w:val="22"/>
      <w:szCs w:val="22"/>
      <w:lang w:val="en-US" w:eastAsia="en-US" w:bidi="ar-SA"/>
    </w:rPr>
  </w:style>
  <w:style w:type="table" w:customStyle="1" w:styleId="169">
    <w:name w:val="网格型11"/>
    <w:basedOn w:val="27"/>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9"/>
    <customShpInfo spid="_x0000_s4097"/>
    <customShpInfo spid="_x0000_s4098"/>
    <customShpInfo spid="_x0000_s4100"/>
    <customShpInfo spid="_x0000_s4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104</Pages>
  <Words>13273</Words>
  <Characters>14272</Characters>
  <Lines>63</Lines>
  <Paragraphs>103</Paragraphs>
  <TotalTime>10</TotalTime>
  <ScaleCrop>false</ScaleCrop>
  <LinksUpToDate>false</LinksUpToDate>
  <CharactersWithSpaces>14510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2019-09-20T02:36:00Z</dcterms:created>
  <dc:creator>胖丁</dc:creator>
  <cp:lastModifiedBy>妮妮</cp:lastModifiedBy>
  <cp:lastPrinted>2022-04-14T06:05:00Z</cp:lastPrinted>
  <dcterms:modified xsi:type="dcterms:W3CDTF">2025-05-21T08:01:38Z</dcterms:modified>
  <dc:title>xbany</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766687E3DF394DE88A7F07B91FDD001F</vt:lpwstr>
  </property>
  <property fmtid="{D5CDD505-2E9C-101B-9397-08002B2CF9AE}" pid="4" name="KSOTemplateDocerSaveRecord">
    <vt:lpwstr>eyJoZGlkIjoiY2NhNGRiMDI1MzU0YjUxZjQ4ZGI3ZWZkOTdjMGI5YzAiLCJ1c2VySWQiOiI1MTE2MjIwOTkifQ==</vt:lpwstr>
  </property>
</Properties>
</file>