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A9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杭州市公安局萧山区分局交通警察大队2025年度道路交通违法（事故）现场清障、施救及涉案车辆停放管理等服务政府采购项目</w:t>
      </w:r>
    </w:p>
    <w:p w14:paraId="4897D646">
      <w:pPr>
        <w:spacing w:line="360" w:lineRule="auto"/>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政府采购需求公示</w:t>
      </w:r>
    </w:p>
    <w:p w14:paraId="24585AEF">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8"/>
          <w:kern w:val="0"/>
          <w:sz w:val="28"/>
          <w:szCs w:val="28"/>
          <w:highlight w:val="none"/>
          <w:lang w:val="en-US" w:eastAsia="zh-CN" w:bidi="ar"/>
        </w:rPr>
        <w:t>根据《政府采购需求管理办法》(财库【2021】22号)要求，现对本单位</w:t>
      </w:r>
      <w:r>
        <w:rPr>
          <w:rFonts w:hint="eastAsia" w:ascii="仿宋" w:hAnsi="仿宋" w:eastAsia="仿宋" w:cs="仿宋"/>
          <w:sz w:val="28"/>
          <w:szCs w:val="28"/>
          <w:u w:val="single"/>
          <w:lang w:eastAsia="zh-CN"/>
        </w:rPr>
        <w:t>杭州市公安局萧山区分局交通警察大队2025年度道路交通违法（事故）现场清障、施救及涉案车辆停放管理等服务政府采购项目</w:t>
      </w:r>
      <w:r>
        <w:rPr>
          <w:rFonts w:hint="eastAsia" w:ascii="仿宋" w:hAnsi="仿宋" w:eastAsia="仿宋" w:cs="仿宋"/>
          <w:color w:val="000008"/>
          <w:kern w:val="0"/>
          <w:sz w:val="28"/>
          <w:szCs w:val="28"/>
          <w:highlight w:val="none"/>
          <w:lang w:val="en-US" w:eastAsia="zh-CN" w:bidi="ar"/>
        </w:rPr>
        <w:t>采购需求公示如下：</w:t>
      </w:r>
    </w:p>
    <w:p w14:paraId="6031E3EA">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40" w:lineRule="exact"/>
        <w:ind w:left="0" w:firstLine="320"/>
        <w:textAlignment w:val="auto"/>
        <w:rPr>
          <w:rFonts w:hint="eastAsia" w:ascii="仿宋" w:hAnsi="仿宋" w:eastAsia="仿宋" w:cs="仿宋"/>
          <w:b/>
          <w:bCs/>
          <w:spacing w:val="0"/>
          <w:sz w:val="28"/>
          <w:szCs w:val="28"/>
          <w:highlight w:val="none"/>
        </w:rPr>
      </w:pPr>
      <w:r>
        <w:rPr>
          <w:rFonts w:hint="eastAsia" w:ascii="仿宋" w:hAnsi="仿宋" w:eastAsia="仿宋" w:cs="仿宋"/>
          <w:b/>
          <w:bCs/>
          <w:spacing w:val="0"/>
          <w:sz w:val="28"/>
          <w:szCs w:val="28"/>
          <w:highlight w:val="none"/>
          <w:lang w:val="en-US" w:eastAsia="zh-CN"/>
        </w:rPr>
        <w:t>项目信息</w:t>
      </w:r>
    </w:p>
    <w:p w14:paraId="513E082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采购人：</w:t>
      </w:r>
      <w:r>
        <w:rPr>
          <w:rFonts w:hint="eastAsia" w:ascii="仿宋" w:hAnsi="仿宋" w:eastAsia="仿宋" w:cs="仿宋"/>
          <w:sz w:val="28"/>
          <w:szCs w:val="28"/>
          <w:highlight w:val="none"/>
          <w:lang w:eastAsia="zh-CN"/>
        </w:rPr>
        <w:t>杭州市公安局萧山区分局交通警察大队</w:t>
      </w:r>
    </w:p>
    <w:p w14:paraId="071D95FA">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项目名称：杭州市公安局萧山区分局交通警察大队2025年度道路交通违法（事故）现场清障、施救及涉案车辆停放管理等服务政府采购项目</w:t>
      </w:r>
    </w:p>
    <w:p w14:paraId="11977064">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服务期：1年</w:t>
      </w:r>
    </w:p>
    <w:p w14:paraId="37038CD8">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 xml:space="preserve">预算金额：标项1：6600000.00元  标项2：6600000.00元 标项3:2800000.00元 </w:t>
      </w:r>
    </w:p>
    <w:p w14:paraId="054E16EB">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需求编制时间：2024年11月</w:t>
      </w:r>
    </w:p>
    <w:p w14:paraId="2A7A03BD">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项目概况：</w:t>
      </w:r>
    </w:p>
    <w:p w14:paraId="4D029AEC">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320" w:leftChars="0" w:right="0" w:rightChars="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杭州市公安局萧山区分局交通警察大队2025年度道路交通违法（事故）现场清障、施救及涉案车辆停放管理等服务政府采购，服务期：1年。</w:t>
      </w:r>
    </w:p>
    <w:p w14:paraId="47FB9D1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320"/>
        <w:textAlignment w:val="auto"/>
        <w:rPr>
          <w:rFonts w:hint="eastAsia" w:ascii="仿宋" w:hAnsi="仿宋" w:eastAsia="仿宋" w:cs="仿宋"/>
          <w:b/>
          <w:bCs/>
          <w:sz w:val="28"/>
          <w:szCs w:val="28"/>
          <w:highlight w:val="none"/>
        </w:rPr>
      </w:pPr>
      <w:r>
        <w:rPr>
          <w:rFonts w:hint="eastAsia" w:ascii="仿宋" w:hAnsi="仿宋" w:eastAsia="仿宋" w:cs="仿宋"/>
          <w:b/>
          <w:bCs/>
          <w:spacing w:val="0"/>
          <w:sz w:val="28"/>
          <w:szCs w:val="28"/>
          <w:highlight w:val="none"/>
        </w:rPr>
        <w:t>二、</w:t>
      </w:r>
      <w:r>
        <w:rPr>
          <w:rFonts w:hint="eastAsia" w:ascii="仿宋" w:hAnsi="仿宋" w:eastAsia="仿宋" w:cs="仿宋"/>
          <w:b/>
          <w:bCs/>
          <w:spacing w:val="0"/>
          <w:sz w:val="28"/>
          <w:szCs w:val="28"/>
          <w:highlight w:val="none"/>
          <w:lang w:val="en-US" w:eastAsia="zh-CN"/>
        </w:rPr>
        <w:t>采购需求内容</w:t>
      </w:r>
    </w:p>
    <w:p w14:paraId="1567FF0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320"/>
        <w:textAlignment w:val="auto"/>
        <w:rPr>
          <w:rFonts w:hint="eastAsia" w:ascii="仿宋" w:hAnsi="仿宋" w:eastAsia="仿宋" w:cs="仿宋"/>
          <w:spacing w:val="0"/>
          <w:sz w:val="28"/>
          <w:szCs w:val="28"/>
          <w:highlight w:val="none"/>
          <w:lang w:val="en-US" w:eastAsia="zh-CN"/>
        </w:rPr>
      </w:pPr>
      <w:r>
        <w:rPr>
          <w:rFonts w:hint="eastAsia" w:ascii="仿宋" w:hAnsi="仿宋" w:eastAsia="仿宋" w:cs="仿宋"/>
          <w:spacing w:val="0"/>
          <w:sz w:val="28"/>
          <w:szCs w:val="28"/>
          <w:highlight w:val="none"/>
          <w:lang w:val="en-US" w:eastAsia="zh-CN"/>
        </w:rPr>
        <w:t>详见附件《采购需求》</w:t>
      </w:r>
    </w:p>
    <w:p w14:paraId="27FE4BE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firstLine="320"/>
        <w:textAlignment w:val="auto"/>
        <w:rPr>
          <w:rFonts w:hint="eastAsia" w:ascii="仿宋" w:hAnsi="仿宋" w:eastAsia="仿宋" w:cs="仿宋"/>
          <w:b/>
          <w:bCs/>
          <w:sz w:val="28"/>
          <w:szCs w:val="28"/>
          <w:highlight w:val="none"/>
        </w:rPr>
      </w:pPr>
      <w:r>
        <w:rPr>
          <w:rFonts w:hint="eastAsia" w:ascii="仿宋" w:hAnsi="仿宋" w:eastAsia="仿宋" w:cs="仿宋"/>
          <w:b/>
          <w:bCs/>
          <w:spacing w:val="0"/>
          <w:sz w:val="28"/>
          <w:szCs w:val="28"/>
          <w:highlight w:val="none"/>
        </w:rPr>
        <w:t>三、</w:t>
      </w:r>
      <w:r>
        <w:rPr>
          <w:rFonts w:hint="eastAsia" w:ascii="仿宋" w:hAnsi="仿宋" w:eastAsia="仿宋" w:cs="仿宋"/>
          <w:b/>
          <w:bCs/>
          <w:spacing w:val="0"/>
          <w:sz w:val="28"/>
          <w:szCs w:val="28"/>
          <w:highlight w:val="none"/>
          <w:lang w:val="en-US" w:eastAsia="zh-CN"/>
        </w:rPr>
        <w:t>联系方式</w:t>
      </w:r>
    </w:p>
    <w:p w14:paraId="75CC44A1">
      <w:pPr>
        <w:keepNext w:val="0"/>
        <w:keepLines w:val="0"/>
        <w:pageBreakBefore w:val="0"/>
        <w:widowControl w:val="0"/>
        <w:kinsoku/>
        <w:wordWrap/>
        <w:overflowPunct/>
        <w:topLinePunct w:val="0"/>
        <w:autoSpaceDE/>
        <w:autoSpaceDN/>
        <w:bidi w:val="0"/>
        <w:adjustRightInd/>
        <w:snapToGrid/>
        <w:spacing w:after="0" w:line="440" w:lineRule="exact"/>
        <w:ind w:left="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杭州市公安局萧山区分局交通警察大队</w:t>
      </w:r>
    </w:p>
    <w:p w14:paraId="798CC78D">
      <w:pPr>
        <w:keepNext w:val="0"/>
        <w:keepLines w:val="0"/>
        <w:pageBreakBefore w:val="0"/>
        <w:widowControl w:val="0"/>
        <w:kinsoku/>
        <w:wordWrap/>
        <w:overflowPunct/>
        <w:topLinePunct w:val="0"/>
        <w:autoSpaceDE/>
        <w:autoSpaceDN/>
        <w:bidi w:val="0"/>
        <w:adjustRightInd/>
        <w:snapToGrid/>
        <w:spacing w:after="0" w:line="440" w:lineRule="exact"/>
        <w:ind w:lef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联系地址：萧山区育才路47号</w:t>
      </w:r>
    </w:p>
    <w:p w14:paraId="4F34047D">
      <w:pPr>
        <w:keepNext w:val="0"/>
        <w:keepLines w:val="0"/>
        <w:pageBreakBefore w:val="0"/>
        <w:widowControl w:val="0"/>
        <w:kinsoku/>
        <w:wordWrap/>
        <w:overflowPunct/>
        <w:topLinePunct w:val="0"/>
        <w:autoSpaceDE/>
        <w:autoSpaceDN/>
        <w:bidi w:val="0"/>
        <w:adjustRightInd/>
        <w:snapToGrid/>
        <w:spacing w:after="0" w:line="440" w:lineRule="exact"/>
        <w:ind w:lef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联系人：边炜</w:t>
      </w:r>
    </w:p>
    <w:p w14:paraId="2CC45F96">
      <w:pPr>
        <w:keepNext w:val="0"/>
        <w:keepLines w:val="0"/>
        <w:pageBreakBefore w:val="0"/>
        <w:widowControl w:val="0"/>
        <w:kinsoku/>
        <w:wordWrap/>
        <w:overflowPunct/>
        <w:topLinePunct w:val="0"/>
        <w:autoSpaceDE/>
        <w:autoSpaceDN/>
        <w:bidi w:val="0"/>
        <w:adjustRightInd/>
        <w:snapToGrid/>
        <w:spacing w:after="0" w:line="440" w:lineRule="exact"/>
        <w:ind w:left="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项目电话：13805757979</w:t>
      </w:r>
    </w:p>
    <w:p w14:paraId="1FFA6E75">
      <w:pPr>
        <w:pStyle w:val="8"/>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firstLine="320"/>
        <w:textAlignment w:val="auto"/>
        <w:rPr>
          <w:rFonts w:hint="eastAsia" w:ascii="仿宋" w:hAnsi="仿宋" w:eastAsia="仿宋" w:cs="仿宋"/>
          <w:b/>
          <w:bCs/>
          <w:spacing w:val="0"/>
          <w:sz w:val="28"/>
          <w:szCs w:val="28"/>
          <w:highlight w:val="none"/>
          <w:lang w:val="en-US" w:eastAsia="zh-CN"/>
        </w:rPr>
      </w:pPr>
      <w:r>
        <w:rPr>
          <w:rFonts w:hint="eastAsia" w:ascii="仿宋" w:hAnsi="仿宋" w:eastAsia="仿宋" w:cs="仿宋"/>
          <w:b/>
          <w:bCs/>
          <w:spacing w:val="0"/>
          <w:sz w:val="28"/>
          <w:szCs w:val="28"/>
          <w:highlight w:val="none"/>
          <w:lang w:val="en-US" w:eastAsia="zh-CN"/>
        </w:rPr>
        <w:t>附件</w:t>
      </w:r>
    </w:p>
    <w:p w14:paraId="40CFB439">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政府采购项目采购需求文书</w:t>
      </w:r>
    </w:p>
    <w:p w14:paraId="274696F2">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br w:type="page"/>
      </w:r>
    </w:p>
    <w:p w14:paraId="1C130B1F">
      <w:pPr>
        <w:spacing w:line="360" w:lineRule="auto"/>
        <w:jc w:val="center"/>
        <w:rPr>
          <w:rFonts w:hint="eastAsia" w:ascii="仿宋" w:hAnsi="仿宋" w:eastAsia="仿宋" w:cs="仿宋"/>
          <w:sz w:val="44"/>
          <w:szCs w:val="44"/>
          <w:u w:val="single"/>
        </w:rPr>
      </w:pPr>
      <w:bookmarkStart w:id="0" w:name="_Toc20384570"/>
      <w:r>
        <w:rPr>
          <w:rFonts w:hint="eastAsia" w:ascii="仿宋" w:hAnsi="仿宋" w:eastAsia="仿宋" w:cs="仿宋"/>
          <w:sz w:val="32"/>
          <w:szCs w:val="32"/>
        </w:rPr>
        <w:t xml:space="preserve"> </w:t>
      </w:r>
    </w:p>
    <w:p w14:paraId="34E9333F">
      <w:pPr>
        <w:spacing w:line="360" w:lineRule="auto"/>
        <w:jc w:val="center"/>
        <w:rPr>
          <w:rFonts w:hint="eastAsia" w:ascii="仿宋" w:hAnsi="仿宋" w:eastAsia="仿宋" w:cs="仿宋"/>
          <w:sz w:val="48"/>
          <w:szCs w:val="48"/>
        </w:rPr>
      </w:pPr>
    </w:p>
    <w:p w14:paraId="1EDA704B">
      <w:pPr>
        <w:spacing w:line="360" w:lineRule="auto"/>
        <w:jc w:val="center"/>
        <w:rPr>
          <w:rFonts w:hint="eastAsia" w:ascii="仿宋" w:hAnsi="仿宋" w:eastAsia="仿宋" w:cs="仿宋"/>
          <w:sz w:val="48"/>
          <w:szCs w:val="48"/>
        </w:rPr>
      </w:pPr>
    </w:p>
    <w:p w14:paraId="592D2607">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杭州市政府采购项目</w:t>
      </w:r>
    </w:p>
    <w:p w14:paraId="6E02C778">
      <w:pPr>
        <w:spacing w:line="360" w:lineRule="auto"/>
        <w:jc w:val="center"/>
        <w:rPr>
          <w:rFonts w:hint="eastAsia" w:ascii="仿宋" w:hAnsi="仿宋" w:eastAsia="仿宋" w:cs="仿宋"/>
          <w:b/>
          <w:bCs/>
          <w:sz w:val="52"/>
          <w:szCs w:val="52"/>
        </w:rPr>
      </w:pPr>
      <w:r>
        <w:rPr>
          <w:rFonts w:hint="eastAsia" w:ascii="仿宋" w:hAnsi="仿宋" w:eastAsia="仿宋" w:cs="仿宋"/>
          <w:b/>
          <w:bCs/>
          <w:sz w:val="52"/>
          <w:szCs w:val="52"/>
        </w:rPr>
        <w:t>采购需求</w:t>
      </w:r>
    </w:p>
    <w:p w14:paraId="7DCF20D6">
      <w:pPr>
        <w:spacing w:line="360" w:lineRule="auto"/>
        <w:jc w:val="center"/>
        <w:rPr>
          <w:rFonts w:hint="eastAsia" w:ascii="仿宋" w:hAnsi="仿宋" w:eastAsia="仿宋" w:cs="仿宋"/>
          <w:sz w:val="32"/>
          <w:szCs w:val="32"/>
        </w:rPr>
      </w:pPr>
    </w:p>
    <w:p w14:paraId="3B8BF27E">
      <w:pPr>
        <w:spacing w:line="360" w:lineRule="auto"/>
        <w:jc w:val="center"/>
        <w:rPr>
          <w:rFonts w:hint="eastAsia" w:ascii="仿宋" w:hAnsi="仿宋" w:eastAsia="仿宋" w:cs="仿宋"/>
          <w:sz w:val="44"/>
          <w:szCs w:val="44"/>
        </w:rPr>
      </w:pPr>
    </w:p>
    <w:p w14:paraId="69E90308">
      <w:pPr>
        <w:spacing w:line="360" w:lineRule="auto"/>
        <w:jc w:val="center"/>
        <w:rPr>
          <w:rFonts w:hint="eastAsia" w:ascii="仿宋" w:hAnsi="仿宋" w:eastAsia="仿宋" w:cs="仿宋"/>
          <w:sz w:val="44"/>
          <w:szCs w:val="44"/>
        </w:rPr>
      </w:pPr>
    </w:p>
    <w:p w14:paraId="454FA126">
      <w:pPr>
        <w:spacing w:line="360" w:lineRule="auto"/>
        <w:jc w:val="left"/>
        <w:rPr>
          <w:rFonts w:hint="eastAsia" w:ascii="仿宋" w:hAnsi="仿宋" w:eastAsia="仿宋" w:cs="仿宋"/>
          <w:sz w:val="28"/>
          <w:szCs w:val="28"/>
        </w:rPr>
      </w:pPr>
    </w:p>
    <w:p w14:paraId="04EC9699">
      <w:pPr>
        <w:spacing w:line="360" w:lineRule="auto"/>
        <w:ind w:firstLine="840" w:firstLineChars="300"/>
        <w:jc w:val="both"/>
        <w:rPr>
          <w:rFonts w:hint="eastAsia" w:ascii="仿宋" w:hAnsi="仿宋" w:eastAsia="仿宋" w:cs="仿宋"/>
          <w:sz w:val="28"/>
          <w:szCs w:val="28"/>
          <w:u w:val="single"/>
          <w:lang w:val="en-US" w:eastAsia="zh-CN"/>
        </w:rPr>
      </w:pPr>
      <w:r>
        <w:rPr>
          <w:rFonts w:hint="eastAsia" w:ascii="仿宋" w:hAnsi="仿宋" w:eastAsia="仿宋" w:cs="仿宋"/>
          <w:sz w:val="28"/>
          <w:szCs w:val="28"/>
        </w:rPr>
        <w:t>采购单位：</w:t>
      </w:r>
      <w:r>
        <w:rPr>
          <w:rFonts w:hint="eastAsia" w:ascii="仿宋" w:hAnsi="仿宋" w:eastAsia="仿宋" w:cs="仿宋"/>
          <w:sz w:val="28"/>
          <w:szCs w:val="28"/>
          <w:u w:val="single"/>
          <w:lang w:eastAsia="zh-CN"/>
        </w:rPr>
        <w:t>杭州市公安局萧山区分局交通警察大队</w:t>
      </w:r>
    </w:p>
    <w:p w14:paraId="0EF84DAF">
      <w:pPr>
        <w:spacing w:line="360" w:lineRule="auto"/>
        <w:ind w:firstLine="840" w:firstLineChars="300"/>
        <w:jc w:val="both"/>
        <w:rPr>
          <w:rFonts w:hint="eastAsia" w:ascii="仿宋" w:hAnsi="仿宋" w:eastAsia="仿宋" w:cs="仿宋"/>
          <w:sz w:val="28"/>
          <w:szCs w:val="28"/>
          <w:u w:val="single"/>
          <w:lang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杭州市公安局萧山区分局交通警察大队2025年度道路交通违法（事故）现场清障、施救及涉案车辆停放管理等服务政府采购项目</w:t>
      </w:r>
    </w:p>
    <w:p w14:paraId="5FE96B75">
      <w:pPr>
        <w:spacing w:line="360" w:lineRule="auto"/>
        <w:ind w:firstLine="840" w:firstLineChars="300"/>
        <w:jc w:val="both"/>
        <w:rPr>
          <w:rFonts w:hint="eastAsia" w:ascii="仿宋" w:hAnsi="仿宋" w:eastAsia="仿宋" w:cs="仿宋"/>
          <w:sz w:val="28"/>
          <w:szCs w:val="28"/>
          <w:u w:val="single"/>
          <w:lang w:val="en-US" w:eastAsia="zh-CN"/>
        </w:rPr>
      </w:pPr>
      <w:r>
        <w:rPr>
          <w:rFonts w:hint="eastAsia" w:ascii="仿宋" w:hAnsi="仿宋" w:eastAsia="仿宋" w:cs="仿宋"/>
          <w:sz w:val="28"/>
          <w:szCs w:val="28"/>
        </w:rPr>
        <w:t>编制单位：</w:t>
      </w:r>
      <w:r>
        <w:rPr>
          <w:rFonts w:hint="eastAsia" w:ascii="仿宋" w:hAnsi="仿宋" w:eastAsia="仿宋" w:cs="仿宋"/>
          <w:sz w:val="28"/>
          <w:szCs w:val="28"/>
          <w:u w:val="single"/>
          <w:lang w:eastAsia="zh-CN"/>
        </w:rPr>
        <w:t>杭州市公安局萧山区分局交通警察大队</w:t>
      </w:r>
    </w:p>
    <w:p w14:paraId="247E2B21">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rPr>
        <w:t>编制时间：</w:t>
      </w:r>
      <w:r>
        <w:rPr>
          <w:rFonts w:hint="eastAsia" w:ascii="仿宋" w:hAnsi="仿宋" w:eastAsia="仿宋" w:cs="仿宋"/>
          <w:sz w:val="28"/>
          <w:szCs w:val="28"/>
          <w:u w:val="single"/>
          <w:lang w:val="en-US" w:eastAsia="zh-CN"/>
        </w:rPr>
        <w:t xml:space="preserve">           2024年11月            </w:t>
      </w:r>
    </w:p>
    <w:p w14:paraId="188F2283">
      <w:pPr>
        <w:spacing w:line="360" w:lineRule="auto"/>
        <w:jc w:val="left"/>
        <w:rPr>
          <w:rFonts w:hint="eastAsia" w:ascii="仿宋" w:hAnsi="仿宋" w:eastAsia="仿宋" w:cs="仿宋"/>
          <w:b/>
          <w:sz w:val="28"/>
          <w:szCs w:val="28"/>
        </w:rPr>
      </w:pPr>
      <w:r>
        <w:rPr>
          <w:rFonts w:hint="eastAsia" w:ascii="仿宋" w:hAnsi="仿宋" w:eastAsia="仿宋" w:cs="仿宋"/>
          <w:sz w:val="32"/>
          <w:szCs w:val="32"/>
        </w:rPr>
        <w:br w:type="page"/>
      </w:r>
      <w:r>
        <w:rPr>
          <w:rFonts w:hint="eastAsia" w:ascii="仿宋" w:hAnsi="仿宋" w:eastAsia="仿宋" w:cs="仿宋"/>
          <w:b/>
          <w:sz w:val="28"/>
          <w:szCs w:val="28"/>
        </w:rPr>
        <w:t>一、需求调查情况</w:t>
      </w:r>
    </w:p>
    <w:p w14:paraId="64453449">
      <w:pPr>
        <w:spacing w:line="360" w:lineRule="auto"/>
        <w:jc w:val="left"/>
        <w:rPr>
          <w:rFonts w:hint="eastAsia" w:ascii="仿宋" w:hAnsi="仿宋" w:eastAsia="仿宋" w:cs="仿宋"/>
          <w:sz w:val="24"/>
        </w:rPr>
      </w:pPr>
      <w:r>
        <w:rPr>
          <w:rFonts w:hint="eastAsia" w:ascii="仿宋" w:hAnsi="仿宋" w:eastAsia="仿宋" w:cs="仿宋"/>
          <w:sz w:val="24"/>
        </w:rPr>
        <w:t>（一）本项目是否需要开展需求调查：</w:t>
      </w:r>
      <w:r>
        <w:rPr>
          <w:rFonts w:hint="eastAsia" w:ascii="仿宋" w:hAnsi="仿宋" w:eastAsia="仿宋" w:cs="仿宋"/>
          <w:sz w:val="24"/>
          <w:lang w:eastAsia="zh-CN"/>
        </w:rPr>
        <w:t>☑</w:t>
      </w:r>
      <w:r>
        <w:rPr>
          <w:rFonts w:hint="eastAsia" w:ascii="仿宋" w:hAnsi="仿宋" w:eastAsia="仿宋" w:cs="仿宋"/>
          <w:sz w:val="24"/>
        </w:rPr>
        <w:t>是  □否</w:t>
      </w:r>
    </w:p>
    <w:p w14:paraId="01017DE6">
      <w:pPr>
        <w:spacing w:line="360" w:lineRule="auto"/>
        <w:jc w:val="left"/>
        <w:rPr>
          <w:rFonts w:hint="eastAsia" w:ascii="仿宋" w:hAnsi="仿宋" w:eastAsia="仿宋" w:cs="仿宋"/>
          <w:sz w:val="24"/>
        </w:rPr>
      </w:pPr>
      <w:r>
        <w:rPr>
          <w:rFonts w:hint="eastAsia" w:ascii="仿宋" w:hAnsi="仿宋" w:eastAsia="仿宋" w:cs="仿宋"/>
          <w:sz w:val="24"/>
        </w:rPr>
        <w:t>（二）本项目是否属于可以不再重复开展需求调查情形：</w:t>
      </w:r>
      <w:r>
        <w:rPr>
          <w:rFonts w:hint="eastAsia" w:ascii="仿宋" w:hAnsi="仿宋" w:eastAsia="仿宋" w:cs="仿宋"/>
          <w:sz w:val="24"/>
          <w:lang w:eastAsia="zh-CN"/>
        </w:rPr>
        <w:t>□</w:t>
      </w:r>
      <w:r>
        <w:rPr>
          <w:rFonts w:hint="eastAsia" w:ascii="仿宋" w:hAnsi="仿宋" w:eastAsia="仿宋" w:cs="仿宋"/>
          <w:sz w:val="24"/>
        </w:rPr>
        <w:t xml:space="preserve">是 </w:t>
      </w:r>
      <w:r>
        <w:rPr>
          <w:rFonts w:hint="eastAsia" w:ascii="仿宋" w:hAnsi="仿宋" w:eastAsia="仿宋" w:cs="仿宋"/>
          <w:sz w:val="24"/>
          <w:lang w:eastAsia="zh-CN"/>
        </w:rPr>
        <w:t>☑</w:t>
      </w:r>
      <w:r>
        <w:rPr>
          <w:rFonts w:hint="eastAsia" w:ascii="仿宋" w:hAnsi="仿宋" w:eastAsia="仿宋" w:cs="仿宋"/>
          <w:sz w:val="24"/>
        </w:rPr>
        <w:t>否</w:t>
      </w:r>
    </w:p>
    <w:p w14:paraId="6035D472">
      <w:pPr>
        <w:spacing w:line="360" w:lineRule="auto"/>
        <w:jc w:val="left"/>
        <w:rPr>
          <w:rFonts w:hint="eastAsia" w:ascii="仿宋" w:hAnsi="仿宋" w:eastAsia="仿宋" w:cs="仿宋"/>
          <w:sz w:val="24"/>
        </w:rPr>
      </w:pPr>
      <w:r>
        <w:rPr>
          <w:rFonts w:hint="eastAsia" w:ascii="仿宋" w:hAnsi="仿宋" w:eastAsia="仿宋" w:cs="仿宋"/>
          <w:sz w:val="24"/>
        </w:rPr>
        <w:t>（三）需求调查方式</w:t>
      </w:r>
    </w:p>
    <w:p w14:paraId="5E4023E1">
      <w:pPr>
        <w:spacing w:line="360" w:lineRule="auto"/>
        <w:ind w:firstLine="42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 xml:space="preserve">咨询 □论证 </w:t>
      </w:r>
      <w:r>
        <w:rPr>
          <w:rFonts w:hint="eastAsia" w:ascii="仿宋" w:hAnsi="仿宋" w:eastAsia="仿宋" w:cs="仿宋"/>
          <w:sz w:val="24"/>
          <w:lang w:eastAsia="zh-CN"/>
        </w:rPr>
        <w:t>□</w:t>
      </w:r>
      <w:r>
        <w:rPr>
          <w:rFonts w:hint="eastAsia" w:ascii="仿宋" w:hAnsi="仿宋" w:eastAsia="仿宋" w:cs="仿宋"/>
          <w:sz w:val="24"/>
        </w:rPr>
        <w:t xml:space="preserve">问卷调查 </w:t>
      </w:r>
      <w:r>
        <w:rPr>
          <w:rFonts w:hint="eastAsia" w:ascii="仿宋" w:hAnsi="仿宋" w:eastAsia="仿宋" w:cs="仿宋"/>
          <w:sz w:val="24"/>
          <w:lang w:eastAsia="zh-CN"/>
        </w:rPr>
        <w:t>☑</w:t>
      </w:r>
      <w:r>
        <w:rPr>
          <w:rFonts w:hint="eastAsia" w:ascii="仿宋" w:hAnsi="仿宋" w:eastAsia="仿宋" w:cs="仿宋"/>
          <w:sz w:val="24"/>
        </w:rPr>
        <w:t>其他方式（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查询</w:t>
      </w:r>
      <w:r>
        <w:rPr>
          <w:rFonts w:hint="eastAsia" w:ascii="仿宋" w:hAnsi="仿宋" w:eastAsia="仿宋" w:cs="仿宋"/>
          <w:sz w:val="24"/>
          <w:u w:val="single"/>
        </w:rPr>
        <w:t xml:space="preserve">   </w:t>
      </w:r>
      <w:r>
        <w:rPr>
          <w:rFonts w:hint="eastAsia" w:ascii="仿宋" w:hAnsi="仿宋" w:eastAsia="仿宋" w:cs="仿宋"/>
          <w:sz w:val="24"/>
        </w:rPr>
        <w:t>）                        （四）需求调查对象</w:t>
      </w:r>
    </w:p>
    <w:p w14:paraId="2CF5D3F8">
      <w:pPr>
        <w:spacing w:line="360" w:lineRule="auto"/>
        <w:ind w:firstLine="720" w:firstLineChars="300"/>
        <w:jc w:val="left"/>
        <w:rPr>
          <w:rFonts w:hint="eastAsia" w:ascii="仿宋" w:hAnsi="仿宋" w:eastAsia="仿宋" w:cs="仿宋"/>
          <w:sz w:val="24"/>
          <w:u w:val="single"/>
          <w:lang w:eastAsia="zh-CN"/>
        </w:rPr>
      </w:pPr>
      <w:r>
        <w:rPr>
          <w:rFonts w:hint="eastAsia" w:ascii="仿宋" w:hAnsi="仿宋" w:eastAsia="仿宋" w:cs="仿宋"/>
          <w:sz w:val="24"/>
          <w:u w:val="single"/>
          <w:lang w:val="en-US" w:eastAsia="zh-CN"/>
        </w:rPr>
        <w:t>杭州萧山万里汽车修理有限公司、浙江微风智能科技有限公司、杭州路宽汽车服务有限公司</w:t>
      </w:r>
      <w:r>
        <w:rPr>
          <w:rFonts w:hint="eastAsia" w:ascii="仿宋" w:hAnsi="仿宋" w:eastAsia="仿宋" w:cs="仿宋"/>
          <w:sz w:val="24"/>
          <w:u w:val="single"/>
          <w:lang w:eastAsia="zh-CN"/>
        </w:rPr>
        <w:t>。</w:t>
      </w:r>
    </w:p>
    <w:p w14:paraId="0359E237">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（五）需求调查结果</w:t>
      </w:r>
    </w:p>
    <w:p w14:paraId="1584FDB4">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1.相关产业发展情况</w:t>
      </w:r>
    </w:p>
    <w:p w14:paraId="3FD33A73">
      <w:pPr>
        <w:spacing w:line="360" w:lineRule="auto"/>
        <w:ind w:firstLine="420"/>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道路交通违法（事故）车辆现场清障、车辆施救及涉案车辆停放管理服务等采购项目属于刚性交通服务类项目，有利于提升城市交通综合服务水平，促进城市交通改善提升。</w:t>
      </w:r>
    </w:p>
    <w:p w14:paraId="44B0DC53">
      <w:pPr>
        <w:spacing w:line="360" w:lineRule="auto"/>
        <w:ind w:firstLine="420"/>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车辆现场清障、车辆施救及涉案车辆停放管理服务行业在杭州市发展的土壤十分肥沃，各级政府、企事业单位人民对于其态度支持与包容，杭州市的车辆现场清障、车辆施救及涉案车辆停放管理服务推行深度位于领先地位。</w:t>
      </w:r>
    </w:p>
    <w:p w14:paraId="6698B920">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2.市场供给情况</w:t>
      </w:r>
    </w:p>
    <w:p w14:paraId="315CF3E7">
      <w:pPr>
        <w:spacing w:line="360" w:lineRule="auto"/>
        <w:ind w:firstLine="420"/>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总体市场偏平衡，车辆现场清障、车辆施救及涉案车辆停放管理行业历经数年已形成了一批各个层次较有优势的同行。</w:t>
      </w:r>
    </w:p>
    <w:p w14:paraId="30F48D63">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3.同类采购项目历史成交信息情况</w:t>
      </w:r>
    </w:p>
    <w:p w14:paraId="185D9AE6">
      <w:pPr>
        <w:spacing w:line="360" w:lineRule="auto"/>
        <w:ind w:firstLine="42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杭州市公安局萧山区分局交通警察大队道路交通违法（事故）车辆现场清障、车辆施救及涉案车辆停放管理服务等采购项目(中标金额:</w:t>
      </w:r>
      <w:r>
        <w:rPr>
          <w:rFonts w:hint="eastAsia" w:ascii="仿宋" w:hAnsi="仿宋" w:eastAsia="仿宋" w:cs="仿宋"/>
          <w:sz w:val="24"/>
          <w:highlight w:val="none"/>
          <w:u w:val="single"/>
          <w:lang w:val="en-US" w:eastAsia="zh-CN"/>
        </w:rPr>
        <w:t>标一</w:t>
      </w:r>
      <w:r>
        <w:rPr>
          <w:rFonts w:hint="eastAsia" w:ascii="仿宋" w:hAnsi="仿宋" w:eastAsia="仿宋" w:cs="仿宋"/>
          <w:sz w:val="24"/>
          <w:highlight w:val="none"/>
          <w:u w:val="single"/>
        </w:rPr>
        <w:t>5930000元，</w:t>
      </w:r>
      <w:r>
        <w:rPr>
          <w:rFonts w:hint="eastAsia" w:ascii="仿宋" w:hAnsi="仿宋" w:eastAsia="仿宋" w:cs="仿宋"/>
          <w:sz w:val="24"/>
          <w:highlight w:val="none"/>
          <w:u w:val="single"/>
          <w:lang w:val="en-US" w:eastAsia="zh-CN"/>
        </w:rPr>
        <w:t>标二</w:t>
      </w:r>
      <w:r>
        <w:rPr>
          <w:rFonts w:hint="eastAsia" w:ascii="仿宋" w:hAnsi="仿宋" w:eastAsia="仿宋" w:cs="仿宋"/>
          <w:sz w:val="24"/>
          <w:highlight w:val="none"/>
          <w:u w:val="single"/>
        </w:rPr>
        <w:t>5880000</w:t>
      </w:r>
      <w:r>
        <w:rPr>
          <w:rFonts w:hint="eastAsia" w:ascii="仿宋" w:hAnsi="仿宋" w:eastAsia="仿宋" w:cs="仿宋"/>
          <w:sz w:val="24"/>
          <w:highlight w:val="none"/>
          <w:u w:val="single"/>
          <w:lang w:val="en-US" w:eastAsia="zh-CN"/>
        </w:rPr>
        <w:t>元，标三2780000元；</w:t>
      </w:r>
      <w:r>
        <w:rPr>
          <w:rFonts w:hint="eastAsia" w:ascii="仿宋" w:hAnsi="仿宋" w:eastAsia="仿宋" w:cs="仿宋"/>
          <w:sz w:val="24"/>
          <w:highlight w:val="none"/>
          <w:u w:val="single"/>
        </w:rPr>
        <w:t>中标企业:</w:t>
      </w:r>
      <w:r>
        <w:rPr>
          <w:rFonts w:hint="eastAsia" w:ascii="仿宋" w:hAnsi="仿宋" w:eastAsia="仿宋" w:cs="仿宋"/>
          <w:sz w:val="24"/>
          <w:highlight w:val="none"/>
          <w:u w:val="single"/>
          <w:lang w:val="en-US" w:eastAsia="zh-CN"/>
        </w:rPr>
        <w:t>标一</w:t>
      </w:r>
      <w:r>
        <w:rPr>
          <w:rFonts w:hint="eastAsia" w:ascii="仿宋" w:hAnsi="仿宋" w:eastAsia="仿宋" w:cs="仿宋"/>
          <w:sz w:val="24"/>
          <w:highlight w:val="none"/>
          <w:u w:val="single"/>
        </w:rPr>
        <w:t>杭州萧山万里汽车修理有限公司，</w:t>
      </w:r>
      <w:r>
        <w:rPr>
          <w:rFonts w:hint="eastAsia" w:ascii="仿宋" w:hAnsi="仿宋" w:eastAsia="仿宋" w:cs="仿宋"/>
          <w:sz w:val="24"/>
          <w:highlight w:val="none"/>
          <w:u w:val="single"/>
          <w:lang w:val="en-US" w:eastAsia="zh-CN"/>
        </w:rPr>
        <w:t>标二浙江微风智能科技有限公司，标三杭州路宽汽车服务有限公司；</w:t>
      </w:r>
      <w:r>
        <w:rPr>
          <w:rFonts w:hint="eastAsia" w:ascii="仿宋" w:hAnsi="仿宋" w:eastAsia="仿宋" w:cs="仿宋"/>
          <w:sz w:val="24"/>
          <w:highlight w:val="none"/>
          <w:u w:val="single"/>
        </w:rPr>
        <w:t>企业性质:</w:t>
      </w:r>
      <w:r>
        <w:rPr>
          <w:rFonts w:hint="eastAsia" w:ascii="仿宋" w:hAnsi="仿宋" w:eastAsia="仿宋" w:cs="仿宋"/>
          <w:sz w:val="24"/>
          <w:highlight w:val="none"/>
          <w:u w:val="single"/>
          <w:lang w:val="en-US" w:eastAsia="zh-CN"/>
        </w:rPr>
        <w:t>标一小</w:t>
      </w:r>
      <w:r>
        <w:rPr>
          <w:rFonts w:hint="eastAsia" w:ascii="仿宋" w:hAnsi="仿宋" w:eastAsia="仿宋" w:cs="仿宋"/>
          <w:sz w:val="24"/>
          <w:highlight w:val="none"/>
          <w:u w:val="single"/>
        </w:rPr>
        <w:t>型企业</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标一小</w:t>
      </w:r>
      <w:r>
        <w:rPr>
          <w:rFonts w:hint="eastAsia" w:ascii="仿宋" w:hAnsi="仿宋" w:eastAsia="仿宋" w:cs="仿宋"/>
          <w:sz w:val="24"/>
          <w:highlight w:val="none"/>
          <w:u w:val="single"/>
        </w:rPr>
        <w:t>型企业</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标一微</w:t>
      </w:r>
      <w:r>
        <w:rPr>
          <w:rFonts w:hint="eastAsia" w:ascii="仿宋" w:hAnsi="仿宋" w:eastAsia="仿宋" w:cs="仿宋"/>
          <w:sz w:val="24"/>
          <w:highlight w:val="none"/>
          <w:u w:val="single"/>
        </w:rPr>
        <w:t>型企业)</w:t>
      </w:r>
      <w:r>
        <w:rPr>
          <w:rFonts w:hint="eastAsia" w:ascii="仿宋" w:hAnsi="仿宋" w:eastAsia="仿宋" w:cs="仿宋"/>
          <w:sz w:val="24"/>
          <w:highlight w:val="none"/>
          <w:u w:val="single"/>
        </w:rPr>
        <w:t>。杭州市萧山区人民政府盈丰街道办事处2023-2024年涉案非涉案车辆清障、施救及停放保管年度服务采购项目</w:t>
      </w:r>
      <w:r>
        <w:rPr>
          <w:rFonts w:hint="eastAsia" w:ascii="仿宋" w:hAnsi="仿宋" w:eastAsia="仿宋" w:cs="仿宋"/>
          <w:sz w:val="24"/>
          <w:highlight w:val="none"/>
          <w:u w:val="single"/>
          <w:lang w:val="en-US" w:eastAsia="zh-CN"/>
        </w:rPr>
        <w:t>（中标金额：178000元，中标企业：杭州萧山万里汽车修理有限公司，企业性质：小型企业）。蜀山街道涉案（非涉案）车辆清障、施救及停放保管年度服务项目（中标金额：568800元，中标企业：杭州肖美实业有限公司，企业性质：微型企业）。</w:t>
      </w:r>
    </w:p>
    <w:p w14:paraId="30FA5EA3">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4.可能涉及的运行维护、升级更新、备品备件、耗材等后续采购情况</w:t>
      </w:r>
    </w:p>
    <w:p w14:paraId="1EB86BCD">
      <w:pPr>
        <w:spacing w:line="360" w:lineRule="auto"/>
        <w:ind w:firstLine="420"/>
        <w:jc w:val="left"/>
        <w:rPr>
          <w:rFonts w:hint="eastAsia" w:ascii="仿宋" w:hAnsi="仿宋" w:eastAsia="仿宋" w:cs="仿宋"/>
          <w:sz w:val="24"/>
          <w:highlight w:val="none"/>
          <w:u w:val="single"/>
          <w:lang w:val="en-US" w:eastAsia="zh-CN"/>
        </w:rPr>
      </w:pPr>
      <w:r>
        <w:rPr>
          <w:rFonts w:hint="eastAsia" w:ascii="仿宋" w:hAnsi="仿宋" w:eastAsia="仿宋" w:cs="仿宋"/>
          <w:sz w:val="24"/>
          <w:highlight w:val="none"/>
          <w:u w:val="single"/>
          <w:lang w:val="en-US" w:eastAsia="zh-CN"/>
        </w:rPr>
        <w:t>本项目服务所需的设施设备全部由供应商提供，设施设备的运行维护、升级更新由供应商负责，计入投标报价，不存在后续采购。</w:t>
      </w:r>
    </w:p>
    <w:p w14:paraId="36A9FE85">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5.其他相关情况</w:t>
      </w:r>
    </w:p>
    <w:p w14:paraId="0A7D7548">
      <w:pPr>
        <w:spacing w:line="360" w:lineRule="auto"/>
        <w:ind w:firstLine="420"/>
        <w:jc w:val="left"/>
        <w:rPr>
          <w:rFonts w:hint="eastAsia" w:ascii="仿宋" w:hAnsi="仿宋" w:eastAsia="仿宋" w:cs="仿宋"/>
          <w:b/>
          <w:sz w:val="28"/>
          <w:szCs w:val="28"/>
        </w:rPr>
      </w:pPr>
      <w:r>
        <w:rPr>
          <w:rFonts w:hint="eastAsia" w:ascii="仿宋" w:hAnsi="仿宋" w:eastAsia="仿宋" w:cs="仿宋"/>
          <w:sz w:val="24"/>
          <w:highlight w:val="none"/>
          <w:u w:val="single"/>
          <w:lang w:val="en-US" w:eastAsia="zh-CN"/>
        </w:rPr>
        <w:t>无。</w:t>
      </w:r>
    </w:p>
    <w:p w14:paraId="353FF71D">
      <w:pPr>
        <w:numPr>
          <w:ilvl w:val="0"/>
          <w:numId w:val="1"/>
        </w:numPr>
        <w:spacing w:before="312" w:beforeLines="100" w:line="360" w:lineRule="auto"/>
        <w:ind w:left="0" w:leftChars="0" w:firstLine="320" w:firstLineChars="0"/>
        <w:jc w:val="left"/>
        <w:rPr>
          <w:rFonts w:hint="eastAsia" w:ascii="仿宋" w:hAnsi="仿宋" w:eastAsia="仿宋" w:cs="仿宋"/>
          <w:b/>
          <w:sz w:val="24"/>
          <w:szCs w:val="24"/>
        </w:rPr>
      </w:pPr>
      <w:r>
        <w:rPr>
          <w:rFonts w:hint="eastAsia" w:ascii="仿宋" w:hAnsi="仿宋" w:eastAsia="仿宋" w:cs="仿宋"/>
          <w:b/>
          <w:sz w:val="24"/>
          <w:szCs w:val="24"/>
        </w:rPr>
        <w:t>采购需求内容</w:t>
      </w:r>
    </w:p>
    <w:p w14:paraId="3861E4E2">
      <w:pPr>
        <w:tabs>
          <w:tab w:val="left" w:pos="2340"/>
        </w:tab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一）项目概况</w:t>
      </w:r>
    </w:p>
    <w:p w14:paraId="1C0C7D4A">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主要内容为杭州市公安局萧山区分局交通警察大队管辖范围内（含承担交通管理业务的***辖区，不含高架道路）开展交通违法车辆、交通事故的现场清理、车辆拖移及保管等服务，以及大型活动、警卫任务、抗灾救灾、综合整治等备勤服务以及其他交办的清障服务。</w:t>
      </w:r>
    </w:p>
    <w:p w14:paraId="6C5B943C">
      <w:pPr>
        <w:numPr>
          <w:ilvl w:val="0"/>
          <w:numId w:val="3"/>
        </w:numPr>
        <w:tabs>
          <w:tab w:val="left" w:pos="6300"/>
        </w:tabs>
        <w:snapToGrid w:val="0"/>
        <w:spacing w:line="400" w:lineRule="atLeas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项目需求</w:t>
      </w:r>
    </w:p>
    <w:p w14:paraId="56866618">
      <w:pPr>
        <w:pStyle w:val="13"/>
        <w:ind w:left="54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1、实施范围</w:t>
      </w:r>
    </w:p>
    <w:p w14:paraId="69FF1192">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标项一：东片是指萧山区交警大队瓜沥执勤中队、新塘执勤中队（不包括管辖所在的所前镇范围）、新街执勤中队管辖范围内（含承担交通管理业务的***辖区）的区域。</w:t>
      </w:r>
    </w:p>
    <w:p w14:paraId="094C15F8">
      <w:pPr>
        <w:pStyle w:val="14"/>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东片：瓜沥镇、益农镇、党湾镇、靖江街道、南阳街道、新塘街道、衙前镇、新街街道。</w:t>
      </w:r>
    </w:p>
    <w:p w14:paraId="1FC06A27">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标项二：中片是指萧山区交警大队城区执勤中队、宁围执勤中队、盈丰执勤中队、湘湖执勤中队、新塘执勤中队（不包括管辖所在的新塘街道、衙前镇范围）管辖范围内（含承担交通管理业务的***辖区）的区域；</w:t>
      </w:r>
    </w:p>
    <w:p w14:paraId="2F993D6A">
      <w:pPr>
        <w:pStyle w:val="14"/>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中片：城厢街道、北干街道、宁围街道、盈丰街道、蜀山街道、闻堰街道、所前镇。</w:t>
      </w:r>
    </w:p>
    <w:p w14:paraId="48FA821B">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标项三：南片是指萧山区交警大队临浦执勤中队管辖范围内（含承担交通管理业务的***辖区）的区域。</w:t>
      </w:r>
    </w:p>
    <w:p w14:paraId="5D3F6473">
      <w:pPr>
        <w:pStyle w:val="14"/>
        <w:spacing w:before="1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南片：临浦镇、义桥镇、戴村镇、浦阳镇、进化镇、楼塔镇、河上镇。</w:t>
      </w:r>
    </w:p>
    <w:p w14:paraId="2A2B6F15">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color w:val="auto"/>
          <w:sz w:val="24"/>
          <w:szCs w:val="24"/>
          <w:highlight w:val="none"/>
        </w:rPr>
        <w:t>成交供应商</w:t>
      </w:r>
      <w:r>
        <w:rPr>
          <w:rFonts w:hint="eastAsia" w:ascii="仿宋" w:hAnsi="仿宋" w:eastAsia="仿宋" w:cs="仿宋"/>
          <w:b/>
          <w:bCs/>
          <w:color w:val="auto"/>
          <w:sz w:val="24"/>
          <w:szCs w:val="24"/>
          <w:highlight w:val="none"/>
        </w:rPr>
        <w:t>施救清障车辆服务要求</w:t>
      </w:r>
    </w:p>
    <w:p w14:paraId="10BFC822">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1．具体时间要求</w:t>
      </w:r>
    </w:p>
    <w:p w14:paraId="6100F745">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1.1成交供应商提供全天24小时涉案车辆</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服务。</w:t>
      </w:r>
    </w:p>
    <w:p w14:paraId="060A6BED">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1.2成交供应商接到采购人及下属单位通知后须立即出车施救，须在规定时间到达指定地点，除楼塔镇区域40分钟外，其他区域30分钟内；时间从采购人及下属单位向成交供应商发出涉案车辆</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服务指令起计算。成交供应商到达指定地点后，须</w:t>
      </w:r>
      <w:r>
        <w:rPr>
          <w:rFonts w:hint="eastAsia" w:ascii="仿宋" w:hAnsi="仿宋" w:eastAsia="仿宋" w:cs="仿宋"/>
          <w:color w:val="auto"/>
          <w:sz w:val="24"/>
          <w:szCs w:val="24"/>
          <w:highlight w:val="none"/>
          <w:lang w:eastAsia="zh-CN"/>
        </w:rPr>
        <w:t>及时</w:t>
      </w:r>
      <w:r>
        <w:rPr>
          <w:rFonts w:hint="eastAsia" w:ascii="仿宋" w:hAnsi="仿宋" w:eastAsia="仿宋" w:cs="仿宋"/>
          <w:color w:val="auto"/>
          <w:sz w:val="24"/>
          <w:szCs w:val="24"/>
          <w:highlight w:val="none"/>
        </w:rPr>
        <w:t>完成现场涉案车辆</w:t>
      </w:r>
      <w:r>
        <w:rPr>
          <w:rFonts w:hint="eastAsia" w:ascii="仿宋" w:hAnsi="仿宋" w:eastAsia="仿宋" w:cs="仿宋"/>
          <w:bCs/>
          <w:color w:val="auto"/>
          <w:sz w:val="24"/>
          <w:szCs w:val="24"/>
          <w:highlight w:val="none"/>
        </w:rPr>
        <w:t>施救清障、现场清理</w:t>
      </w:r>
      <w:r>
        <w:rPr>
          <w:rFonts w:hint="eastAsia" w:ascii="仿宋" w:hAnsi="仿宋" w:eastAsia="仿宋" w:cs="仿宋"/>
          <w:color w:val="auto"/>
          <w:sz w:val="24"/>
          <w:szCs w:val="24"/>
          <w:highlight w:val="none"/>
        </w:rPr>
        <w:t>并撤离现场。</w:t>
      </w:r>
    </w:p>
    <w:p w14:paraId="30166790">
      <w:pPr>
        <w:tabs>
          <w:tab w:val="left" w:pos="2340"/>
        </w:tabs>
        <w:spacing w:line="360" w:lineRule="auto"/>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1.3涉案车辆需要过磅称重的，</w:t>
      </w:r>
      <w:r>
        <w:rPr>
          <w:rFonts w:hint="eastAsia" w:ascii="仿宋" w:hAnsi="仿宋" w:eastAsia="仿宋" w:cs="仿宋"/>
          <w:color w:val="auto"/>
          <w:sz w:val="24"/>
          <w:szCs w:val="24"/>
          <w:highlight w:val="none"/>
        </w:rPr>
        <w:t>成交供应商应根据采购人及下属单位要求，协助做好及时将车辆拖至过磅点进行过磅、过磅结束后及时将车辆拖至保管场地等工作。</w:t>
      </w:r>
    </w:p>
    <w:p w14:paraId="4ECE39CB">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2.具体车辆要求</w:t>
      </w:r>
    </w:p>
    <w:p w14:paraId="756E8A15">
      <w:pPr>
        <w:tabs>
          <w:tab w:val="left" w:pos="2340"/>
        </w:tabs>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2.1成交供应商要配备足够完成采购人及下属单位要求的涉案车辆</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服务的各类车辆。所有作业车辆须向采购人报备，遇特殊情况如有变动的，须在征得采购人同意后配备相同功能的备用车辆替代。</w:t>
      </w:r>
    </w:p>
    <w:p w14:paraId="2D00621E">
      <w:pPr>
        <w:tabs>
          <w:tab w:val="left" w:pos="2340"/>
        </w:tabs>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.2施救车辆必须安装卫星定位装置、行驶记录仪，确保行车轨迹溯源，并能正常回放。（提供服务阶段系统</w:t>
      </w:r>
      <w:r>
        <w:rPr>
          <w:rFonts w:hint="eastAsia" w:ascii="仿宋" w:hAnsi="仿宋" w:eastAsia="仿宋" w:cs="仿宋"/>
          <w:bCs/>
          <w:color w:val="auto"/>
          <w:sz w:val="24"/>
          <w:szCs w:val="24"/>
          <w:highlight w:val="none"/>
        </w:rPr>
        <w:t>接入采购人指定的涉案停车场管理平台）</w:t>
      </w:r>
    </w:p>
    <w:p w14:paraId="5A5381A2">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成交供应商配备的每一辆车辆须具有合法上路行驶、完备有效的证照，保证车况良好，并配备足够、完好的施救清障辅助设备（包括警示筒、警示带等反光标志、消防器材、拖车辅助轮、千斤顶、破拆器材、清扫工具等）、应急物品（木屑、沙等）及通讯工具、摄像器材等，确保施救清障能力到位与通信畅通无阻。</w:t>
      </w:r>
    </w:p>
    <w:p w14:paraId="5167813B">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2.4成交供应商配备的每一辆车须购买相应的交强险、200万元以上商业第三者责任险、货物运输险等保险。</w:t>
      </w:r>
    </w:p>
    <w:p w14:paraId="73F68ED5">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3.具体人员要求</w:t>
      </w:r>
    </w:p>
    <w:p w14:paraId="1B527812">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3.1成交供应商要配备足够完成采购人及采购人下属单位要求的车辆</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服务配套的工作人员，现场</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作业时必须确保不少于两名工作人员。所有人员须向采购人报备，遇特殊情况如有变动的，须在征得采购人同意后配备相同资质和能力的其他工作人员替代。</w:t>
      </w:r>
    </w:p>
    <w:p w14:paraId="2B222B46">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3.2成交供应商配备的工作人员须与成交供应商签订劳动合同，且必须购买国家规定的从事</w:t>
      </w:r>
      <w:r>
        <w:rPr>
          <w:rFonts w:hint="eastAsia" w:ascii="仿宋" w:hAnsi="仿宋" w:eastAsia="仿宋" w:cs="仿宋"/>
          <w:bCs/>
          <w:color w:val="auto"/>
          <w:sz w:val="24"/>
          <w:szCs w:val="24"/>
          <w:highlight w:val="none"/>
        </w:rPr>
        <w:t>施救清障作业发生人身意外等所需的</w:t>
      </w:r>
      <w:r>
        <w:rPr>
          <w:rFonts w:hint="eastAsia" w:ascii="仿宋" w:hAnsi="仿宋" w:eastAsia="仿宋" w:cs="仿宋"/>
          <w:color w:val="auto"/>
          <w:sz w:val="24"/>
          <w:szCs w:val="24"/>
          <w:highlight w:val="none"/>
        </w:rPr>
        <w:t>相关社会保险。</w:t>
      </w:r>
    </w:p>
    <w:p w14:paraId="2875483B">
      <w:pPr>
        <w:tabs>
          <w:tab w:val="left" w:pos="2340"/>
        </w:tabs>
        <w:spacing w:line="360" w:lineRule="auto"/>
        <w:ind w:firstLine="480" w:firstLineChars="200"/>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z w:val="24"/>
          <w:szCs w:val="24"/>
          <w:highlight w:val="none"/>
        </w:rPr>
        <w:t>3.3成交供应商应承诺在中标后配备的工作人员开展</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需驾驶起重吊车、</w:t>
      </w:r>
      <w:r>
        <w:rPr>
          <w:rFonts w:hint="eastAsia" w:ascii="仿宋" w:hAnsi="仿宋" w:eastAsia="仿宋" w:cs="仿宋"/>
          <w:color w:val="auto"/>
          <w:sz w:val="24"/>
          <w:szCs w:val="24"/>
          <w:highlight w:val="none"/>
          <w:lang w:eastAsia="zh-CN"/>
        </w:rPr>
        <w:t>叉车、</w:t>
      </w:r>
      <w:r>
        <w:rPr>
          <w:rFonts w:hint="eastAsia" w:ascii="仿宋" w:hAnsi="仿宋" w:eastAsia="仿宋" w:cs="仿宋"/>
          <w:color w:val="auto"/>
          <w:sz w:val="24"/>
          <w:szCs w:val="24"/>
          <w:highlight w:val="none"/>
        </w:rPr>
        <w:t>铲车、挖掘机等特种车辆（设备），作业人员须持有经主管部门考核合格颁发的作业人员证（即操作证）</w:t>
      </w:r>
      <w:r>
        <w:rPr>
          <w:rFonts w:hint="eastAsia" w:ascii="仿宋" w:hAnsi="仿宋" w:eastAsia="仿宋" w:cs="仿宋"/>
          <w:color w:val="auto"/>
          <w:spacing w:val="-6"/>
          <w:sz w:val="24"/>
          <w:szCs w:val="24"/>
          <w:highlight w:val="none"/>
        </w:rPr>
        <w:t>。</w:t>
      </w:r>
    </w:p>
    <w:p w14:paraId="4B8706B6">
      <w:pPr>
        <w:tabs>
          <w:tab w:val="left" w:pos="2340"/>
        </w:tabs>
        <w:spacing w:line="360" w:lineRule="auto"/>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3.4成交供应商配备的</w:t>
      </w:r>
      <w:r>
        <w:rPr>
          <w:rFonts w:hint="eastAsia" w:ascii="仿宋" w:hAnsi="仿宋" w:eastAsia="仿宋" w:cs="仿宋"/>
          <w:color w:val="auto"/>
          <w:spacing w:val="-6"/>
          <w:sz w:val="24"/>
          <w:szCs w:val="24"/>
          <w:highlight w:val="none"/>
        </w:rPr>
        <w:t>工作人员应按照采购人规定的程序及规范处置被拖车辆的随车物品，未经采购人或当事人同意，工作人员不得进入被拖车辆的车辆内部（包括驾驶乘坐仓以及车尾箱等）。</w:t>
      </w:r>
    </w:p>
    <w:p w14:paraId="669417C7">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4.其他要求</w:t>
      </w:r>
    </w:p>
    <w:p w14:paraId="0A40C6B8">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4.1成交供应商应承诺中标后在开展涉案车辆</w:t>
      </w:r>
      <w:r>
        <w:rPr>
          <w:rFonts w:hint="eastAsia" w:ascii="仿宋" w:hAnsi="仿宋" w:eastAsia="仿宋" w:cs="仿宋"/>
          <w:bCs/>
          <w:color w:val="auto"/>
          <w:sz w:val="24"/>
          <w:szCs w:val="24"/>
          <w:highlight w:val="none"/>
        </w:rPr>
        <w:t>施救清障</w:t>
      </w:r>
      <w:r>
        <w:rPr>
          <w:rFonts w:hint="eastAsia" w:ascii="仿宋" w:hAnsi="仿宋" w:eastAsia="仿宋" w:cs="仿宋"/>
          <w:color w:val="auto"/>
          <w:sz w:val="24"/>
          <w:szCs w:val="24"/>
          <w:highlight w:val="none"/>
        </w:rPr>
        <w:t>作业过程中发生交通事故、安全事故或其他意外，造成成交供应商的自身车辆损坏、工作人员伤害的，由成交供应商自行负责；造成涉案车辆（物品）损坏、其他人员伤害的，均由成交供应商负责。</w:t>
      </w:r>
    </w:p>
    <w:p w14:paraId="1BA5C7D1">
      <w:pPr>
        <w:pStyle w:val="14"/>
        <w:spacing w:before="120"/>
        <w:ind w:firstLine="482"/>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szCs w:val="24"/>
          <w:highlight w:val="none"/>
          <w:lang w:val="en-US" w:eastAsia="zh-CN" w:bidi="ar-SA"/>
        </w:rPr>
        <w:t>4.2成交供应商的工作人员要根据执勤民警的要求，开展交通违法、事故现场血迹、油污、泥土、洒落物等残留物的清理工作和大宗物品的移位工作，确保现场道路畅通和安全。</w:t>
      </w:r>
    </w:p>
    <w:p w14:paraId="00B86BC4">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pacing w:val="-6"/>
          <w:sz w:val="24"/>
          <w:szCs w:val="24"/>
          <w:highlight w:val="none"/>
        </w:rPr>
        <w:t>除采购人要求成交供应商开展拖车服务外，交通事故（含违法）车辆还需要吊车、驳运或抢险作业等其他施救服务的，由成交供应商自行与当事人（或事故车辆保险公司）协商；吊车、驳运或抢险作业的费用由成交供应商按照市场价（有物价部门收费标准的则应按该标准）向当事人（或事故车辆保险公司）收取，并开具正规施救发票；未经与当事人（或事故车辆保险公司）协商同意，强行自行开展吊车、驳运或抢险作业等其他施救服务等行为的，一切法律后果由成交供应商承担。</w:t>
      </w:r>
    </w:p>
    <w:p w14:paraId="3C42BF9D">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w:t>
      </w:r>
      <w:r>
        <w:rPr>
          <w:rFonts w:hint="eastAsia" w:ascii="仿宋" w:hAnsi="仿宋" w:eastAsia="仿宋" w:cs="仿宋"/>
          <w:b/>
          <w:color w:val="auto"/>
          <w:sz w:val="24"/>
          <w:szCs w:val="24"/>
          <w:highlight w:val="none"/>
        </w:rPr>
        <w:t>成交供应商</w:t>
      </w:r>
      <w:r>
        <w:rPr>
          <w:rFonts w:hint="eastAsia" w:ascii="仿宋" w:hAnsi="仿宋" w:eastAsia="仿宋" w:cs="仿宋"/>
          <w:b/>
          <w:bCs/>
          <w:color w:val="auto"/>
          <w:sz w:val="24"/>
          <w:szCs w:val="24"/>
          <w:highlight w:val="none"/>
        </w:rPr>
        <w:t>涉案车辆保管服务要求</w:t>
      </w:r>
    </w:p>
    <w:p w14:paraId="1E92E65E">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1．具体时间要求</w:t>
      </w:r>
    </w:p>
    <w:p w14:paraId="1FB362A9">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1.1成交供应商提供涉案车辆保管为涉案车辆进入保管场地开始起至车辆放行、当事人取车（车辆离去）、采购人指定转移</w:t>
      </w:r>
      <w:r>
        <w:rPr>
          <w:rFonts w:hint="eastAsia" w:ascii="仿宋" w:hAnsi="仿宋" w:eastAsia="仿宋" w:cs="仿宋"/>
          <w:color w:val="auto"/>
          <w:sz w:val="24"/>
          <w:szCs w:val="24"/>
          <w:highlight w:val="none"/>
          <w:lang w:eastAsia="zh-CN"/>
        </w:rPr>
        <w:t>至</w:t>
      </w:r>
      <w:r>
        <w:rPr>
          <w:rFonts w:hint="eastAsia" w:ascii="仿宋" w:hAnsi="仿宋" w:eastAsia="仿宋" w:cs="仿宋"/>
          <w:color w:val="auto"/>
          <w:sz w:val="24"/>
          <w:szCs w:val="24"/>
          <w:highlight w:val="none"/>
        </w:rPr>
        <w:t>其他场地</w:t>
      </w:r>
      <w:r>
        <w:rPr>
          <w:rFonts w:hint="eastAsia" w:ascii="仿宋" w:hAnsi="仿宋" w:eastAsia="仿宋" w:cs="仿宋"/>
          <w:color w:val="auto"/>
          <w:sz w:val="24"/>
          <w:szCs w:val="24"/>
          <w:highlight w:val="none"/>
          <w:lang w:eastAsia="zh-CN"/>
        </w:rPr>
        <w:t>（包括车辆转移至新中标成交供应商场地）</w:t>
      </w:r>
      <w:r>
        <w:rPr>
          <w:rFonts w:hint="eastAsia" w:ascii="仿宋" w:hAnsi="仿宋" w:eastAsia="仿宋" w:cs="仿宋"/>
          <w:color w:val="auto"/>
          <w:sz w:val="24"/>
          <w:szCs w:val="24"/>
          <w:highlight w:val="none"/>
        </w:rPr>
        <w:t>等期间的全过程保管服务。</w:t>
      </w:r>
    </w:p>
    <w:p w14:paraId="053E3BA8">
      <w:pPr>
        <w:keepNext w:val="0"/>
        <w:keepLines w:val="0"/>
        <w:pageBreakBefore w:val="0"/>
        <w:widowControl w:val="0"/>
        <w:tabs>
          <w:tab w:val="left" w:pos="2340"/>
        </w:tabs>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2．具体场地要求</w:t>
      </w:r>
    </w:p>
    <w:p w14:paraId="124C27DB">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2.1本项目停车场是属于可以合法停放机动车辆的专用停车场。</w:t>
      </w:r>
    </w:p>
    <w:p w14:paraId="275BE1A1">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2.2成交供应商要提供足够完成采购人及下属单位要求的涉案车辆保管服务的保管场</w:t>
      </w:r>
      <w:r>
        <w:rPr>
          <w:rFonts w:hint="eastAsia" w:ascii="仿宋" w:hAnsi="仿宋" w:eastAsia="仿宋" w:cs="仿宋"/>
          <w:b w:val="0"/>
          <w:bCs w:val="0"/>
          <w:color w:val="auto"/>
          <w:sz w:val="24"/>
          <w:szCs w:val="24"/>
          <w:highlight w:val="none"/>
        </w:rPr>
        <w:t>地</w:t>
      </w:r>
      <w:r>
        <w:rPr>
          <w:rFonts w:hint="eastAsia" w:ascii="仿宋" w:hAnsi="仿宋" w:eastAsia="仿宋" w:cs="仿宋"/>
          <w:b w:val="0"/>
          <w:bCs w:val="0"/>
          <w:color w:val="auto"/>
          <w:sz w:val="24"/>
          <w:szCs w:val="24"/>
          <w:highlight w:val="none"/>
          <w:lang w:eastAsia="zh-CN"/>
        </w:rPr>
        <w:t>除有政府征用（征迁）、规划变动、土地收储等不可抗力情形外，不得擅自变动</w:t>
      </w:r>
      <w:r>
        <w:rPr>
          <w:rFonts w:hint="eastAsia" w:ascii="仿宋" w:hAnsi="仿宋" w:eastAsia="仿宋" w:cs="仿宋"/>
          <w:color w:val="auto"/>
          <w:sz w:val="24"/>
          <w:szCs w:val="24"/>
          <w:highlight w:val="none"/>
        </w:rPr>
        <w:t>。所有</w:t>
      </w:r>
      <w:bookmarkStart w:id="1" w:name="OLE_LINK8"/>
      <w:r>
        <w:rPr>
          <w:rFonts w:hint="eastAsia" w:ascii="仿宋" w:hAnsi="仿宋" w:eastAsia="仿宋" w:cs="仿宋"/>
          <w:color w:val="auto"/>
          <w:sz w:val="24"/>
          <w:szCs w:val="24"/>
          <w:highlight w:val="none"/>
        </w:rPr>
        <w:t>保管场地</w:t>
      </w:r>
      <w:bookmarkEnd w:id="1"/>
      <w:r>
        <w:rPr>
          <w:rFonts w:hint="eastAsia" w:ascii="仿宋" w:hAnsi="仿宋" w:eastAsia="仿宋" w:cs="仿宋"/>
          <w:color w:val="auto"/>
          <w:sz w:val="24"/>
          <w:szCs w:val="24"/>
          <w:highlight w:val="none"/>
        </w:rPr>
        <w:t>须向采购人报备，不得跨采购人所设定的标项区域范围实施经营；除遇不可抗力因素影响外，保管场地不得擅自变动，中标后保管场地如与投标承诺不相符的，采购人有权终止合同，并依据《中华人民共和国招标投标法》第54条之规定追究成交供应商法律责任及赔偿采购人由此产生的一切损失</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中标后确有不可抗力原因需要更换保管场地的，须经采购人同意后，落实在同一区域且不少于原有保管场地面积的场地进行替代</w:t>
      </w:r>
      <w:r>
        <w:rPr>
          <w:rFonts w:hint="eastAsia" w:ascii="仿宋" w:hAnsi="仿宋" w:eastAsia="仿宋" w:cs="仿宋"/>
          <w:b w:val="0"/>
          <w:bCs w:val="0"/>
          <w:color w:val="auto"/>
          <w:sz w:val="24"/>
          <w:szCs w:val="24"/>
          <w:highlight w:val="none"/>
        </w:rPr>
        <w:t>。</w:t>
      </w:r>
      <w:r>
        <w:rPr>
          <w:rFonts w:hint="eastAsia" w:ascii="仿宋" w:hAnsi="仿宋" w:eastAsia="仿宋" w:cs="仿宋"/>
          <w:color w:val="auto"/>
          <w:sz w:val="24"/>
          <w:szCs w:val="24"/>
          <w:highlight w:val="none"/>
          <w:lang w:eastAsia="zh-CN"/>
        </w:rPr>
        <w:t>（投标承诺不相符包括实际投入运营的场地与投标承诺不一致、投标承诺的场地实际未启用、实际场地位置与投标承诺场地位置不一致、实际场地停车面积</w:t>
      </w:r>
      <w:r>
        <w:rPr>
          <w:rFonts w:hint="eastAsia" w:ascii="仿宋" w:hAnsi="仿宋" w:eastAsia="仿宋" w:cs="仿宋"/>
          <w:b w:val="0"/>
          <w:bCs w:val="0"/>
          <w:color w:val="auto"/>
          <w:sz w:val="24"/>
          <w:szCs w:val="24"/>
          <w:highlight w:val="none"/>
          <w:lang w:eastAsia="zh-CN"/>
        </w:rPr>
        <w:t>明显少于</w:t>
      </w:r>
      <w:r>
        <w:rPr>
          <w:rFonts w:hint="eastAsia" w:ascii="仿宋" w:hAnsi="仿宋" w:eastAsia="仿宋" w:cs="仿宋"/>
          <w:color w:val="auto"/>
          <w:sz w:val="24"/>
          <w:szCs w:val="24"/>
          <w:highlight w:val="none"/>
          <w:lang w:eastAsia="zh-CN"/>
        </w:rPr>
        <w:t>投标承诺场地停车面积等情形）</w:t>
      </w:r>
    </w:p>
    <w:p w14:paraId="4F292084">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2.3成交供应商提供的保管场地须具有合法、完备的手续，保证保管场地适合车辆停放，并设置汽车停放区、非汽车停放区，做到妥善保管。</w:t>
      </w:r>
    </w:p>
    <w:p w14:paraId="3E14C67F">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2.4成交供应商提供的保管场地必须严格落实有关治安消防安全措施。除落实人员看管外，</w:t>
      </w:r>
      <w:r>
        <w:rPr>
          <w:rFonts w:hint="eastAsia" w:ascii="仿宋" w:hAnsi="仿宋" w:eastAsia="仿宋" w:cs="仿宋"/>
          <w:bCs/>
          <w:color w:val="auto"/>
          <w:sz w:val="24"/>
          <w:szCs w:val="24"/>
          <w:highlight w:val="none"/>
        </w:rPr>
        <w:t>须</w:t>
      </w:r>
      <w:r>
        <w:rPr>
          <w:rFonts w:hint="eastAsia" w:ascii="仿宋" w:hAnsi="仿宋" w:eastAsia="仿宋" w:cs="仿宋"/>
          <w:color w:val="auto"/>
          <w:sz w:val="24"/>
          <w:szCs w:val="24"/>
          <w:highlight w:val="none"/>
        </w:rPr>
        <w:t>配备灯光照明、封闭式围墙、消防灭火设备、防火隔离通道等设施，</w:t>
      </w:r>
      <w:r>
        <w:rPr>
          <w:rFonts w:hint="eastAsia" w:ascii="仿宋" w:hAnsi="仿宋" w:eastAsia="仿宋" w:cs="仿宋"/>
          <w:color w:val="auto"/>
          <w:spacing w:val="-11"/>
          <w:sz w:val="24"/>
          <w:szCs w:val="24"/>
          <w:highlight w:val="none"/>
        </w:rPr>
        <w:t>车辆出入口及停放位置须监控全覆盖，监控记录须保存3个月以上，</w:t>
      </w:r>
      <w:r>
        <w:rPr>
          <w:rFonts w:hint="eastAsia" w:ascii="仿宋" w:hAnsi="仿宋" w:eastAsia="仿宋" w:cs="仿宋"/>
          <w:bCs/>
          <w:color w:val="auto"/>
          <w:sz w:val="24"/>
          <w:szCs w:val="24"/>
          <w:highlight w:val="none"/>
        </w:rPr>
        <w:t>监控按要求接入采购人平台，</w:t>
      </w:r>
      <w:r>
        <w:rPr>
          <w:rFonts w:hint="eastAsia" w:ascii="仿宋" w:hAnsi="仿宋" w:eastAsia="仿宋" w:cs="仿宋"/>
          <w:color w:val="auto"/>
          <w:sz w:val="24"/>
          <w:szCs w:val="24"/>
          <w:highlight w:val="none"/>
        </w:rPr>
        <w:t>每处保管场地有效意外损失保险不少于1000万元（含）以上。</w:t>
      </w:r>
    </w:p>
    <w:p w14:paraId="4F34D3A4">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2.5为有效配合</w:t>
      </w:r>
      <w:r>
        <w:rPr>
          <w:rFonts w:hint="eastAsia" w:ascii="仿宋" w:hAnsi="仿宋" w:eastAsia="仿宋" w:cs="仿宋"/>
          <w:color w:val="auto"/>
          <w:spacing w:val="-6"/>
          <w:sz w:val="24"/>
          <w:szCs w:val="24"/>
          <w:highlight w:val="none"/>
        </w:rPr>
        <w:t>采购人及下属单位执法，</w:t>
      </w:r>
      <w:r>
        <w:rPr>
          <w:rFonts w:hint="eastAsia" w:ascii="仿宋" w:hAnsi="仿宋" w:eastAsia="仿宋" w:cs="仿宋"/>
          <w:color w:val="auto"/>
          <w:sz w:val="24"/>
          <w:szCs w:val="24"/>
          <w:highlight w:val="none"/>
        </w:rPr>
        <w:t>成交供应商提供的保管场地要求设置过磅设备（不低于100吨承载），并保证该设备正常有效使用。</w:t>
      </w:r>
    </w:p>
    <w:p w14:paraId="2A2E32D9">
      <w:pPr>
        <w:tabs>
          <w:tab w:val="left" w:pos="2340"/>
        </w:tabs>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2.6成交供应商提供的保管场地须设立专门的管理办公室，配备电脑并安装涉案车辆管理系统（以下称“停车场系统”），实时维护系统及上传相关涉案车辆信息。须在</w:t>
      </w:r>
      <w:r>
        <w:rPr>
          <w:rFonts w:hint="eastAsia" w:ascii="仿宋" w:hAnsi="仿宋" w:eastAsia="仿宋" w:cs="仿宋"/>
          <w:color w:val="auto"/>
          <w:sz w:val="24"/>
          <w:szCs w:val="24"/>
          <w:highlight w:val="none"/>
          <w:lang w:eastAsia="zh-CN"/>
        </w:rPr>
        <w:t>醒</w:t>
      </w:r>
      <w:r>
        <w:rPr>
          <w:rFonts w:hint="eastAsia" w:ascii="仿宋" w:hAnsi="仿宋" w:eastAsia="仿宋" w:cs="仿宋"/>
          <w:color w:val="auto"/>
          <w:sz w:val="24"/>
          <w:szCs w:val="24"/>
          <w:highlight w:val="none"/>
        </w:rPr>
        <w:t>目位置上墙公开相关规章制度、具体工作人员及职责、投诉监督电话、收费标准等。</w:t>
      </w:r>
    </w:p>
    <w:p w14:paraId="7EC8AC01">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 成交供应商保管的涉案车辆，应按照车辆查扣单位归属分别建立相关单位台账，严禁混杂登记、台账混合，确保台账清晰、长久保存。</w:t>
      </w:r>
    </w:p>
    <w:p w14:paraId="374C176E">
      <w:pPr>
        <w:tabs>
          <w:tab w:val="left" w:pos="2340"/>
        </w:tabs>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3.具体人员要求</w:t>
      </w:r>
    </w:p>
    <w:p w14:paraId="6FFB837F">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w:t>
      </w:r>
      <w:r>
        <w:rPr>
          <w:rFonts w:hint="eastAsia" w:ascii="仿宋" w:hAnsi="仿宋" w:eastAsia="仿宋" w:cs="仿宋"/>
          <w:color w:val="auto"/>
          <w:spacing w:val="-6"/>
          <w:sz w:val="24"/>
          <w:szCs w:val="24"/>
          <w:highlight w:val="none"/>
        </w:rPr>
        <w:t>成交供应商要配备足够完成采购人及下属单位要求的涉案车辆保管服务配套的工作人员，并保证保管场地24小时人员不间断。所有人员须向采购人报备，遇特殊情况如有变动的，须在征得采购人同意后配备相同能力的其他工作人员替代。</w:t>
      </w:r>
    </w:p>
    <w:p w14:paraId="73FFDD49">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3.2成交供应商配备的工作人员须与成交供应商签订劳动合同，且必须购买国家规定的从事</w:t>
      </w:r>
      <w:r>
        <w:rPr>
          <w:rFonts w:hint="eastAsia" w:ascii="仿宋" w:hAnsi="仿宋" w:eastAsia="仿宋" w:cs="仿宋"/>
          <w:bCs/>
          <w:color w:val="auto"/>
          <w:sz w:val="24"/>
          <w:szCs w:val="24"/>
          <w:highlight w:val="none"/>
        </w:rPr>
        <w:t>保管服务作业发生人身意外等所需的</w:t>
      </w:r>
      <w:r>
        <w:rPr>
          <w:rFonts w:hint="eastAsia" w:ascii="仿宋" w:hAnsi="仿宋" w:eastAsia="仿宋" w:cs="仿宋"/>
          <w:color w:val="auto"/>
          <w:sz w:val="24"/>
          <w:szCs w:val="24"/>
          <w:highlight w:val="none"/>
        </w:rPr>
        <w:t>相关社会保险。</w:t>
      </w:r>
    </w:p>
    <w:p w14:paraId="41529D99">
      <w:pPr>
        <w:tabs>
          <w:tab w:val="left" w:pos="2340"/>
        </w:tabs>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4.具体保管要求</w:t>
      </w:r>
    </w:p>
    <w:p w14:paraId="3EC0E239">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涉案车辆须凭《暂扣车辆（物品）移交凭证》进入保管场地，无《暂扣车辆（物品）移交凭证》的，成交供应商一律不得保管；若成交供应商对无移交凭证的涉案车辆进行保管，所产生的后果、费用均由成交供应商自行承担。每辆涉案车辆进入保管场地后，应按采购人要求及时在</w:t>
      </w:r>
      <w:r>
        <w:rPr>
          <w:rFonts w:hint="eastAsia" w:ascii="仿宋" w:hAnsi="仿宋" w:eastAsia="仿宋" w:cs="仿宋"/>
          <w:color w:val="auto"/>
          <w:spacing w:val="-6"/>
          <w:sz w:val="24"/>
          <w:szCs w:val="24"/>
          <w:highlight w:val="none"/>
        </w:rPr>
        <w:t>停车场系统完成入库操作。</w:t>
      </w:r>
    </w:p>
    <w:p w14:paraId="60A23EE4">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成交供应商对保管的涉案车辆（物品）在进出场地时应进行全面检查，查清车辆状况，清点车内物品，每辆涉案车辆必须按采购人要求悬挂好采购人提供的专用卡片，并按采购人要求做好涉案车辆（物品）书面登记。</w:t>
      </w:r>
    </w:p>
    <w:p w14:paraId="03A6FAAD">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w:t>
      </w:r>
      <w:r>
        <w:rPr>
          <w:rFonts w:hint="eastAsia" w:ascii="仿宋" w:hAnsi="仿宋" w:eastAsia="仿宋" w:cs="仿宋"/>
          <w:color w:val="auto"/>
          <w:spacing w:val="-6"/>
          <w:sz w:val="24"/>
          <w:szCs w:val="24"/>
          <w:highlight w:val="none"/>
        </w:rPr>
        <w:t>成交供应商应分清暂扣车辆性质，存放于专辖区域，落实好保管措施，对车辆保管期间发生的损坏（包括自燃、被盗等情况）和随车物品的失少，承担赔偿责任。</w:t>
      </w:r>
    </w:p>
    <w:p w14:paraId="12539996">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4.4成交供应商应每日、每周检查</w:t>
      </w:r>
      <w:r>
        <w:rPr>
          <w:rFonts w:hint="eastAsia" w:ascii="仿宋" w:hAnsi="仿宋" w:eastAsia="仿宋" w:cs="仿宋"/>
          <w:color w:val="auto"/>
          <w:spacing w:val="-6"/>
          <w:sz w:val="24"/>
          <w:szCs w:val="24"/>
          <w:highlight w:val="none"/>
        </w:rPr>
        <w:t>停车场系统</w:t>
      </w:r>
      <w:r>
        <w:rPr>
          <w:rFonts w:hint="eastAsia" w:ascii="仿宋" w:hAnsi="仿宋" w:eastAsia="仿宋" w:cs="仿宋"/>
          <w:color w:val="auto"/>
          <w:sz w:val="24"/>
          <w:szCs w:val="24"/>
          <w:highlight w:val="none"/>
        </w:rPr>
        <w:t>中信息，对场地内涉案车辆与系统内登记车辆进行逐一核对，确保系统录入信息规范完整齐全和及时更新，确保系统登记车辆与实际扣车数一致、无误。发现异常情况要及时报告</w:t>
      </w:r>
      <w:r>
        <w:rPr>
          <w:rFonts w:hint="eastAsia" w:ascii="仿宋" w:hAnsi="仿宋" w:eastAsia="仿宋" w:cs="仿宋"/>
          <w:color w:val="auto"/>
          <w:spacing w:val="-6"/>
          <w:sz w:val="24"/>
          <w:szCs w:val="24"/>
          <w:highlight w:val="none"/>
        </w:rPr>
        <w:t>采购人</w:t>
      </w:r>
      <w:r>
        <w:rPr>
          <w:rFonts w:hint="eastAsia" w:ascii="仿宋" w:hAnsi="仿宋" w:eastAsia="仿宋" w:cs="仿宋"/>
          <w:color w:val="auto"/>
          <w:sz w:val="24"/>
          <w:szCs w:val="24"/>
          <w:highlight w:val="none"/>
        </w:rPr>
        <w:t>及采购人下属单位。</w:t>
      </w:r>
    </w:p>
    <w:p w14:paraId="744C0855">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pacing w:val="-6"/>
          <w:sz w:val="24"/>
          <w:szCs w:val="24"/>
          <w:highlight w:val="none"/>
        </w:rPr>
        <w:t>5成交供应商应配合采购人</w:t>
      </w:r>
      <w:r>
        <w:rPr>
          <w:rFonts w:hint="eastAsia" w:ascii="仿宋" w:hAnsi="仿宋" w:eastAsia="仿宋" w:cs="仿宋"/>
          <w:color w:val="auto"/>
          <w:sz w:val="24"/>
          <w:szCs w:val="24"/>
          <w:highlight w:val="none"/>
        </w:rPr>
        <w:t>及采购人下属单位</w:t>
      </w:r>
      <w:r>
        <w:rPr>
          <w:rFonts w:hint="eastAsia" w:ascii="仿宋" w:hAnsi="仿宋" w:eastAsia="仿宋" w:cs="仿宋"/>
          <w:color w:val="auto"/>
          <w:spacing w:val="-6"/>
          <w:sz w:val="24"/>
          <w:szCs w:val="24"/>
          <w:highlight w:val="none"/>
        </w:rPr>
        <w:t>消除暂扣涉案车辆违法行为，杜绝出现违法行为不消除就放行或私放车辆的现象发生。对涉案车辆放行必须凭</w:t>
      </w:r>
      <w:r>
        <w:rPr>
          <w:rFonts w:hint="eastAsia" w:ascii="仿宋" w:hAnsi="仿宋" w:eastAsia="仿宋" w:cs="仿宋"/>
          <w:color w:val="auto"/>
          <w:sz w:val="24"/>
          <w:szCs w:val="24"/>
          <w:highlight w:val="none"/>
        </w:rPr>
        <w:t>采购人及下属单位</w:t>
      </w:r>
      <w:r>
        <w:rPr>
          <w:rFonts w:hint="eastAsia" w:ascii="仿宋" w:hAnsi="仿宋" w:eastAsia="仿宋" w:cs="仿宋"/>
          <w:color w:val="auto"/>
          <w:spacing w:val="-6"/>
          <w:sz w:val="24"/>
          <w:szCs w:val="24"/>
          <w:highlight w:val="none"/>
        </w:rPr>
        <w:t>开具的《停车场系统放车单》放行；如手工放车单放行的，应在24小时内提醒</w:t>
      </w:r>
      <w:r>
        <w:rPr>
          <w:rFonts w:hint="eastAsia" w:ascii="仿宋" w:hAnsi="仿宋" w:eastAsia="仿宋" w:cs="仿宋"/>
          <w:color w:val="auto"/>
          <w:sz w:val="24"/>
          <w:szCs w:val="24"/>
          <w:highlight w:val="none"/>
        </w:rPr>
        <w:t>采购人及下属单位</w:t>
      </w:r>
      <w:r>
        <w:rPr>
          <w:rFonts w:hint="eastAsia" w:ascii="仿宋" w:hAnsi="仿宋" w:eastAsia="仿宋" w:cs="仿宋"/>
          <w:color w:val="auto"/>
          <w:spacing w:val="-6"/>
          <w:sz w:val="24"/>
          <w:szCs w:val="24"/>
          <w:highlight w:val="none"/>
        </w:rPr>
        <w:t>提供《停车场系统放车单》。</w:t>
      </w:r>
    </w:p>
    <w:p w14:paraId="38E390BC">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4.6当事人或委托人（以下称“领取人”）携带放车单于24小时内到停车场取车，</w:t>
      </w:r>
      <w:r>
        <w:rPr>
          <w:rFonts w:hint="eastAsia" w:ascii="仿宋" w:hAnsi="仿宋" w:eastAsia="仿宋" w:cs="仿宋"/>
          <w:color w:val="auto"/>
          <w:spacing w:val="-6"/>
          <w:sz w:val="24"/>
          <w:szCs w:val="24"/>
          <w:highlight w:val="none"/>
        </w:rPr>
        <w:t>成交供应商</w:t>
      </w:r>
      <w:r>
        <w:rPr>
          <w:rFonts w:hint="eastAsia" w:ascii="仿宋" w:hAnsi="仿宋" w:eastAsia="仿宋" w:cs="仿宋"/>
          <w:color w:val="auto"/>
          <w:sz w:val="24"/>
          <w:szCs w:val="24"/>
          <w:highlight w:val="none"/>
        </w:rPr>
        <w:t>必须查验放车单及领取人身份无误后方可放车，并要求领取人在采购人提供的管理台帐上亲笔签名和留下电话号码，车辆离去后，应及时在</w:t>
      </w:r>
      <w:r>
        <w:rPr>
          <w:rFonts w:hint="eastAsia" w:ascii="仿宋" w:hAnsi="仿宋" w:eastAsia="仿宋" w:cs="仿宋"/>
          <w:color w:val="auto"/>
          <w:spacing w:val="-6"/>
          <w:sz w:val="24"/>
          <w:szCs w:val="24"/>
          <w:highlight w:val="none"/>
        </w:rPr>
        <w:t>停车场系统</w:t>
      </w:r>
      <w:r>
        <w:rPr>
          <w:rFonts w:hint="eastAsia" w:ascii="仿宋" w:hAnsi="仿宋" w:eastAsia="仿宋" w:cs="仿宋"/>
          <w:color w:val="auto"/>
          <w:sz w:val="24"/>
          <w:szCs w:val="24"/>
          <w:highlight w:val="none"/>
        </w:rPr>
        <w:t>内完成出库操作。超过24小时未领取车辆的，</w:t>
      </w:r>
      <w:r>
        <w:rPr>
          <w:rFonts w:hint="eastAsia" w:ascii="仿宋" w:hAnsi="仿宋" w:eastAsia="仿宋" w:cs="仿宋"/>
          <w:color w:val="auto"/>
          <w:spacing w:val="-6"/>
          <w:sz w:val="24"/>
          <w:szCs w:val="24"/>
          <w:highlight w:val="none"/>
        </w:rPr>
        <w:t>成交供应商</w:t>
      </w:r>
      <w:r>
        <w:rPr>
          <w:rFonts w:hint="eastAsia" w:ascii="仿宋" w:hAnsi="仿宋" w:eastAsia="仿宋" w:cs="仿宋"/>
          <w:color w:val="auto"/>
          <w:sz w:val="24"/>
          <w:szCs w:val="24"/>
          <w:highlight w:val="none"/>
        </w:rPr>
        <w:t>可根据停车收费标准按日向当事人收取停车保管费用。（超时满12小时的按日计算）</w:t>
      </w:r>
    </w:p>
    <w:p w14:paraId="6E6DFD2F">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4.7对于涉案车辆消除违法行为，原则上由车主自行负责，如车主委托</w:t>
      </w:r>
      <w:r>
        <w:rPr>
          <w:rFonts w:hint="eastAsia" w:ascii="仿宋" w:hAnsi="仿宋" w:eastAsia="仿宋" w:cs="仿宋"/>
          <w:color w:val="auto"/>
          <w:spacing w:val="-6"/>
          <w:sz w:val="24"/>
          <w:szCs w:val="24"/>
          <w:highlight w:val="none"/>
        </w:rPr>
        <w:t>成交供应商</w:t>
      </w:r>
      <w:r>
        <w:rPr>
          <w:rFonts w:hint="eastAsia" w:ascii="仿宋" w:hAnsi="仿宋" w:eastAsia="仿宋" w:cs="仿宋"/>
          <w:color w:val="auto"/>
          <w:sz w:val="24"/>
          <w:szCs w:val="24"/>
          <w:highlight w:val="none"/>
        </w:rPr>
        <w:t>消除的，必须由经双方协商一致并亲笔签名生效的《协议书》，《协议书》上应清楚标明收费清单、费用金额，严禁乱收费；未经协商一致</w:t>
      </w:r>
      <w:r>
        <w:rPr>
          <w:rFonts w:hint="eastAsia" w:ascii="仿宋" w:hAnsi="仿宋" w:eastAsia="仿宋" w:cs="仿宋"/>
          <w:color w:val="auto"/>
          <w:spacing w:val="-6"/>
          <w:sz w:val="24"/>
          <w:szCs w:val="24"/>
          <w:highlight w:val="none"/>
        </w:rPr>
        <w:t>成交供应商</w:t>
      </w:r>
      <w:r>
        <w:rPr>
          <w:rFonts w:hint="eastAsia" w:ascii="仿宋" w:hAnsi="仿宋" w:eastAsia="仿宋" w:cs="仿宋"/>
          <w:color w:val="auto"/>
          <w:sz w:val="24"/>
          <w:szCs w:val="24"/>
          <w:highlight w:val="none"/>
        </w:rPr>
        <w:t>一律不得擅自消除违法行为，由此造成的后果和责任由</w:t>
      </w:r>
      <w:r>
        <w:rPr>
          <w:rFonts w:hint="eastAsia" w:ascii="仿宋" w:hAnsi="仿宋" w:eastAsia="仿宋" w:cs="仿宋"/>
          <w:color w:val="auto"/>
          <w:spacing w:val="-6"/>
          <w:sz w:val="24"/>
          <w:szCs w:val="24"/>
          <w:highlight w:val="none"/>
        </w:rPr>
        <w:t>成交供应商承担。</w:t>
      </w:r>
    </w:p>
    <w:p w14:paraId="43E704AC">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4.8对已经过前期有关程序，当事人未领取的采购人拟依法处置涉案车辆，成交供应商必须积极配合采购人做好涉案车辆梳理、评估（悬挂采购人提供的专用卡片）、拍卖等依法处置工作。</w:t>
      </w:r>
    </w:p>
    <w:p w14:paraId="48B7EACF">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4.9成交供应商拆卸涉案车辆零件、私自放行涉案车辆离开保管地点，将涉案车辆挪作他用、擅自报废车辆的，造成涉案车辆损坏、其他人员伤害、物品损坏、油料失少等其他损失的，均由成交供应商负责；造成严重影响或后果的，采购人有权解除合同并同时追究供应商法律责任。</w:t>
      </w:r>
    </w:p>
    <w:p w14:paraId="3F7813FD">
      <w:pPr>
        <w:tabs>
          <w:tab w:val="left" w:pos="234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4.10涉案车辆服务费用由采购人审核后每月支付成交供应商；成交供应商不得向领取人收取涉案车辆拖车、保管等服务费用。</w:t>
      </w:r>
    </w:p>
    <w:p w14:paraId="6288527E">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4.11成交供应商需在合同签订之日起1个月内将中标辖区内库存涉案车辆从原成交供应商车辆保管场地拖移至成交供应商提供的车辆保管场地，并按要求做好车辆停放管理工作。所需车辆拖移费等可能产生的其他费用由成交供应商负责。成交供应商未按规定时间和要求完成的，采购人有权解除合同，并扣除全部履约保证金。</w:t>
      </w:r>
      <w:r>
        <w:rPr>
          <w:rFonts w:hint="eastAsia" w:ascii="仿宋" w:hAnsi="仿宋" w:eastAsia="仿宋" w:cs="仿宋"/>
          <w:color w:val="auto"/>
          <w:sz w:val="24"/>
          <w:szCs w:val="24"/>
          <w:highlight w:val="none"/>
          <w:lang w:eastAsia="zh-CN"/>
        </w:rPr>
        <w:t>原成交供应商不配合</w:t>
      </w:r>
      <w:r>
        <w:rPr>
          <w:rFonts w:hint="eastAsia" w:ascii="仿宋" w:hAnsi="仿宋" w:eastAsia="仿宋" w:cs="仿宋"/>
          <w:color w:val="auto"/>
          <w:sz w:val="24"/>
          <w:szCs w:val="24"/>
          <w:highlight w:val="none"/>
        </w:rPr>
        <w:t>成交供应商</w:t>
      </w:r>
      <w:r>
        <w:rPr>
          <w:rFonts w:hint="eastAsia" w:ascii="仿宋" w:hAnsi="仿宋" w:eastAsia="仿宋" w:cs="仿宋"/>
          <w:color w:val="auto"/>
          <w:sz w:val="24"/>
          <w:szCs w:val="24"/>
          <w:highlight w:val="none"/>
          <w:lang w:eastAsia="zh-CN"/>
        </w:rPr>
        <w:t>完成上述工作的，采购人有权依据《中华人民共和国招标投标法》第</w:t>
      </w:r>
      <w:r>
        <w:rPr>
          <w:rFonts w:hint="eastAsia" w:ascii="仿宋" w:hAnsi="仿宋" w:eastAsia="仿宋" w:cs="仿宋"/>
          <w:color w:val="auto"/>
          <w:sz w:val="24"/>
          <w:szCs w:val="24"/>
          <w:highlight w:val="none"/>
          <w:lang w:val="en-US" w:eastAsia="zh-CN"/>
        </w:rPr>
        <w:t>60条之规定，追究其相应的法律责任</w:t>
      </w:r>
      <w:r>
        <w:rPr>
          <w:rFonts w:hint="eastAsia" w:ascii="仿宋" w:hAnsi="仿宋" w:eastAsia="仿宋" w:cs="仿宋"/>
          <w:color w:val="auto"/>
          <w:sz w:val="24"/>
          <w:szCs w:val="24"/>
          <w:highlight w:val="none"/>
          <w:lang w:eastAsia="zh-CN"/>
        </w:rPr>
        <w:t>。</w:t>
      </w:r>
    </w:p>
    <w:p w14:paraId="0862C2F1">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w:t>
      </w:r>
      <w:r>
        <w:rPr>
          <w:rFonts w:hint="eastAsia" w:ascii="仿宋" w:hAnsi="仿宋" w:eastAsia="仿宋" w:cs="仿宋"/>
          <w:color w:val="auto"/>
          <w:sz w:val="24"/>
          <w:szCs w:val="24"/>
          <w:highlight w:val="none"/>
        </w:rPr>
        <w:t>成交供应商在合同履行结束后，如新的政府采购合同未能及时签订，原中标单位须按原政府采购合同要求签订延期协</w:t>
      </w:r>
      <w:r>
        <w:rPr>
          <w:rFonts w:hint="eastAsia" w:ascii="仿宋" w:hAnsi="仿宋" w:eastAsia="仿宋" w:cs="仿宋"/>
          <w:b w:val="0"/>
          <w:bCs w:val="0"/>
          <w:color w:val="auto"/>
          <w:sz w:val="24"/>
          <w:szCs w:val="24"/>
          <w:highlight w:val="none"/>
        </w:rPr>
        <w:t>议，延期协议时间最长不得超过</w:t>
      </w:r>
      <w:r>
        <w:rPr>
          <w:rFonts w:hint="eastAsia" w:ascii="仿宋" w:hAnsi="仿宋" w:eastAsia="仿宋" w:cs="仿宋"/>
          <w:b w:val="0"/>
          <w:bCs w:val="0"/>
          <w:color w:val="auto"/>
          <w:sz w:val="24"/>
          <w:szCs w:val="24"/>
          <w:highlight w:val="none"/>
          <w:lang w:eastAsia="zh-CN"/>
        </w:rPr>
        <w:t>一个月，金额不超过该标项中标金额的</w:t>
      </w:r>
      <w:r>
        <w:rPr>
          <w:rFonts w:hint="eastAsia" w:ascii="仿宋" w:hAnsi="仿宋" w:eastAsia="仿宋" w:cs="仿宋"/>
          <w:b w:val="0"/>
          <w:bCs w:val="0"/>
          <w:color w:val="auto"/>
          <w:sz w:val="24"/>
          <w:szCs w:val="24"/>
          <w:highlight w:val="none"/>
          <w:lang w:val="en-US" w:eastAsia="zh-CN"/>
        </w:rPr>
        <w:t>10%。</w:t>
      </w:r>
    </w:p>
    <w:p w14:paraId="2C9ECECC">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成交供应商在合同履行结束后，须继续提供涉案车辆的保管和移交缓冲期服务，缓冲期为合同结束之日起3个月。缓冲期内成交供应商不得向新中标成交供应商收取费用。</w:t>
      </w:r>
    </w:p>
    <w:p w14:paraId="60FD686C">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除上述规定外，成交供应商必须严格遵守采购人其他的有关涉案车辆管理规定、制度。因成交供应商违规原因，造成严重影响或后果的，采购人有权解除合同。</w:t>
      </w:r>
    </w:p>
    <w:p w14:paraId="2A94B4B0">
      <w:pPr>
        <w:keepNext w:val="0"/>
        <w:keepLines w:val="0"/>
        <w:pageBreakBefore w:val="0"/>
        <w:widowControl w:val="0"/>
        <w:tabs>
          <w:tab w:val="left" w:pos="2340"/>
        </w:tabs>
        <w:kinsoku/>
        <w:wordWrap/>
        <w:overflowPunct/>
        <w:topLinePunct w:val="0"/>
        <w:autoSpaceDE/>
        <w:autoSpaceDN/>
        <w:bidi w:val="0"/>
        <w:snapToGrid/>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五)项目管理及考评处理办法</w:t>
      </w:r>
    </w:p>
    <w:p w14:paraId="0EC8735C">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1、项目管理要求</w:t>
      </w:r>
    </w:p>
    <w:p w14:paraId="26F23EA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①采购人每月将不定期对成交供应商的工作完成情况及台账登记情况进行检查，检查结果纳入当月考评。</w:t>
      </w:r>
    </w:p>
    <w:p w14:paraId="409D861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②每月支付</w:t>
      </w:r>
      <w:r>
        <w:rPr>
          <w:rFonts w:hint="eastAsia" w:ascii="仿宋" w:hAnsi="仿宋" w:eastAsia="仿宋" w:cs="仿宋"/>
          <w:color w:val="auto"/>
          <w:sz w:val="24"/>
          <w:szCs w:val="24"/>
          <w:highlight w:val="none"/>
        </w:rPr>
        <w:t>成交供应商的服务</w:t>
      </w:r>
      <w:r>
        <w:rPr>
          <w:rFonts w:hint="eastAsia" w:ascii="仿宋" w:hAnsi="仿宋" w:eastAsia="仿宋" w:cs="仿宋"/>
          <w:bCs/>
          <w:color w:val="auto"/>
          <w:sz w:val="24"/>
          <w:szCs w:val="24"/>
          <w:highlight w:val="none"/>
        </w:rPr>
        <w:t>费用与当月的考评结果挂钩。采购人对</w:t>
      </w:r>
      <w:r>
        <w:rPr>
          <w:rFonts w:hint="eastAsia" w:ascii="仿宋" w:hAnsi="仿宋" w:eastAsia="仿宋" w:cs="仿宋"/>
          <w:color w:val="auto"/>
          <w:sz w:val="24"/>
          <w:szCs w:val="24"/>
          <w:highlight w:val="none"/>
        </w:rPr>
        <w:t>成交供应商每月完成工作的质量情况进行考评并制作月度考评表，按照月度考评评分扣减相应的服务费用。</w:t>
      </w:r>
    </w:p>
    <w:p w14:paraId="191BA02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采购人根据检查发现并核实的问题向成交供应商发出整改通知书，要求限制整改，成交供应商应在规定期限内实施整改，并将整改结果书面报采购人；如成交供应商不按要求实施整改的，采购人有权扣减月度考核分数，有权单方面终止合同。</w:t>
      </w:r>
    </w:p>
    <w:p w14:paraId="73B5E78E">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④成交供应商出现违规事件，采购人有权单方面终止合同，违规造成的损失及损害后果，由成交供应商承担赔偿、补偿责任。</w:t>
      </w:r>
    </w:p>
    <w:p w14:paraId="366B376F">
      <w:pPr>
        <w:spacing w:line="360" w:lineRule="auto"/>
        <w:ind w:firstLine="482"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2、考评办法</w:t>
      </w:r>
    </w:p>
    <w:p w14:paraId="178EDF2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①采购人有权将成交供应商在合同服务期内违反合同规定的各种情况进行登记，建立诚信档案，制作月度考评表，按考评表分数比例减扣当月服务费用。</w:t>
      </w:r>
    </w:p>
    <w:p w14:paraId="2F1EB224">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②考评表评分按实扣分，当月累加，每个自然月为一个计分周期。</w:t>
      </w:r>
    </w:p>
    <w:p w14:paraId="21E6A117">
      <w:pPr>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bCs/>
          <w:color w:val="auto"/>
          <w:sz w:val="24"/>
          <w:szCs w:val="24"/>
          <w:highlight w:val="none"/>
        </w:rPr>
        <w:t>支付成交供应商服务费和月度考核情况挂钩，月度考核扣分分值以每分折合成人民币</w:t>
      </w:r>
      <w:r>
        <w:rPr>
          <w:rFonts w:hint="eastAsia" w:ascii="仿宋" w:hAnsi="仿宋" w:eastAsia="仿宋" w:cs="仿宋"/>
          <w:bCs/>
          <w:color w:val="auto"/>
          <w:sz w:val="24"/>
          <w:szCs w:val="24"/>
          <w:highlight w:val="none"/>
          <w:lang w:val="en-US" w:eastAsia="zh-CN"/>
        </w:rPr>
        <w:t>500</w:t>
      </w:r>
      <w:r>
        <w:rPr>
          <w:rFonts w:hint="eastAsia" w:ascii="仿宋" w:hAnsi="仿宋" w:eastAsia="仿宋" w:cs="仿宋"/>
          <w:bCs/>
          <w:color w:val="auto"/>
          <w:sz w:val="24"/>
          <w:szCs w:val="24"/>
          <w:highlight w:val="none"/>
        </w:rPr>
        <w:t>元计算。</w:t>
      </w:r>
    </w:p>
    <w:p w14:paraId="012F1BA8">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④采购人每月制作月度考评总表，作为结算依据之一。</w:t>
      </w:r>
    </w:p>
    <w:p w14:paraId="39FCD0C8">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3、考评条款</w:t>
      </w:r>
    </w:p>
    <w:p w14:paraId="1865730C">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合同服务期月度内，成交供应商存在以下违规情况的，采购人有权予以考评：</w:t>
      </w:r>
    </w:p>
    <w:p w14:paraId="486846DB">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成交供应商接到采购人及采购人下属单位施救、清障通知指令后，3分钟内响应，超时响应每次扣1分。白天要求在响应后5分钟内、夜间要求在响应后10分内出车，同时确保在30分钟内到达施救、清障现场（楼塔镇为40分钟）</w:t>
      </w:r>
      <w:r>
        <w:rPr>
          <w:rFonts w:hint="eastAsia" w:ascii="仿宋" w:hAnsi="仿宋" w:eastAsia="仿宋" w:cs="仿宋"/>
          <w:b/>
          <w:bCs/>
          <w:color w:val="auto"/>
          <w:sz w:val="24"/>
          <w:szCs w:val="24"/>
          <w:highlight w:val="none"/>
          <w:lang w:eastAsia="zh-CN"/>
        </w:rPr>
        <w:t>。成交供应商到达现场后，应立即拍摄施救人员、施救车辆到达现场的水印照片、以及施救人员姓名及联系电话（手机号）等信息发至需求单位，以备需求单位核查）。</w:t>
      </w:r>
      <w:r>
        <w:rPr>
          <w:rFonts w:hint="eastAsia" w:ascii="仿宋" w:hAnsi="仿宋" w:eastAsia="仿宋" w:cs="仿宋"/>
          <w:b/>
          <w:bCs/>
          <w:color w:val="auto"/>
          <w:sz w:val="24"/>
          <w:szCs w:val="24"/>
          <w:highlight w:val="none"/>
        </w:rPr>
        <w:t>到达现场超过规定时间的，按超时时长予以扣分（经核查，系交通事故、交通堵塞或其他客观原因导致无法在规定时间内到达现场的，不予扣分。）：</w:t>
      </w:r>
    </w:p>
    <w:tbl>
      <w:tblPr>
        <w:tblStyle w:val="9"/>
        <w:tblW w:w="80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4"/>
        <w:gridCol w:w="3507"/>
      </w:tblGrid>
      <w:tr w14:paraId="3097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4554" w:type="dxa"/>
            <w:noWrap w:val="0"/>
            <w:vAlign w:val="center"/>
          </w:tcPr>
          <w:p w14:paraId="4E112DD4">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超时&lt;10分钟</w:t>
            </w:r>
          </w:p>
        </w:tc>
        <w:tc>
          <w:tcPr>
            <w:tcW w:w="3507" w:type="dxa"/>
            <w:noWrap w:val="0"/>
            <w:vAlign w:val="center"/>
          </w:tcPr>
          <w:p w14:paraId="21659F29">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1分/次</w:t>
            </w:r>
          </w:p>
        </w:tc>
      </w:tr>
      <w:tr w14:paraId="44472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54" w:type="dxa"/>
            <w:noWrap w:val="0"/>
            <w:vAlign w:val="center"/>
          </w:tcPr>
          <w:p w14:paraId="21D67AF5">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10分钟≤超时&lt;30分钟</w:t>
            </w:r>
          </w:p>
        </w:tc>
        <w:tc>
          <w:tcPr>
            <w:tcW w:w="3507" w:type="dxa"/>
            <w:noWrap w:val="0"/>
            <w:vAlign w:val="center"/>
          </w:tcPr>
          <w:p w14:paraId="59B02F4A">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2分/次</w:t>
            </w:r>
          </w:p>
        </w:tc>
      </w:tr>
      <w:tr w14:paraId="66C3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554" w:type="dxa"/>
            <w:noWrap w:val="0"/>
            <w:vAlign w:val="center"/>
          </w:tcPr>
          <w:p w14:paraId="4179E69E">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30分钟≤超时&lt;1小时</w:t>
            </w:r>
          </w:p>
        </w:tc>
        <w:tc>
          <w:tcPr>
            <w:tcW w:w="3507" w:type="dxa"/>
            <w:noWrap w:val="0"/>
            <w:vAlign w:val="center"/>
          </w:tcPr>
          <w:p w14:paraId="2F56FC43">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3分/次</w:t>
            </w:r>
          </w:p>
        </w:tc>
      </w:tr>
      <w:tr w14:paraId="09D1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554" w:type="dxa"/>
            <w:noWrap w:val="0"/>
            <w:vAlign w:val="center"/>
          </w:tcPr>
          <w:p w14:paraId="2A38F95B">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1小时≤超时</w:t>
            </w:r>
          </w:p>
        </w:tc>
        <w:tc>
          <w:tcPr>
            <w:tcW w:w="3507" w:type="dxa"/>
            <w:noWrap w:val="0"/>
            <w:vAlign w:val="center"/>
          </w:tcPr>
          <w:p w14:paraId="7A0E14B3">
            <w:pPr>
              <w:spacing w:line="360" w:lineRule="auto"/>
              <w:ind w:firstLine="480" w:firstLineChars="20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4分/次</w:t>
            </w:r>
          </w:p>
        </w:tc>
      </w:tr>
    </w:tbl>
    <w:p w14:paraId="638B6940">
      <w:pPr>
        <w:keepNext w:val="0"/>
        <w:keepLines w:val="0"/>
        <w:pageBreakBefore w:val="0"/>
        <w:widowControl w:val="0"/>
        <w:tabs>
          <w:tab w:val="left" w:pos="2340"/>
        </w:tabs>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②成交供应商存在以下情形之一的，每次按规定分值扣分。</w:t>
      </w:r>
    </w:p>
    <w:p w14:paraId="7F10C77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szCs w:val="24"/>
          <w:highlight w:val="none"/>
          <w:lang w:val="en-US" w:eastAsia="zh-CN" w:bidi="ar-SA"/>
        </w:rPr>
        <w:t>1、</w:t>
      </w:r>
      <w:r>
        <w:rPr>
          <w:rFonts w:hint="eastAsia" w:ascii="仿宋" w:hAnsi="仿宋" w:eastAsia="仿宋" w:cs="仿宋"/>
          <w:bCs/>
          <w:color w:val="auto"/>
          <w:sz w:val="24"/>
          <w:szCs w:val="24"/>
          <w:highlight w:val="none"/>
        </w:rPr>
        <w:t>成交供应商未按采购人要求在指定地点备勤(包括未按规定时间、地点、车型、人员配备备勤或</w:t>
      </w:r>
      <w:r>
        <w:rPr>
          <w:rFonts w:hint="eastAsia" w:ascii="仿宋" w:hAnsi="仿宋" w:eastAsia="仿宋" w:cs="仿宋"/>
          <w:bCs/>
          <w:color w:val="auto"/>
          <w:sz w:val="24"/>
          <w:szCs w:val="24"/>
          <w:highlight w:val="none"/>
          <w:lang w:eastAsia="zh-CN"/>
        </w:rPr>
        <w:t>未按指令</w:t>
      </w:r>
      <w:r>
        <w:rPr>
          <w:rFonts w:hint="eastAsia" w:ascii="仿宋" w:hAnsi="仿宋" w:eastAsia="仿宋" w:cs="仿宋"/>
          <w:bCs/>
          <w:color w:val="auto"/>
          <w:sz w:val="24"/>
          <w:szCs w:val="24"/>
          <w:highlight w:val="none"/>
        </w:rPr>
        <w:t>自行收勤)的，扣</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14:paraId="71893B98">
      <w:pPr>
        <w:numPr>
          <w:ilvl w:val="0"/>
          <w:numId w:val="0"/>
        </w:num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2、成交供应商</w:t>
      </w:r>
      <w:r>
        <w:rPr>
          <w:rFonts w:hint="eastAsia" w:ascii="仿宋" w:hAnsi="仿宋" w:eastAsia="仿宋" w:cs="仿宋"/>
          <w:color w:val="auto"/>
          <w:sz w:val="24"/>
          <w:szCs w:val="24"/>
          <w:highlight w:val="none"/>
        </w:rPr>
        <w:t>现场施救、清障作业时工作人员不得少于2人；</w:t>
      </w:r>
      <w:r>
        <w:rPr>
          <w:rFonts w:hint="eastAsia" w:ascii="仿宋" w:hAnsi="仿宋" w:eastAsia="仿宋" w:cs="仿宋"/>
          <w:color w:val="auto"/>
          <w:sz w:val="24"/>
          <w:szCs w:val="24"/>
          <w:highlight w:val="none"/>
          <w:lang w:eastAsia="zh-CN"/>
        </w:rPr>
        <w:t>作业时作业人员须统一着反光背心；</w:t>
      </w:r>
      <w:r>
        <w:rPr>
          <w:rFonts w:hint="eastAsia" w:ascii="仿宋" w:hAnsi="仿宋" w:eastAsia="仿宋" w:cs="仿宋"/>
          <w:bCs/>
          <w:color w:val="auto"/>
          <w:sz w:val="24"/>
          <w:szCs w:val="24"/>
          <w:highlight w:val="none"/>
        </w:rPr>
        <w:t>作业车辆配备施救设备（工具）齐全</w:t>
      </w:r>
      <w:r>
        <w:rPr>
          <w:rFonts w:hint="eastAsia" w:ascii="仿宋" w:hAnsi="仿宋" w:eastAsia="仿宋" w:cs="仿宋"/>
          <w:bCs/>
          <w:color w:val="auto"/>
          <w:sz w:val="24"/>
          <w:szCs w:val="24"/>
          <w:highlight w:val="none"/>
          <w:lang w:eastAsia="zh-CN"/>
        </w:rPr>
        <w:t>（如</w:t>
      </w:r>
      <w:r>
        <w:rPr>
          <w:rFonts w:hint="eastAsia" w:ascii="仿宋" w:hAnsi="仿宋" w:eastAsia="仿宋" w:cs="仿宋"/>
          <w:color w:val="auto"/>
          <w:sz w:val="24"/>
          <w:szCs w:val="24"/>
          <w:highlight w:val="none"/>
        </w:rPr>
        <w:t>警示筒、拖车辅助轮、清扫工具等</w:t>
      </w:r>
      <w:r>
        <w:rPr>
          <w:rFonts w:hint="eastAsia" w:ascii="仿宋" w:hAnsi="仿宋" w:eastAsia="仿宋" w:cs="仿宋"/>
          <w:bCs/>
          <w:color w:val="auto"/>
          <w:sz w:val="24"/>
          <w:szCs w:val="24"/>
          <w:highlight w:val="none"/>
          <w:lang w:eastAsia="zh-CN"/>
        </w:rPr>
        <w:t>）</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作业时须按规范流程操作；</w:t>
      </w:r>
      <w:r>
        <w:rPr>
          <w:rFonts w:hint="eastAsia" w:ascii="仿宋" w:hAnsi="仿宋" w:eastAsia="仿宋" w:cs="仿宋"/>
          <w:b w:val="0"/>
          <w:bCs/>
          <w:color w:val="auto"/>
          <w:sz w:val="24"/>
          <w:szCs w:val="24"/>
          <w:highlight w:val="none"/>
        </w:rPr>
        <w:t>做好现场残留物清理和大宗物品移位，</w:t>
      </w:r>
      <w:r>
        <w:rPr>
          <w:rFonts w:hint="eastAsia" w:ascii="仿宋" w:hAnsi="仿宋" w:eastAsia="仿宋" w:cs="仿宋"/>
          <w:bCs/>
          <w:color w:val="auto"/>
          <w:sz w:val="24"/>
          <w:szCs w:val="24"/>
          <w:highlight w:val="none"/>
          <w:lang w:eastAsia="zh-CN"/>
        </w:rPr>
        <w:t>妥善保管</w:t>
      </w:r>
      <w:r>
        <w:rPr>
          <w:rFonts w:hint="eastAsia" w:ascii="仿宋" w:hAnsi="仿宋" w:eastAsia="仿宋" w:cs="仿宋"/>
          <w:b w:val="0"/>
          <w:bCs/>
          <w:color w:val="auto"/>
          <w:sz w:val="24"/>
          <w:szCs w:val="24"/>
          <w:highlight w:val="none"/>
          <w:lang w:eastAsia="zh-CN"/>
        </w:rPr>
        <w:t>涉案</w:t>
      </w:r>
      <w:r>
        <w:rPr>
          <w:rFonts w:hint="eastAsia" w:ascii="仿宋" w:hAnsi="仿宋" w:eastAsia="仿宋" w:cs="仿宋"/>
          <w:bCs/>
          <w:color w:val="auto"/>
          <w:sz w:val="24"/>
          <w:szCs w:val="24"/>
          <w:highlight w:val="none"/>
          <w:lang w:eastAsia="zh-CN"/>
        </w:rPr>
        <w:t>车辆及物品（特别贵重或作证据保存的，需封闭保管以不受外部环境影响），保持场地内环境整洁有序，</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并</w:t>
      </w:r>
      <w:r>
        <w:rPr>
          <w:rFonts w:hint="eastAsia" w:ascii="仿宋" w:hAnsi="仿宋" w:eastAsia="仿宋" w:cs="仿宋"/>
          <w:bCs/>
          <w:color w:val="auto"/>
          <w:sz w:val="24"/>
          <w:szCs w:val="24"/>
          <w:highlight w:val="none"/>
        </w:rPr>
        <w:t>落实好安全防护措施，</w:t>
      </w:r>
      <w:r>
        <w:rPr>
          <w:rFonts w:hint="eastAsia" w:ascii="仿宋" w:hAnsi="仿宋" w:eastAsia="仿宋" w:cs="仿宋"/>
          <w:bCs/>
          <w:color w:val="auto"/>
          <w:sz w:val="24"/>
          <w:szCs w:val="24"/>
          <w:highlight w:val="none"/>
          <w:lang w:eastAsia="zh-CN"/>
        </w:rPr>
        <w:t>确保持放车单车辆及时从停车场放行。</w:t>
      </w:r>
      <w:r>
        <w:rPr>
          <w:rFonts w:hint="eastAsia" w:ascii="仿宋" w:hAnsi="仿宋" w:eastAsia="仿宋" w:cs="仿宋"/>
          <w:bCs/>
          <w:color w:val="auto"/>
          <w:sz w:val="24"/>
          <w:szCs w:val="24"/>
          <w:highlight w:val="none"/>
        </w:rPr>
        <w:t>违反规定的发现一次扣</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 xml:space="preserve">分； </w:t>
      </w:r>
    </w:p>
    <w:p w14:paraId="55F2BD75">
      <w:pPr>
        <w:numPr>
          <w:ilvl w:val="0"/>
          <w:numId w:val="0"/>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成交供应商应当做到：按照采购人要求做好台账登记，及时更新数据；按照采购人要求悬挂涉案车辆登记卡</w:t>
      </w:r>
      <w:r>
        <w:rPr>
          <w:rFonts w:hint="eastAsia" w:ascii="仿宋" w:hAnsi="仿宋" w:eastAsia="仿宋" w:cs="仿宋"/>
          <w:bCs/>
          <w:color w:val="auto"/>
          <w:sz w:val="24"/>
          <w:szCs w:val="24"/>
          <w:highlight w:val="none"/>
          <w:lang w:eastAsia="zh-CN"/>
        </w:rPr>
        <w:t>（包括评估登记卡）</w:t>
      </w:r>
      <w:r>
        <w:rPr>
          <w:rFonts w:hint="eastAsia" w:ascii="仿宋" w:hAnsi="仿宋" w:eastAsia="仿宋" w:cs="仿宋"/>
          <w:bCs/>
          <w:color w:val="auto"/>
          <w:sz w:val="24"/>
          <w:szCs w:val="24"/>
          <w:highlight w:val="none"/>
        </w:rPr>
        <w:t>；按照采购人要求在系统中入库、出库</w:t>
      </w:r>
      <w:r>
        <w:rPr>
          <w:rFonts w:hint="eastAsia" w:ascii="仿宋" w:hAnsi="仿宋" w:eastAsia="仿宋" w:cs="仿宋"/>
          <w:bCs/>
          <w:color w:val="auto"/>
          <w:sz w:val="24"/>
          <w:szCs w:val="24"/>
          <w:highlight w:val="none"/>
          <w:lang w:eastAsia="zh-CN"/>
        </w:rPr>
        <w:t>，并按要求拍照上传系统</w:t>
      </w:r>
      <w:r>
        <w:rPr>
          <w:rFonts w:hint="eastAsia" w:ascii="仿宋" w:hAnsi="仿宋" w:eastAsia="仿宋" w:cs="仿宋"/>
          <w:bCs/>
          <w:color w:val="auto"/>
          <w:sz w:val="24"/>
          <w:szCs w:val="24"/>
          <w:highlight w:val="none"/>
        </w:rPr>
        <w:t>；对采购人下属单位未提供移交凭证办理车辆移交、涉案车辆未能在系统入库导致超时预警风险等情况需在车辆进入停车场1小时内向采购单位管理人员报告；配合采购人开展涉案车辆梳理、评估、拍卖等依法处置活动；对采购人与非采购人扣车区域</w:t>
      </w:r>
      <w:r>
        <w:rPr>
          <w:rFonts w:hint="eastAsia" w:ascii="仿宋" w:hAnsi="仿宋" w:eastAsia="仿宋" w:cs="仿宋"/>
          <w:bCs/>
          <w:color w:val="auto"/>
          <w:sz w:val="24"/>
          <w:szCs w:val="24"/>
          <w:highlight w:val="none"/>
          <w:lang w:eastAsia="zh-CN"/>
        </w:rPr>
        <w:t>做好</w:t>
      </w:r>
      <w:r>
        <w:rPr>
          <w:rFonts w:hint="eastAsia" w:ascii="仿宋" w:hAnsi="仿宋" w:eastAsia="仿宋" w:cs="仿宋"/>
          <w:bCs/>
          <w:color w:val="auto"/>
          <w:sz w:val="24"/>
          <w:szCs w:val="24"/>
          <w:highlight w:val="none"/>
        </w:rPr>
        <w:t>区分</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对非采购人扣车设置醒目标志指示。未落实上述工作的，由采购人约谈限期整改，扣</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p>
    <w:p w14:paraId="5B0F6B38">
      <w:pPr>
        <w:numPr>
          <w:ilvl w:val="0"/>
          <w:numId w:val="0"/>
        </w:numPr>
        <w:spacing w:line="360" w:lineRule="auto"/>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因成交供应商原因造成被施救、清障车辆</w:t>
      </w:r>
      <w:r>
        <w:rPr>
          <w:rFonts w:hint="eastAsia" w:ascii="仿宋" w:hAnsi="仿宋" w:eastAsia="仿宋" w:cs="仿宋"/>
          <w:bCs/>
          <w:color w:val="auto"/>
          <w:sz w:val="24"/>
          <w:szCs w:val="24"/>
          <w:highlight w:val="none"/>
          <w:lang w:eastAsia="zh-CN"/>
        </w:rPr>
        <w:t>或车上物品</w:t>
      </w:r>
      <w:r>
        <w:rPr>
          <w:rFonts w:hint="eastAsia" w:ascii="仿宋" w:hAnsi="仿宋" w:eastAsia="仿宋" w:cs="仿宋"/>
          <w:bCs/>
          <w:color w:val="auto"/>
          <w:sz w:val="24"/>
          <w:szCs w:val="24"/>
          <w:highlight w:val="none"/>
        </w:rPr>
        <w:t>损坏</w:t>
      </w:r>
      <w:r>
        <w:rPr>
          <w:rFonts w:hint="eastAsia" w:ascii="仿宋" w:hAnsi="仿宋" w:eastAsia="仿宋" w:cs="仿宋"/>
          <w:bCs/>
          <w:color w:val="auto"/>
          <w:sz w:val="24"/>
          <w:szCs w:val="24"/>
          <w:highlight w:val="none"/>
          <w:lang w:eastAsia="zh-CN"/>
        </w:rPr>
        <w:t>（或灭失）</w:t>
      </w:r>
      <w:r>
        <w:rPr>
          <w:rFonts w:hint="eastAsia" w:ascii="仿宋" w:hAnsi="仿宋" w:eastAsia="仿宋" w:cs="仿宋"/>
          <w:bCs/>
          <w:color w:val="auto"/>
          <w:sz w:val="24"/>
          <w:szCs w:val="24"/>
          <w:highlight w:val="none"/>
        </w:rPr>
        <w:t>的，扣</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，并由成交供应商负责对车主给予赔偿。</w:t>
      </w:r>
    </w:p>
    <w:p w14:paraId="6D92000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成交供应商</w:t>
      </w:r>
      <w:r>
        <w:rPr>
          <w:rFonts w:hint="eastAsia" w:ascii="仿宋" w:hAnsi="仿宋" w:eastAsia="仿宋" w:cs="仿宋"/>
          <w:bCs/>
          <w:color w:val="auto"/>
          <w:sz w:val="24"/>
          <w:szCs w:val="24"/>
          <w:highlight w:val="none"/>
          <w:lang w:val="en-US" w:eastAsia="zh-CN"/>
        </w:rPr>
        <w:t>无正当理由拒绝当事人自行安排的救援车辆、人员进入保管场地消除违法行为或救援车辆、人员进入场地后刁难的；未经当事人同意强制消除违法行为的；</w:t>
      </w:r>
      <w:r>
        <w:rPr>
          <w:rFonts w:hint="eastAsia" w:ascii="仿宋" w:hAnsi="仿宋" w:eastAsia="仿宋" w:cs="仿宋"/>
          <w:bCs/>
          <w:color w:val="auto"/>
          <w:sz w:val="24"/>
          <w:szCs w:val="24"/>
          <w:highlight w:val="none"/>
          <w:lang w:eastAsia="zh-CN"/>
        </w:rPr>
        <w:t>允许收费但</w:t>
      </w:r>
      <w:r>
        <w:rPr>
          <w:rFonts w:hint="eastAsia" w:ascii="仿宋" w:hAnsi="仿宋" w:eastAsia="仿宋" w:cs="仿宋"/>
          <w:bCs/>
          <w:color w:val="auto"/>
          <w:sz w:val="24"/>
          <w:szCs w:val="24"/>
          <w:highlight w:val="none"/>
        </w:rPr>
        <w:t>成交供应商</w:t>
      </w:r>
      <w:r>
        <w:rPr>
          <w:rFonts w:hint="eastAsia" w:ascii="仿宋" w:hAnsi="仿宋" w:eastAsia="仿宋" w:cs="仿宋"/>
          <w:bCs/>
          <w:color w:val="auto"/>
          <w:sz w:val="24"/>
          <w:szCs w:val="24"/>
          <w:highlight w:val="none"/>
          <w:lang w:eastAsia="zh-CN"/>
        </w:rPr>
        <w:t>未按要求办理规范手续（签订协议、提供发票等）的；</w:t>
      </w:r>
      <w:r>
        <w:rPr>
          <w:rFonts w:hint="eastAsia" w:ascii="仿宋" w:hAnsi="仿宋" w:eastAsia="仿宋" w:cs="仿宋"/>
          <w:bCs/>
          <w:color w:val="auto"/>
          <w:sz w:val="24"/>
          <w:szCs w:val="24"/>
          <w:highlight w:val="none"/>
          <w:lang w:val="en-US" w:eastAsia="zh-CN"/>
        </w:rPr>
        <w:t>为消除违法行为停车场的场内设备（吊、铲、叉车、挖掘机等）操作人员无证作业的。</w:t>
      </w:r>
      <w:r>
        <w:rPr>
          <w:rFonts w:hint="eastAsia" w:ascii="仿宋" w:hAnsi="仿宋" w:eastAsia="仿宋" w:cs="仿宋"/>
          <w:bCs/>
          <w:color w:val="auto"/>
          <w:sz w:val="24"/>
          <w:szCs w:val="24"/>
          <w:highlight w:val="none"/>
        </w:rPr>
        <w:t>由采购人约谈限期整改，扣</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分。</w:t>
      </w:r>
    </w:p>
    <w:p w14:paraId="4684397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成交供应商应当做到从事施救、清障作业的车辆、人员须事先报采购人备案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按照停车场服务管理要求，</w:t>
      </w:r>
      <w:r>
        <w:rPr>
          <w:rFonts w:hint="eastAsia" w:ascii="仿宋" w:hAnsi="仿宋" w:eastAsia="仿宋" w:cs="仿宋"/>
          <w:color w:val="auto"/>
          <w:sz w:val="24"/>
          <w:szCs w:val="24"/>
          <w:highlight w:val="none"/>
        </w:rPr>
        <w:t>公开上墙相关规章制度、具体工作人员及职责、投诉监督电话、收费标准等内容。未按照要求落实的，</w:t>
      </w:r>
      <w:r>
        <w:rPr>
          <w:rFonts w:hint="eastAsia" w:ascii="仿宋" w:hAnsi="仿宋" w:eastAsia="仿宋" w:cs="仿宋"/>
          <w:bCs/>
          <w:color w:val="auto"/>
          <w:sz w:val="24"/>
          <w:szCs w:val="24"/>
          <w:highlight w:val="none"/>
        </w:rPr>
        <w:t>由采购人约谈限期整改，扣10分。</w:t>
      </w:r>
    </w:p>
    <w:p w14:paraId="64F6E4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成交供应商应当做到：涉案车辆保管场地按照要求配备消防安全设施设备</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场地监控</w:t>
      </w:r>
      <w:r>
        <w:rPr>
          <w:rFonts w:hint="eastAsia" w:ascii="仿宋" w:hAnsi="仿宋" w:eastAsia="仿宋" w:cs="仿宋"/>
          <w:bCs/>
          <w:color w:val="auto"/>
          <w:sz w:val="24"/>
          <w:szCs w:val="24"/>
          <w:highlight w:val="none"/>
          <w:lang w:eastAsia="zh-CN"/>
        </w:rPr>
        <w:t>设置必须确保</w:t>
      </w:r>
      <w:r>
        <w:rPr>
          <w:rFonts w:hint="eastAsia" w:ascii="仿宋" w:hAnsi="仿宋" w:eastAsia="仿宋" w:cs="仿宋"/>
          <w:bCs/>
          <w:color w:val="auto"/>
          <w:sz w:val="24"/>
          <w:szCs w:val="24"/>
          <w:highlight w:val="none"/>
        </w:rPr>
        <w:t>全覆盖（监控设备接入采购人管理平台，</w:t>
      </w:r>
      <w:r>
        <w:rPr>
          <w:rFonts w:hint="eastAsia" w:ascii="仿宋" w:hAnsi="仿宋" w:eastAsia="仿宋" w:cs="仿宋"/>
          <w:bCs/>
          <w:color w:val="auto"/>
          <w:sz w:val="24"/>
          <w:szCs w:val="24"/>
          <w:highlight w:val="none"/>
          <w:lang w:eastAsia="zh-CN"/>
        </w:rPr>
        <w:t>且</w:t>
      </w:r>
      <w:r>
        <w:rPr>
          <w:rFonts w:hint="eastAsia" w:ascii="仿宋" w:hAnsi="仿宋" w:eastAsia="仿宋" w:cs="仿宋"/>
          <w:bCs/>
          <w:color w:val="auto"/>
          <w:sz w:val="24"/>
          <w:szCs w:val="24"/>
          <w:highlight w:val="none"/>
        </w:rPr>
        <w:t>监控记录保存时长</w:t>
      </w:r>
      <w:r>
        <w:rPr>
          <w:rFonts w:hint="eastAsia" w:ascii="仿宋" w:hAnsi="仿宋" w:eastAsia="仿宋" w:cs="仿宋"/>
          <w:bCs/>
          <w:color w:val="auto"/>
          <w:sz w:val="24"/>
          <w:szCs w:val="24"/>
          <w:highlight w:val="none"/>
          <w:lang w:eastAsia="zh-CN"/>
        </w:rPr>
        <w:t>须</w:t>
      </w:r>
      <w:r>
        <w:rPr>
          <w:rFonts w:hint="eastAsia" w:ascii="仿宋" w:hAnsi="仿宋" w:eastAsia="仿宋" w:cs="仿宋"/>
          <w:bCs/>
          <w:color w:val="auto"/>
          <w:sz w:val="24"/>
          <w:szCs w:val="24"/>
          <w:highlight w:val="none"/>
        </w:rPr>
        <w:t>不少于3个月）</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配备现场管理人员</w:t>
      </w:r>
      <w:r>
        <w:rPr>
          <w:rFonts w:hint="eastAsia" w:ascii="仿宋" w:hAnsi="仿宋" w:eastAsia="仿宋" w:cs="仿宋"/>
          <w:bCs/>
          <w:color w:val="auto"/>
          <w:sz w:val="24"/>
          <w:szCs w:val="24"/>
          <w:highlight w:val="none"/>
          <w:lang w:eastAsia="zh-CN"/>
        </w:rPr>
        <w:t>做好每天</w:t>
      </w:r>
      <w:r>
        <w:rPr>
          <w:rFonts w:hint="eastAsia" w:ascii="仿宋" w:hAnsi="仿宋" w:eastAsia="仿宋" w:cs="仿宋"/>
          <w:bCs/>
          <w:color w:val="auto"/>
          <w:sz w:val="24"/>
          <w:szCs w:val="24"/>
          <w:highlight w:val="none"/>
          <w:lang w:val="en-US" w:eastAsia="zh-CN"/>
        </w:rPr>
        <w:t>24小时</w:t>
      </w:r>
      <w:r>
        <w:rPr>
          <w:rFonts w:hint="eastAsia" w:ascii="仿宋" w:hAnsi="仿宋" w:eastAsia="仿宋" w:cs="仿宋"/>
          <w:bCs/>
          <w:color w:val="auto"/>
          <w:sz w:val="24"/>
          <w:szCs w:val="24"/>
          <w:highlight w:val="none"/>
          <w:lang w:eastAsia="zh-CN"/>
        </w:rPr>
        <w:t>安全值守巡检；每辆作业车辆须安装卫星定位装置</w:t>
      </w:r>
      <w:r>
        <w:rPr>
          <w:rFonts w:hint="eastAsia" w:ascii="仿宋" w:hAnsi="仿宋" w:eastAsia="仿宋" w:cs="仿宋"/>
          <w:bCs/>
          <w:color w:val="auto"/>
          <w:sz w:val="24"/>
          <w:szCs w:val="24"/>
          <w:highlight w:val="none"/>
        </w:rPr>
        <w:t>（接入采购人管理平台）</w:t>
      </w:r>
      <w:r>
        <w:rPr>
          <w:rFonts w:hint="eastAsia" w:ascii="仿宋" w:hAnsi="仿宋" w:eastAsia="仿宋" w:cs="仿宋"/>
          <w:bCs/>
          <w:color w:val="auto"/>
          <w:sz w:val="24"/>
          <w:szCs w:val="24"/>
          <w:highlight w:val="none"/>
          <w:lang w:eastAsia="zh-CN"/>
        </w:rPr>
        <w:t>和行驶记录仪，</w:t>
      </w:r>
      <w:r>
        <w:rPr>
          <w:rFonts w:hint="eastAsia" w:ascii="仿宋" w:hAnsi="仿宋" w:eastAsia="仿宋" w:cs="仿宋"/>
          <w:b w:val="0"/>
          <w:bCs/>
          <w:color w:val="auto"/>
          <w:sz w:val="24"/>
          <w:szCs w:val="24"/>
          <w:highlight w:val="none"/>
          <w:lang w:eastAsia="zh-CN"/>
        </w:rPr>
        <w:t>确保行车轨迹可溯源</w:t>
      </w:r>
      <w:r>
        <w:rPr>
          <w:rFonts w:hint="eastAsia" w:ascii="仿宋" w:hAnsi="仿宋" w:eastAsia="仿宋" w:cs="仿宋"/>
          <w:b w:val="0"/>
          <w:bCs/>
          <w:color w:val="auto"/>
          <w:sz w:val="24"/>
          <w:szCs w:val="24"/>
          <w:highlight w:val="none"/>
        </w:rPr>
        <w:t>。未按照要求落实的，由采购人约谈限期整改，扣15分</w:t>
      </w:r>
      <w:r>
        <w:rPr>
          <w:rFonts w:hint="eastAsia" w:ascii="仿宋" w:hAnsi="仿宋" w:eastAsia="仿宋" w:cs="仿宋"/>
          <w:b w:val="0"/>
          <w:bCs/>
          <w:color w:val="auto"/>
          <w:sz w:val="24"/>
          <w:szCs w:val="24"/>
          <w:highlight w:val="none"/>
          <w:lang w:eastAsia="zh-CN"/>
        </w:rPr>
        <w:t>。</w:t>
      </w:r>
    </w:p>
    <w:p w14:paraId="6AF9100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8、</w:t>
      </w:r>
      <w:r>
        <w:rPr>
          <w:rFonts w:hint="eastAsia" w:ascii="仿宋" w:hAnsi="仿宋" w:eastAsia="仿宋" w:cs="仿宋"/>
          <w:b w:val="0"/>
          <w:bCs/>
          <w:color w:val="auto"/>
          <w:sz w:val="24"/>
          <w:szCs w:val="24"/>
          <w:highlight w:val="none"/>
          <w:lang w:eastAsia="zh-CN"/>
        </w:rPr>
        <w:t>日常检查中发现成交供应商投入作业人员或作业车辆与备案情况不符的；缺少作业人员或</w:t>
      </w:r>
      <w:r>
        <w:rPr>
          <w:rFonts w:hint="eastAsia" w:ascii="仿宋" w:hAnsi="仿宋" w:eastAsia="仿宋" w:cs="仿宋"/>
          <w:b w:val="0"/>
          <w:bCs/>
          <w:color w:val="auto"/>
          <w:sz w:val="24"/>
          <w:szCs w:val="24"/>
          <w:highlight w:val="none"/>
          <w:lang w:val="en-US" w:eastAsia="zh-CN"/>
        </w:rPr>
        <w:t>作业车辆</w:t>
      </w:r>
      <w:r>
        <w:rPr>
          <w:rFonts w:hint="eastAsia" w:ascii="仿宋" w:hAnsi="仿宋" w:eastAsia="仿宋" w:cs="仿宋"/>
          <w:b w:val="0"/>
          <w:bCs/>
          <w:color w:val="auto"/>
          <w:sz w:val="24"/>
          <w:szCs w:val="24"/>
          <w:highlight w:val="none"/>
          <w:lang w:eastAsia="zh-CN"/>
        </w:rPr>
        <w:t>配置</w:t>
      </w:r>
      <w:r>
        <w:rPr>
          <w:rFonts w:hint="eastAsia" w:ascii="仿宋" w:hAnsi="仿宋" w:eastAsia="仿宋" w:cs="仿宋"/>
          <w:b w:val="0"/>
          <w:bCs/>
          <w:color w:val="auto"/>
          <w:sz w:val="24"/>
          <w:szCs w:val="24"/>
          <w:highlight w:val="none"/>
          <w:lang w:val="en-US" w:eastAsia="zh-CN"/>
        </w:rPr>
        <w:t>的；因成交供应商不作为原因，造成保管场地监控、作业车辆卫星定位监控断网，或造成上述接入采购人平台监控断网的。</w:t>
      </w:r>
      <w:r>
        <w:rPr>
          <w:rFonts w:hint="eastAsia" w:ascii="仿宋" w:hAnsi="仿宋" w:eastAsia="仿宋" w:cs="仿宋"/>
          <w:b w:val="0"/>
          <w:bCs/>
          <w:color w:val="auto"/>
          <w:sz w:val="24"/>
          <w:szCs w:val="24"/>
          <w:highlight w:val="none"/>
        </w:rPr>
        <w:t>由采购人约谈限期整改，扣</w:t>
      </w:r>
      <w:r>
        <w:rPr>
          <w:rFonts w:hint="eastAsia" w:ascii="仿宋" w:hAnsi="仿宋" w:eastAsia="仿宋" w:cs="仿宋"/>
          <w:b w:val="0"/>
          <w:bCs/>
          <w:color w:val="auto"/>
          <w:sz w:val="24"/>
          <w:szCs w:val="24"/>
          <w:highlight w:val="none"/>
          <w:lang w:val="en-US" w:eastAsia="zh-CN"/>
        </w:rPr>
        <w:t>20</w:t>
      </w:r>
      <w:r>
        <w:rPr>
          <w:rFonts w:hint="eastAsia" w:ascii="仿宋" w:hAnsi="仿宋" w:eastAsia="仿宋" w:cs="仿宋"/>
          <w:b w:val="0"/>
          <w:bCs/>
          <w:color w:val="auto"/>
          <w:sz w:val="24"/>
          <w:szCs w:val="24"/>
          <w:highlight w:val="none"/>
        </w:rPr>
        <w:t>分。</w:t>
      </w:r>
    </w:p>
    <w:p w14:paraId="09AE403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9、</w:t>
      </w:r>
      <w:r>
        <w:rPr>
          <w:rFonts w:hint="eastAsia" w:ascii="仿宋" w:hAnsi="仿宋" w:eastAsia="仿宋" w:cs="仿宋"/>
          <w:b w:val="0"/>
          <w:bCs/>
          <w:color w:val="auto"/>
          <w:sz w:val="24"/>
          <w:szCs w:val="24"/>
          <w:highlight w:val="none"/>
          <w:lang w:val="en-US" w:eastAsia="zh-CN"/>
        </w:rPr>
        <w:t>以上涉及限期整改项目中，成交供应商未按采购人要求实施整改的，每延迟一天在本项目扣分基础上加扣1分，直至整改至符合采购人要求为止。</w:t>
      </w:r>
    </w:p>
    <w:p w14:paraId="5C6EA4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2"/>
          <w:sz w:val="24"/>
          <w:szCs w:val="24"/>
          <w:highlight w:val="none"/>
          <w:lang w:val="en-US" w:eastAsia="zh-CN" w:bidi="ar-SA"/>
        </w:rPr>
        <w:t>10、</w:t>
      </w:r>
      <w:r>
        <w:rPr>
          <w:rFonts w:hint="eastAsia" w:ascii="仿宋" w:hAnsi="仿宋" w:eastAsia="仿宋" w:cs="仿宋"/>
          <w:b w:val="0"/>
          <w:bCs/>
          <w:color w:val="auto"/>
          <w:sz w:val="24"/>
          <w:szCs w:val="24"/>
          <w:highlight w:val="none"/>
        </w:rPr>
        <w:t>成交供应商有其他不规范行为的，</w:t>
      </w:r>
      <w:r>
        <w:rPr>
          <w:rFonts w:hint="eastAsia" w:ascii="仿宋" w:hAnsi="仿宋" w:eastAsia="仿宋" w:cs="仿宋"/>
          <w:b w:val="0"/>
          <w:bCs/>
          <w:color w:val="auto"/>
          <w:sz w:val="24"/>
          <w:szCs w:val="24"/>
          <w:highlight w:val="none"/>
          <w:lang w:eastAsia="zh-CN"/>
        </w:rPr>
        <w:t>视情给予扣分。</w:t>
      </w:r>
    </w:p>
    <w:p w14:paraId="6F7F13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2"/>
          <w:sz w:val="24"/>
          <w:szCs w:val="24"/>
          <w:highlight w:val="none"/>
          <w:lang w:val="en-US" w:eastAsia="zh-CN" w:bidi="ar-SA"/>
        </w:rPr>
        <w:t>11、</w:t>
      </w:r>
      <w:r>
        <w:rPr>
          <w:rFonts w:hint="eastAsia" w:ascii="仿宋" w:hAnsi="仿宋" w:eastAsia="仿宋" w:cs="仿宋"/>
          <w:b w:val="0"/>
          <w:bCs/>
          <w:color w:val="auto"/>
          <w:sz w:val="24"/>
          <w:szCs w:val="24"/>
          <w:highlight w:val="none"/>
        </w:rPr>
        <w:t>成交供应商不得存在：在财物保管中发生盗窃或置换涉案车辆零配件</w:t>
      </w:r>
      <w:r>
        <w:rPr>
          <w:rFonts w:hint="eastAsia" w:ascii="仿宋" w:hAnsi="仿宋" w:eastAsia="仿宋" w:cs="仿宋"/>
          <w:b w:val="0"/>
          <w:bCs/>
          <w:color w:val="auto"/>
          <w:sz w:val="24"/>
          <w:szCs w:val="24"/>
          <w:highlight w:val="none"/>
          <w:lang w:eastAsia="zh-CN"/>
        </w:rPr>
        <w:t>（电瓶、备胎等）</w:t>
      </w:r>
      <w:r>
        <w:rPr>
          <w:rFonts w:hint="eastAsia" w:ascii="仿宋" w:hAnsi="仿宋" w:eastAsia="仿宋" w:cs="仿宋"/>
          <w:b w:val="0"/>
          <w:bCs/>
          <w:color w:val="auto"/>
          <w:sz w:val="24"/>
          <w:szCs w:val="24"/>
          <w:highlight w:val="none"/>
        </w:rPr>
        <w:t>或车上物品的；私自使用被</w:t>
      </w:r>
      <w:r>
        <w:rPr>
          <w:rFonts w:hint="eastAsia" w:ascii="仿宋" w:hAnsi="仿宋" w:eastAsia="仿宋" w:cs="仿宋"/>
          <w:b w:val="0"/>
          <w:bCs/>
          <w:color w:val="auto"/>
          <w:sz w:val="24"/>
          <w:szCs w:val="24"/>
          <w:highlight w:val="none"/>
          <w:lang w:eastAsia="zh-CN"/>
        </w:rPr>
        <w:t>查扣涉案车辆</w:t>
      </w:r>
      <w:r>
        <w:rPr>
          <w:rFonts w:hint="eastAsia" w:ascii="仿宋" w:hAnsi="仿宋" w:eastAsia="仿宋" w:cs="仿宋"/>
          <w:b w:val="0"/>
          <w:bCs/>
          <w:color w:val="auto"/>
          <w:sz w:val="24"/>
          <w:szCs w:val="24"/>
          <w:highlight w:val="none"/>
        </w:rPr>
        <w:t>或车上物品的；在规费执行中违规收费的</w:t>
      </w:r>
      <w:r>
        <w:rPr>
          <w:rFonts w:hint="eastAsia" w:ascii="仿宋" w:hAnsi="仿宋" w:eastAsia="仿宋" w:cs="仿宋"/>
          <w:b w:val="0"/>
          <w:bCs/>
          <w:color w:val="auto"/>
          <w:sz w:val="24"/>
          <w:szCs w:val="24"/>
          <w:highlight w:val="none"/>
          <w:lang w:eastAsia="zh-CN"/>
        </w:rPr>
        <w:t>或乱收费的</w:t>
      </w:r>
      <w:r>
        <w:rPr>
          <w:rFonts w:hint="eastAsia" w:ascii="仿宋" w:hAnsi="仿宋" w:eastAsia="仿宋" w:cs="仿宋"/>
          <w:b w:val="0"/>
          <w:bCs/>
          <w:color w:val="auto"/>
          <w:sz w:val="24"/>
          <w:szCs w:val="24"/>
          <w:highlight w:val="none"/>
        </w:rPr>
        <w:t>；未采取有效预防措施，导致施救现场发生交通事故的，或造成涉案车辆失火引起火灾的；私自放行涉案车辆,或擅自将涉案车辆转移出停车场范围的；有其他严重后果影响的。有上述情形之一的，由采购人约谈限期整改</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每次扣</w:t>
      </w:r>
      <w:r>
        <w:rPr>
          <w:rFonts w:hint="eastAsia" w:ascii="仿宋" w:hAnsi="仿宋" w:eastAsia="仿宋" w:cs="仿宋"/>
          <w:b w:val="0"/>
          <w:bCs/>
          <w:color w:val="auto"/>
          <w:sz w:val="24"/>
          <w:szCs w:val="24"/>
          <w:highlight w:val="none"/>
          <w:lang w:val="en-US" w:eastAsia="zh-CN"/>
        </w:rPr>
        <w:t>50</w:t>
      </w:r>
      <w:r>
        <w:rPr>
          <w:rFonts w:hint="eastAsia" w:ascii="仿宋" w:hAnsi="仿宋" w:eastAsia="仿宋" w:cs="仿宋"/>
          <w:b w:val="0"/>
          <w:bCs/>
          <w:color w:val="auto"/>
          <w:sz w:val="24"/>
          <w:szCs w:val="24"/>
          <w:highlight w:val="none"/>
        </w:rPr>
        <w:t>分</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违反相关法规的追究成交供应商相应的法律责任</w:t>
      </w:r>
      <w:r>
        <w:rPr>
          <w:rFonts w:hint="eastAsia" w:ascii="仿宋" w:hAnsi="仿宋" w:eastAsia="仿宋" w:cs="仿宋"/>
          <w:b w:val="0"/>
          <w:bCs/>
          <w:color w:val="auto"/>
          <w:sz w:val="24"/>
          <w:szCs w:val="24"/>
          <w:highlight w:val="none"/>
          <w:lang w:eastAsia="zh-CN"/>
        </w:rPr>
        <w:t>。</w:t>
      </w:r>
    </w:p>
    <w:p w14:paraId="4B9959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因上述违规行为，造成</w:t>
      </w:r>
      <w:r>
        <w:rPr>
          <w:rFonts w:hint="eastAsia" w:ascii="仿宋" w:hAnsi="仿宋" w:eastAsia="仿宋" w:cs="仿宋"/>
          <w:b w:val="0"/>
          <w:bCs/>
          <w:color w:val="auto"/>
          <w:sz w:val="24"/>
          <w:szCs w:val="24"/>
          <w:highlight w:val="none"/>
        </w:rPr>
        <w:t>被当事人</w:t>
      </w:r>
      <w:r>
        <w:rPr>
          <w:rFonts w:hint="eastAsia" w:ascii="仿宋" w:hAnsi="仿宋" w:eastAsia="仿宋" w:cs="仿宋"/>
          <w:b w:val="0"/>
          <w:bCs/>
          <w:color w:val="auto"/>
          <w:sz w:val="24"/>
          <w:szCs w:val="24"/>
          <w:highlight w:val="none"/>
          <w:lang w:eastAsia="zh-CN"/>
        </w:rPr>
        <w:t>或群众</w:t>
      </w:r>
      <w:r>
        <w:rPr>
          <w:rFonts w:hint="eastAsia" w:ascii="仿宋" w:hAnsi="仿宋" w:eastAsia="仿宋" w:cs="仿宋"/>
          <w:b w:val="0"/>
          <w:bCs/>
          <w:color w:val="auto"/>
          <w:sz w:val="24"/>
          <w:szCs w:val="24"/>
          <w:highlight w:val="none"/>
        </w:rPr>
        <w:t>投诉信访、</w:t>
      </w:r>
      <w:r>
        <w:rPr>
          <w:rFonts w:hint="eastAsia" w:ascii="仿宋" w:hAnsi="仿宋" w:eastAsia="仿宋" w:cs="仿宋"/>
          <w:b w:val="0"/>
          <w:bCs/>
          <w:color w:val="auto"/>
          <w:sz w:val="24"/>
          <w:szCs w:val="24"/>
          <w:highlight w:val="none"/>
          <w:lang w:eastAsia="zh-CN"/>
        </w:rPr>
        <w:t>举报、</w:t>
      </w:r>
      <w:r>
        <w:rPr>
          <w:rFonts w:hint="eastAsia" w:ascii="仿宋" w:hAnsi="仿宋" w:eastAsia="仿宋" w:cs="仿宋"/>
          <w:b w:val="0"/>
          <w:bCs/>
          <w:color w:val="auto"/>
          <w:sz w:val="24"/>
          <w:szCs w:val="24"/>
          <w:highlight w:val="none"/>
        </w:rPr>
        <w:t>上级点名批评、媒</w:t>
      </w:r>
      <w:r>
        <w:rPr>
          <w:rFonts w:hint="eastAsia" w:ascii="仿宋" w:hAnsi="仿宋" w:eastAsia="仿宋" w:cs="仿宋"/>
          <w:color w:val="auto"/>
          <w:sz w:val="24"/>
          <w:szCs w:val="24"/>
          <w:highlight w:val="none"/>
        </w:rPr>
        <w:t>体曝光</w:t>
      </w:r>
      <w:r>
        <w:rPr>
          <w:rFonts w:hint="eastAsia" w:ascii="仿宋" w:hAnsi="仿宋" w:eastAsia="仿宋" w:cs="仿宋"/>
          <w:color w:val="auto"/>
          <w:sz w:val="24"/>
          <w:szCs w:val="24"/>
          <w:highlight w:val="none"/>
          <w:lang w:eastAsia="zh-CN"/>
        </w:rPr>
        <w:t>等</w:t>
      </w:r>
      <w:r>
        <w:rPr>
          <w:rFonts w:hint="eastAsia" w:ascii="仿宋" w:hAnsi="仿宋" w:eastAsia="仿宋" w:cs="仿宋"/>
          <w:bCs/>
          <w:color w:val="auto"/>
          <w:sz w:val="24"/>
          <w:szCs w:val="24"/>
          <w:highlight w:val="none"/>
        </w:rPr>
        <w:t>严重后果或影响的，</w:t>
      </w:r>
      <w:r>
        <w:rPr>
          <w:rFonts w:hint="eastAsia" w:ascii="仿宋" w:hAnsi="仿宋" w:eastAsia="仿宋" w:cs="仿宋"/>
          <w:color w:val="auto"/>
          <w:sz w:val="24"/>
          <w:szCs w:val="24"/>
          <w:highlight w:val="none"/>
        </w:rPr>
        <w:t>每次扣100分</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rPr>
        <w:t>采购人有权单方面终止合同。</w:t>
      </w:r>
    </w:p>
    <w:p w14:paraId="75D819F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12、被涉案当事人</w:t>
      </w:r>
      <w:r>
        <w:rPr>
          <w:rFonts w:hint="eastAsia" w:ascii="仿宋" w:hAnsi="仿宋" w:eastAsia="仿宋" w:cs="仿宋"/>
          <w:bCs/>
          <w:color w:val="auto"/>
          <w:sz w:val="24"/>
          <w:szCs w:val="24"/>
          <w:highlight w:val="none"/>
          <w:lang w:eastAsia="zh-CN"/>
        </w:rPr>
        <w:t>或群众</w:t>
      </w:r>
      <w:r>
        <w:rPr>
          <w:rFonts w:hint="eastAsia" w:ascii="仿宋" w:hAnsi="仿宋" w:eastAsia="仿宋" w:cs="仿宋"/>
          <w:bCs/>
          <w:color w:val="auto"/>
          <w:sz w:val="24"/>
          <w:szCs w:val="24"/>
          <w:highlight w:val="none"/>
          <w:lang w:val="en-US" w:eastAsia="zh-CN"/>
        </w:rPr>
        <w:t>投诉的，每次扣2分，投诉查证属实的，加倍扣分。</w:t>
      </w:r>
    </w:p>
    <w:p w14:paraId="2E439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成交供应商提供的服务场所，因场地条件发生变化或管理不到位，造成不能满足采购人服务需求的，成交供应商应在一周内提出解决方案，并在一个月内完成方案实施。超出一个月未实施的，扣除当月20%服务费；因此造成该标项整体服务无法运转的，采购人可单方面终止合同，扣除成交供应商当月服务费，并没收合同履约保证金</w:t>
      </w:r>
      <w:r>
        <w:rPr>
          <w:rFonts w:hint="eastAsia" w:ascii="仿宋" w:hAnsi="仿宋" w:eastAsia="仿宋" w:cs="仿宋"/>
          <w:color w:val="auto"/>
          <w:sz w:val="24"/>
          <w:szCs w:val="24"/>
          <w:highlight w:val="none"/>
          <w:lang w:eastAsia="zh-CN"/>
        </w:rPr>
        <w:t>，并重新组织采购，在此情形下，该标段</w:t>
      </w:r>
      <w:r>
        <w:rPr>
          <w:rFonts w:hint="eastAsia" w:ascii="仿宋" w:hAnsi="仿宋" w:eastAsia="仿宋" w:cs="仿宋"/>
          <w:color w:val="auto"/>
          <w:sz w:val="24"/>
          <w:szCs w:val="24"/>
          <w:highlight w:val="none"/>
        </w:rPr>
        <w:t>成交供应商</w:t>
      </w:r>
      <w:r>
        <w:rPr>
          <w:rFonts w:hint="eastAsia" w:ascii="仿宋" w:hAnsi="仿宋" w:eastAsia="仿宋" w:cs="仿宋"/>
          <w:color w:val="auto"/>
          <w:sz w:val="24"/>
          <w:szCs w:val="24"/>
          <w:highlight w:val="none"/>
          <w:lang w:eastAsia="zh-CN"/>
        </w:rPr>
        <w:t>须承担</w:t>
      </w:r>
      <w:r>
        <w:rPr>
          <w:rFonts w:hint="eastAsia" w:ascii="仿宋" w:hAnsi="仿宋" w:eastAsia="仿宋" w:cs="仿宋"/>
          <w:color w:val="auto"/>
          <w:sz w:val="24"/>
          <w:szCs w:val="24"/>
          <w:highlight w:val="none"/>
        </w:rPr>
        <w:t>由此带来的全部损失赔偿</w:t>
      </w:r>
      <w:r>
        <w:rPr>
          <w:rFonts w:hint="eastAsia" w:ascii="仿宋" w:hAnsi="仿宋" w:eastAsia="仿宋" w:cs="仿宋"/>
          <w:color w:val="auto"/>
          <w:sz w:val="24"/>
          <w:szCs w:val="24"/>
          <w:highlight w:val="none"/>
          <w:lang w:eastAsia="zh-CN"/>
        </w:rPr>
        <w:t>（如：重新组织采购期间车辆拖移停放管理服务费的额外支出等）。</w:t>
      </w:r>
    </w:p>
    <w:p w14:paraId="44B1B05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w:t>
      </w:r>
      <w:r>
        <w:rPr>
          <w:rFonts w:hint="eastAsia" w:ascii="仿宋" w:hAnsi="仿宋" w:eastAsia="仿宋" w:cs="仿宋"/>
          <w:b/>
          <w:bCs/>
          <w:color w:val="auto"/>
          <w:sz w:val="24"/>
          <w:szCs w:val="24"/>
          <w:highlight w:val="none"/>
        </w:rPr>
        <w:t>原合同现有停车量汇总表</w:t>
      </w:r>
      <w:r>
        <w:rPr>
          <w:rFonts w:hint="eastAsia" w:ascii="仿宋" w:hAnsi="仿宋" w:eastAsia="仿宋" w:cs="仿宋"/>
          <w:b/>
          <w:bCs/>
          <w:color w:val="auto"/>
          <w:sz w:val="24"/>
          <w:szCs w:val="24"/>
          <w:highlight w:val="none"/>
          <w:lang w:val="en-US" w:eastAsia="zh-CN"/>
        </w:rPr>
        <w:t xml:space="preserve">   </w:t>
      </w:r>
    </w:p>
    <w:p w14:paraId="7A2FA9C4">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截止至202</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年</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月</w:t>
      </w:r>
      <w:r>
        <w:rPr>
          <w:rFonts w:hint="eastAsia" w:ascii="仿宋" w:hAnsi="仿宋" w:eastAsia="仿宋" w:cs="仿宋"/>
          <w:bCs/>
          <w:color w:val="auto"/>
          <w:sz w:val="24"/>
          <w:szCs w:val="24"/>
          <w:highlight w:val="none"/>
          <w:lang w:val="en-US" w:eastAsia="zh-CN"/>
        </w:rPr>
        <w:t>31</w:t>
      </w: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eastAsia="zh-CN"/>
        </w:rPr>
        <w:t>统计</w:t>
      </w:r>
      <w:r>
        <w:rPr>
          <w:rFonts w:hint="eastAsia" w:ascii="仿宋" w:hAnsi="仿宋" w:eastAsia="仿宋" w:cs="仿宋"/>
          <w:bCs/>
          <w:color w:val="auto"/>
          <w:sz w:val="24"/>
          <w:szCs w:val="24"/>
          <w:highlight w:val="none"/>
        </w:rPr>
        <w:t xml:space="preserve">，仅做参考，请充分考虑在报价中。  </w:t>
      </w:r>
    </w:p>
    <w:tbl>
      <w:tblPr>
        <w:tblStyle w:val="9"/>
        <w:tblW w:w="8705" w:type="dxa"/>
        <w:tblInd w:w="0" w:type="dxa"/>
        <w:shd w:val="clear" w:color="auto" w:fill="auto"/>
        <w:tblLayout w:type="autofit"/>
        <w:tblCellMar>
          <w:top w:w="0" w:type="dxa"/>
          <w:left w:w="0" w:type="dxa"/>
          <w:bottom w:w="0" w:type="dxa"/>
          <w:right w:w="0" w:type="dxa"/>
        </w:tblCellMar>
      </w:tblPr>
      <w:tblGrid>
        <w:gridCol w:w="661"/>
        <w:gridCol w:w="1986"/>
        <w:gridCol w:w="1146"/>
        <w:gridCol w:w="1228"/>
        <w:gridCol w:w="1293"/>
        <w:gridCol w:w="1500"/>
        <w:gridCol w:w="891"/>
      </w:tblGrid>
      <w:tr w14:paraId="6A80F9DF">
        <w:tblPrEx>
          <w:tblCellMar>
            <w:top w:w="0" w:type="dxa"/>
            <w:left w:w="0" w:type="dxa"/>
            <w:bottom w:w="0" w:type="dxa"/>
            <w:right w:w="0" w:type="dxa"/>
          </w:tblCellMar>
        </w:tblPrEx>
        <w:trPr>
          <w:trHeight w:val="54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1229">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标项名称</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5950">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停车地点</w:t>
            </w:r>
          </w:p>
        </w:tc>
        <w:tc>
          <w:tcPr>
            <w:tcW w:w="516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51CE1">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各   类   车   辆   停   车   数</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1B36A">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合计（辆）</w:t>
            </w:r>
          </w:p>
        </w:tc>
      </w:tr>
      <w:tr w14:paraId="415B922E">
        <w:tblPrEx>
          <w:shd w:val="clear" w:color="auto" w:fill="auto"/>
          <w:tblCellMar>
            <w:top w:w="0" w:type="dxa"/>
            <w:left w:w="0" w:type="dxa"/>
            <w:bottom w:w="0" w:type="dxa"/>
            <w:right w:w="0" w:type="dxa"/>
          </w:tblCellMar>
        </w:tblPrEx>
        <w:trPr>
          <w:trHeight w:val="8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A6C9">
            <w:pPr>
              <w:jc w:val="center"/>
              <w:rPr>
                <w:rFonts w:hint="eastAsia" w:ascii="仿宋" w:hAnsi="仿宋" w:eastAsia="仿宋" w:cs="仿宋"/>
                <w:b/>
                <w:i w:val="0"/>
                <w:color w:val="auto"/>
                <w:sz w:val="24"/>
                <w:szCs w:val="24"/>
                <w:highlight w:val="none"/>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ED70C">
            <w:pPr>
              <w:jc w:val="center"/>
              <w:rPr>
                <w:rFonts w:hint="eastAsia" w:ascii="仿宋" w:hAnsi="仿宋" w:eastAsia="仿宋" w:cs="仿宋"/>
                <w:b/>
                <w:i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8BD6">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大型车（辆）</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D5789">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小型车（辆）</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056E">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拖拉机及农用车（辆）</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91491">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电动车及二三轮摩托车（辆）</w:t>
            </w: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5E90">
            <w:pPr>
              <w:jc w:val="center"/>
              <w:rPr>
                <w:rFonts w:hint="eastAsia" w:ascii="仿宋" w:hAnsi="仿宋" w:eastAsia="仿宋" w:cs="仿宋"/>
                <w:b/>
                <w:i w:val="0"/>
                <w:color w:val="auto"/>
                <w:sz w:val="24"/>
                <w:szCs w:val="24"/>
                <w:highlight w:val="none"/>
                <w:u w:val="none"/>
              </w:rPr>
            </w:pPr>
          </w:p>
        </w:tc>
      </w:tr>
      <w:tr w14:paraId="5FB4CF62">
        <w:tblPrEx>
          <w:shd w:val="clear" w:color="auto" w:fill="auto"/>
          <w:tblCellMar>
            <w:top w:w="0" w:type="dxa"/>
            <w:left w:w="0" w:type="dxa"/>
            <w:bottom w:w="0" w:type="dxa"/>
            <w:right w:w="0" w:type="dxa"/>
          </w:tblCellMar>
        </w:tblPrEx>
        <w:trPr>
          <w:trHeight w:val="36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69F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标项一</w:t>
            </w:r>
          </w:p>
        </w:tc>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C79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靖江街道和顺村</w:t>
            </w: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D84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470C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9787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7608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94</w:t>
            </w:r>
          </w:p>
        </w:tc>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7CE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105</w:t>
            </w:r>
          </w:p>
        </w:tc>
      </w:tr>
      <w:tr w14:paraId="2460E578">
        <w:tblPrEx>
          <w:shd w:val="clear" w:color="auto" w:fill="auto"/>
          <w:tblCellMar>
            <w:top w:w="0" w:type="dxa"/>
            <w:left w:w="0" w:type="dxa"/>
            <w:bottom w:w="0" w:type="dxa"/>
            <w:right w:w="0" w:type="dxa"/>
          </w:tblCellMar>
        </w:tblPrEx>
        <w:trPr>
          <w:trHeight w:val="6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95F84">
            <w:pPr>
              <w:jc w:val="center"/>
              <w:rPr>
                <w:rFonts w:hint="eastAsia" w:ascii="仿宋" w:hAnsi="仿宋" w:eastAsia="仿宋" w:cs="仿宋"/>
                <w:i w:val="0"/>
                <w:color w:val="auto"/>
                <w:sz w:val="24"/>
                <w:szCs w:val="24"/>
                <w:highlight w:val="none"/>
                <w:u w:val="none"/>
              </w:rPr>
            </w:pPr>
          </w:p>
        </w:tc>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BDD33">
            <w:pPr>
              <w:jc w:val="center"/>
              <w:rPr>
                <w:rFonts w:hint="eastAsia" w:ascii="仿宋" w:hAnsi="仿宋" w:eastAsia="仿宋" w:cs="仿宋"/>
                <w:i w:val="0"/>
                <w:color w:val="auto"/>
                <w:sz w:val="24"/>
                <w:szCs w:val="24"/>
                <w:highlight w:val="none"/>
                <w:u w:val="none"/>
              </w:rPr>
            </w:pP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2C533">
            <w:pPr>
              <w:jc w:val="center"/>
              <w:rPr>
                <w:rFonts w:hint="eastAsia" w:ascii="仿宋" w:hAnsi="仿宋" w:eastAsia="仿宋" w:cs="仿宋"/>
                <w:i w:val="0"/>
                <w:color w:val="auto"/>
                <w:sz w:val="24"/>
                <w:szCs w:val="24"/>
                <w:highlight w:val="none"/>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03A0">
            <w:pPr>
              <w:jc w:val="center"/>
              <w:rPr>
                <w:rFonts w:hint="eastAsia" w:ascii="仿宋" w:hAnsi="仿宋" w:eastAsia="仿宋" w:cs="仿宋"/>
                <w:i w:val="0"/>
                <w:color w:val="auto"/>
                <w:sz w:val="24"/>
                <w:szCs w:val="24"/>
                <w:highlight w:val="none"/>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A6CD2">
            <w:pPr>
              <w:jc w:val="center"/>
              <w:rPr>
                <w:rFonts w:hint="eastAsia" w:ascii="仿宋" w:hAnsi="仿宋" w:eastAsia="仿宋" w:cs="仿宋"/>
                <w:i w:val="0"/>
                <w:color w:val="auto"/>
                <w:sz w:val="24"/>
                <w:szCs w:val="24"/>
                <w:highlight w:val="none"/>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BED17">
            <w:pPr>
              <w:jc w:val="center"/>
              <w:rPr>
                <w:rFonts w:hint="eastAsia" w:ascii="仿宋" w:hAnsi="仿宋" w:eastAsia="仿宋" w:cs="仿宋"/>
                <w:i w:val="0"/>
                <w:color w:val="auto"/>
                <w:sz w:val="24"/>
                <w:szCs w:val="24"/>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28DD">
            <w:pPr>
              <w:jc w:val="center"/>
              <w:rPr>
                <w:rFonts w:hint="eastAsia" w:ascii="仿宋" w:hAnsi="仿宋" w:eastAsia="仿宋" w:cs="仿宋"/>
                <w:i w:val="0"/>
                <w:color w:val="auto"/>
                <w:sz w:val="24"/>
                <w:szCs w:val="24"/>
                <w:highlight w:val="none"/>
                <w:u w:val="none"/>
              </w:rPr>
            </w:pPr>
          </w:p>
        </w:tc>
      </w:tr>
      <w:tr w14:paraId="1D08DDF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01D3D">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6BBC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南阳街道下沙大桥下部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214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AEF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D0C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51A6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031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88</w:t>
            </w:r>
          </w:p>
        </w:tc>
      </w:tr>
      <w:tr w14:paraId="69420496">
        <w:tblPrEx>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13EF">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54C9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信益线益农派出所南500米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832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FD5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C9FD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B02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80C8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170</w:t>
            </w:r>
          </w:p>
        </w:tc>
      </w:tr>
      <w:tr w14:paraId="2C18EAF8">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8989C">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0D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新塘街道前塘社区大沿坟头（高铁下部）</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84E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10FB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EDF7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1D5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220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36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292</w:t>
            </w:r>
          </w:p>
        </w:tc>
      </w:tr>
      <w:tr w14:paraId="4F2481E0">
        <w:tblPrEx>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9DA5">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74D1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宁围街道宁新村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9D06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58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3F67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4FC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9750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44</w:t>
            </w:r>
          </w:p>
        </w:tc>
      </w:tr>
      <w:tr w14:paraId="04C1EAF3">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F35F0">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2F66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49D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FD0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128</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BAB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69D0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542</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056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699</w:t>
            </w:r>
          </w:p>
        </w:tc>
      </w:tr>
      <w:tr w14:paraId="54A236DE">
        <w:tblPrEx>
          <w:shd w:val="clear" w:color="auto" w:fill="auto"/>
          <w:tblCellMar>
            <w:top w:w="0" w:type="dxa"/>
            <w:left w:w="0" w:type="dxa"/>
            <w:bottom w:w="0" w:type="dxa"/>
            <w:right w:w="0" w:type="dxa"/>
          </w:tblCellMar>
        </w:tblPrEx>
        <w:trPr>
          <w:trHeight w:val="41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61C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标项二</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1CF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 xml:space="preserve"> 宁围街道二桥村老年活动室旁</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51A2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732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52</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6C81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E14F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1308</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C72C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1361</w:t>
            </w:r>
          </w:p>
        </w:tc>
      </w:tr>
      <w:tr w14:paraId="6E43BFCF">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D9C1">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864C">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宁围街道二桥村（鸿达路）</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AD58">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CD95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54</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3B1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685C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96</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5B4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155</w:t>
            </w:r>
          </w:p>
        </w:tc>
      </w:tr>
      <w:tr w14:paraId="6AEB71E1">
        <w:tblPrEx>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B955C">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690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所前镇城南村通惠南路1800号</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A3A1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6E6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66</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4EF9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41D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479</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8186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545</w:t>
            </w:r>
          </w:p>
        </w:tc>
      </w:tr>
      <w:tr w14:paraId="3D7FC568">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29001">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73F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中通万达公司南300米</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DA840">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5</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8EA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6A477">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396A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191</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FF2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214</w:t>
            </w:r>
          </w:p>
        </w:tc>
      </w:tr>
      <w:tr w14:paraId="2CE00C1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E4D34">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25B4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AD3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5399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189</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0FE6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915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2074</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E017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2275</w:t>
            </w:r>
          </w:p>
        </w:tc>
      </w:tr>
      <w:tr w14:paraId="75EEFAF4">
        <w:tblPrEx>
          <w:shd w:val="clear" w:color="auto" w:fill="auto"/>
          <w:tblCellMar>
            <w:top w:w="0" w:type="dxa"/>
            <w:left w:w="0" w:type="dxa"/>
            <w:bottom w:w="0" w:type="dxa"/>
            <w:right w:w="0" w:type="dxa"/>
          </w:tblCellMar>
        </w:tblPrEx>
        <w:trPr>
          <w:trHeight w:val="41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1AF3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标项三</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3C2D9">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临浦镇临北村</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35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EB6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FDC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0702">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87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995D">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104</w:t>
            </w:r>
          </w:p>
        </w:tc>
      </w:tr>
      <w:tr w14:paraId="596E9CF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9325B">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3F5CB">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戴村镇永富村（冗里）</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6B41">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53244">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EACFA">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1FEA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110</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77F6">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131</w:t>
            </w:r>
          </w:p>
        </w:tc>
      </w:tr>
      <w:tr w14:paraId="7CEA0BAD">
        <w:tblPrEx>
          <w:shd w:val="clear" w:color="auto" w:fill="auto"/>
          <w:tblCellMar>
            <w:top w:w="0" w:type="dxa"/>
            <w:left w:w="0" w:type="dxa"/>
            <w:bottom w:w="0" w:type="dxa"/>
            <w:right w:w="0" w:type="dxa"/>
          </w:tblCellMar>
        </w:tblPrEx>
        <w:trPr>
          <w:trHeight w:val="41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832C2">
            <w:pPr>
              <w:jc w:val="center"/>
              <w:rPr>
                <w:rFonts w:hint="eastAsia" w:ascii="仿宋" w:hAnsi="仿宋" w:eastAsia="仿宋" w:cs="仿宋"/>
                <w:i w:val="0"/>
                <w:color w:val="auto"/>
                <w:sz w:val="24"/>
                <w:szCs w:val="24"/>
                <w:highlight w:val="none"/>
                <w:u w:val="none"/>
              </w:rPr>
            </w:pP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E091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小计</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143C3">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8D185">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30</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684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5260E">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197</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B2D0F">
            <w:pPr>
              <w:keepNext w:val="0"/>
              <w:keepLines w:val="0"/>
              <w:widowControl/>
              <w:suppressLineNumbers w:val="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235</w:t>
            </w:r>
          </w:p>
        </w:tc>
      </w:tr>
      <w:tr w14:paraId="192409F8">
        <w:tblPrEx>
          <w:shd w:val="clear" w:color="auto" w:fill="auto"/>
          <w:tblCellMar>
            <w:top w:w="0" w:type="dxa"/>
            <w:left w:w="0" w:type="dxa"/>
            <w:bottom w:w="0" w:type="dxa"/>
            <w:right w:w="0" w:type="dxa"/>
          </w:tblCellMar>
        </w:tblPrEx>
        <w:trPr>
          <w:trHeight w:val="660" w:hRule="atLeast"/>
        </w:trPr>
        <w:tc>
          <w:tcPr>
            <w:tcW w:w="6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F604D">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总计</w:t>
            </w:r>
          </w:p>
        </w:tc>
        <w:tc>
          <w:tcPr>
            <w:tcW w:w="1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AC547">
            <w:pPr>
              <w:jc w:val="center"/>
              <w:rPr>
                <w:rFonts w:hint="eastAsia" w:ascii="仿宋" w:hAnsi="仿宋" w:eastAsia="仿宋" w:cs="仿宋"/>
                <w:b/>
                <w:i w:val="0"/>
                <w:color w:val="auto"/>
                <w:sz w:val="24"/>
                <w:szCs w:val="24"/>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7C52">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32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5AD05">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347</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8838">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17</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E33DD">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2813</w:t>
            </w:r>
          </w:p>
        </w:tc>
        <w:tc>
          <w:tcPr>
            <w:tcW w:w="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AD99">
            <w:pPr>
              <w:keepNext w:val="0"/>
              <w:keepLines w:val="0"/>
              <w:widowControl/>
              <w:suppressLineNumbers w:val="0"/>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3209</w:t>
            </w:r>
          </w:p>
        </w:tc>
      </w:tr>
    </w:tbl>
    <w:p w14:paraId="23FE2EB4">
      <w:pPr>
        <w:tabs>
          <w:tab w:val="left" w:pos="2340"/>
        </w:tabs>
        <w:spacing w:line="360" w:lineRule="auto"/>
        <w:jc w:val="left"/>
        <w:rPr>
          <w:rFonts w:hint="eastAsia" w:ascii="仿宋" w:hAnsi="仿宋" w:eastAsia="仿宋" w:cs="仿宋"/>
          <w:bCs/>
          <w:color w:val="auto"/>
          <w:sz w:val="24"/>
          <w:szCs w:val="24"/>
          <w:highlight w:val="none"/>
          <w:lang w:val="en-US" w:eastAsia="zh-CN"/>
        </w:rPr>
      </w:pPr>
    </w:p>
    <w:p w14:paraId="1A875581">
      <w:pPr>
        <w:tabs>
          <w:tab w:val="left" w:pos="2340"/>
        </w:tabs>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七</w:t>
      </w:r>
      <w:r>
        <w:rPr>
          <w:rFonts w:hint="eastAsia" w:ascii="仿宋" w:hAnsi="仿宋" w:eastAsia="仿宋" w:cs="仿宋"/>
          <w:b/>
          <w:color w:val="auto"/>
          <w:sz w:val="24"/>
          <w:szCs w:val="24"/>
          <w:highlight w:val="none"/>
        </w:rPr>
        <w:t>）各标项具体需求</w:t>
      </w:r>
    </w:p>
    <w:p w14:paraId="6143BB86">
      <w:pPr>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标项1：</w:t>
      </w:r>
      <w:r>
        <w:rPr>
          <w:rFonts w:hint="eastAsia" w:ascii="仿宋" w:hAnsi="仿宋" w:eastAsia="仿宋" w:cs="仿宋"/>
          <w:bCs/>
          <w:color w:val="auto"/>
          <w:sz w:val="24"/>
          <w:szCs w:val="24"/>
          <w:highlight w:val="none"/>
        </w:rPr>
        <w:t>萧山区东片道路交通违法(事故)现场清障、施救及涉案车辆停放管理等服务</w:t>
      </w:r>
    </w:p>
    <w:p w14:paraId="1FCB367B">
      <w:pPr>
        <w:tabs>
          <w:tab w:val="left" w:pos="709"/>
        </w:tabs>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1.技术需求： </w:t>
      </w:r>
    </w:p>
    <w:p w14:paraId="4AC4600B">
      <w:pPr>
        <w:tabs>
          <w:tab w:val="left" w:pos="2340"/>
        </w:tabs>
        <w:spacing w:line="360" w:lineRule="auto"/>
        <w:ind w:firstLine="466" w:firstLineChars="200"/>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（一）服务需求： </w:t>
      </w:r>
    </w:p>
    <w:p w14:paraId="3083D8ED">
      <w:pPr>
        <w:tabs>
          <w:tab w:val="left" w:pos="2340"/>
        </w:tabs>
        <w:spacing w:line="360" w:lineRule="auto"/>
        <w:ind w:firstLine="466" w:firstLineChars="200"/>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 服务内容及范围：</w:t>
      </w:r>
    </w:p>
    <w:p w14:paraId="6B709E91">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提供不少于4个点位（每个</w:t>
      </w:r>
      <w:r>
        <w:rPr>
          <w:rFonts w:hint="eastAsia" w:ascii="仿宋" w:hAnsi="仿宋" w:eastAsia="仿宋" w:cs="仿宋"/>
          <w:color w:val="auto"/>
          <w:spacing w:val="-4"/>
          <w:sz w:val="24"/>
          <w:szCs w:val="24"/>
          <w:highlight w:val="none"/>
        </w:rPr>
        <w:t>场地实际可以停车面积不少于5000㎡</w:t>
      </w:r>
      <w:r>
        <w:rPr>
          <w:rFonts w:hint="eastAsia" w:ascii="仿宋" w:hAnsi="仿宋" w:eastAsia="仿宋" w:cs="仿宋"/>
          <w:bCs/>
          <w:color w:val="auto"/>
          <w:sz w:val="24"/>
          <w:szCs w:val="24"/>
          <w:highlight w:val="none"/>
        </w:rPr>
        <w:t>）的清障、施救、车辆停放、保管服务及配套的设施设备和服务人员。</w:t>
      </w:r>
    </w:p>
    <w:p w14:paraId="67D5A532">
      <w:pPr>
        <w:pStyle w:val="14"/>
        <w:keepNext w:val="0"/>
        <w:keepLines w:val="0"/>
        <w:pageBreakBefore w:val="0"/>
        <w:widowControl w:val="0"/>
        <w:kinsoku/>
        <w:wordWrap/>
        <w:overflowPunct/>
        <w:topLinePunct w:val="0"/>
        <w:autoSpaceDE/>
        <w:autoSpaceDN/>
        <w:bidi w:val="0"/>
        <w:snapToGrid/>
        <w:spacing w:before="0" w:beforeLines="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所投标项的停车场是属于可以合法停放机动车辆的专用停车场。</w:t>
      </w:r>
    </w:p>
    <w:p w14:paraId="4C2CAB6D">
      <w:pPr>
        <w:keepNext w:val="0"/>
        <w:keepLines w:val="0"/>
        <w:pageBreakBefore w:val="0"/>
        <w:widowControl w:val="0"/>
        <w:tabs>
          <w:tab w:val="left" w:pos="2340"/>
        </w:tabs>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本服务包含区公安分局承担交通管理业务的***开展交通管理业务所需的服务范围；后期如下属中队（***）管辖区域调整的，按照调整后的管辖区域确定服务区域范围。</w:t>
      </w:r>
    </w:p>
    <w:p w14:paraId="0382CCFF">
      <w:pPr>
        <w:tabs>
          <w:tab w:val="left" w:pos="2340"/>
        </w:tabs>
        <w:spacing w:line="360" w:lineRule="auto"/>
        <w:ind w:firstLine="466" w:firstLineChars="200"/>
        <w:rPr>
          <w:rFonts w:hint="eastAsia" w:ascii="仿宋" w:hAnsi="仿宋" w:eastAsia="仿宋" w:cs="仿宋"/>
          <w:bCs/>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二）土地保障要求</w:t>
      </w:r>
      <w:r>
        <w:rPr>
          <w:rFonts w:hint="eastAsia" w:ascii="仿宋" w:hAnsi="仿宋" w:eastAsia="仿宋" w:cs="仿宋"/>
          <w:b/>
          <w:color w:val="auto"/>
          <w:spacing w:val="-4"/>
          <w:sz w:val="24"/>
          <w:szCs w:val="24"/>
          <w:highlight w:val="none"/>
        </w:rPr>
        <w:t>：</w:t>
      </w:r>
    </w:p>
    <w:p w14:paraId="5A0B2303">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若场地所属情况为</w:t>
      </w:r>
      <w:r>
        <w:rPr>
          <w:rFonts w:hint="eastAsia" w:ascii="仿宋" w:hAnsi="仿宋" w:eastAsia="仿宋" w:cs="仿宋"/>
          <w:color w:val="auto"/>
          <w:spacing w:val="-4"/>
          <w:sz w:val="24"/>
          <w:szCs w:val="24"/>
          <w:highlight w:val="none"/>
        </w:rPr>
        <w:t>成交供应商</w:t>
      </w:r>
      <w:r>
        <w:rPr>
          <w:rFonts w:hint="eastAsia" w:ascii="仿宋" w:hAnsi="仿宋" w:eastAsia="仿宋" w:cs="仿宋"/>
          <w:bCs/>
          <w:color w:val="auto"/>
          <w:sz w:val="24"/>
          <w:szCs w:val="24"/>
          <w:highlight w:val="none"/>
        </w:rPr>
        <w:t>自有，需提供</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现场场地照片（体现整个现场周围情况的方位、场地全貌、场地停车区域、场地进出口等照片）、产权证</w:t>
      </w:r>
      <w:r>
        <w:rPr>
          <w:rFonts w:hint="eastAsia" w:ascii="仿宋" w:hAnsi="仿宋" w:eastAsia="仿宋" w:cs="仿宋"/>
          <w:bCs/>
          <w:color w:val="auto"/>
          <w:sz w:val="24"/>
          <w:szCs w:val="24"/>
          <w:highlight w:val="none"/>
        </w:rPr>
        <w:t>复印件等证明场地所属情况证明（其证明材料中须有明确的停车场地面积）；若场地所属情况为待租赁的，中标单位须承诺在中标公示发布之日起十五个工作日内完成签订场地租用协议或合同</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其租赁服务期不少于本项目的服务期限；如场地已租赁且在租赁期内，中标单位同样应提供相应的租赁合同及</w:t>
      </w:r>
      <w:r>
        <w:rPr>
          <w:rFonts w:hint="eastAsia" w:ascii="仿宋" w:hAnsi="仿宋" w:eastAsia="仿宋" w:cs="仿宋"/>
          <w:color w:val="auto"/>
          <w:sz w:val="24"/>
          <w:szCs w:val="24"/>
          <w:highlight w:val="none"/>
        </w:rPr>
        <w:t>可用于机动车辆停放的政府证明</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等证明材料（其证明材料中须有明确的停车场地面积），并保证承诺租赁服务期不少于本项目的服务期限。</w:t>
      </w:r>
      <w:r>
        <w:rPr>
          <w:rFonts w:hint="eastAsia" w:ascii="仿宋" w:hAnsi="仿宋" w:eastAsia="仿宋" w:cs="仿宋"/>
          <w:bCs/>
          <w:color w:val="auto"/>
          <w:sz w:val="24"/>
          <w:szCs w:val="24"/>
          <w:highlight w:val="none"/>
          <w:lang w:eastAsia="zh-CN"/>
        </w:rPr>
        <w:t>除永久农田保卫线、生态线及其他法律法规禁止使用于车辆停放的场地外，该处场地还需有明确可以用于车辆停放使用的产属证明材料（</w:t>
      </w:r>
      <w:r>
        <w:rPr>
          <w:rFonts w:hint="eastAsia" w:ascii="仿宋" w:hAnsi="仿宋" w:eastAsia="仿宋" w:cs="仿宋"/>
          <w:bCs/>
          <w:color w:val="auto"/>
          <w:sz w:val="24"/>
          <w:szCs w:val="24"/>
          <w:highlight w:val="none"/>
          <w:lang w:val="en-US" w:eastAsia="zh-CN"/>
        </w:rPr>
        <w:t>适用于机动车辆停放）</w:t>
      </w:r>
      <w:r>
        <w:rPr>
          <w:rFonts w:hint="eastAsia" w:ascii="仿宋" w:hAnsi="仿宋" w:eastAsia="仿宋" w:cs="仿宋"/>
          <w:bCs/>
          <w:color w:val="auto"/>
          <w:sz w:val="24"/>
          <w:szCs w:val="24"/>
          <w:highlight w:val="none"/>
          <w:lang w:eastAsia="zh-CN"/>
        </w:rPr>
        <w:t>。</w:t>
      </w:r>
    </w:p>
    <w:p w14:paraId="261DAC00">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承诺文件中须包括场地具体点位地址，具体场地总面积及可停车面积大小，且附网上电子地图证明截图并能清楚显示场地周边道路情况。</w:t>
      </w:r>
      <w:r>
        <w:rPr>
          <w:rFonts w:hint="eastAsia" w:ascii="仿宋" w:hAnsi="仿宋" w:eastAsia="仿宋" w:cs="仿宋"/>
          <w:bCs/>
          <w:color w:val="auto"/>
          <w:sz w:val="24"/>
          <w:szCs w:val="24"/>
          <w:highlight w:val="none"/>
          <w:lang w:eastAsia="zh-CN"/>
        </w:rPr>
        <w:t>各停车场间道路行驶距离需大于</w:t>
      </w:r>
      <w:r>
        <w:rPr>
          <w:rFonts w:hint="eastAsia" w:ascii="仿宋" w:hAnsi="仿宋" w:eastAsia="仿宋" w:cs="仿宋"/>
          <w:bCs/>
          <w:color w:val="auto"/>
          <w:sz w:val="24"/>
          <w:szCs w:val="24"/>
          <w:highlight w:val="none"/>
          <w:lang w:val="en-US" w:eastAsia="zh-CN"/>
        </w:rPr>
        <w:t>10公里。</w:t>
      </w:r>
      <w:r>
        <w:rPr>
          <w:rFonts w:hint="eastAsia" w:ascii="仿宋" w:hAnsi="仿宋" w:eastAsia="仿宋" w:cs="仿宋"/>
          <w:bCs/>
          <w:color w:val="auto"/>
          <w:sz w:val="24"/>
          <w:szCs w:val="24"/>
          <w:highlight w:val="none"/>
        </w:rPr>
        <w:t>（文件格式自拟，未提供承诺文件则作无效处理）</w:t>
      </w:r>
    </w:p>
    <w:p w14:paraId="6FC4B761">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车辆保管场地处地理位置与周边的道路交通等应有利于车辆的进出；停车场所与其他作业区域的平面布置需合理有序。</w:t>
      </w:r>
    </w:p>
    <w:p w14:paraId="6EA2D26F">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保管场地的相关基本情况说明（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731"/>
        <w:gridCol w:w="941"/>
        <w:gridCol w:w="1238"/>
        <w:gridCol w:w="1352"/>
        <w:gridCol w:w="1458"/>
        <w:gridCol w:w="1182"/>
        <w:gridCol w:w="984"/>
      </w:tblGrid>
      <w:tr w14:paraId="1A92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61" w:type="dxa"/>
            <w:noWrap w:val="0"/>
            <w:vAlign w:val="center"/>
          </w:tcPr>
          <w:p w14:paraId="0400089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70" w:type="dxa"/>
            <w:noWrap w:val="0"/>
            <w:vAlign w:val="center"/>
          </w:tcPr>
          <w:p w14:paraId="3BFF3EC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所有人</w:t>
            </w:r>
          </w:p>
        </w:tc>
        <w:tc>
          <w:tcPr>
            <w:tcW w:w="1009" w:type="dxa"/>
            <w:noWrap w:val="0"/>
            <w:vAlign w:val="center"/>
          </w:tcPr>
          <w:p w14:paraId="2D95733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具体</w:t>
            </w:r>
          </w:p>
          <w:p w14:paraId="230E570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位置</w:t>
            </w:r>
          </w:p>
        </w:tc>
        <w:tc>
          <w:tcPr>
            <w:tcW w:w="1315" w:type="dxa"/>
            <w:noWrap w:val="0"/>
            <w:vAlign w:val="center"/>
          </w:tcPr>
          <w:p w14:paraId="2E678D3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总面积（平方米）</w:t>
            </w:r>
          </w:p>
        </w:tc>
        <w:tc>
          <w:tcPr>
            <w:tcW w:w="1444" w:type="dxa"/>
            <w:noWrap w:val="0"/>
            <w:vAlign w:val="center"/>
          </w:tcPr>
          <w:p w14:paraId="525EC79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可停车面积（平方米）</w:t>
            </w:r>
          </w:p>
        </w:tc>
        <w:tc>
          <w:tcPr>
            <w:tcW w:w="1566" w:type="dxa"/>
            <w:noWrap w:val="0"/>
            <w:vAlign w:val="center"/>
          </w:tcPr>
          <w:p w14:paraId="2FC5FE17">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产权性质（自有/租赁）</w:t>
            </w:r>
          </w:p>
        </w:tc>
        <w:tc>
          <w:tcPr>
            <w:tcW w:w="1284" w:type="dxa"/>
            <w:noWrap w:val="0"/>
            <w:vAlign w:val="center"/>
          </w:tcPr>
          <w:p w14:paraId="29A54FC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1059" w:type="dxa"/>
            <w:noWrap w:val="0"/>
            <w:vAlign w:val="center"/>
          </w:tcPr>
          <w:p w14:paraId="5127BFE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127D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61" w:type="dxa"/>
            <w:noWrap w:val="0"/>
            <w:vAlign w:val="top"/>
          </w:tcPr>
          <w:p w14:paraId="156579F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770" w:type="dxa"/>
            <w:noWrap w:val="0"/>
            <w:vAlign w:val="top"/>
          </w:tcPr>
          <w:p w14:paraId="0E194584">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09" w:type="dxa"/>
            <w:noWrap w:val="0"/>
            <w:vAlign w:val="top"/>
          </w:tcPr>
          <w:p w14:paraId="28F9AE4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315" w:type="dxa"/>
            <w:noWrap w:val="0"/>
            <w:vAlign w:val="top"/>
          </w:tcPr>
          <w:p w14:paraId="52354CA7">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444" w:type="dxa"/>
            <w:noWrap w:val="0"/>
            <w:vAlign w:val="top"/>
          </w:tcPr>
          <w:p w14:paraId="21997E4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66" w:type="dxa"/>
            <w:noWrap w:val="0"/>
            <w:vAlign w:val="top"/>
          </w:tcPr>
          <w:p w14:paraId="02EA1C39">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284" w:type="dxa"/>
            <w:noWrap w:val="0"/>
            <w:vAlign w:val="top"/>
          </w:tcPr>
          <w:p w14:paraId="72A50457">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59" w:type="dxa"/>
            <w:noWrap w:val="0"/>
            <w:vAlign w:val="top"/>
          </w:tcPr>
          <w:p w14:paraId="345BBB7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60DCD9F6">
      <w:pPr>
        <w:pageBreakBefore w:val="0"/>
        <w:tabs>
          <w:tab w:val="left" w:pos="2340"/>
        </w:tabs>
        <w:kinsoku/>
        <w:wordWrap/>
        <w:overflowPunct/>
        <w:topLinePunct w:val="0"/>
        <w:bidi w:val="0"/>
        <w:adjustRightInd/>
        <w:spacing w:line="240" w:lineRule="auto"/>
        <w:rPr>
          <w:rFonts w:hint="eastAsia" w:ascii="仿宋" w:hAnsi="仿宋" w:eastAsia="仿宋" w:cs="仿宋"/>
          <w:color w:val="auto"/>
          <w:sz w:val="24"/>
          <w:szCs w:val="24"/>
          <w:highlight w:val="none"/>
          <w:lang w:eastAsia="zh-CN"/>
        </w:rPr>
      </w:pPr>
    </w:p>
    <w:p w14:paraId="47FA1798">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总面积</w:t>
      </w:r>
      <w:r>
        <w:rPr>
          <w:rFonts w:hint="eastAsia" w:ascii="仿宋" w:hAnsi="仿宋" w:eastAsia="仿宋" w:cs="仿宋"/>
          <w:color w:val="auto"/>
          <w:sz w:val="24"/>
          <w:szCs w:val="24"/>
          <w:highlight w:val="none"/>
          <w:lang w:eastAsia="zh-CN"/>
        </w:rPr>
        <w:t>按照产权证（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租凭合同）上标注填写；具体位置按照高德地图上显示的名称填写；可停车面积按照实际测量的数据，如实填写，并提供单位书面承诺说明。场地属自有，但产权证标注非自有单位的，须有足够依据证明（购买发票、转让协议、支付凭证等）。</w:t>
      </w:r>
    </w:p>
    <w:p w14:paraId="08218C12">
      <w:pPr>
        <w:pageBreakBefore w:val="0"/>
        <w:tabs>
          <w:tab w:val="left" w:pos="2340"/>
        </w:tabs>
        <w:kinsoku/>
        <w:wordWrap/>
        <w:overflowPunct/>
        <w:topLinePunct w:val="0"/>
        <w:bidi w:val="0"/>
        <w:adjustRightInd/>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（三）车辆保障要求</w:t>
      </w:r>
      <w:r>
        <w:rPr>
          <w:rFonts w:hint="eastAsia" w:ascii="仿宋" w:hAnsi="仿宋" w:eastAsia="仿宋" w:cs="仿宋"/>
          <w:b/>
          <w:color w:val="auto"/>
          <w:spacing w:val="-4"/>
          <w:sz w:val="24"/>
          <w:szCs w:val="24"/>
          <w:highlight w:val="none"/>
        </w:rPr>
        <w:t>：</w:t>
      </w:r>
    </w:p>
    <w:p w14:paraId="510657FE">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每个点位须具有项目实施所需非载货专项作业车2辆（即黄牌拖车）、轻型货车（含轻型非载货专项作业车）1辆、叉车、铲车或挖掘机1辆（用于配合车辆在场地内卸货时使用），根据车辆行驶</w:t>
      </w:r>
      <w:r>
        <w:rPr>
          <w:rFonts w:hint="eastAsia" w:ascii="仿宋" w:hAnsi="仿宋" w:eastAsia="仿宋" w:cs="仿宋"/>
          <w:b w:val="0"/>
          <w:bCs/>
          <w:color w:val="auto"/>
          <w:sz w:val="24"/>
          <w:szCs w:val="24"/>
          <w:highlight w:val="none"/>
        </w:rPr>
        <w:t>证（含发票、合格证、登记证书）车辆类型标注进行区别，各类车使用功能根据车辆行驶证（含发票、合格证、登记证书）标注的信息及车辆照片进行区别。</w:t>
      </w:r>
    </w:p>
    <w:p w14:paraId="01019C31">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若车辆所属情况为单位自有，需提供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w:t>
      </w:r>
      <w:r>
        <w:rPr>
          <w:rFonts w:hint="eastAsia" w:ascii="仿宋" w:hAnsi="仿宋" w:eastAsia="仿宋" w:cs="仿宋"/>
          <w:bCs/>
          <w:color w:val="auto"/>
          <w:sz w:val="24"/>
          <w:szCs w:val="24"/>
          <w:highlight w:val="none"/>
          <w:lang w:eastAsia="zh-CN"/>
        </w:rPr>
        <w:t>发票、</w:t>
      </w:r>
      <w:r>
        <w:rPr>
          <w:rFonts w:hint="eastAsia" w:ascii="仿宋" w:hAnsi="仿宋" w:eastAsia="仿宋" w:cs="仿宋"/>
          <w:bCs/>
          <w:color w:val="auto"/>
          <w:sz w:val="24"/>
          <w:szCs w:val="24"/>
          <w:highlight w:val="none"/>
        </w:rPr>
        <w:t>合格证）复印件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等证明车辆所属情况证明；若车辆所属情况为租赁的，需提供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车辆行驶证（含合格证）复印件及租赁合同证明资料，其租赁期不得少于本项目的服务期限；如服务车辆已租赁且在租赁期内，中标单位同样应保证承诺租赁服务期不少于本项目的服务期限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并</w:t>
      </w:r>
      <w:r>
        <w:rPr>
          <w:rFonts w:hint="eastAsia" w:ascii="仿宋" w:hAnsi="仿宋" w:eastAsia="仿宋" w:cs="仿宋"/>
          <w:bCs/>
          <w:color w:val="auto"/>
          <w:sz w:val="24"/>
          <w:szCs w:val="24"/>
          <w:highlight w:val="none"/>
        </w:rPr>
        <w:t>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（承诺文件格式自拟，不提供则作无效处理）</w:t>
      </w:r>
    </w:p>
    <w:p w14:paraId="2B796842">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施救车辆</w:t>
      </w:r>
      <w:r>
        <w:rPr>
          <w:rFonts w:hint="eastAsia" w:ascii="仿宋" w:hAnsi="仿宋" w:eastAsia="仿宋" w:cs="仿宋"/>
          <w:color w:val="auto"/>
          <w:sz w:val="24"/>
          <w:szCs w:val="24"/>
          <w:highlight w:val="none"/>
          <w:lang w:eastAsia="zh-CN"/>
        </w:rPr>
        <w:t>的相关基本情况说明</w:t>
      </w:r>
      <w:r>
        <w:rPr>
          <w:rFonts w:hint="eastAsia" w:ascii="仿宋" w:hAnsi="仿宋" w:eastAsia="仿宋" w:cs="仿宋"/>
          <w:bCs/>
          <w:color w:val="auto"/>
          <w:sz w:val="24"/>
          <w:szCs w:val="24"/>
          <w:highlight w:val="none"/>
        </w:rPr>
        <w:t>（在投标时提供，格式如下）：</w:t>
      </w:r>
    </w:p>
    <w:tbl>
      <w:tblPr>
        <w:tblStyle w:val="10"/>
        <w:tblW w:w="8855"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33"/>
        <w:gridCol w:w="739"/>
        <w:gridCol w:w="796"/>
        <w:gridCol w:w="911"/>
        <w:gridCol w:w="1415"/>
        <w:gridCol w:w="1594"/>
        <w:gridCol w:w="1453"/>
        <w:gridCol w:w="609"/>
      </w:tblGrid>
      <w:tr w14:paraId="7F19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05" w:type="dxa"/>
            <w:noWrap w:val="0"/>
            <w:vAlign w:val="center"/>
          </w:tcPr>
          <w:p w14:paraId="1BC0258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33" w:type="dxa"/>
            <w:noWrap w:val="0"/>
            <w:vAlign w:val="center"/>
          </w:tcPr>
          <w:p w14:paraId="4299041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739" w:type="dxa"/>
            <w:noWrap w:val="0"/>
            <w:vAlign w:val="center"/>
          </w:tcPr>
          <w:p w14:paraId="32715C5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车辆类型</w:t>
            </w:r>
          </w:p>
        </w:tc>
        <w:tc>
          <w:tcPr>
            <w:tcW w:w="796" w:type="dxa"/>
            <w:noWrap w:val="0"/>
            <w:vAlign w:val="center"/>
          </w:tcPr>
          <w:p w14:paraId="42CBBA3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车牌号码</w:t>
            </w:r>
          </w:p>
        </w:tc>
        <w:tc>
          <w:tcPr>
            <w:tcW w:w="911" w:type="dxa"/>
            <w:noWrap w:val="0"/>
            <w:vAlign w:val="center"/>
          </w:tcPr>
          <w:p w14:paraId="04E7388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载荷（吨）</w:t>
            </w:r>
          </w:p>
        </w:tc>
        <w:tc>
          <w:tcPr>
            <w:tcW w:w="1415" w:type="dxa"/>
            <w:noWrap w:val="0"/>
            <w:vAlign w:val="center"/>
          </w:tcPr>
          <w:p w14:paraId="65491F2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使用功能</w:t>
            </w:r>
          </w:p>
        </w:tc>
        <w:tc>
          <w:tcPr>
            <w:tcW w:w="1594" w:type="dxa"/>
            <w:noWrap w:val="0"/>
            <w:vAlign w:val="center"/>
          </w:tcPr>
          <w:p w14:paraId="1A7C39B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453" w:type="dxa"/>
            <w:noWrap w:val="0"/>
            <w:vAlign w:val="center"/>
          </w:tcPr>
          <w:p w14:paraId="1748172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609" w:type="dxa"/>
            <w:noWrap w:val="0"/>
            <w:vAlign w:val="center"/>
          </w:tcPr>
          <w:p w14:paraId="384F49D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14:paraId="1721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05" w:type="dxa"/>
            <w:noWrap w:val="0"/>
            <w:vAlign w:val="top"/>
          </w:tcPr>
          <w:p w14:paraId="0078BDB0">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33" w:type="dxa"/>
            <w:noWrap w:val="0"/>
            <w:vAlign w:val="top"/>
          </w:tcPr>
          <w:p w14:paraId="2C6BF8F4">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39" w:type="dxa"/>
            <w:noWrap w:val="0"/>
            <w:vAlign w:val="top"/>
          </w:tcPr>
          <w:p w14:paraId="082F558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96" w:type="dxa"/>
            <w:noWrap w:val="0"/>
            <w:vAlign w:val="top"/>
          </w:tcPr>
          <w:p w14:paraId="28E27EC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911" w:type="dxa"/>
            <w:noWrap w:val="0"/>
            <w:vAlign w:val="top"/>
          </w:tcPr>
          <w:p w14:paraId="60EE5110">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415" w:type="dxa"/>
            <w:noWrap w:val="0"/>
            <w:vAlign w:val="top"/>
          </w:tcPr>
          <w:p w14:paraId="5519892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594" w:type="dxa"/>
            <w:noWrap w:val="0"/>
            <w:vAlign w:val="top"/>
          </w:tcPr>
          <w:p w14:paraId="73D3828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453" w:type="dxa"/>
            <w:noWrap w:val="0"/>
            <w:vAlign w:val="top"/>
          </w:tcPr>
          <w:p w14:paraId="0B56EB9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609" w:type="dxa"/>
            <w:noWrap w:val="0"/>
            <w:vAlign w:val="top"/>
          </w:tcPr>
          <w:p w14:paraId="01DF025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r>
    </w:tbl>
    <w:p w14:paraId="2B707980">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注：所有人、车辆类型、车牌号码等内容按行驶证（发票、合格证）上标注填写；车辆使用功能为拖车的，载荷为行驶证上</w:t>
      </w:r>
      <w:r>
        <w:rPr>
          <w:rFonts w:hint="eastAsia" w:ascii="仿宋" w:hAnsi="仿宋" w:eastAsia="仿宋" w:cs="仿宋"/>
          <w:color w:val="auto"/>
          <w:kern w:val="2"/>
          <w:sz w:val="24"/>
          <w:szCs w:val="24"/>
          <w:highlight w:val="none"/>
          <w:vertAlign w:val="baseline"/>
          <w:lang w:val="en-US" w:eastAsia="zh-CN" w:bidi="ar-SA"/>
        </w:rPr>
        <w:t>核定载质量；车辆</w:t>
      </w:r>
      <w:r>
        <w:rPr>
          <w:rFonts w:hint="eastAsia" w:ascii="仿宋" w:hAnsi="仿宋" w:eastAsia="仿宋" w:cs="仿宋"/>
          <w:color w:val="auto"/>
          <w:sz w:val="24"/>
          <w:szCs w:val="24"/>
          <w:highlight w:val="none"/>
          <w:lang w:eastAsia="zh-CN"/>
        </w:rPr>
        <w:t>使用功能为吊车、叉车、铲车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的，载荷为吊、叉、铲车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所作用的吨位，如实填写，并提供显示作用吨位的铭牌或合格证照片。车辆属自有，但行驶证（发票）上所有人非自有单位的，须有足够依据证明（购买发票、转让协议、支付凭证等）。</w:t>
      </w:r>
    </w:p>
    <w:p w14:paraId="67E77C9B">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四）人</w:t>
      </w:r>
      <w:r>
        <w:rPr>
          <w:rFonts w:hint="eastAsia" w:ascii="仿宋" w:hAnsi="仿宋" w:eastAsia="仿宋" w:cs="仿宋"/>
          <w:b/>
          <w:color w:val="auto"/>
          <w:sz w:val="24"/>
          <w:szCs w:val="24"/>
          <w:highlight w:val="none"/>
        </w:rPr>
        <w:t>员保障要求：</w:t>
      </w:r>
    </w:p>
    <w:p w14:paraId="39C4FD5A">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每个点位服务区域范围内必须独立配置的驾驶人员及后勤保障人员不少于8人（其中</w:t>
      </w:r>
      <w:r>
        <w:rPr>
          <w:rFonts w:hint="eastAsia" w:ascii="仿宋" w:hAnsi="仿宋" w:eastAsia="仿宋" w:cs="仿宋"/>
          <w:bCs/>
          <w:color w:val="auto"/>
          <w:sz w:val="24"/>
          <w:szCs w:val="24"/>
          <w:highlight w:val="none"/>
        </w:rPr>
        <w:t>驾驶员</w:t>
      </w:r>
      <w:r>
        <w:rPr>
          <w:rFonts w:hint="eastAsia" w:ascii="仿宋" w:hAnsi="仿宋" w:eastAsia="仿宋" w:cs="仿宋"/>
          <w:color w:val="auto"/>
          <w:sz w:val="24"/>
          <w:szCs w:val="24"/>
          <w:highlight w:val="none"/>
        </w:rPr>
        <w:t>4人</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持准驾车型A2驾驶证的驾驶员不少于1名）。</w:t>
      </w:r>
    </w:p>
    <w:p w14:paraId="122A6DE7">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lang w:eastAsia="zh-CN"/>
        </w:rPr>
        <w:t>有关人员的基本情况的说明</w:t>
      </w:r>
      <w:r>
        <w:rPr>
          <w:rFonts w:hint="eastAsia" w:ascii="仿宋" w:hAnsi="仿宋" w:eastAsia="仿宋" w:cs="仿宋"/>
          <w:bCs/>
          <w:color w:val="auto"/>
          <w:sz w:val="24"/>
          <w:szCs w:val="24"/>
          <w:highlight w:val="none"/>
        </w:rPr>
        <w:t>（在投标时提供，格式如下）：</w:t>
      </w:r>
    </w:p>
    <w:tbl>
      <w:tblPr>
        <w:tblStyle w:val="9"/>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20"/>
        <w:gridCol w:w="720"/>
        <w:gridCol w:w="807"/>
        <w:gridCol w:w="1533"/>
        <w:gridCol w:w="836"/>
        <w:gridCol w:w="1101"/>
        <w:gridCol w:w="740"/>
        <w:gridCol w:w="821"/>
        <w:gridCol w:w="1702"/>
        <w:gridCol w:w="872"/>
      </w:tblGrid>
      <w:tr w14:paraId="1258C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527" w:type="dxa"/>
            <w:noWrap/>
            <w:vAlign w:val="center"/>
          </w:tcPr>
          <w:p w14:paraId="0088BDE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0" w:type="dxa"/>
            <w:noWrap/>
            <w:vAlign w:val="center"/>
          </w:tcPr>
          <w:p w14:paraId="78944F2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20" w:type="dxa"/>
            <w:noWrap/>
            <w:vAlign w:val="center"/>
          </w:tcPr>
          <w:p w14:paraId="5D7153E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807" w:type="dxa"/>
            <w:noWrap/>
            <w:vAlign w:val="center"/>
          </w:tcPr>
          <w:p w14:paraId="3CA0144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1533" w:type="dxa"/>
            <w:noWrap/>
            <w:vAlign w:val="center"/>
          </w:tcPr>
          <w:p w14:paraId="54736C3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证件名称</w:t>
            </w:r>
          </w:p>
          <w:p w14:paraId="0E5E695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（如：驾驶证、操作证等）</w:t>
            </w:r>
          </w:p>
        </w:tc>
        <w:tc>
          <w:tcPr>
            <w:tcW w:w="836" w:type="dxa"/>
            <w:noWrap/>
            <w:vAlign w:val="center"/>
          </w:tcPr>
          <w:p w14:paraId="32D4B4C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1101" w:type="dxa"/>
            <w:noWrap/>
            <w:vAlign w:val="center"/>
          </w:tcPr>
          <w:p w14:paraId="0F0ED62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740" w:type="dxa"/>
            <w:noWrap/>
            <w:vAlign w:val="center"/>
          </w:tcPr>
          <w:p w14:paraId="7C51174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pacing w:val="-4"/>
                <w:sz w:val="24"/>
                <w:szCs w:val="24"/>
                <w:highlight w:val="none"/>
              </w:rPr>
              <w:t>劳动合同</w:t>
            </w:r>
          </w:p>
        </w:tc>
        <w:tc>
          <w:tcPr>
            <w:tcW w:w="821" w:type="dxa"/>
            <w:noWrap/>
            <w:vAlign w:val="center"/>
          </w:tcPr>
          <w:p w14:paraId="2BB1733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缴纳社保情况</w:t>
            </w:r>
          </w:p>
        </w:tc>
        <w:tc>
          <w:tcPr>
            <w:tcW w:w="1702" w:type="dxa"/>
            <w:noWrap/>
            <w:vAlign w:val="center"/>
          </w:tcPr>
          <w:p w14:paraId="5BDE6BA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驾驶员、操作人员购买人身意外险情况</w:t>
            </w:r>
          </w:p>
        </w:tc>
        <w:tc>
          <w:tcPr>
            <w:tcW w:w="872" w:type="dxa"/>
            <w:noWrap/>
            <w:vAlign w:val="center"/>
          </w:tcPr>
          <w:p w14:paraId="0EB015A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58D59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27" w:type="dxa"/>
            <w:noWrap/>
            <w:vAlign w:val="center"/>
          </w:tcPr>
          <w:p w14:paraId="29AE6A1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20" w:type="dxa"/>
            <w:noWrap/>
            <w:vAlign w:val="center"/>
          </w:tcPr>
          <w:p w14:paraId="159C22C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20" w:type="dxa"/>
            <w:noWrap/>
            <w:vAlign w:val="center"/>
          </w:tcPr>
          <w:p w14:paraId="20A94E5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07" w:type="dxa"/>
            <w:noWrap/>
            <w:vAlign w:val="center"/>
          </w:tcPr>
          <w:p w14:paraId="2701363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533" w:type="dxa"/>
            <w:noWrap/>
            <w:vAlign w:val="center"/>
          </w:tcPr>
          <w:p w14:paraId="7C7E8C2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36" w:type="dxa"/>
            <w:noWrap/>
            <w:vAlign w:val="center"/>
          </w:tcPr>
          <w:p w14:paraId="7F56CA2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101" w:type="dxa"/>
            <w:noWrap/>
            <w:vAlign w:val="center"/>
          </w:tcPr>
          <w:p w14:paraId="402CF9A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40" w:type="dxa"/>
            <w:noWrap/>
            <w:vAlign w:val="center"/>
          </w:tcPr>
          <w:p w14:paraId="112526B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21" w:type="dxa"/>
            <w:noWrap/>
            <w:vAlign w:val="center"/>
          </w:tcPr>
          <w:p w14:paraId="1089FC5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702" w:type="dxa"/>
            <w:noWrap/>
            <w:vAlign w:val="center"/>
          </w:tcPr>
          <w:p w14:paraId="4BD87BE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72" w:type="dxa"/>
            <w:noWrap/>
            <w:vAlign w:val="center"/>
          </w:tcPr>
          <w:p w14:paraId="588DC46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r>
    </w:tbl>
    <w:p w14:paraId="60557EB2">
      <w:pPr>
        <w:pageBreakBefore w:val="0"/>
        <w:tabs>
          <w:tab w:val="left" w:pos="2340"/>
        </w:tabs>
        <w:kinsoku/>
        <w:wordWrap/>
        <w:overflowPunct/>
        <w:topLinePunct w:val="0"/>
        <w:bidi w:val="0"/>
        <w:adjustRightInd/>
        <w:spacing w:line="480" w:lineRule="exact"/>
        <w:rPr>
          <w:rFonts w:hint="eastAsia" w:ascii="仿宋" w:hAnsi="仿宋" w:eastAsia="仿宋" w:cs="仿宋"/>
          <w:b w:val="0"/>
          <w:bCs w:val="0"/>
          <w:color w:val="auto"/>
          <w:spacing w:val="-4"/>
          <w:sz w:val="24"/>
          <w:szCs w:val="24"/>
          <w:highlight w:val="none"/>
          <w:lang w:eastAsia="zh-CN"/>
        </w:rPr>
      </w:pPr>
      <w:r>
        <w:rPr>
          <w:rFonts w:hint="eastAsia" w:ascii="仿宋" w:hAnsi="仿宋" w:eastAsia="仿宋" w:cs="仿宋"/>
          <w:b w:val="0"/>
          <w:bCs w:val="0"/>
          <w:color w:val="auto"/>
          <w:spacing w:val="-4"/>
          <w:sz w:val="24"/>
          <w:szCs w:val="24"/>
          <w:highlight w:val="none"/>
        </w:rPr>
        <w:t>注：需提供从业人员劳动合同、</w:t>
      </w:r>
      <w:r>
        <w:rPr>
          <w:rFonts w:hint="eastAsia" w:ascii="仿宋" w:hAnsi="仿宋" w:eastAsia="仿宋" w:cs="仿宋"/>
          <w:b w:val="0"/>
          <w:bCs w:val="0"/>
          <w:color w:val="auto"/>
          <w:spacing w:val="-4"/>
          <w:sz w:val="24"/>
          <w:szCs w:val="24"/>
          <w:highlight w:val="none"/>
          <w:lang w:eastAsia="zh-CN"/>
        </w:rPr>
        <w:t>身份证、有关证书（</w:t>
      </w:r>
      <w:r>
        <w:rPr>
          <w:rFonts w:hint="eastAsia" w:ascii="仿宋" w:hAnsi="仿宋" w:eastAsia="仿宋" w:cs="仿宋"/>
          <w:b w:val="0"/>
          <w:bCs w:val="0"/>
          <w:color w:val="auto"/>
          <w:spacing w:val="-4"/>
          <w:sz w:val="24"/>
          <w:szCs w:val="24"/>
          <w:highlight w:val="none"/>
        </w:rPr>
        <w:t>驾驶证</w:t>
      </w:r>
      <w:r>
        <w:rPr>
          <w:rFonts w:hint="eastAsia" w:ascii="仿宋" w:hAnsi="仿宋" w:eastAsia="仿宋" w:cs="仿宋"/>
          <w:b w:val="0"/>
          <w:bCs w:val="0"/>
          <w:color w:val="auto"/>
          <w:spacing w:val="-4"/>
          <w:sz w:val="24"/>
          <w:szCs w:val="24"/>
          <w:highlight w:val="none"/>
          <w:lang w:eastAsia="zh-CN"/>
        </w:rPr>
        <w:t>、操作证）</w:t>
      </w:r>
      <w:r>
        <w:rPr>
          <w:rFonts w:hint="eastAsia" w:ascii="仿宋" w:hAnsi="仿宋" w:eastAsia="仿宋" w:cs="仿宋"/>
          <w:b w:val="0"/>
          <w:bCs w:val="0"/>
          <w:color w:val="auto"/>
          <w:spacing w:val="-4"/>
          <w:sz w:val="24"/>
          <w:szCs w:val="24"/>
          <w:highlight w:val="none"/>
        </w:rPr>
        <w:t>、社保证明、购买保险证明等相关材料。</w:t>
      </w:r>
      <w:r>
        <w:rPr>
          <w:rFonts w:hint="eastAsia" w:ascii="仿宋" w:hAnsi="仿宋" w:eastAsia="仿宋" w:cs="仿宋"/>
          <w:b w:val="0"/>
          <w:bCs w:val="0"/>
          <w:color w:val="auto"/>
          <w:spacing w:val="-4"/>
          <w:sz w:val="24"/>
          <w:szCs w:val="24"/>
          <w:highlight w:val="none"/>
          <w:lang w:eastAsia="zh-CN"/>
        </w:rPr>
        <w:t>如同一人具有两个或以上证书的，在证明名称和证书编号栏中分别注明。</w:t>
      </w:r>
    </w:p>
    <w:p w14:paraId="3DDD05EC">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pacing w:val="-4"/>
          <w:sz w:val="24"/>
          <w:szCs w:val="24"/>
          <w:highlight w:val="none"/>
        </w:rPr>
        <w:t>（</w:t>
      </w:r>
      <w:r>
        <w:rPr>
          <w:rFonts w:hint="eastAsia" w:ascii="仿宋" w:hAnsi="仿宋" w:eastAsia="仿宋" w:cs="仿宋"/>
          <w:b/>
          <w:bCs/>
          <w:color w:val="auto"/>
          <w:sz w:val="24"/>
          <w:szCs w:val="24"/>
          <w:highlight w:val="none"/>
        </w:rPr>
        <w:t>五）通讯保障要求：</w:t>
      </w:r>
    </w:p>
    <w:p w14:paraId="5ED006C9">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与采购人通讯系统兼容的通讯网络系统及相应设备，保证成交供应商、各清障施救车辆与采购人之间的通讯需要；所有车辆必须配备卫星定位装置、行车记录仪，并保证中标后能够接入采购人的涉案停车场管理平台（须在响应文件中自行承诺，格式自拟）。</w:t>
      </w:r>
    </w:p>
    <w:p w14:paraId="504F4308">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六）安全保障要求：</w:t>
      </w:r>
    </w:p>
    <w:p w14:paraId="22F21A10">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每个点位保管场地须严格落实治安消防安全管理措施，制定相关制度，配备封闭式围墙、防盗监控系统、消防灭火设备、防火隔离通道等设施，每个点位保管场地有效意外损失保险必须在1000万元（含）以上（须在响应文件中自行承诺，格式自拟）。</w:t>
      </w:r>
    </w:p>
    <w:p w14:paraId="0DD09C18">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每个点位保管场地车辆出入口必须安装道闸及监控，落实保安员24小时看管，车辆停放位区域必须安装监控,并应确保对整个保管场地的无死角监控，监控系统还必须接入采购人的视频汇聚平台（须在响应文件中自行承诺，格式自拟）。</w:t>
      </w:r>
    </w:p>
    <w:p w14:paraId="07F45E08">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七）称重保障要求：</w:t>
      </w:r>
    </w:p>
    <w:p w14:paraId="67072A47">
      <w:pPr>
        <w:pStyle w:val="14"/>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rPr>
        <w:t>个保管场地</w:t>
      </w:r>
      <w:r>
        <w:rPr>
          <w:rFonts w:hint="eastAsia" w:ascii="仿宋" w:hAnsi="仿宋" w:eastAsia="仿宋" w:cs="仿宋"/>
          <w:color w:val="auto"/>
          <w:sz w:val="24"/>
          <w:szCs w:val="24"/>
          <w:highlight w:val="none"/>
          <w:lang w:eastAsia="zh-CN"/>
        </w:rPr>
        <w:t>内部必须</w:t>
      </w:r>
      <w:r>
        <w:rPr>
          <w:rFonts w:hint="eastAsia" w:ascii="仿宋" w:hAnsi="仿宋" w:eastAsia="仿宋" w:cs="仿宋"/>
          <w:bCs/>
          <w:color w:val="auto"/>
          <w:sz w:val="24"/>
          <w:szCs w:val="24"/>
          <w:highlight w:val="none"/>
        </w:rPr>
        <w:t>配套</w:t>
      </w:r>
      <w:r>
        <w:rPr>
          <w:rFonts w:hint="eastAsia" w:ascii="仿宋" w:hAnsi="仿宋" w:eastAsia="仿宋" w:cs="仿宋"/>
          <w:color w:val="auto"/>
          <w:sz w:val="24"/>
          <w:szCs w:val="24"/>
          <w:highlight w:val="none"/>
        </w:rPr>
        <w:t>设置过磅设备（承载不少于100吨），并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经主管部门鉴定合格，同时该设备必须在监控覆盖范围内。</w:t>
      </w:r>
    </w:p>
    <w:p w14:paraId="4C107187">
      <w:pPr>
        <w:pStyle w:val="14"/>
        <w:keepNext w:val="0"/>
        <w:keepLines w:val="0"/>
        <w:pageBreakBefore w:val="0"/>
        <w:widowControl w:val="0"/>
        <w:kinsoku/>
        <w:wordWrap/>
        <w:overflowPunct/>
        <w:topLinePunct w:val="0"/>
        <w:autoSpaceDE/>
        <w:autoSpaceDN/>
        <w:bidi w:val="0"/>
        <w:adjustRightInd/>
        <w:snapToGrid/>
        <w:spacing w:before="120"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若过磅设备所属情况为单位自有，需提供设备照片（体现设备全貌的前后侧面彩色照片）、设备来源（含发票、合格证）、检定证书复印件等证明设备所属情况证明；若过磅设备所属情况为租赁的，需提供设备照片（体现设备全貌的前后侧面彩色照片）、设备来源（含发票、合格证）、检定证书复印件及租赁合同证明资料，其租赁期不得少于本项目的服务期限；如过磅设备已租赁且在租赁期内，中标单位同样应保证承诺租赁服务期不少于本项目的服务期限,并需提供设备照片（体现设备全貌的前后侧面彩色照片）、设备来源（含发票、合格证）、检定证书复印件及租赁合同证明资料。</w:t>
      </w:r>
    </w:p>
    <w:p w14:paraId="5461C0AB">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过磅设备的相关基本情况说明（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685"/>
        <w:gridCol w:w="993"/>
        <w:gridCol w:w="1115"/>
        <w:gridCol w:w="1194"/>
        <w:gridCol w:w="1084"/>
        <w:gridCol w:w="1555"/>
        <w:gridCol w:w="1017"/>
      </w:tblGrid>
      <w:tr w14:paraId="3869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6" w:type="dxa"/>
            <w:noWrap w:val="0"/>
            <w:vAlign w:val="center"/>
          </w:tcPr>
          <w:p w14:paraId="0AB7385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685" w:type="dxa"/>
            <w:noWrap w:val="0"/>
            <w:vAlign w:val="center"/>
          </w:tcPr>
          <w:p w14:paraId="6CF0835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993" w:type="dxa"/>
            <w:noWrap w:val="0"/>
            <w:vAlign w:val="center"/>
          </w:tcPr>
          <w:p w14:paraId="43DF4EE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安装位置</w:t>
            </w:r>
          </w:p>
        </w:tc>
        <w:tc>
          <w:tcPr>
            <w:tcW w:w="1115" w:type="dxa"/>
            <w:noWrap w:val="0"/>
            <w:vAlign w:val="center"/>
          </w:tcPr>
          <w:p w14:paraId="02BD852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型号/规格</w:t>
            </w:r>
          </w:p>
        </w:tc>
        <w:tc>
          <w:tcPr>
            <w:tcW w:w="1194" w:type="dxa"/>
            <w:noWrap w:val="0"/>
            <w:vAlign w:val="center"/>
          </w:tcPr>
          <w:p w14:paraId="295DCB3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载荷（吨位）</w:t>
            </w:r>
          </w:p>
        </w:tc>
        <w:tc>
          <w:tcPr>
            <w:tcW w:w="1084" w:type="dxa"/>
            <w:noWrap w:val="0"/>
            <w:vAlign w:val="center"/>
          </w:tcPr>
          <w:p w14:paraId="1091A88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检定有效期</w:t>
            </w:r>
          </w:p>
        </w:tc>
        <w:tc>
          <w:tcPr>
            <w:tcW w:w="1555" w:type="dxa"/>
            <w:noWrap w:val="0"/>
            <w:vAlign w:val="center"/>
          </w:tcPr>
          <w:p w14:paraId="0E3BF1A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017" w:type="dxa"/>
            <w:noWrap w:val="0"/>
            <w:vAlign w:val="center"/>
          </w:tcPr>
          <w:p w14:paraId="3199E2B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64A7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706" w:type="dxa"/>
            <w:noWrap w:val="0"/>
            <w:vAlign w:val="top"/>
          </w:tcPr>
          <w:p w14:paraId="6CF7E7E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685" w:type="dxa"/>
            <w:noWrap w:val="0"/>
            <w:vAlign w:val="top"/>
          </w:tcPr>
          <w:p w14:paraId="04BC329A">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993" w:type="dxa"/>
            <w:noWrap w:val="0"/>
            <w:vAlign w:val="top"/>
          </w:tcPr>
          <w:p w14:paraId="5984275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115" w:type="dxa"/>
            <w:noWrap w:val="0"/>
            <w:vAlign w:val="top"/>
          </w:tcPr>
          <w:p w14:paraId="468DB97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194" w:type="dxa"/>
            <w:noWrap w:val="0"/>
            <w:vAlign w:val="top"/>
          </w:tcPr>
          <w:p w14:paraId="6A7E01E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84" w:type="dxa"/>
            <w:noWrap w:val="0"/>
            <w:vAlign w:val="top"/>
          </w:tcPr>
          <w:p w14:paraId="36D8BB8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55" w:type="dxa"/>
            <w:noWrap w:val="0"/>
            <w:vAlign w:val="top"/>
          </w:tcPr>
          <w:p w14:paraId="2B8EF25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17" w:type="dxa"/>
            <w:noWrap w:val="0"/>
            <w:vAlign w:val="top"/>
          </w:tcPr>
          <w:p w14:paraId="2E6A268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7D82BCD3">
      <w:pPr>
        <w:pageBreakBefore w:val="0"/>
        <w:tabs>
          <w:tab w:val="left" w:pos="2340"/>
        </w:tabs>
        <w:kinsoku/>
        <w:wordWrap/>
        <w:overflowPunct/>
        <w:topLinePunct w:val="0"/>
        <w:bidi w:val="0"/>
        <w:adjustRightInd/>
        <w:spacing w:line="240" w:lineRule="auto"/>
        <w:rPr>
          <w:rFonts w:hint="eastAsia" w:ascii="仿宋" w:hAnsi="仿宋" w:eastAsia="仿宋" w:cs="仿宋"/>
          <w:color w:val="auto"/>
          <w:sz w:val="24"/>
          <w:szCs w:val="24"/>
          <w:highlight w:val="none"/>
          <w:lang w:eastAsia="zh-CN"/>
        </w:rPr>
      </w:pPr>
    </w:p>
    <w:p w14:paraId="13232173">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型号/规格、检定有效期等内容按照</w:t>
      </w:r>
      <w:r>
        <w:rPr>
          <w:rFonts w:hint="eastAsia" w:ascii="仿宋" w:hAnsi="仿宋" w:eastAsia="仿宋" w:cs="仿宋"/>
          <w:color w:val="auto"/>
          <w:sz w:val="24"/>
          <w:szCs w:val="24"/>
          <w:highlight w:val="none"/>
          <w:lang w:eastAsia="zh-CN"/>
        </w:rPr>
        <w:t>检定证书（发票）上标注填写，安装位置须注明安装在停车场地内部或外面。设备属于自有，但检定证书（发票）上所有人非自有单位的，须有足够依据证明（购买发票、转让协议、支付凭证等）。</w:t>
      </w:r>
    </w:p>
    <w:p w14:paraId="411F9161">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28B02CDD">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2C340A05">
      <w:pPr>
        <w:pageBreakBefore w:val="0"/>
        <w:kinsoku/>
        <w:wordWrap/>
        <w:overflowPunct/>
        <w:topLinePunct w:val="0"/>
        <w:bidi w:val="0"/>
        <w:adjustRightInd/>
        <w:spacing w:line="480" w:lineRule="exac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标项2：</w:t>
      </w:r>
      <w:r>
        <w:rPr>
          <w:rFonts w:hint="eastAsia" w:ascii="仿宋" w:hAnsi="仿宋" w:eastAsia="仿宋" w:cs="仿宋"/>
          <w:bCs/>
          <w:color w:val="auto"/>
          <w:sz w:val="24"/>
          <w:szCs w:val="24"/>
          <w:highlight w:val="none"/>
        </w:rPr>
        <w:t>萧山区中片道路交通违法(事故)现场清障、施救及涉案车辆停放管理等服务</w:t>
      </w:r>
    </w:p>
    <w:p w14:paraId="4E298FD4">
      <w:pPr>
        <w:pageBreakBefore w:val="0"/>
        <w:tabs>
          <w:tab w:val="left" w:pos="709"/>
        </w:tabs>
        <w:kinsoku/>
        <w:wordWrap/>
        <w:overflowPunct/>
        <w:topLinePunct w:val="0"/>
        <w:bidi w:val="0"/>
        <w:adjustRightInd/>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1.技术需求： </w:t>
      </w:r>
    </w:p>
    <w:p w14:paraId="7780C1BB">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（一）服务需求： </w:t>
      </w:r>
    </w:p>
    <w:p w14:paraId="7F7E9B4D">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 服务内容及范围：</w:t>
      </w:r>
    </w:p>
    <w:p w14:paraId="6A269A95">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提供不少于3个点位（每个</w:t>
      </w:r>
      <w:r>
        <w:rPr>
          <w:rFonts w:hint="eastAsia" w:ascii="仿宋" w:hAnsi="仿宋" w:eastAsia="仿宋" w:cs="仿宋"/>
          <w:color w:val="auto"/>
          <w:spacing w:val="-4"/>
          <w:sz w:val="24"/>
          <w:szCs w:val="24"/>
          <w:highlight w:val="none"/>
        </w:rPr>
        <w:t>场地实际可以停车面积不少于7000㎡</w:t>
      </w:r>
      <w:r>
        <w:rPr>
          <w:rFonts w:hint="eastAsia" w:ascii="仿宋" w:hAnsi="仿宋" w:eastAsia="仿宋" w:cs="仿宋"/>
          <w:bCs/>
          <w:color w:val="auto"/>
          <w:sz w:val="24"/>
          <w:szCs w:val="24"/>
          <w:highlight w:val="none"/>
        </w:rPr>
        <w:t>）的清障、施救、车辆停放、保管服务及配套的设施设备和服务人员 。</w:t>
      </w:r>
    </w:p>
    <w:p w14:paraId="3D23555F">
      <w:pPr>
        <w:pStyle w:val="14"/>
        <w:pageBreakBefore w:val="0"/>
        <w:kinsoku/>
        <w:wordWrap/>
        <w:overflowPunct/>
        <w:topLinePunct w:val="0"/>
        <w:bidi w:val="0"/>
        <w:adjustRightInd/>
        <w:spacing w:before="120"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所投标项的停车场是属于可以合法停放机动车辆的专用停车场。</w:t>
      </w:r>
    </w:p>
    <w:p w14:paraId="4B3A39A6">
      <w:pPr>
        <w:pStyle w:val="14"/>
        <w:pageBreakBefore w:val="0"/>
        <w:kinsoku/>
        <w:wordWrap/>
        <w:overflowPunct/>
        <w:topLinePunct w:val="0"/>
        <w:bidi w:val="0"/>
        <w:adjustRightInd/>
        <w:spacing w:before="120" w:line="4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本服务包含区公安分局承担交通管理业务的***开展交通管理业务所需的服务范围；后期如下属中队（***）管辖区域调整的，按照调整后的管辖区域确定服务区域范围。</w:t>
      </w:r>
    </w:p>
    <w:p w14:paraId="604E0B9C">
      <w:pPr>
        <w:pStyle w:val="14"/>
        <w:pageBreakBefore w:val="0"/>
        <w:kinsoku/>
        <w:wordWrap/>
        <w:overflowPunct/>
        <w:topLinePunct w:val="0"/>
        <w:bidi w:val="0"/>
        <w:adjustRightInd/>
        <w:spacing w:before="120" w:line="4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提供萧山区公安分局交通警察大队“两非办”开展违法查处车辆的清障、保管服务。</w:t>
      </w:r>
    </w:p>
    <w:p w14:paraId="419E76C9">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二）土地保障要求</w:t>
      </w:r>
      <w:r>
        <w:rPr>
          <w:rFonts w:hint="eastAsia" w:ascii="仿宋" w:hAnsi="仿宋" w:eastAsia="仿宋" w:cs="仿宋"/>
          <w:b/>
          <w:color w:val="auto"/>
          <w:spacing w:val="-4"/>
          <w:sz w:val="24"/>
          <w:szCs w:val="24"/>
          <w:highlight w:val="none"/>
        </w:rPr>
        <w:t>：</w:t>
      </w:r>
    </w:p>
    <w:p w14:paraId="6576B16C">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若场地所属情况为</w:t>
      </w:r>
      <w:r>
        <w:rPr>
          <w:rFonts w:hint="eastAsia" w:ascii="仿宋" w:hAnsi="仿宋" w:eastAsia="仿宋" w:cs="仿宋"/>
          <w:color w:val="auto"/>
          <w:spacing w:val="-4"/>
          <w:sz w:val="24"/>
          <w:szCs w:val="24"/>
          <w:highlight w:val="none"/>
        </w:rPr>
        <w:t>成交供应商</w:t>
      </w:r>
      <w:r>
        <w:rPr>
          <w:rFonts w:hint="eastAsia" w:ascii="仿宋" w:hAnsi="仿宋" w:eastAsia="仿宋" w:cs="仿宋"/>
          <w:bCs/>
          <w:color w:val="auto"/>
          <w:sz w:val="24"/>
          <w:szCs w:val="24"/>
          <w:highlight w:val="none"/>
        </w:rPr>
        <w:t>自有，需提供</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现场场地照片（体现整个现场周围情况的方位、场地全貌、场地停车区域、场地进出口等照片）、产权证</w:t>
      </w:r>
      <w:r>
        <w:rPr>
          <w:rFonts w:hint="eastAsia" w:ascii="仿宋" w:hAnsi="仿宋" w:eastAsia="仿宋" w:cs="仿宋"/>
          <w:bCs/>
          <w:color w:val="auto"/>
          <w:sz w:val="24"/>
          <w:szCs w:val="24"/>
          <w:highlight w:val="none"/>
        </w:rPr>
        <w:t>复印件等证明场地所属情况证明（其证明材料中须有明确的停车场地面积）；若场地所属情况为待租赁的，中标单位须承诺在中标公示发布之日起十五个工作日内完成签订场地租用协议或合同</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其租赁服务期不少于本项目的服务期限；如场地已租赁且在租赁期内，中标单位同样应提供相应的租赁合同及</w:t>
      </w:r>
      <w:r>
        <w:rPr>
          <w:rFonts w:hint="eastAsia" w:ascii="仿宋" w:hAnsi="仿宋" w:eastAsia="仿宋" w:cs="仿宋"/>
          <w:color w:val="auto"/>
          <w:sz w:val="24"/>
          <w:szCs w:val="24"/>
          <w:highlight w:val="none"/>
        </w:rPr>
        <w:t>可用于机动车辆停放的政府证明</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等证明材料（其证明材料中须有明确的停车场地面积），并保证承诺租赁服务期不少于本项目的服务期限。</w:t>
      </w:r>
      <w:r>
        <w:rPr>
          <w:rFonts w:hint="eastAsia" w:ascii="仿宋" w:hAnsi="仿宋" w:eastAsia="仿宋" w:cs="仿宋"/>
          <w:bCs/>
          <w:color w:val="auto"/>
          <w:sz w:val="24"/>
          <w:szCs w:val="24"/>
          <w:highlight w:val="none"/>
          <w:lang w:eastAsia="zh-CN"/>
        </w:rPr>
        <w:t>除永久农田保卫线、生态线及其他法律法规禁止使用于车辆停放的场地外，该处场地还需有明确可以用于车辆停放使用的产属证明材料（</w:t>
      </w:r>
      <w:r>
        <w:rPr>
          <w:rFonts w:hint="eastAsia" w:ascii="仿宋" w:hAnsi="仿宋" w:eastAsia="仿宋" w:cs="仿宋"/>
          <w:bCs/>
          <w:color w:val="auto"/>
          <w:sz w:val="24"/>
          <w:szCs w:val="24"/>
          <w:highlight w:val="none"/>
          <w:lang w:val="en-US" w:eastAsia="zh-CN"/>
        </w:rPr>
        <w:t>适用于机动车辆停放）</w:t>
      </w:r>
      <w:r>
        <w:rPr>
          <w:rFonts w:hint="eastAsia" w:ascii="仿宋" w:hAnsi="仿宋" w:eastAsia="仿宋" w:cs="仿宋"/>
          <w:bCs/>
          <w:color w:val="auto"/>
          <w:sz w:val="24"/>
          <w:szCs w:val="24"/>
          <w:highlight w:val="none"/>
          <w:lang w:eastAsia="zh-CN"/>
        </w:rPr>
        <w:t>。</w:t>
      </w:r>
    </w:p>
    <w:p w14:paraId="42970B6E">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承诺文件中须包括场地具体点位地址，具体场地总面积及可停车面积大小，且附网上电子地图证明截图并能清楚显示场地周边道路情况。</w:t>
      </w:r>
      <w:r>
        <w:rPr>
          <w:rFonts w:hint="eastAsia" w:ascii="仿宋" w:hAnsi="仿宋" w:eastAsia="仿宋" w:cs="仿宋"/>
          <w:bCs/>
          <w:color w:val="auto"/>
          <w:sz w:val="24"/>
          <w:szCs w:val="24"/>
          <w:highlight w:val="none"/>
          <w:lang w:eastAsia="zh-CN"/>
        </w:rPr>
        <w:t>各停车场间道路行驶距离需大于</w:t>
      </w:r>
      <w:r>
        <w:rPr>
          <w:rFonts w:hint="eastAsia" w:ascii="仿宋" w:hAnsi="仿宋" w:eastAsia="仿宋" w:cs="仿宋"/>
          <w:bCs/>
          <w:color w:val="auto"/>
          <w:sz w:val="24"/>
          <w:szCs w:val="24"/>
          <w:highlight w:val="none"/>
          <w:lang w:val="en-US" w:eastAsia="zh-CN"/>
        </w:rPr>
        <w:t>10公里。</w:t>
      </w:r>
      <w:r>
        <w:rPr>
          <w:rFonts w:hint="eastAsia" w:ascii="仿宋" w:hAnsi="仿宋" w:eastAsia="仿宋" w:cs="仿宋"/>
          <w:bCs/>
          <w:color w:val="auto"/>
          <w:sz w:val="24"/>
          <w:szCs w:val="24"/>
          <w:highlight w:val="none"/>
        </w:rPr>
        <w:t>（文件格式自拟，未提供承诺文件则作无效处理）</w:t>
      </w:r>
    </w:p>
    <w:p w14:paraId="27A49EF7">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车辆保管场地处地理位置与周边的道路交通等应有利于车辆的进出；停车场所与其他作业区域的平面布置需合理有序。</w:t>
      </w:r>
    </w:p>
    <w:p w14:paraId="366427F2">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保管场地的相关基本情况说明（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736"/>
        <w:gridCol w:w="813"/>
        <w:gridCol w:w="1359"/>
        <w:gridCol w:w="1311"/>
        <w:gridCol w:w="1437"/>
        <w:gridCol w:w="1273"/>
        <w:gridCol w:w="980"/>
      </w:tblGrid>
      <w:tr w14:paraId="031B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3" w:type="dxa"/>
            <w:noWrap w:val="0"/>
            <w:vAlign w:val="center"/>
          </w:tcPr>
          <w:p w14:paraId="45E84CD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88" w:type="dxa"/>
            <w:noWrap w:val="0"/>
            <w:vAlign w:val="center"/>
          </w:tcPr>
          <w:p w14:paraId="6BAE7FA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所有人</w:t>
            </w:r>
          </w:p>
        </w:tc>
        <w:tc>
          <w:tcPr>
            <w:tcW w:w="880" w:type="dxa"/>
            <w:noWrap w:val="0"/>
            <w:vAlign w:val="center"/>
          </w:tcPr>
          <w:p w14:paraId="6AFD418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具体</w:t>
            </w:r>
          </w:p>
          <w:p w14:paraId="571755A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位置</w:t>
            </w:r>
          </w:p>
        </w:tc>
        <w:tc>
          <w:tcPr>
            <w:tcW w:w="1482" w:type="dxa"/>
            <w:noWrap w:val="0"/>
            <w:vAlign w:val="center"/>
          </w:tcPr>
          <w:p w14:paraId="1BC767D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总面积（平方米）</w:t>
            </w:r>
          </w:p>
        </w:tc>
        <w:tc>
          <w:tcPr>
            <w:tcW w:w="1425" w:type="dxa"/>
            <w:noWrap w:val="0"/>
            <w:vAlign w:val="center"/>
          </w:tcPr>
          <w:p w14:paraId="4578944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可停车面积（平方米）</w:t>
            </w:r>
          </w:p>
        </w:tc>
        <w:tc>
          <w:tcPr>
            <w:tcW w:w="1575" w:type="dxa"/>
            <w:noWrap w:val="0"/>
            <w:vAlign w:val="center"/>
          </w:tcPr>
          <w:p w14:paraId="6774EE6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产权性质（自有/租赁）</w:t>
            </w:r>
          </w:p>
        </w:tc>
        <w:tc>
          <w:tcPr>
            <w:tcW w:w="1425" w:type="dxa"/>
            <w:noWrap w:val="0"/>
            <w:vAlign w:val="center"/>
          </w:tcPr>
          <w:p w14:paraId="0716FE8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1078" w:type="dxa"/>
            <w:noWrap w:val="0"/>
            <w:vAlign w:val="center"/>
          </w:tcPr>
          <w:p w14:paraId="02EE8CF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507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3" w:type="dxa"/>
            <w:noWrap w:val="0"/>
            <w:vAlign w:val="top"/>
          </w:tcPr>
          <w:p w14:paraId="59D32FA9">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788" w:type="dxa"/>
            <w:noWrap w:val="0"/>
            <w:vAlign w:val="top"/>
          </w:tcPr>
          <w:p w14:paraId="63397858">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880" w:type="dxa"/>
            <w:noWrap w:val="0"/>
            <w:vAlign w:val="top"/>
          </w:tcPr>
          <w:p w14:paraId="328241E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482" w:type="dxa"/>
            <w:noWrap w:val="0"/>
            <w:vAlign w:val="top"/>
          </w:tcPr>
          <w:p w14:paraId="37F7310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425" w:type="dxa"/>
            <w:noWrap w:val="0"/>
            <w:vAlign w:val="top"/>
          </w:tcPr>
          <w:p w14:paraId="4120E28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75" w:type="dxa"/>
            <w:noWrap w:val="0"/>
            <w:vAlign w:val="top"/>
          </w:tcPr>
          <w:p w14:paraId="4F381DA6">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425" w:type="dxa"/>
            <w:noWrap w:val="0"/>
            <w:vAlign w:val="top"/>
          </w:tcPr>
          <w:p w14:paraId="56AB8036">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78" w:type="dxa"/>
            <w:noWrap w:val="0"/>
            <w:vAlign w:val="top"/>
          </w:tcPr>
          <w:p w14:paraId="38019203">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6F79E89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p>
    <w:p w14:paraId="6DB9DA6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总面积</w:t>
      </w:r>
      <w:r>
        <w:rPr>
          <w:rFonts w:hint="eastAsia" w:ascii="仿宋" w:hAnsi="仿宋" w:eastAsia="仿宋" w:cs="仿宋"/>
          <w:color w:val="auto"/>
          <w:sz w:val="24"/>
          <w:szCs w:val="24"/>
          <w:highlight w:val="none"/>
          <w:lang w:eastAsia="zh-CN"/>
        </w:rPr>
        <w:t>按照产权证（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租凭合同）上标注填写；具体位置按照高德地图上显示的名称填写；可停车面积按照实际测量的数据，如实填写，并提供单位书面承诺说明。场地属自有，但产权证标注非自有单位的，须有足够依据证明（购买发票、转让协议、支付凭证等）。</w:t>
      </w:r>
    </w:p>
    <w:p w14:paraId="3020E4D8">
      <w:pPr>
        <w:pageBreakBefore w:val="0"/>
        <w:tabs>
          <w:tab w:val="left" w:pos="2340"/>
        </w:tabs>
        <w:kinsoku/>
        <w:wordWrap/>
        <w:overflowPunct/>
        <w:topLinePunct w:val="0"/>
        <w:bidi w:val="0"/>
        <w:adjustRightInd/>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（三）车辆保障要求</w:t>
      </w:r>
      <w:r>
        <w:rPr>
          <w:rFonts w:hint="eastAsia" w:ascii="仿宋" w:hAnsi="仿宋" w:eastAsia="仿宋" w:cs="仿宋"/>
          <w:b/>
          <w:color w:val="auto"/>
          <w:spacing w:val="-4"/>
          <w:sz w:val="24"/>
          <w:szCs w:val="24"/>
          <w:highlight w:val="none"/>
        </w:rPr>
        <w:t>：</w:t>
      </w:r>
    </w:p>
    <w:p w14:paraId="09C7862B">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每个点位须具有项目实施所需非载货专项作业车2辆（即黄牌拖车）、轻型货车（含轻型非载货专项作业车）1辆、叉车、铲车或挖掘机1辆（用于配合车辆在场地内卸货时使用），根据车辆行驶</w:t>
      </w:r>
      <w:r>
        <w:rPr>
          <w:rFonts w:hint="eastAsia" w:ascii="仿宋" w:hAnsi="仿宋" w:eastAsia="仿宋" w:cs="仿宋"/>
          <w:b w:val="0"/>
          <w:bCs/>
          <w:color w:val="auto"/>
          <w:sz w:val="24"/>
          <w:szCs w:val="24"/>
          <w:highlight w:val="none"/>
        </w:rPr>
        <w:t>证（含发票、合格证、登记证书）车辆类型标注进行区别，各类车使用功能根据车辆行驶证（含发票、合格证、登记证书）标注的信息及车辆照片进行区别。</w:t>
      </w:r>
    </w:p>
    <w:p w14:paraId="0235A778">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若车辆所属情况为单位自有，需提供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w:t>
      </w:r>
      <w:r>
        <w:rPr>
          <w:rFonts w:hint="eastAsia" w:ascii="仿宋" w:hAnsi="仿宋" w:eastAsia="仿宋" w:cs="仿宋"/>
          <w:bCs/>
          <w:color w:val="auto"/>
          <w:sz w:val="24"/>
          <w:szCs w:val="24"/>
          <w:highlight w:val="none"/>
          <w:lang w:eastAsia="zh-CN"/>
        </w:rPr>
        <w:t>发票、</w:t>
      </w:r>
      <w:r>
        <w:rPr>
          <w:rFonts w:hint="eastAsia" w:ascii="仿宋" w:hAnsi="仿宋" w:eastAsia="仿宋" w:cs="仿宋"/>
          <w:bCs/>
          <w:color w:val="auto"/>
          <w:sz w:val="24"/>
          <w:szCs w:val="24"/>
          <w:highlight w:val="none"/>
        </w:rPr>
        <w:t>合格证）复印件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等证明车辆所属情况证明；若车辆所属情况为租赁的，需提供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车辆行驶证（含合格证）复印件及租赁合同证明资料，其租赁期不得少于本项目的服务期限；如服务车辆已租赁且在租赁期内，中标单位同样应保证承诺租赁服务期不少于本项目的服务期限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并</w:t>
      </w:r>
      <w:r>
        <w:rPr>
          <w:rFonts w:hint="eastAsia" w:ascii="仿宋" w:hAnsi="仿宋" w:eastAsia="仿宋" w:cs="仿宋"/>
          <w:bCs/>
          <w:color w:val="auto"/>
          <w:sz w:val="24"/>
          <w:szCs w:val="24"/>
          <w:highlight w:val="none"/>
        </w:rPr>
        <w:t>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车辆行驶证（含合格证）复印件及租赁合同证明资料。(承诺文件格式自拟，不提供则作无效处理)</w:t>
      </w:r>
    </w:p>
    <w:p w14:paraId="3D611E6B">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施救车辆</w:t>
      </w:r>
      <w:r>
        <w:rPr>
          <w:rFonts w:hint="eastAsia" w:ascii="仿宋" w:hAnsi="仿宋" w:eastAsia="仿宋" w:cs="仿宋"/>
          <w:color w:val="auto"/>
          <w:sz w:val="24"/>
          <w:szCs w:val="24"/>
          <w:highlight w:val="none"/>
          <w:lang w:eastAsia="zh-CN"/>
        </w:rPr>
        <w:t>的相关基本情况说明</w:t>
      </w:r>
      <w:r>
        <w:rPr>
          <w:rFonts w:hint="eastAsia" w:ascii="仿宋" w:hAnsi="仿宋" w:eastAsia="仿宋" w:cs="仿宋"/>
          <w:bCs/>
          <w:color w:val="auto"/>
          <w:sz w:val="24"/>
          <w:szCs w:val="24"/>
          <w:highlight w:val="none"/>
        </w:rPr>
        <w:t>（在投标时提供，格式如下）：</w:t>
      </w:r>
    </w:p>
    <w:tbl>
      <w:tblPr>
        <w:tblStyle w:val="10"/>
        <w:tblW w:w="8837"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733"/>
        <w:gridCol w:w="739"/>
        <w:gridCol w:w="796"/>
        <w:gridCol w:w="1060"/>
        <w:gridCol w:w="1294"/>
        <w:gridCol w:w="1566"/>
        <w:gridCol w:w="1406"/>
        <w:gridCol w:w="638"/>
      </w:tblGrid>
      <w:tr w14:paraId="18B4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trPr>
        <w:tc>
          <w:tcPr>
            <w:tcW w:w="605" w:type="dxa"/>
            <w:noWrap w:val="0"/>
            <w:vAlign w:val="center"/>
          </w:tcPr>
          <w:p w14:paraId="7805E51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33" w:type="dxa"/>
            <w:noWrap w:val="0"/>
            <w:vAlign w:val="center"/>
          </w:tcPr>
          <w:p w14:paraId="28624B5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739" w:type="dxa"/>
            <w:noWrap w:val="0"/>
            <w:vAlign w:val="center"/>
          </w:tcPr>
          <w:p w14:paraId="4A21228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车辆类型</w:t>
            </w:r>
          </w:p>
        </w:tc>
        <w:tc>
          <w:tcPr>
            <w:tcW w:w="796" w:type="dxa"/>
            <w:noWrap w:val="0"/>
            <w:vAlign w:val="center"/>
          </w:tcPr>
          <w:p w14:paraId="2D624DE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车牌号码</w:t>
            </w:r>
          </w:p>
        </w:tc>
        <w:tc>
          <w:tcPr>
            <w:tcW w:w="1060" w:type="dxa"/>
            <w:noWrap w:val="0"/>
            <w:vAlign w:val="center"/>
          </w:tcPr>
          <w:p w14:paraId="3E7BDDA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载荷（吨）</w:t>
            </w:r>
          </w:p>
        </w:tc>
        <w:tc>
          <w:tcPr>
            <w:tcW w:w="1294" w:type="dxa"/>
            <w:noWrap w:val="0"/>
            <w:vAlign w:val="center"/>
          </w:tcPr>
          <w:p w14:paraId="6BE3FC3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使用功能</w:t>
            </w:r>
          </w:p>
        </w:tc>
        <w:tc>
          <w:tcPr>
            <w:tcW w:w="1566" w:type="dxa"/>
            <w:noWrap w:val="0"/>
            <w:vAlign w:val="center"/>
          </w:tcPr>
          <w:p w14:paraId="5F53E0C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406" w:type="dxa"/>
            <w:noWrap w:val="0"/>
            <w:vAlign w:val="center"/>
          </w:tcPr>
          <w:p w14:paraId="57DFC957">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638" w:type="dxa"/>
            <w:noWrap w:val="0"/>
            <w:vAlign w:val="center"/>
          </w:tcPr>
          <w:p w14:paraId="6064FDE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14:paraId="79E5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05" w:type="dxa"/>
            <w:noWrap w:val="0"/>
            <w:vAlign w:val="top"/>
          </w:tcPr>
          <w:p w14:paraId="42B07E6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33" w:type="dxa"/>
            <w:noWrap w:val="0"/>
            <w:vAlign w:val="top"/>
          </w:tcPr>
          <w:p w14:paraId="5013C52A">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39" w:type="dxa"/>
            <w:noWrap w:val="0"/>
            <w:vAlign w:val="top"/>
          </w:tcPr>
          <w:p w14:paraId="3C0B56E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96" w:type="dxa"/>
            <w:noWrap w:val="0"/>
            <w:vAlign w:val="top"/>
          </w:tcPr>
          <w:p w14:paraId="6BB32DE6">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060" w:type="dxa"/>
            <w:noWrap w:val="0"/>
            <w:vAlign w:val="top"/>
          </w:tcPr>
          <w:p w14:paraId="52E367A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294" w:type="dxa"/>
            <w:noWrap w:val="0"/>
            <w:vAlign w:val="top"/>
          </w:tcPr>
          <w:p w14:paraId="6877E68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566" w:type="dxa"/>
            <w:noWrap w:val="0"/>
            <w:vAlign w:val="top"/>
          </w:tcPr>
          <w:p w14:paraId="048F8B84">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406" w:type="dxa"/>
            <w:noWrap w:val="0"/>
            <w:vAlign w:val="top"/>
          </w:tcPr>
          <w:p w14:paraId="0C91D9F9">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638" w:type="dxa"/>
            <w:noWrap w:val="0"/>
            <w:vAlign w:val="top"/>
          </w:tcPr>
          <w:p w14:paraId="52BFC61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r>
    </w:tbl>
    <w:p w14:paraId="35BD777A">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注：所有人、车辆类型、车牌号码等内容按行驶证（发票、合格证）上标注填写；车辆使用功能为拖车的，载荷为行驶证上</w:t>
      </w:r>
      <w:r>
        <w:rPr>
          <w:rFonts w:hint="eastAsia" w:ascii="仿宋" w:hAnsi="仿宋" w:eastAsia="仿宋" w:cs="仿宋"/>
          <w:color w:val="auto"/>
          <w:kern w:val="2"/>
          <w:sz w:val="24"/>
          <w:szCs w:val="24"/>
          <w:highlight w:val="none"/>
          <w:vertAlign w:val="baseline"/>
          <w:lang w:val="en-US" w:eastAsia="zh-CN" w:bidi="ar-SA"/>
        </w:rPr>
        <w:t>核定载质量；车辆</w:t>
      </w:r>
      <w:r>
        <w:rPr>
          <w:rFonts w:hint="eastAsia" w:ascii="仿宋" w:hAnsi="仿宋" w:eastAsia="仿宋" w:cs="仿宋"/>
          <w:color w:val="auto"/>
          <w:sz w:val="24"/>
          <w:szCs w:val="24"/>
          <w:highlight w:val="none"/>
          <w:lang w:eastAsia="zh-CN"/>
        </w:rPr>
        <w:t>使用功能为吊车、叉车、铲车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的，载荷为吊、叉、铲车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所作用的吨位，如实填写，并提供显示作用吨位的铭牌或合格证照片。车辆属自有，但行驶证（发票）上所有人非自有单位的，须有足够依据证明（购买发票、转让协议、支付凭证等）。</w:t>
      </w:r>
    </w:p>
    <w:p w14:paraId="34BA3520">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四）人</w:t>
      </w:r>
      <w:r>
        <w:rPr>
          <w:rFonts w:hint="eastAsia" w:ascii="仿宋" w:hAnsi="仿宋" w:eastAsia="仿宋" w:cs="仿宋"/>
          <w:b/>
          <w:color w:val="auto"/>
          <w:sz w:val="24"/>
          <w:szCs w:val="24"/>
          <w:highlight w:val="none"/>
        </w:rPr>
        <w:t>员保障要求：</w:t>
      </w:r>
    </w:p>
    <w:p w14:paraId="7EA6DE7B">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每个点位服务区域范围内必须独立配置的驾驶人员及后勤保障人员不少于8人（其中</w:t>
      </w:r>
      <w:r>
        <w:rPr>
          <w:rFonts w:hint="eastAsia" w:ascii="仿宋" w:hAnsi="仿宋" w:eastAsia="仿宋" w:cs="仿宋"/>
          <w:bCs/>
          <w:color w:val="auto"/>
          <w:sz w:val="24"/>
          <w:szCs w:val="24"/>
          <w:highlight w:val="none"/>
        </w:rPr>
        <w:t>驾驶员</w:t>
      </w:r>
      <w:r>
        <w:rPr>
          <w:rFonts w:hint="eastAsia" w:ascii="仿宋" w:hAnsi="仿宋" w:eastAsia="仿宋" w:cs="仿宋"/>
          <w:color w:val="auto"/>
          <w:sz w:val="24"/>
          <w:szCs w:val="24"/>
          <w:highlight w:val="none"/>
        </w:rPr>
        <w:t>4人</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持准驾车型A2驾驶证的驾驶员不少于1名）。</w:t>
      </w:r>
    </w:p>
    <w:p w14:paraId="7EFBAB5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lang w:eastAsia="zh-CN"/>
        </w:rPr>
        <w:t>有关人员的基本情况的说明</w:t>
      </w:r>
      <w:r>
        <w:rPr>
          <w:rFonts w:hint="eastAsia" w:ascii="仿宋" w:hAnsi="仿宋" w:eastAsia="仿宋" w:cs="仿宋"/>
          <w:bCs/>
          <w:color w:val="auto"/>
          <w:sz w:val="24"/>
          <w:szCs w:val="24"/>
          <w:highlight w:val="none"/>
        </w:rPr>
        <w:t>（在投标时提供，格式如下）：</w:t>
      </w:r>
    </w:p>
    <w:tbl>
      <w:tblPr>
        <w:tblStyle w:val="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50"/>
        <w:gridCol w:w="750"/>
        <w:gridCol w:w="731"/>
        <w:gridCol w:w="1472"/>
        <w:gridCol w:w="844"/>
        <w:gridCol w:w="975"/>
        <w:gridCol w:w="844"/>
        <w:gridCol w:w="909"/>
        <w:gridCol w:w="1359"/>
        <w:gridCol w:w="585"/>
      </w:tblGrid>
      <w:tr w14:paraId="3C5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1" w:type="dxa"/>
            <w:noWrap/>
            <w:vAlign w:val="center"/>
          </w:tcPr>
          <w:p w14:paraId="165F532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50" w:type="dxa"/>
            <w:noWrap/>
            <w:vAlign w:val="center"/>
          </w:tcPr>
          <w:p w14:paraId="2509E9C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50" w:type="dxa"/>
            <w:noWrap/>
            <w:vAlign w:val="center"/>
          </w:tcPr>
          <w:p w14:paraId="5BD72DD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731" w:type="dxa"/>
            <w:noWrap/>
            <w:vAlign w:val="center"/>
          </w:tcPr>
          <w:p w14:paraId="6A9520E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1472" w:type="dxa"/>
            <w:noWrap/>
            <w:vAlign w:val="center"/>
          </w:tcPr>
          <w:p w14:paraId="3A4CC3A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证件名称</w:t>
            </w:r>
          </w:p>
          <w:p w14:paraId="509DC32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（如：驾驶证、操作证等）</w:t>
            </w:r>
          </w:p>
        </w:tc>
        <w:tc>
          <w:tcPr>
            <w:tcW w:w="844" w:type="dxa"/>
            <w:noWrap/>
            <w:vAlign w:val="center"/>
          </w:tcPr>
          <w:p w14:paraId="62F7421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975" w:type="dxa"/>
            <w:noWrap/>
            <w:vAlign w:val="center"/>
          </w:tcPr>
          <w:p w14:paraId="0ABBE3C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844" w:type="dxa"/>
            <w:noWrap/>
            <w:vAlign w:val="center"/>
          </w:tcPr>
          <w:p w14:paraId="08FD0AB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pacing w:val="-4"/>
                <w:sz w:val="24"/>
                <w:szCs w:val="24"/>
                <w:highlight w:val="none"/>
              </w:rPr>
              <w:t>劳动合同</w:t>
            </w:r>
          </w:p>
        </w:tc>
        <w:tc>
          <w:tcPr>
            <w:tcW w:w="909" w:type="dxa"/>
            <w:noWrap/>
            <w:vAlign w:val="center"/>
          </w:tcPr>
          <w:p w14:paraId="5DDE62D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缴纳社保情况</w:t>
            </w:r>
          </w:p>
        </w:tc>
        <w:tc>
          <w:tcPr>
            <w:tcW w:w="1359" w:type="dxa"/>
            <w:noWrap/>
            <w:vAlign w:val="center"/>
          </w:tcPr>
          <w:p w14:paraId="023FBB9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驾驶员、操作人员购买人身意外险情况</w:t>
            </w:r>
          </w:p>
        </w:tc>
        <w:tc>
          <w:tcPr>
            <w:tcW w:w="585" w:type="dxa"/>
            <w:noWrap/>
            <w:vAlign w:val="center"/>
          </w:tcPr>
          <w:p w14:paraId="6478068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144C6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641" w:type="dxa"/>
            <w:noWrap/>
            <w:vAlign w:val="center"/>
          </w:tcPr>
          <w:p w14:paraId="2C3D9C2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50" w:type="dxa"/>
            <w:noWrap/>
            <w:vAlign w:val="center"/>
          </w:tcPr>
          <w:p w14:paraId="117B0EA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50" w:type="dxa"/>
            <w:noWrap/>
            <w:vAlign w:val="center"/>
          </w:tcPr>
          <w:p w14:paraId="4C252D5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31" w:type="dxa"/>
            <w:noWrap/>
            <w:vAlign w:val="center"/>
          </w:tcPr>
          <w:p w14:paraId="6AEC6FB7">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472" w:type="dxa"/>
            <w:noWrap/>
            <w:vAlign w:val="center"/>
          </w:tcPr>
          <w:p w14:paraId="0F4AE40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44" w:type="dxa"/>
            <w:noWrap/>
            <w:vAlign w:val="center"/>
          </w:tcPr>
          <w:p w14:paraId="6AF2601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975" w:type="dxa"/>
            <w:noWrap/>
            <w:vAlign w:val="center"/>
          </w:tcPr>
          <w:p w14:paraId="348FAE0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44" w:type="dxa"/>
            <w:noWrap/>
            <w:vAlign w:val="center"/>
          </w:tcPr>
          <w:p w14:paraId="690D06D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909" w:type="dxa"/>
            <w:noWrap/>
            <w:vAlign w:val="center"/>
          </w:tcPr>
          <w:p w14:paraId="3300261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359" w:type="dxa"/>
            <w:noWrap/>
            <w:vAlign w:val="center"/>
          </w:tcPr>
          <w:p w14:paraId="62AD085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585" w:type="dxa"/>
            <w:noWrap/>
            <w:vAlign w:val="center"/>
          </w:tcPr>
          <w:p w14:paraId="51231E1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r>
    </w:tbl>
    <w:p w14:paraId="7875D4D5">
      <w:pPr>
        <w:pageBreakBefore w:val="0"/>
        <w:tabs>
          <w:tab w:val="left" w:pos="2340"/>
        </w:tabs>
        <w:kinsoku/>
        <w:wordWrap/>
        <w:overflowPunct/>
        <w:topLinePunct w:val="0"/>
        <w:bidi w:val="0"/>
        <w:adjustRightInd/>
        <w:spacing w:line="480" w:lineRule="exact"/>
        <w:rPr>
          <w:rFonts w:hint="eastAsia" w:ascii="仿宋" w:hAnsi="仿宋" w:eastAsia="仿宋" w:cs="仿宋"/>
          <w:b w:val="0"/>
          <w:bCs w:val="0"/>
          <w:color w:val="auto"/>
          <w:spacing w:val="-4"/>
          <w:sz w:val="24"/>
          <w:szCs w:val="24"/>
          <w:highlight w:val="none"/>
          <w:lang w:eastAsia="zh-CN"/>
        </w:rPr>
      </w:pPr>
      <w:r>
        <w:rPr>
          <w:rFonts w:hint="eastAsia" w:ascii="仿宋" w:hAnsi="仿宋" w:eastAsia="仿宋" w:cs="仿宋"/>
          <w:b w:val="0"/>
          <w:bCs w:val="0"/>
          <w:color w:val="auto"/>
          <w:spacing w:val="-4"/>
          <w:sz w:val="24"/>
          <w:szCs w:val="24"/>
          <w:highlight w:val="none"/>
        </w:rPr>
        <w:t>注：需提供从业人员劳动合同、</w:t>
      </w:r>
      <w:r>
        <w:rPr>
          <w:rFonts w:hint="eastAsia" w:ascii="仿宋" w:hAnsi="仿宋" w:eastAsia="仿宋" w:cs="仿宋"/>
          <w:b w:val="0"/>
          <w:bCs w:val="0"/>
          <w:color w:val="auto"/>
          <w:spacing w:val="-4"/>
          <w:sz w:val="24"/>
          <w:szCs w:val="24"/>
          <w:highlight w:val="none"/>
          <w:lang w:eastAsia="zh-CN"/>
        </w:rPr>
        <w:t>身份证、有关证书（</w:t>
      </w:r>
      <w:r>
        <w:rPr>
          <w:rFonts w:hint="eastAsia" w:ascii="仿宋" w:hAnsi="仿宋" w:eastAsia="仿宋" w:cs="仿宋"/>
          <w:b w:val="0"/>
          <w:bCs w:val="0"/>
          <w:color w:val="auto"/>
          <w:spacing w:val="-4"/>
          <w:sz w:val="24"/>
          <w:szCs w:val="24"/>
          <w:highlight w:val="none"/>
        </w:rPr>
        <w:t>驾驶证</w:t>
      </w:r>
      <w:r>
        <w:rPr>
          <w:rFonts w:hint="eastAsia" w:ascii="仿宋" w:hAnsi="仿宋" w:eastAsia="仿宋" w:cs="仿宋"/>
          <w:b w:val="0"/>
          <w:bCs w:val="0"/>
          <w:color w:val="auto"/>
          <w:spacing w:val="-4"/>
          <w:sz w:val="24"/>
          <w:szCs w:val="24"/>
          <w:highlight w:val="none"/>
          <w:lang w:eastAsia="zh-CN"/>
        </w:rPr>
        <w:t>、操作证）</w:t>
      </w:r>
      <w:r>
        <w:rPr>
          <w:rFonts w:hint="eastAsia" w:ascii="仿宋" w:hAnsi="仿宋" w:eastAsia="仿宋" w:cs="仿宋"/>
          <w:b w:val="0"/>
          <w:bCs w:val="0"/>
          <w:color w:val="auto"/>
          <w:spacing w:val="-4"/>
          <w:sz w:val="24"/>
          <w:szCs w:val="24"/>
          <w:highlight w:val="none"/>
        </w:rPr>
        <w:t>、社保证明、购买保险证明等相关材料。</w:t>
      </w:r>
      <w:r>
        <w:rPr>
          <w:rFonts w:hint="eastAsia" w:ascii="仿宋" w:hAnsi="仿宋" w:eastAsia="仿宋" w:cs="仿宋"/>
          <w:b w:val="0"/>
          <w:bCs w:val="0"/>
          <w:color w:val="auto"/>
          <w:spacing w:val="-4"/>
          <w:sz w:val="24"/>
          <w:szCs w:val="24"/>
          <w:highlight w:val="none"/>
          <w:lang w:eastAsia="zh-CN"/>
        </w:rPr>
        <w:t>如同一人具有两个或以上证书的，在证明名称和证书编号栏中分别注明。</w:t>
      </w:r>
    </w:p>
    <w:p w14:paraId="40D783F7">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pacing w:val="-4"/>
          <w:sz w:val="24"/>
          <w:szCs w:val="24"/>
          <w:highlight w:val="none"/>
        </w:rPr>
        <w:t>（</w:t>
      </w:r>
      <w:r>
        <w:rPr>
          <w:rFonts w:hint="eastAsia" w:ascii="仿宋" w:hAnsi="仿宋" w:eastAsia="仿宋" w:cs="仿宋"/>
          <w:b/>
          <w:bCs/>
          <w:color w:val="auto"/>
          <w:sz w:val="24"/>
          <w:szCs w:val="24"/>
          <w:highlight w:val="none"/>
        </w:rPr>
        <w:t>五）通讯保障要求：</w:t>
      </w:r>
    </w:p>
    <w:p w14:paraId="257C6D0F">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与采购人通讯系统兼容的通讯网络系统及相应设备，保证成交供应商、各清障施救车辆与采购人之间的通讯需要；所有车辆必须配备卫星定位装置、行车记录仪，并保证中标后能够接入采购人的涉案停车场管理平台（须在响应文件中自行承诺，格式自拟）。</w:t>
      </w:r>
    </w:p>
    <w:p w14:paraId="4131A014">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六）安全保障要求：</w:t>
      </w:r>
    </w:p>
    <w:p w14:paraId="53FCD7C3">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每个点位保管场地须严格落实治安消防安全管理措施，制定相关制度，配备封闭式围墙、防盗监控系统、消防灭火设备、防火隔离通道等设施，每个点位保管场地有效意外损失保险必须在1000万元（含）以上（须在响应文件中自行承诺，格式自拟）。</w:t>
      </w:r>
    </w:p>
    <w:p w14:paraId="4BEDEE30">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每个点位保管场地车辆出入口必须安装道闸及监控，落实保安员24小时看管，车辆停放位区域必须安装监控,并应确保对整个保管场地的无死角监控，监控系统还必须接入采购人的视频汇聚平台（须在响应文件中自行承诺，格式自拟）。</w:t>
      </w:r>
    </w:p>
    <w:p w14:paraId="135BF07A">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七）称重保障要求：</w:t>
      </w:r>
    </w:p>
    <w:p w14:paraId="1D82C69B">
      <w:pPr>
        <w:pStyle w:val="14"/>
        <w:pageBreakBefore w:val="0"/>
        <w:kinsoku/>
        <w:wordWrap/>
        <w:overflowPunct/>
        <w:topLinePunct w:val="0"/>
        <w:bidi w:val="0"/>
        <w:adjustRightInd/>
        <w:spacing w:before="120"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rPr>
        <w:t>个保管场地</w:t>
      </w:r>
      <w:r>
        <w:rPr>
          <w:rFonts w:hint="eastAsia" w:ascii="仿宋" w:hAnsi="仿宋" w:eastAsia="仿宋" w:cs="仿宋"/>
          <w:color w:val="auto"/>
          <w:sz w:val="24"/>
          <w:szCs w:val="24"/>
          <w:highlight w:val="none"/>
          <w:lang w:eastAsia="zh-CN"/>
        </w:rPr>
        <w:t>内部必须</w:t>
      </w:r>
      <w:r>
        <w:rPr>
          <w:rFonts w:hint="eastAsia" w:ascii="仿宋" w:hAnsi="仿宋" w:eastAsia="仿宋" w:cs="仿宋"/>
          <w:bCs/>
          <w:color w:val="auto"/>
          <w:sz w:val="24"/>
          <w:szCs w:val="24"/>
          <w:highlight w:val="none"/>
        </w:rPr>
        <w:t>配套</w:t>
      </w:r>
      <w:r>
        <w:rPr>
          <w:rFonts w:hint="eastAsia" w:ascii="仿宋" w:hAnsi="仿宋" w:eastAsia="仿宋" w:cs="仿宋"/>
          <w:color w:val="auto"/>
          <w:sz w:val="24"/>
          <w:szCs w:val="24"/>
          <w:highlight w:val="none"/>
        </w:rPr>
        <w:t>设置过磅设备（承载不少于100吨），并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经主管部门鉴定合格，同时该设备必须在监控覆盖范围内。</w:t>
      </w:r>
    </w:p>
    <w:p w14:paraId="4CA3419D">
      <w:pPr>
        <w:pStyle w:val="14"/>
        <w:pageBreakBefore w:val="0"/>
        <w:kinsoku/>
        <w:wordWrap/>
        <w:overflowPunct/>
        <w:topLinePunct w:val="0"/>
        <w:bidi w:val="0"/>
        <w:adjustRightInd/>
        <w:spacing w:before="120" w:line="480" w:lineRule="exac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若过磅设备所属情况为单位自有，需提供设备照片（体现设备全貌的前后侧面彩色照片）、设备来源（含发票、合格证）、检定证书复印件等证明设备所属情况证明；若过磅设备所属情况为租赁的，需提供设备照片（体现设备全貌的前后侧面彩色照片）、设备来源（含发票、合格证）、检定证书复印件及租赁合同证明资料，其租赁期不得少于本项目的服务期限；如过磅设备已租赁且在租赁期内，中标单位同样应保证承诺租赁服务期不少于本项目的服务期限，并需提供设备照片（体现设备全貌的前后侧面彩色照片）、设备来源（含发票、合格证）、检定证书复印件及租赁合同证明资料。</w:t>
      </w:r>
    </w:p>
    <w:p w14:paraId="23724642">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过磅设备的相关基本情况说明（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81"/>
        <w:gridCol w:w="982"/>
        <w:gridCol w:w="1101"/>
        <w:gridCol w:w="1306"/>
        <w:gridCol w:w="1158"/>
        <w:gridCol w:w="1532"/>
        <w:gridCol w:w="1061"/>
      </w:tblGrid>
      <w:tr w14:paraId="22BA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39" w:type="dxa"/>
            <w:noWrap w:val="0"/>
            <w:vAlign w:val="center"/>
          </w:tcPr>
          <w:p w14:paraId="5A56E7E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15" w:type="dxa"/>
            <w:noWrap w:val="0"/>
            <w:vAlign w:val="center"/>
          </w:tcPr>
          <w:p w14:paraId="515E80D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1062" w:type="dxa"/>
            <w:noWrap w:val="0"/>
            <w:vAlign w:val="center"/>
          </w:tcPr>
          <w:p w14:paraId="7F8FB94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安装位置</w:t>
            </w:r>
          </w:p>
        </w:tc>
        <w:tc>
          <w:tcPr>
            <w:tcW w:w="1200" w:type="dxa"/>
            <w:noWrap w:val="0"/>
            <w:vAlign w:val="center"/>
          </w:tcPr>
          <w:p w14:paraId="1E18591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型号/规格</w:t>
            </w:r>
          </w:p>
        </w:tc>
        <w:tc>
          <w:tcPr>
            <w:tcW w:w="1399" w:type="dxa"/>
            <w:noWrap w:val="0"/>
            <w:vAlign w:val="center"/>
          </w:tcPr>
          <w:p w14:paraId="09E6132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载荷（吨位）</w:t>
            </w:r>
          </w:p>
        </w:tc>
        <w:tc>
          <w:tcPr>
            <w:tcW w:w="1265" w:type="dxa"/>
            <w:noWrap w:val="0"/>
            <w:vAlign w:val="center"/>
          </w:tcPr>
          <w:p w14:paraId="2DF5042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检定有效期</w:t>
            </w:r>
          </w:p>
        </w:tc>
        <w:tc>
          <w:tcPr>
            <w:tcW w:w="1660" w:type="dxa"/>
            <w:noWrap w:val="0"/>
            <w:vAlign w:val="center"/>
          </w:tcPr>
          <w:p w14:paraId="6FA5983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153" w:type="dxa"/>
            <w:noWrap w:val="0"/>
            <w:vAlign w:val="center"/>
          </w:tcPr>
          <w:p w14:paraId="15CC96C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67298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39" w:type="dxa"/>
            <w:noWrap w:val="0"/>
            <w:vAlign w:val="top"/>
          </w:tcPr>
          <w:p w14:paraId="0EECFE00">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715" w:type="dxa"/>
            <w:noWrap w:val="0"/>
            <w:vAlign w:val="top"/>
          </w:tcPr>
          <w:p w14:paraId="3AFB2137">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62" w:type="dxa"/>
            <w:noWrap w:val="0"/>
            <w:vAlign w:val="top"/>
          </w:tcPr>
          <w:p w14:paraId="358966E8">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200" w:type="dxa"/>
            <w:noWrap w:val="0"/>
            <w:vAlign w:val="top"/>
          </w:tcPr>
          <w:p w14:paraId="6495FED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399" w:type="dxa"/>
            <w:noWrap w:val="0"/>
            <w:vAlign w:val="top"/>
          </w:tcPr>
          <w:p w14:paraId="4601D65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265" w:type="dxa"/>
            <w:noWrap w:val="0"/>
            <w:vAlign w:val="top"/>
          </w:tcPr>
          <w:p w14:paraId="086B6BDB">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660" w:type="dxa"/>
            <w:noWrap w:val="0"/>
            <w:vAlign w:val="top"/>
          </w:tcPr>
          <w:p w14:paraId="3DC4126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153" w:type="dxa"/>
            <w:noWrap w:val="0"/>
            <w:vAlign w:val="top"/>
          </w:tcPr>
          <w:p w14:paraId="2B50FF9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1E92DE1D">
      <w:pPr>
        <w:pageBreakBefore w:val="0"/>
        <w:tabs>
          <w:tab w:val="left" w:pos="2340"/>
        </w:tabs>
        <w:kinsoku/>
        <w:wordWrap/>
        <w:overflowPunct/>
        <w:topLinePunct w:val="0"/>
        <w:bidi w:val="0"/>
        <w:adjustRightInd/>
        <w:spacing w:line="240" w:lineRule="auto"/>
        <w:rPr>
          <w:rFonts w:hint="eastAsia" w:ascii="仿宋" w:hAnsi="仿宋" w:eastAsia="仿宋" w:cs="仿宋"/>
          <w:color w:val="auto"/>
          <w:sz w:val="24"/>
          <w:szCs w:val="24"/>
          <w:highlight w:val="none"/>
          <w:lang w:eastAsia="zh-CN"/>
        </w:rPr>
      </w:pPr>
    </w:p>
    <w:p w14:paraId="20C290C7">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型号/规格、检定有效期等内容按照</w:t>
      </w:r>
      <w:r>
        <w:rPr>
          <w:rFonts w:hint="eastAsia" w:ascii="仿宋" w:hAnsi="仿宋" w:eastAsia="仿宋" w:cs="仿宋"/>
          <w:color w:val="auto"/>
          <w:sz w:val="24"/>
          <w:szCs w:val="24"/>
          <w:highlight w:val="none"/>
          <w:lang w:eastAsia="zh-CN"/>
        </w:rPr>
        <w:t>检定证书（发票）上标注填写，安装位置须注明安装在停车场地内部或外面。设备属于自有，但检定证书（发票）上所有人非自有单位的，须有足够依据证明（购买发票、转让协议、支付凭证等）。</w:t>
      </w:r>
    </w:p>
    <w:p w14:paraId="688545DD">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407414B9">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0B971D3F">
      <w:pPr>
        <w:pageBreakBefore w:val="0"/>
        <w:kinsoku/>
        <w:wordWrap/>
        <w:overflowPunct/>
        <w:topLinePunct w:val="0"/>
        <w:bidi w:val="0"/>
        <w:adjustRightInd/>
        <w:spacing w:line="480" w:lineRule="exact"/>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标项3：</w:t>
      </w:r>
      <w:r>
        <w:rPr>
          <w:rFonts w:hint="eastAsia" w:ascii="仿宋" w:hAnsi="仿宋" w:eastAsia="仿宋" w:cs="仿宋"/>
          <w:bCs/>
          <w:color w:val="auto"/>
          <w:sz w:val="24"/>
          <w:szCs w:val="24"/>
          <w:highlight w:val="none"/>
        </w:rPr>
        <w:t>萧山区南片道路交通违法(事故)现场清障、施救及涉案车辆停放管理等服务</w:t>
      </w:r>
    </w:p>
    <w:p w14:paraId="0CDC1C57">
      <w:pPr>
        <w:pageBreakBefore w:val="0"/>
        <w:tabs>
          <w:tab w:val="left" w:pos="709"/>
        </w:tabs>
        <w:kinsoku/>
        <w:wordWrap/>
        <w:overflowPunct/>
        <w:topLinePunct w:val="0"/>
        <w:bidi w:val="0"/>
        <w:adjustRightInd/>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1.技术需求： </w:t>
      </w:r>
    </w:p>
    <w:p w14:paraId="3E7D09A7">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66" w:firstLineChars="200"/>
        <w:textAlignment w:val="auto"/>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（一）服务需求： </w:t>
      </w:r>
    </w:p>
    <w:p w14:paraId="308AB249">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66" w:firstLineChars="200"/>
        <w:textAlignment w:val="auto"/>
        <w:rPr>
          <w:rFonts w:hint="eastAsia" w:ascii="仿宋" w:hAnsi="仿宋" w:eastAsia="仿宋" w:cs="仿宋"/>
          <w:b/>
          <w:color w:val="auto"/>
          <w:spacing w:val="-4"/>
          <w:sz w:val="24"/>
          <w:szCs w:val="24"/>
          <w:highlight w:val="none"/>
        </w:rPr>
      </w:pPr>
      <w:r>
        <w:rPr>
          <w:rFonts w:hint="eastAsia" w:ascii="仿宋" w:hAnsi="仿宋" w:eastAsia="仿宋" w:cs="仿宋"/>
          <w:b/>
          <w:color w:val="auto"/>
          <w:spacing w:val="-4"/>
          <w:sz w:val="24"/>
          <w:szCs w:val="24"/>
          <w:highlight w:val="none"/>
        </w:rPr>
        <w:t xml:space="preserve"> 服务内容及范围：</w:t>
      </w:r>
    </w:p>
    <w:p w14:paraId="7A24E5D8">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提供不少于2个点位（每个点位</w:t>
      </w:r>
      <w:r>
        <w:rPr>
          <w:rFonts w:hint="eastAsia" w:ascii="仿宋" w:hAnsi="仿宋" w:eastAsia="仿宋" w:cs="仿宋"/>
          <w:color w:val="auto"/>
          <w:spacing w:val="-4"/>
          <w:sz w:val="24"/>
          <w:szCs w:val="24"/>
          <w:highlight w:val="none"/>
        </w:rPr>
        <w:t>场地实际可以停车面积不少于5000㎡</w:t>
      </w:r>
      <w:r>
        <w:rPr>
          <w:rFonts w:hint="eastAsia" w:ascii="仿宋" w:hAnsi="仿宋" w:eastAsia="仿宋" w:cs="仿宋"/>
          <w:bCs/>
          <w:color w:val="auto"/>
          <w:sz w:val="24"/>
          <w:szCs w:val="24"/>
          <w:highlight w:val="none"/>
        </w:rPr>
        <w:t>）的清障、施救、车辆停放、保管服务及配套的设施设备和服务人员 。</w:t>
      </w:r>
    </w:p>
    <w:p w14:paraId="6F951D6B">
      <w:pPr>
        <w:pStyle w:val="14"/>
        <w:keepNext w:val="0"/>
        <w:keepLines w:val="0"/>
        <w:pageBreakBefore w:val="0"/>
        <w:widowControl w:val="0"/>
        <w:kinsoku/>
        <w:wordWrap/>
        <w:overflowPunct/>
        <w:topLinePunct w:val="0"/>
        <w:autoSpaceDE/>
        <w:autoSpaceDN/>
        <w:bidi w:val="0"/>
        <w:adjustRightInd/>
        <w:snapToGrid/>
        <w:spacing w:before="0" w:beforeLines="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所投标项的停车场是属于可以合法停放机动车辆的专用停车场。</w:t>
      </w:r>
    </w:p>
    <w:p w14:paraId="6A7BF53D">
      <w:pPr>
        <w:keepNext w:val="0"/>
        <w:keepLines w:val="0"/>
        <w:pageBreakBefore w:val="0"/>
        <w:widowControl w:val="0"/>
        <w:tabs>
          <w:tab w:val="left" w:pos="23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本服务包含区公安分局承担交通管理业务的***开展交通管理业务所需的服务范围；后期如下属中队（***）管辖区域调整的，按照调整后的管辖区域确定服务区域范围。</w:t>
      </w:r>
    </w:p>
    <w:p w14:paraId="298F1D55">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二）土地保障要求</w:t>
      </w:r>
      <w:r>
        <w:rPr>
          <w:rFonts w:hint="eastAsia" w:ascii="仿宋" w:hAnsi="仿宋" w:eastAsia="仿宋" w:cs="仿宋"/>
          <w:b/>
          <w:color w:val="auto"/>
          <w:spacing w:val="-4"/>
          <w:sz w:val="24"/>
          <w:szCs w:val="24"/>
          <w:highlight w:val="none"/>
        </w:rPr>
        <w:t>：</w:t>
      </w:r>
    </w:p>
    <w:p w14:paraId="32DE6728">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若场地所属情况为</w:t>
      </w:r>
      <w:r>
        <w:rPr>
          <w:rFonts w:hint="eastAsia" w:ascii="仿宋" w:hAnsi="仿宋" w:eastAsia="仿宋" w:cs="仿宋"/>
          <w:color w:val="auto"/>
          <w:spacing w:val="-4"/>
          <w:sz w:val="24"/>
          <w:szCs w:val="24"/>
          <w:highlight w:val="none"/>
        </w:rPr>
        <w:t>成交供应商</w:t>
      </w:r>
      <w:r>
        <w:rPr>
          <w:rFonts w:hint="eastAsia" w:ascii="仿宋" w:hAnsi="仿宋" w:eastAsia="仿宋" w:cs="仿宋"/>
          <w:bCs/>
          <w:color w:val="auto"/>
          <w:sz w:val="24"/>
          <w:szCs w:val="24"/>
          <w:highlight w:val="none"/>
        </w:rPr>
        <w:t>自有，需提供</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现场场地照片（体现整个现场周围情况的方位、场地全貌、场地停车区域、场地进出口等照片）、产权证</w:t>
      </w:r>
      <w:r>
        <w:rPr>
          <w:rFonts w:hint="eastAsia" w:ascii="仿宋" w:hAnsi="仿宋" w:eastAsia="仿宋" w:cs="仿宋"/>
          <w:bCs/>
          <w:color w:val="auto"/>
          <w:sz w:val="24"/>
          <w:szCs w:val="24"/>
          <w:highlight w:val="none"/>
        </w:rPr>
        <w:t>复印件等证明场地所属情况证明（其证明材料中须有明确的停车场地面积）；若场地所属情况为待租赁的，中标单位须承诺在中标公示发布之日起十五个工作日内完成签订场地租用协议或合同</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其租赁服务期不少于本项目的服务期限；如场地已租赁且在租赁期内，中标单位同样应提供相应的租赁合同及</w:t>
      </w:r>
      <w:r>
        <w:rPr>
          <w:rFonts w:hint="eastAsia" w:ascii="仿宋" w:hAnsi="仿宋" w:eastAsia="仿宋" w:cs="仿宋"/>
          <w:color w:val="auto"/>
          <w:sz w:val="24"/>
          <w:szCs w:val="24"/>
          <w:highlight w:val="none"/>
        </w:rPr>
        <w:t>可用于机动车辆停放的政府证明</w:t>
      </w:r>
      <w:r>
        <w:rPr>
          <w:rFonts w:hint="eastAsia" w:ascii="仿宋" w:hAnsi="仿宋" w:eastAsia="仿宋" w:cs="仿宋"/>
          <w:color w:val="auto"/>
          <w:sz w:val="24"/>
          <w:szCs w:val="24"/>
          <w:highlight w:val="none"/>
          <w:lang w:eastAsia="zh-CN"/>
        </w:rPr>
        <w:t>、</w:t>
      </w:r>
      <w:r>
        <w:rPr>
          <w:rFonts w:hint="eastAsia" w:ascii="仿宋" w:hAnsi="仿宋" w:eastAsia="仿宋" w:cs="仿宋"/>
          <w:bCs/>
          <w:color w:val="auto"/>
          <w:sz w:val="24"/>
          <w:szCs w:val="24"/>
          <w:highlight w:val="none"/>
          <w:lang w:eastAsia="zh-CN"/>
        </w:rPr>
        <w:t>现场场地照片（体现整个现场周围情况的方位、场地全貌、场地停车区域、场地进出口等照片）</w:t>
      </w:r>
      <w:r>
        <w:rPr>
          <w:rFonts w:hint="eastAsia" w:ascii="仿宋" w:hAnsi="仿宋" w:eastAsia="仿宋" w:cs="仿宋"/>
          <w:bCs/>
          <w:color w:val="auto"/>
          <w:sz w:val="24"/>
          <w:szCs w:val="24"/>
          <w:highlight w:val="none"/>
        </w:rPr>
        <w:t>等证明材料（其证明材料中须有明确的停车场地面积），并保证承诺租赁服务期不少于本项目的服务期限。</w:t>
      </w:r>
      <w:r>
        <w:rPr>
          <w:rFonts w:hint="eastAsia" w:ascii="仿宋" w:hAnsi="仿宋" w:eastAsia="仿宋" w:cs="仿宋"/>
          <w:bCs/>
          <w:color w:val="auto"/>
          <w:sz w:val="24"/>
          <w:szCs w:val="24"/>
          <w:highlight w:val="none"/>
          <w:lang w:eastAsia="zh-CN"/>
        </w:rPr>
        <w:t>除永久农田保卫线、生态线及其他法律法规禁止使用于车辆停放的场地外，该处场地还需有明确可以用于车辆停放使用的产属证明材料（</w:t>
      </w:r>
      <w:r>
        <w:rPr>
          <w:rFonts w:hint="eastAsia" w:ascii="仿宋" w:hAnsi="仿宋" w:eastAsia="仿宋" w:cs="仿宋"/>
          <w:bCs/>
          <w:color w:val="auto"/>
          <w:sz w:val="24"/>
          <w:szCs w:val="24"/>
          <w:highlight w:val="none"/>
          <w:lang w:val="en-US" w:eastAsia="zh-CN"/>
        </w:rPr>
        <w:t>适用于机动车辆停放）</w:t>
      </w:r>
      <w:r>
        <w:rPr>
          <w:rFonts w:hint="eastAsia" w:ascii="仿宋" w:hAnsi="仿宋" w:eastAsia="仿宋" w:cs="仿宋"/>
          <w:bCs/>
          <w:color w:val="auto"/>
          <w:sz w:val="24"/>
          <w:szCs w:val="24"/>
          <w:highlight w:val="none"/>
          <w:lang w:eastAsia="zh-CN"/>
        </w:rPr>
        <w:t>。</w:t>
      </w:r>
    </w:p>
    <w:p w14:paraId="4B6CFFAA">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承诺文件中须包括场地具体点位地址，具体场地总面积及可停车面积大小，且附网上电子地图证明截图并能清楚显示场地周边道路情况。</w:t>
      </w:r>
      <w:r>
        <w:rPr>
          <w:rFonts w:hint="eastAsia" w:ascii="仿宋" w:hAnsi="仿宋" w:eastAsia="仿宋" w:cs="仿宋"/>
          <w:bCs/>
          <w:color w:val="auto"/>
          <w:sz w:val="24"/>
          <w:szCs w:val="24"/>
          <w:highlight w:val="none"/>
          <w:lang w:eastAsia="zh-CN"/>
        </w:rPr>
        <w:t>各停车场间道路行驶距离需大于</w:t>
      </w:r>
      <w:r>
        <w:rPr>
          <w:rFonts w:hint="eastAsia" w:ascii="仿宋" w:hAnsi="仿宋" w:eastAsia="仿宋" w:cs="仿宋"/>
          <w:bCs/>
          <w:color w:val="auto"/>
          <w:sz w:val="24"/>
          <w:szCs w:val="24"/>
          <w:highlight w:val="none"/>
          <w:lang w:val="en-US" w:eastAsia="zh-CN"/>
        </w:rPr>
        <w:t>15公里。</w:t>
      </w:r>
      <w:r>
        <w:rPr>
          <w:rFonts w:hint="eastAsia" w:ascii="仿宋" w:hAnsi="仿宋" w:eastAsia="仿宋" w:cs="仿宋"/>
          <w:bCs/>
          <w:color w:val="auto"/>
          <w:sz w:val="24"/>
          <w:szCs w:val="24"/>
          <w:highlight w:val="none"/>
        </w:rPr>
        <w:t>（文件格式自拟，未提供承诺文件则作无效处理）</w:t>
      </w:r>
    </w:p>
    <w:p w14:paraId="70F5CE8A">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车辆保管场地处地理位置与周边的道路交通等应有利于车辆的进出；停车场所与其他作业区域的平面布置需合理有序。</w:t>
      </w:r>
    </w:p>
    <w:p w14:paraId="4331392F">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保管场地的相关基本情况说明（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846"/>
        <w:gridCol w:w="837"/>
        <w:gridCol w:w="1325"/>
        <w:gridCol w:w="1477"/>
        <w:gridCol w:w="1451"/>
        <w:gridCol w:w="1158"/>
        <w:gridCol w:w="897"/>
      </w:tblGrid>
      <w:tr w14:paraId="3B5C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540" w:type="dxa"/>
            <w:noWrap w:val="0"/>
            <w:vAlign w:val="center"/>
          </w:tcPr>
          <w:p w14:paraId="134B440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891" w:type="dxa"/>
            <w:noWrap w:val="0"/>
            <w:vAlign w:val="center"/>
          </w:tcPr>
          <w:p w14:paraId="05075C3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所有人</w:t>
            </w:r>
          </w:p>
        </w:tc>
        <w:tc>
          <w:tcPr>
            <w:tcW w:w="880" w:type="dxa"/>
            <w:noWrap w:val="0"/>
            <w:vAlign w:val="center"/>
          </w:tcPr>
          <w:p w14:paraId="6882358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具体</w:t>
            </w:r>
          </w:p>
          <w:p w14:paraId="5D5DEBA7">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位置</w:t>
            </w:r>
          </w:p>
        </w:tc>
        <w:tc>
          <w:tcPr>
            <w:tcW w:w="1397" w:type="dxa"/>
            <w:noWrap w:val="0"/>
            <w:vAlign w:val="center"/>
          </w:tcPr>
          <w:p w14:paraId="46DCEA37">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总面积（平方米）</w:t>
            </w:r>
          </w:p>
        </w:tc>
        <w:tc>
          <w:tcPr>
            <w:tcW w:w="1566" w:type="dxa"/>
            <w:noWrap w:val="0"/>
            <w:vAlign w:val="center"/>
          </w:tcPr>
          <w:p w14:paraId="1B55C15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可停车面积（平方米）</w:t>
            </w:r>
          </w:p>
        </w:tc>
        <w:tc>
          <w:tcPr>
            <w:tcW w:w="1537" w:type="dxa"/>
            <w:noWrap w:val="0"/>
            <w:vAlign w:val="center"/>
          </w:tcPr>
          <w:p w14:paraId="759DE47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产权性质（自有/租赁）</w:t>
            </w:r>
          </w:p>
        </w:tc>
        <w:tc>
          <w:tcPr>
            <w:tcW w:w="1238" w:type="dxa"/>
            <w:noWrap w:val="0"/>
            <w:vAlign w:val="center"/>
          </w:tcPr>
          <w:p w14:paraId="0D03207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947" w:type="dxa"/>
            <w:noWrap w:val="0"/>
            <w:vAlign w:val="center"/>
          </w:tcPr>
          <w:p w14:paraId="64FEF20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56FA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540" w:type="dxa"/>
            <w:noWrap w:val="0"/>
            <w:vAlign w:val="top"/>
          </w:tcPr>
          <w:p w14:paraId="3EF69661">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891" w:type="dxa"/>
            <w:noWrap w:val="0"/>
            <w:vAlign w:val="top"/>
          </w:tcPr>
          <w:p w14:paraId="4C52E0B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880" w:type="dxa"/>
            <w:noWrap w:val="0"/>
            <w:vAlign w:val="top"/>
          </w:tcPr>
          <w:p w14:paraId="71B03BB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397" w:type="dxa"/>
            <w:noWrap w:val="0"/>
            <w:vAlign w:val="top"/>
          </w:tcPr>
          <w:p w14:paraId="2D39297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66" w:type="dxa"/>
            <w:noWrap w:val="0"/>
            <w:vAlign w:val="top"/>
          </w:tcPr>
          <w:p w14:paraId="277F7AD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37" w:type="dxa"/>
            <w:noWrap w:val="0"/>
            <w:vAlign w:val="top"/>
          </w:tcPr>
          <w:p w14:paraId="6447F249">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238" w:type="dxa"/>
            <w:noWrap w:val="0"/>
            <w:vAlign w:val="top"/>
          </w:tcPr>
          <w:p w14:paraId="6E40206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947" w:type="dxa"/>
            <w:noWrap w:val="0"/>
            <w:vAlign w:val="top"/>
          </w:tcPr>
          <w:p w14:paraId="0FB1C51B">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71A3A71D">
      <w:pPr>
        <w:pageBreakBefore w:val="0"/>
        <w:tabs>
          <w:tab w:val="left" w:pos="2340"/>
        </w:tabs>
        <w:kinsoku/>
        <w:wordWrap/>
        <w:overflowPunct/>
        <w:topLinePunct w:val="0"/>
        <w:bidi w:val="0"/>
        <w:adjustRightInd/>
        <w:spacing w:line="240" w:lineRule="auto"/>
        <w:ind w:firstLine="0" w:firstLineChars="0"/>
        <w:rPr>
          <w:rFonts w:hint="eastAsia" w:ascii="仿宋" w:hAnsi="仿宋" w:eastAsia="仿宋" w:cs="仿宋"/>
          <w:color w:val="auto"/>
          <w:sz w:val="24"/>
          <w:szCs w:val="24"/>
          <w:highlight w:val="none"/>
          <w:lang w:val="en-US" w:eastAsia="zh-CN"/>
        </w:rPr>
      </w:pPr>
    </w:p>
    <w:p w14:paraId="57CE822D">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总面积</w:t>
      </w:r>
      <w:r>
        <w:rPr>
          <w:rFonts w:hint="eastAsia" w:ascii="仿宋" w:hAnsi="仿宋" w:eastAsia="仿宋" w:cs="仿宋"/>
          <w:color w:val="auto"/>
          <w:sz w:val="24"/>
          <w:szCs w:val="24"/>
          <w:highlight w:val="none"/>
          <w:lang w:eastAsia="zh-CN"/>
        </w:rPr>
        <w:t>按照产权证（</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lang w:eastAsia="zh-CN"/>
        </w:rPr>
        <w:t>租凭合同）上标注填写；具体位置按照高德地图上显示的名称填写；可停车面积按照实际测量的数据，如实填写，并提供单位书面承诺说明。场地属自有，但产权证标注非自有单位的，须有足够依据证明（购买发票、转让协议、支付凭证等）。</w:t>
      </w:r>
    </w:p>
    <w:p w14:paraId="04B638F2">
      <w:pPr>
        <w:pageBreakBefore w:val="0"/>
        <w:tabs>
          <w:tab w:val="left" w:pos="2340"/>
        </w:tabs>
        <w:kinsoku/>
        <w:wordWrap/>
        <w:overflowPunct/>
        <w:topLinePunct w:val="0"/>
        <w:bidi w:val="0"/>
        <w:adjustRightInd/>
        <w:spacing w:line="48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（三）车辆保障要求</w:t>
      </w:r>
      <w:r>
        <w:rPr>
          <w:rFonts w:hint="eastAsia" w:ascii="仿宋" w:hAnsi="仿宋" w:eastAsia="仿宋" w:cs="仿宋"/>
          <w:b/>
          <w:color w:val="auto"/>
          <w:spacing w:val="-4"/>
          <w:sz w:val="24"/>
          <w:szCs w:val="24"/>
          <w:highlight w:val="none"/>
        </w:rPr>
        <w:t>：</w:t>
      </w:r>
    </w:p>
    <w:p w14:paraId="2C214B75">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Cs/>
          <w:color w:val="auto"/>
          <w:sz w:val="24"/>
          <w:szCs w:val="24"/>
          <w:highlight w:val="none"/>
        </w:rPr>
        <w:t>每个点位须具有项目实施所需非载货专项作业车2辆（即黄牌拖车）、轻型货车（含轻型非载货专项作业车）1辆、叉车、铲车或挖掘机1辆（用于配合车辆在场地内卸货时使用），根据车辆行驶</w:t>
      </w:r>
      <w:r>
        <w:rPr>
          <w:rFonts w:hint="eastAsia" w:ascii="仿宋" w:hAnsi="仿宋" w:eastAsia="仿宋" w:cs="仿宋"/>
          <w:b w:val="0"/>
          <w:bCs/>
          <w:color w:val="auto"/>
          <w:sz w:val="24"/>
          <w:szCs w:val="24"/>
          <w:highlight w:val="none"/>
        </w:rPr>
        <w:t>证（含发票、合格证、登记证书）车辆类型标注进行区别，各类车使用功能根据车辆行驶证（含发票、合格证、登记证书）标注的信息及车辆照片进行区别。</w:t>
      </w:r>
    </w:p>
    <w:p w14:paraId="6A1CFD1F">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若车辆所属情况为单位自有，需提供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w:t>
      </w:r>
      <w:r>
        <w:rPr>
          <w:rFonts w:hint="eastAsia" w:ascii="仿宋" w:hAnsi="仿宋" w:eastAsia="仿宋" w:cs="仿宋"/>
          <w:bCs/>
          <w:color w:val="auto"/>
          <w:sz w:val="24"/>
          <w:szCs w:val="24"/>
          <w:highlight w:val="none"/>
          <w:lang w:eastAsia="zh-CN"/>
        </w:rPr>
        <w:t>发票、</w:t>
      </w:r>
      <w:r>
        <w:rPr>
          <w:rFonts w:hint="eastAsia" w:ascii="仿宋" w:hAnsi="仿宋" w:eastAsia="仿宋" w:cs="仿宋"/>
          <w:bCs/>
          <w:color w:val="auto"/>
          <w:sz w:val="24"/>
          <w:szCs w:val="24"/>
          <w:highlight w:val="none"/>
        </w:rPr>
        <w:t>合格证）复印件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等证明车辆所属情况证明；若车辆所属情况为租赁的，需提供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车辆行驶证（含合格证）复印件及租赁合同证明资料，其租赁期不得少于本项目的服务期限；如服务车辆已租赁且在租赁期内，中标单位同样应保证承诺租赁服务期不少于本项目的服务期限</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并</w:t>
      </w:r>
      <w:r>
        <w:rPr>
          <w:rFonts w:hint="eastAsia" w:ascii="仿宋" w:hAnsi="仿宋" w:eastAsia="仿宋" w:cs="仿宋"/>
          <w:bCs/>
          <w:color w:val="auto"/>
          <w:sz w:val="24"/>
          <w:szCs w:val="24"/>
          <w:highlight w:val="none"/>
        </w:rPr>
        <w:t>需提供</w:t>
      </w:r>
      <w:r>
        <w:rPr>
          <w:rFonts w:hint="eastAsia" w:ascii="仿宋" w:hAnsi="仿宋" w:eastAsia="仿宋" w:cs="仿宋"/>
          <w:bCs/>
          <w:color w:val="auto"/>
          <w:sz w:val="24"/>
          <w:szCs w:val="24"/>
          <w:highlight w:val="none"/>
          <w:lang w:eastAsia="zh-CN"/>
        </w:rPr>
        <w:t>车辆照片（体现车辆全貌的前后侧面彩色照片）、</w:t>
      </w:r>
      <w:r>
        <w:rPr>
          <w:rFonts w:hint="eastAsia" w:ascii="仿宋" w:hAnsi="仿宋" w:eastAsia="仿宋" w:cs="仿宋"/>
          <w:bCs/>
          <w:color w:val="auto"/>
          <w:sz w:val="24"/>
          <w:szCs w:val="24"/>
          <w:highlight w:val="none"/>
        </w:rPr>
        <w:t>车辆行驶证（含合格证）复印件及租赁合同证明资料</w:t>
      </w:r>
      <w:r>
        <w:rPr>
          <w:rFonts w:hint="eastAsia" w:ascii="仿宋" w:hAnsi="仿宋" w:eastAsia="仿宋" w:cs="仿宋"/>
          <w:bCs/>
          <w:color w:val="auto"/>
          <w:sz w:val="24"/>
          <w:szCs w:val="24"/>
          <w:highlight w:val="none"/>
          <w:lang w:eastAsia="zh-CN"/>
        </w:rPr>
        <w:t>。(承诺文件格式自拟，不提供则作无效处理)</w:t>
      </w:r>
    </w:p>
    <w:p w14:paraId="72A10CDE">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施救车辆</w:t>
      </w:r>
      <w:r>
        <w:rPr>
          <w:rFonts w:hint="eastAsia" w:ascii="仿宋" w:hAnsi="仿宋" w:eastAsia="仿宋" w:cs="仿宋"/>
          <w:color w:val="auto"/>
          <w:sz w:val="24"/>
          <w:szCs w:val="24"/>
          <w:highlight w:val="none"/>
          <w:lang w:eastAsia="zh-CN"/>
        </w:rPr>
        <w:t>的相关基本情况说明</w:t>
      </w:r>
      <w:r>
        <w:rPr>
          <w:rFonts w:hint="eastAsia" w:ascii="仿宋" w:hAnsi="仿宋" w:eastAsia="仿宋" w:cs="仿宋"/>
          <w:bCs/>
          <w:color w:val="auto"/>
          <w:sz w:val="24"/>
          <w:szCs w:val="24"/>
          <w:highlight w:val="none"/>
        </w:rPr>
        <w:t>（在投标时提供，格式如下）：</w:t>
      </w:r>
    </w:p>
    <w:tbl>
      <w:tblPr>
        <w:tblStyle w:val="10"/>
        <w:tblW w:w="8649"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780"/>
        <w:gridCol w:w="739"/>
        <w:gridCol w:w="796"/>
        <w:gridCol w:w="911"/>
        <w:gridCol w:w="1349"/>
        <w:gridCol w:w="1631"/>
        <w:gridCol w:w="1350"/>
        <w:gridCol w:w="535"/>
      </w:tblGrid>
      <w:tr w14:paraId="4B31F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58" w:type="dxa"/>
            <w:noWrap w:val="0"/>
            <w:vAlign w:val="center"/>
          </w:tcPr>
          <w:p w14:paraId="283AD42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780" w:type="dxa"/>
            <w:noWrap w:val="0"/>
            <w:vAlign w:val="center"/>
          </w:tcPr>
          <w:p w14:paraId="294640D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739" w:type="dxa"/>
            <w:noWrap w:val="0"/>
            <w:vAlign w:val="center"/>
          </w:tcPr>
          <w:p w14:paraId="2811485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车辆类型</w:t>
            </w:r>
          </w:p>
        </w:tc>
        <w:tc>
          <w:tcPr>
            <w:tcW w:w="796" w:type="dxa"/>
            <w:noWrap w:val="0"/>
            <w:vAlign w:val="center"/>
          </w:tcPr>
          <w:p w14:paraId="0B04CED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车牌号码</w:t>
            </w:r>
          </w:p>
        </w:tc>
        <w:tc>
          <w:tcPr>
            <w:tcW w:w="911" w:type="dxa"/>
            <w:noWrap w:val="0"/>
            <w:vAlign w:val="center"/>
          </w:tcPr>
          <w:p w14:paraId="1C7FEFF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vertAlign w:val="baseline"/>
                <w:lang w:val="en-US" w:eastAsia="zh-CN" w:bidi="ar-SA"/>
              </w:rPr>
              <w:t>载荷（吨）</w:t>
            </w:r>
          </w:p>
        </w:tc>
        <w:tc>
          <w:tcPr>
            <w:tcW w:w="1349" w:type="dxa"/>
            <w:noWrap w:val="0"/>
            <w:vAlign w:val="center"/>
          </w:tcPr>
          <w:p w14:paraId="662F9A5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使用功能</w:t>
            </w:r>
          </w:p>
        </w:tc>
        <w:tc>
          <w:tcPr>
            <w:tcW w:w="1631" w:type="dxa"/>
            <w:noWrap w:val="0"/>
            <w:vAlign w:val="center"/>
          </w:tcPr>
          <w:p w14:paraId="1FD6402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350" w:type="dxa"/>
            <w:noWrap w:val="0"/>
            <w:vAlign w:val="center"/>
          </w:tcPr>
          <w:p w14:paraId="7AA235C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必备/额外配备</w:t>
            </w:r>
          </w:p>
        </w:tc>
        <w:tc>
          <w:tcPr>
            <w:tcW w:w="535" w:type="dxa"/>
            <w:noWrap w:val="0"/>
            <w:vAlign w:val="center"/>
          </w:tcPr>
          <w:p w14:paraId="635243B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备注</w:t>
            </w:r>
          </w:p>
        </w:tc>
      </w:tr>
      <w:tr w14:paraId="5543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558" w:type="dxa"/>
            <w:noWrap w:val="0"/>
            <w:vAlign w:val="top"/>
          </w:tcPr>
          <w:p w14:paraId="3633910F">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80" w:type="dxa"/>
            <w:noWrap w:val="0"/>
            <w:vAlign w:val="top"/>
          </w:tcPr>
          <w:p w14:paraId="01FE996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39" w:type="dxa"/>
            <w:noWrap w:val="0"/>
            <w:vAlign w:val="top"/>
          </w:tcPr>
          <w:p w14:paraId="339AAE3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796" w:type="dxa"/>
            <w:noWrap w:val="0"/>
            <w:vAlign w:val="top"/>
          </w:tcPr>
          <w:p w14:paraId="484B280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911" w:type="dxa"/>
            <w:noWrap w:val="0"/>
            <w:vAlign w:val="top"/>
          </w:tcPr>
          <w:p w14:paraId="07E9DA7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349" w:type="dxa"/>
            <w:noWrap w:val="0"/>
            <w:vAlign w:val="top"/>
          </w:tcPr>
          <w:p w14:paraId="4749B766">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631" w:type="dxa"/>
            <w:noWrap w:val="0"/>
            <w:vAlign w:val="top"/>
          </w:tcPr>
          <w:p w14:paraId="7A7CF49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1350" w:type="dxa"/>
            <w:noWrap w:val="0"/>
            <w:vAlign w:val="top"/>
          </w:tcPr>
          <w:p w14:paraId="3957241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c>
          <w:tcPr>
            <w:tcW w:w="535" w:type="dxa"/>
            <w:noWrap w:val="0"/>
            <w:vAlign w:val="top"/>
          </w:tcPr>
          <w:p w14:paraId="4DD13F7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rPr>
            </w:pPr>
          </w:p>
        </w:tc>
      </w:tr>
    </w:tbl>
    <w:p w14:paraId="3D2F7A3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注：所有人、车辆类型、车牌号码等内容按行驶证（发票、合格证）上标注填写；车辆使用功能为拖车的，载荷为行驶证上</w:t>
      </w:r>
      <w:r>
        <w:rPr>
          <w:rFonts w:hint="eastAsia" w:ascii="仿宋" w:hAnsi="仿宋" w:eastAsia="仿宋" w:cs="仿宋"/>
          <w:color w:val="auto"/>
          <w:kern w:val="2"/>
          <w:sz w:val="24"/>
          <w:szCs w:val="24"/>
          <w:highlight w:val="none"/>
          <w:vertAlign w:val="baseline"/>
          <w:lang w:val="en-US" w:eastAsia="zh-CN" w:bidi="ar-SA"/>
        </w:rPr>
        <w:t>核定载质量；车辆</w:t>
      </w:r>
      <w:r>
        <w:rPr>
          <w:rFonts w:hint="eastAsia" w:ascii="仿宋" w:hAnsi="仿宋" w:eastAsia="仿宋" w:cs="仿宋"/>
          <w:color w:val="auto"/>
          <w:sz w:val="24"/>
          <w:szCs w:val="24"/>
          <w:highlight w:val="none"/>
          <w:lang w:eastAsia="zh-CN"/>
        </w:rPr>
        <w:t>使用功能为吊车、叉车、铲车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的，载荷为吊、叉、铲车</w:t>
      </w:r>
      <w:r>
        <w:rPr>
          <w:rFonts w:hint="eastAsia" w:ascii="仿宋" w:hAnsi="仿宋" w:eastAsia="仿宋" w:cs="仿宋"/>
          <w:bCs/>
          <w:color w:val="auto"/>
          <w:sz w:val="24"/>
          <w:szCs w:val="24"/>
          <w:highlight w:val="none"/>
        </w:rPr>
        <w:t>或挖掘机</w:t>
      </w:r>
      <w:r>
        <w:rPr>
          <w:rFonts w:hint="eastAsia" w:ascii="仿宋" w:hAnsi="仿宋" w:eastAsia="仿宋" w:cs="仿宋"/>
          <w:color w:val="auto"/>
          <w:sz w:val="24"/>
          <w:szCs w:val="24"/>
          <w:highlight w:val="none"/>
          <w:lang w:eastAsia="zh-CN"/>
        </w:rPr>
        <w:t>所作用的吨位，如实填写，并提供显示作用吨位的铭牌或合格证照片。车辆属自有，但行驶证（发票）上所有人非自有单位的，须有足够依据证明（购买发票、转让协议、支付凭证等）。</w:t>
      </w:r>
    </w:p>
    <w:p w14:paraId="2AEFF0E4">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四）人</w:t>
      </w:r>
      <w:r>
        <w:rPr>
          <w:rFonts w:hint="eastAsia" w:ascii="仿宋" w:hAnsi="仿宋" w:eastAsia="仿宋" w:cs="仿宋"/>
          <w:b/>
          <w:color w:val="auto"/>
          <w:sz w:val="24"/>
          <w:szCs w:val="24"/>
          <w:highlight w:val="none"/>
        </w:rPr>
        <w:t>员保障要求：</w:t>
      </w:r>
    </w:p>
    <w:p w14:paraId="12DC63F5">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每个点位服务区域范围内必须独立配置的驾驶人员及后勤保障人员不少于8人（其中</w:t>
      </w:r>
      <w:r>
        <w:rPr>
          <w:rFonts w:hint="eastAsia" w:ascii="仿宋" w:hAnsi="仿宋" w:eastAsia="仿宋" w:cs="仿宋"/>
          <w:bCs/>
          <w:color w:val="auto"/>
          <w:sz w:val="24"/>
          <w:szCs w:val="24"/>
          <w:highlight w:val="none"/>
        </w:rPr>
        <w:t>驾驶员</w:t>
      </w:r>
      <w:r>
        <w:rPr>
          <w:rFonts w:hint="eastAsia" w:ascii="仿宋" w:hAnsi="仿宋" w:eastAsia="仿宋" w:cs="仿宋"/>
          <w:color w:val="auto"/>
          <w:sz w:val="24"/>
          <w:szCs w:val="24"/>
          <w:highlight w:val="none"/>
        </w:rPr>
        <w:t>4人</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持准驾车型A2驾驶证的驾驶员不少于1名）。</w:t>
      </w:r>
    </w:p>
    <w:p w14:paraId="4CEADAD4">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lang w:eastAsia="zh-CN"/>
        </w:rPr>
        <w:t>有关人员的基本情况的说明</w:t>
      </w:r>
      <w:r>
        <w:rPr>
          <w:rFonts w:hint="eastAsia" w:ascii="仿宋" w:hAnsi="仿宋" w:eastAsia="仿宋" w:cs="仿宋"/>
          <w:bCs/>
          <w:color w:val="auto"/>
          <w:sz w:val="24"/>
          <w:szCs w:val="24"/>
          <w:highlight w:val="none"/>
        </w:rPr>
        <w:t>（在投标时提供，格式如下）：</w:t>
      </w:r>
    </w:p>
    <w:tbl>
      <w:tblPr>
        <w:tblStyle w:val="9"/>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12"/>
        <w:gridCol w:w="741"/>
        <w:gridCol w:w="844"/>
        <w:gridCol w:w="1359"/>
        <w:gridCol w:w="909"/>
        <w:gridCol w:w="975"/>
        <w:gridCol w:w="863"/>
        <w:gridCol w:w="825"/>
        <w:gridCol w:w="1341"/>
        <w:gridCol w:w="564"/>
      </w:tblGrid>
      <w:tr w14:paraId="093EB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22" w:type="dxa"/>
            <w:noWrap/>
            <w:vAlign w:val="center"/>
          </w:tcPr>
          <w:p w14:paraId="1984FBA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12" w:type="dxa"/>
            <w:noWrap/>
            <w:vAlign w:val="center"/>
          </w:tcPr>
          <w:p w14:paraId="1477FEF1">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741" w:type="dxa"/>
            <w:noWrap/>
            <w:vAlign w:val="center"/>
          </w:tcPr>
          <w:p w14:paraId="1B72516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844" w:type="dxa"/>
            <w:noWrap/>
            <w:vAlign w:val="center"/>
          </w:tcPr>
          <w:p w14:paraId="1F17135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1359" w:type="dxa"/>
            <w:noWrap/>
            <w:vAlign w:val="center"/>
          </w:tcPr>
          <w:p w14:paraId="3FE9DAB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证件名称</w:t>
            </w:r>
          </w:p>
          <w:p w14:paraId="65171F84">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（如：驾驶证、操作证等）</w:t>
            </w:r>
          </w:p>
        </w:tc>
        <w:tc>
          <w:tcPr>
            <w:tcW w:w="909" w:type="dxa"/>
            <w:noWrap/>
            <w:vAlign w:val="center"/>
          </w:tcPr>
          <w:p w14:paraId="6590F3BF">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证书编号</w:t>
            </w:r>
          </w:p>
        </w:tc>
        <w:tc>
          <w:tcPr>
            <w:tcW w:w="975" w:type="dxa"/>
            <w:noWrap/>
            <w:vAlign w:val="center"/>
          </w:tcPr>
          <w:p w14:paraId="52E464E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本项目中的职责</w:t>
            </w:r>
          </w:p>
        </w:tc>
        <w:tc>
          <w:tcPr>
            <w:tcW w:w="863" w:type="dxa"/>
            <w:noWrap/>
            <w:vAlign w:val="center"/>
          </w:tcPr>
          <w:p w14:paraId="6DD3E25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劳动合同</w:t>
            </w:r>
          </w:p>
        </w:tc>
        <w:tc>
          <w:tcPr>
            <w:tcW w:w="825" w:type="dxa"/>
            <w:noWrap/>
            <w:vAlign w:val="center"/>
          </w:tcPr>
          <w:p w14:paraId="181F5839">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缴纳社保情况</w:t>
            </w:r>
          </w:p>
        </w:tc>
        <w:tc>
          <w:tcPr>
            <w:tcW w:w="1341" w:type="dxa"/>
            <w:noWrap/>
            <w:vAlign w:val="center"/>
          </w:tcPr>
          <w:p w14:paraId="118A7B4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驾驶员、操作人员购买人身意外险情况</w:t>
            </w:r>
          </w:p>
        </w:tc>
        <w:tc>
          <w:tcPr>
            <w:tcW w:w="564" w:type="dxa"/>
            <w:noWrap/>
            <w:vAlign w:val="center"/>
          </w:tcPr>
          <w:p w14:paraId="4B865F5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备注</w:t>
            </w:r>
          </w:p>
        </w:tc>
      </w:tr>
      <w:tr w14:paraId="495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622" w:type="dxa"/>
            <w:noWrap/>
            <w:vAlign w:val="center"/>
          </w:tcPr>
          <w:p w14:paraId="6E2E66E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12" w:type="dxa"/>
            <w:noWrap/>
            <w:vAlign w:val="center"/>
          </w:tcPr>
          <w:p w14:paraId="22EF377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741" w:type="dxa"/>
            <w:noWrap/>
            <w:vAlign w:val="center"/>
          </w:tcPr>
          <w:p w14:paraId="5145C0A0">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44" w:type="dxa"/>
            <w:noWrap/>
            <w:vAlign w:val="center"/>
          </w:tcPr>
          <w:p w14:paraId="7F3A71C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359" w:type="dxa"/>
            <w:noWrap/>
            <w:vAlign w:val="center"/>
          </w:tcPr>
          <w:p w14:paraId="67D1D34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909" w:type="dxa"/>
            <w:noWrap/>
            <w:vAlign w:val="center"/>
          </w:tcPr>
          <w:p w14:paraId="6BC5499C">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975" w:type="dxa"/>
            <w:noWrap/>
            <w:vAlign w:val="center"/>
          </w:tcPr>
          <w:p w14:paraId="44A6624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63" w:type="dxa"/>
            <w:noWrap/>
            <w:vAlign w:val="center"/>
          </w:tcPr>
          <w:p w14:paraId="4402FEC2">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825" w:type="dxa"/>
            <w:noWrap/>
            <w:vAlign w:val="center"/>
          </w:tcPr>
          <w:p w14:paraId="75B95565">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1341" w:type="dxa"/>
            <w:noWrap/>
            <w:vAlign w:val="center"/>
          </w:tcPr>
          <w:p w14:paraId="7B2941C8">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c>
          <w:tcPr>
            <w:tcW w:w="564" w:type="dxa"/>
            <w:noWrap/>
            <w:vAlign w:val="center"/>
          </w:tcPr>
          <w:p w14:paraId="7920913A">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rPr>
            </w:pPr>
          </w:p>
        </w:tc>
      </w:tr>
    </w:tbl>
    <w:p w14:paraId="1E155703">
      <w:pPr>
        <w:pageBreakBefore w:val="0"/>
        <w:tabs>
          <w:tab w:val="left" w:pos="2340"/>
        </w:tabs>
        <w:kinsoku/>
        <w:wordWrap/>
        <w:overflowPunct/>
        <w:topLinePunct w:val="0"/>
        <w:bidi w:val="0"/>
        <w:adjustRightInd/>
        <w:spacing w:line="480" w:lineRule="exact"/>
        <w:rPr>
          <w:rFonts w:hint="eastAsia" w:ascii="仿宋" w:hAnsi="仿宋" w:eastAsia="仿宋" w:cs="仿宋"/>
          <w:b w:val="0"/>
          <w:bCs w:val="0"/>
          <w:color w:val="auto"/>
          <w:spacing w:val="-4"/>
          <w:sz w:val="24"/>
          <w:szCs w:val="24"/>
          <w:highlight w:val="none"/>
          <w:lang w:eastAsia="zh-CN"/>
        </w:rPr>
      </w:pPr>
      <w:r>
        <w:rPr>
          <w:rFonts w:hint="eastAsia" w:ascii="仿宋" w:hAnsi="仿宋" w:eastAsia="仿宋" w:cs="仿宋"/>
          <w:b w:val="0"/>
          <w:bCs w:val="0"/>
          <w:color w:val="auto"/>
          <w:spacing w:val="-4"/>
          <w:sz w:val="24"/>
          <w:szCs w:val="24"/>
          <w:highlight w:val="none"/>
        </w:rPr>
        <w:t>注：需提供从业人员劳动合同、</w:t>
      </w:r>
      <w:r>
        <w:rPr>
          <w:rFonts w:hint="eastAsia" w:ascii="仿宋" w:hAnsi="仿宋" w:eastAsia="仿宋" w:cs="仿宋"/>
          <w:b w:val="0"/>
          <w:bCs w:val="0"/>
          <w:color w:val="auto"/>
          <w:spacing w:val="-4"/>
          <w:sz w:val="24"/>
          <w:szCs w:val="24"/>
          <w:highlight w:val="none"/>
          <w:lang w:eastAsia="zh-CN"/>
        </w:rPr>
        <w:t>身份证、有关证书（</w:t>
      </w:r>
      <w:r>
        <w:rPr>
          <w:rFonts w:hint="eastAsia" w:ascii="仿宋" w:hAnsi="仿宋" w:eastAsia="仿宋" w:cs="仿宋"/>
          <w:b w:val="0"/>
          <w:bCs w:val="0"/>
          <w:color w:val="auto"/>
          <w:spacing w:val="-4"/>
          <w:sz w:val="24"/>
          <w:szCs w:val="24"/>
          <w:highlight w:val="none"/>
        </w:rPr>
        <w:t>驾驶证</w:t>
      </w:r>
      <w:r>
        <w:rPr>
          <w:rFonts w:hint="eastAsia" w:ascii="仿宋" w:hAnsi="仿宋" w:eastAsia="仿宋" w:cs="仿宋"/>
          <w:b w:val="0"/>
          <w:bCs w:val="0"/>
          <w:color w:val="auto"/>
          <w:spacing w:val="-4"/>
          <w:sz w:val="24"/>
          <w:szCs w:val="24"/>
          <w:highlight w:val="none"/>
          <w:lang w:eastAsia="zh-CN"/>
        </w:rPr>
        <w:t>、操作证）</w:t>
      </w:r>
      <w:r>
        <w:rPr>
          <w:rFonts w:hint="eastAsia" w:ascii="仿宋" w:hAnsi="仿宋" w:eastAsia="仿宋" w:cs="仿宋"/>
          <w:b w:val="0"/>
          <w:bCs w:val="0"/>
          <w:color w:val="auto"/>
          <w:spacing w:val="-4"/>
          <w:sz w:val="24"/>
          <w:szCs w:val="24"/>
          <w:highlight w:val="none"/>
        </w:rPr>
        <w:t>、社保证明、购买保险证明等相关材料。</w:t>
      </w:r>
      <w:r>
        <w:rPr>
          <w:rFonts w:hint="eastAsia" w:ascii="仿宋" w:hAnsi="仿宋" w:eastAsia="仿宋" w:cs="仿宋"/>
          <w:b w:val="0"/>
          <w:bCs w:val="0"/>
          <w:color w:val="auto"/>
          <w:spacing w:val="-4"/>
          <w:sz w:val="24"/>
          <w:szCs w:val="24"/>
          <w:highlight w:val="none"/>
          <w:lang w:eastAsia="zh-CN"/>
        </w:rPr>
        <w:t>如同一人具有两个或以上证书的，在证明名称和证书编号栏中分别注明。</w:t>
      </w:r>
    </w:p>
    <w:p w14:paraId="137C7344">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b/>
          <w:bCs/>
          <w:color w:val="auto"/>
          <w:sz w:val="24"/>
          <w:szCs w:val="24"/>
          <w:highlight w:val="none"/>
        </w:rPr>
      </w:pPr>
      <w:r>
        <w:rPr>
          <w:rFonts w:hint="eastAsia" w:ascii="仿宋" w:hAnsi="仿宋" w:eastAsia="仿宋" w:cs="仿宋"/>
          <w:b/>
          <w:color w:val="auto"/>
          <w:spacing w:val="-4"/>
          <w:sz w:val="24"/>
          <w:szCs w:val="24"/>
          <w:highlight w:val="none"/>
        </w:rPr>
        <w:t>（</w:t>
      </w:r>
      <w:r>
        <w:rPr>
          <w:rFonts w:hint="eastAsia" w:ascii="仿宋" w:hAnsi="仿宋" w:eastAsia="仿宋" w:cs="仿宋"/>
          <w:b/>
          <w:bCs/>
          <w:color w:val="auto"/>
          <w:sz w:val="24"/>
          <w:szCs w:val="24"/>
          <w:highlight w:val="none"/>
        </w:rPr>
        <w:t>五）通讯保障要求：</w:t>
      </w:r>
    </w:p>
    <w:p w14:paraId="67C5EAAD">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具有与采购人通讯系统兼容的通讯网络系统及相应设备，保证成交供应商、各清障施救车辆与采购人之间的通讯需要；所有车辆必须配备卫星定位装置、行车记录仪，并保证中标后能够接入采购人的涉案停车场管理平台（须在响应文件中自行承诺，格式自拟）。</w:t>
      </w:r>
    </w:p>
    <w:p w14:paraId="0A6A8484">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六）安全保障要求：</w:t>
      </w:r>
    </w:p>
    <w:p w14:paraId="47AD1DC5">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sz w:val="24"/>
          <w:szCs w:val="24"/>
          <w:highlight w:val="none"/>
        </w:rPr>
        <w:t>每个点位保管场地须严格落实治安消防安全管理措施，制定相关制度，配备封闭式围墙、防盗监控系统、消防灭火设备、防火隔离通道等设施，每个点位保管场地有效意外损失保险必须在1000万元（含）以上（须在响应文件中自行承诺，格式自拟）。</w:t>
      </w:r>
    </w:p>
    <w:p w14:paraId="32EC98FC">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Cs/>
          <w:color w:val="auto"/>
          <w:sz w:val="24"/>
          <w:szCs w:val="24"/>
          <w:highlight w:val="none"/>
        </w:rPr>
        <w:t>每个点位保管场地车辆出入口必须安装道闸及监控，落实保安员24小时看管，车辆停放位区域必须安装监控,并应确保对整个保管场地的无死角监控，监控系统还必须接入采购人的视频汇聚平台（须在响应文件中自行承诺，格式自拟）。</w:t>
      </w:r>
    </w:p>
    <w:p w14:paraId="23177D3B">
      <w:pPr>
        <w:pageBreakBefore w:val="0"/>
        <w:tabs>
          <w:tab w:val="left" w:pos="2340"/>
        </w:tabs>
        <w:kinsoku/>
        <w:wordWrap/>
        <w:overflowPunct/>
        <w:topLinePunct w:val="0"/>
        <w:bidi w:val="0"/>
        <w:adjustRightInd/>
        <w:spacing w:line="480" w:lineRule="exact"/>
        <w:ind w:firstLine="466" w:firstLineChars="20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w:t>
      </w:r>
      <w:r>
        <w:rPr>
          <w:rFonts w:hint="eastAsia" w:ascii="仿宋" w:hAnsi="仿宋" w:eastAsia="仿宋" w:cs="仿宋"/>
          <w:b/>
          <w:bCs/>
          <w:color w:val="auto"/>
          <w:sz w:val="24"/>
          <w:szCs w:val="24"/>
          <w:highlight w:val="none"/>
        </w:rPr>
        <w:t>七）称重保障要求：</w:t>
      </w:r>
    </w:p>
    <w:p w14:paraId="6A81E44E">
      <w:pPr>
        <w:pStyle w:val="14"/>
        <w:pageBreakBefore w:val="0"/>
        <w:kinsoku/>
        <w:wordWrap/>
        <w:overflowPunct/>
        <w:topLinePunct w:val="0"/>
        <w:bidi w:val="0"/>
        <w:adjustRightInd/>
        <w:spacing w:before="120"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每</w:t>
      </w:r>
      <w:r>
        <w:rPr>
          <w:rFonts w:hint="eastAsia" w:ascii="仿宋" w:hAnsi="仿宋" w:eastAsia="仿宋" w:cs="仿宋"/>
          <w:color w:val="auto"/>
          <w:sz w:val="24"/>
          <w:szCs w:val="24"/>
          <w:highlight w:val="none"/>
        </w:rPr>
        <w:t>个保管场地</w:t>
      </w:r>
      <w:r>
        <w:rPr>
          <w:rFonts w:hint="eastAsia" w:ascii="仿宋" w:hAnsi="仿宋" w:eastAsia="仿宋" w:cs="仿宋"/>
          <w:color w:val="auto"/>
          <w:sz w:val="24"/>
          <w:szCs w:val="24"/>
          <w:highlight w:val="none"/>
          <w:lang w:eastAsia="zh-CN"/>
        </w:rPr>
        <w:t>内部必须</w:t>
      </w:r>
      <w:r>
        <w:rPr>
          <w:rFonts w:hint="eastAsia" w:ascii="仿宋" w:hAnsi="仿宋" w:eastAsia="仿宋" w:cs="仿宋"/>
          <w:bCs/>
          <w:color w:val="auto"/>
          <w:sz w:val="24"/>
          <w:szCs w:val="24"/>
          <w:highlight w:val="none"/>
        </w:rPr>
        <w:t>配套</w:t>
      </w:r>
      <w:r>
        <w:rPr>
          <w:rFonts w:hint="eastAsia" w:ascii="仿宋" w:hAnsi="仿宋" w:eastAsia="仿宋" w:cs="仿宋"/>
          <w:color w:val="auto"/>
          <w:sz w:val="24"/>
          <w:szCs w:val="24"/>
          <w:highlight w:val="none"/>
        </w:rPr>
        <w:t>设置过磅设备（承载不少于100吨），并</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rPr>
        <w:t>经主管部门鉴定合格，同时该设备必须在监控覆盖范围内。</w:t>
      </w:r>
    </w:p>
    <w:p w14:paraId="243F17A1">
      <w:pPr>
        <w:pStyle w:val="14"/>
        <w:pageBreakBefore w:val="0"/>
        <w:kinsoku/>
        <w:wordWrap/>
        <w:overflowPunct/>
        <w:topLinePunct w:val="0"/>
        <w:bidi w:val="0"/>
        <w:adjustRightInd/>
        <w:spacing w:before="120" w:line="480" w:lineRule="exac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若过磅设备所属情况为单位自有，需提供设备照片（体现设备全貌的前后侧面彩色照片）、设备来源（含发票、合格证）、检定证书复印件等证明设备所属情况证明；若过磅设备所属情况为租赁的，需提供设备照片（体现设备全貌的前后侧面彩色照片）、设备来源（含发票、合格证）、检定证书复印件及租赁合同证明资料，其租赁期不得少于本项目的服务期限；如过磅设备已租赁且在租赁期内，中标单位同样应保证承诺租赁服务期不少于本项目的服务期限，并需提供设备照片（体现设备全貌的前后侧面彩色照片）、设备来源（含发票、合格证）、检定证书复印件及租赁合同证明资料。</w:t>
      </w:r>
    </w:p>
    <w:p w14:paraId="16DBE2BC">
      <w:pPr>
        <w:pageBreakBefore w:val="0"/>
        <w:tabs>
          <w:tab w:val="left" w:pos="2340"/>
        </w:tabs>
        <w:kinsoku/>
        <w:wordWrap/>
        <w:overflowPunct/>
        <w:topLinePunct w:val="0"/>
        <w:bidi w:val="0"/>
        <w:adjustRightInd/>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过磅设备的相关基本情况说明（</w:t>
      </w:r>
      <w:r>
        <w:rPr>
          <w:rFonts w:hint="eastAsia" w:ascii="仿宋" w:hAnsi="仿宋" w:eastAsia="仿宋" w:cs="仿宋"/>
          <w:bCs/>
          <w:color w:val="auto"/>
          <w:sz w:val="24"/>
          <w:szCs w:val="24"/>
          <w:highlight w:val="none"/>
        </w:rPr>
        <w:t>在投标时提供，格式如下</w:t>
      </w:r>
      <w:r>
        <w:rPr>
          <w:rFonts w:hint="eastAsia" w:ascii="仿宋" w:hAnsi="仿宋" w:eastAsia="仿宋" w:cs="仿宋"/>
          <w:color w:val="auto"/>
          <w:sz w:val="24"/>
          <w:szCs w:val="24"/>
          <w:highlight w:val="none"/>
          <w:lang w:eastAsia="zh-CN"/>
        </w:rPr>
        <w:t>）：</w:t>
      </w:r>
    </w:p>
    <w:tbl>
      <w:tblPr>
        <w:tblStyle w:val="10"/>
        <w:tblpPr w:leftFromText="180" w:rightFromText="180" w:vertAnchor="text" w:tblpX="131" w:tblpY="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680"/>
        <w:gridCol w:w="981"/>
        <w:gridCol w:w="1100"/>
        <w:gridCol w:w="1183"/>
        <w:gridCol w:w="1070"/>
        <w:gridCol w:w="1504"/>
        <w:gridCol w:w="1252"/>
      </w:tblGrid>
      <w:tr w14:paraId="6AED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1" w:type="dxa"/>
            <w:noWrap w:val="0"/>
            <w:vAlign w:val="center"/>
          </w:tcPr>
          <w:p w14:paraId="18DB0D6D">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序号</w:t>
            </w:r>
          </w:p>
        </w:tc>
        <w:tc>
          <w:tcPr>
            <w:tcW w:w="680" w:type="dxa"/>
            <w:noWrap w:val="0"/>
            <w:vAlign w:val="center"/>
          </w:tcPr>
          <w:p w14:paraId="6BE76D5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所有人</w:t>
            </w:r>
          </w:p>
        </w:tc>
        <w:tc>
          <w:tcPr>
            <w:tcW w:w="981" w:type="dxa"/>
            <w:noWrap w:val="0"/>
            <w:vAlign w:val="center"/>
          </w:tcPr>
          <w:p w14:paraId="6121EDC3">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安装位置</w:t>
            </w:r>
          </w:p>
        </w:tc>
        <w:tc>
          <w:tcPr>
            <w:tcW w:w="1100" w:type="dxa"/>
            <w:noWrap w:val="0"/>
            <w:vAlign w:val="center"/>
          </w:tcPr>
          <w:p w14:paraId="3800B25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型号/规格</w:t>
            </w:r>
          </w:p>
        </w:tc>
        <w:tc>
          <w:tcPr>
            <w:tcW w:w="1183" w:type="dxa"/>
            <w:noWrap w:val="0"/>
            <w:vAlign w:val="center"/>
          </w:tcPr>
          <w:p w14:paraId="52A2FC3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载荷（吨位）</w:t>
            </w:r>
          </w:p>
        </w:tc>
        <w:tc>
          <w:tcPr>
            <w:tcW w:w="1070" w:type="dxa"/>
            <w:noWrap w:val="0"/>
            <w:vAlign w:val="center"/>
          </w:tcPr>
          <w:p w14:paraId="1524F48E">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sz w:val="24"/>
                <w:szCs w:val="24"/>
                <w:highlight w:val="none"/>
                <w:vertAlign w:val="baseline"/>
                <w:lang w:eastAsia="zh-CN"/>
              </w:rPr>
            </w:pPr>
            <w:r>
              <w:rPr>
                <w:rFonts w:hint="eastAsia" w:ascii="仿宋" w:hAnsi="仿宋" w:eastAsia="仿宋" w:cs="仿宋"/>
                <w:color w:val="auto"/>
                <w:sz w:val="24"/>
                <w:szCs w:val="24"/>
                <w:highlight w:val="none"/>
                <w:vertAlign w:val="baseline"/>
                <w:lang w:eastAsia="zh-CN"/>
              </w:rPr>
              <w:t>检定有效期</w:t>
            </w:r>
          </w:p>
        </w:tc>
        <w:tc>
          <w:tcPr>
            <w:tcW w:w="1504" w:type="dxa"/>
            <w:noWrap w:val="0"/>
            <w:vAlign w:val="center"/>
          </w:tcPr>
          <w:p w14:paraId="202AB7F6">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产权性质（自有/租赁）</w:t>
            </w:r>
          </w:p>
        </w:tc>
        <w:tc>
          <w:tcPr>
            <w:tcW w:w="1252" w:type="dxa"/>
            <w:noWrap w:val="0"/>
            <w:vAlign w:val="center"/>
          </w:tcPr>
          <w:p w14:paraId="62AEE4DB">
            <w:pPr>
              <w:pageBreakBefore w:val="0"/>
              <w:tabs>
                <w:tab w:val="left" w:pos="2340"/>
              </w:tabs>
              <w:kinsoku/>
              <w:wordWrap/>
              <w:overflowPunct/>
              <w:topLinePunct w:val="0"/>
              <w:bidi w:val="0"/>
              <w:adjustRightInd/>
              <w:spacing w:line="480" w:lineRule="exact"/>
              <w:jc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eastAsia="zh-CN"/>
              </w:rPr>
              <w:t>备注</w:t>
            </w:r>
          </w:p>
        </w:tc>
      </w:tr>
      <w:tr w14:paraId="2841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01" w:type="dxa"/>
            <w:noWrap w:val="0"/>
            <w:vAlign w:val="top"/>
          </w:tcPr>
          <w:p w14:paraId="4FED5D9C">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680" w:type="dxa"/>
            <w:noWrap w:val="0"/>
            <w:vAlign w:val="top"/>
          </w:tcPr>
          <w:p w14:paraId="3A4FD794">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981" w:type="dxa"/>
            <w:noWrap w:val="0"/>
            <w:vAlign w:val="top"/>
          </w:tcPr>
          <w:p w14:paraId="51D50C22">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100" w:type="dxa"/>
            <w:noWrap w:val="0"/>
            <w:vAlign w:val="top"/>
          </w:tcPr>
          <w:p w14:paraId="317C6E5A">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183" w:type="dxa"/>
            <w:noWrap w:val="0"/>
            <w:vAlign w:val="top"/>
          </w:tcPr>
          <w:p w14:paraId="2B283A5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070" w:type="dxa"/>
            <w:noWrap w:val="0"/>
            <w:vAlign w:val="top"/>
          </w:tcPr>
          <w:p w14:paraId="67603B8B">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504" w:type="dxa"/>
            <w:noWrap w:val="0"/>
            <w:vAlign w:val="top"/>
          </w:tcPr>
          <w:p w14:paraId="641891E0">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c>
          <w:tcPr>
            <w:tcW w:w="1252" w:type="dxa"/>
            <w:noWrap w:val="0"/>
            <w:vAlign w:val="top"/>
          </w:tcPr>
          <w:p w14:paraId="5035C7EE">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vertAlign w:val="baseline"/>
                <w:lang w:eastAsia="zh-CN"/>
              </w:rPr>
            </w:pPr>
          </w:p>
        </w:tc>
      </w:tr>
    </w:tbl>
    <w:p w14:paraId="5317987E">
      <w:pPr>
        <w:pageBreakBefore w:val="0"/>
        <w:tabs>
          <w:tab w:val="left" w:pos="2340"/>
        </w:tabs>
        <w:kinsoku/>
        <w:wordWrap/>
        <w:overflowPunct/>
        <w:topLinePunct w:val="0"/>
        <w:bidi w:val="0"/>
        <w:adjustRightInd/>
        <w:spacing w:line="240" w:lineRule="auto"/>
        <w:rPr>
          <w:rFonts w:hint="eastAsia" w:ascii="仿宋" w:hAnsi="仿宋" w:eastAsia="仿宋" w:cs="仿宋"/>
          <w:color w:val="auto"/>
          <w:sz w:val="24"/>
          <w:szCs w:val="24"/>
          <w:highlight w:val="none"/>
          <w:lang w:eastAsia="zh-CN"/>
        </w:rPr>
      </w:pPr>
    </w:p>
    <w:p w14:paraId="11E4529D">
      <w:pPr>
        <w:pageBreakBefore w:val="0"/>
        <w:tabs>
          <w:tab w:val="left" w:pos="2340"/>
        </w:tabs>
        <w:kinsoku/>
        <w:wordWrap/>
        <w:overflowPunct/>
        <w:topLinePunct w:val="0"/>
        <w:bidi w:val="0"/>
        <w:adjustRightInd/>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注：所有人、</w:t>
      </w:r>
      <w:r>
        <w:rPr>
          <w:rFonts w:hint="eastAsia" w:ascii="仿宋" w:hAnsi="仿宋" w:eastAsia="仿宋" w:cs="仿宋"/>
          <w:color w:val="auto"/>
          <w:sz w:val="24"/>
          <w:szCs w:val="24"/>
          <w:highlight w:val="none"/>
          <w:vertAlign w:val="baseline"/>
          <w:lang w:eastAsia="zh-CN"/>
        </w:rPr>
        <w:t>型号/规格、检定有效期等内容按照</w:t>
      </w:r>
      <w:r>
        <w:rPr>
          <w:rFonts w:hint="eastAsia" w:ascii="仿宋" w:hAnsi="仿宋" w:eastAsia="仿宋" w:cs="仿宋"/>
          <w:color w:val="auto"/>
          <w:sz w:val="24"/>
          <w:szCs w:val="24"/>
          <w:highlight w:val="none"/>
          <w:lang w:eastAsia="zh-CN"/>
        </w:rPr>
        <w:t>检定证书（发票）上标注填写，安装位置须注明安装在停车场地内部或外面。设备属于自有，但检定证书（发票）上所有人非自有单位的，须有足够依据证明（购买发票、转让协议、支付凭证等）。</w:t>
      </w:r>
    </w:p>
    <w:p w14:paraId="75123CC1">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55FF70BC">
      <w:pPr>
        <w:pageBreakBefore w:val="0"/>
        <w:kinsoku/>
        <w:wordWrap/>
        <w:overflowPunct/>
        <w:topLinePunct w:val="0"/>
        <w:bidi w:val="0"/>
        <w:adjustRightInd/>
        <w:spacing w:line="480" w:lineRule="exact"/>
        <w:rPr>
          <w:rFonts w:hint="eastAsia" w:ascii="仿宋" w:hAnsi="仿宋" w:eastAsia="仿宋" w:cs="仿宋"/>
          <w:b/>
          <w:color w:val="auto"/>
          <w:sz w:val="24"/>
          <w:szCs w:val="24"/>
          <w:highlight w:val="none"/>
        </w:rPr>
      </w:pPr>
    </w:p>
    <w:p w14:paraId="6FA808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商务需求：</w:t>
      </w:r>
    </w:p>
    <w:p w14:paraId="52BE8C61">
      <w:pPr>
        <w:keepNext w:val="0"/>
        <w:keepLines w:val="0"/>
        <w:pageBreakBefore w:val="0"/>
        <w:widowControl w:val="0"/>
        <w:kinsoku/>
        <w:wordWrap/>
        <w:overflowPunct/>
        <w:topLinePunct w:val="0"/>
        <w:autoSpaceDE/>
        <w:autoSpaceDN/>
        <w:bidi w:val="0"/>
        <w:adjustRightInd w:val="0"/>
        <w:snapToGrid/>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服务质量承诺</w:t>
      </w:r>
    </w:p>
    <w:p w14:paraId="52B0E7F4">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（1）为确保服务质量及与采购人沟通联络，中标方须设置专职主管，负责对承包项目、范围、服务质量的检查监督及与采购人日常业务联系；</w:t>
      </w:r>
    </w:p>
    <w:p w14:paraId="368452AF">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（2）中标方需提供员工管理服务规范要求及确保服务质量达标的具体措施；</w:t>
      </w:r>
    </w:p>
    <w:p w14:paraId="3AAC5F32">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（3）中标方需向采购人提供服务承诺；</w:t>
      </w:r>
    </w:p>
    <w:p w14:paraId="619F93B0">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（4）中标方须主动接受采购人的指导、检查、监督及协调；</w:t>
      </w:r>
    </w:p>
    <w:p w14:paraId="5311920A">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（5）现有服务范围内，由于调整而增加的工作量，不再增加费用。</w:t>
      </w:r>
    </w:p>
    <w:p w14:paraId="72E99DFD">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服务期限及地点：</w:t>
      </w:r>
    </w:p>
    <w:p w14:paraId="68DFAE9E">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（1）服务期限：自合同签订之日起一年。</w:t>
      </w:r>
    </w:p>
    <w:p w14:paraId="699CF35A">
      <w:pPr>
        <w:keepNext w:val="0"/>
        <w:keepLines w:val="0"/>
        <w:pageBreakBefore w:val="0"/>
        <w:widowControl w:val="0"/>
        <w:numPr>
          <w:ilvl w:val="0"/>
          <w:numId w:val="0"/>
        </w:numPr>
        <w:kinsoku/>
        <w:wordWrap/>
        <w:overflowPunct/>
        <w:topLinePunct w:val="0"/>
        <w:autoSpaceDE/>
        <w:autoSpaceDN/>
        <w:bidi w:val="0"/>
        <w:snapToGrid/>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服务地点：采购人指定地点。</w:t>
      </w:r>
    </w:p>
    <w:p w14:paraId="787A770B">
      <w:pPr>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在服务期内中标人必须严格履行合同，如中标人在服务期内违反合同约定，经考核不合格，采购单位有权提前终止合同。合同期满后，妥善处理退场移交、人员安置，如果出现劳资纠纷，责任在中标单位，与采购单位无关。</w:t>
      </w:r>
    </w:p>
    <w:p w14:paraId="0A7EF4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、投标人须按照中华人民共和国劳动法等法律法规和相关地方法规实施中标工作。</w:t>
      </w:r>
    </w:p>
    <w:p w14:paraId="479C823D">
      <w:pPr>
        <w:pStyle w:val="14"/>
        <w:keepNext w:val="0"/>
        <w:keepLines w:val="0"/>
        <w:pageBreakBefore w:val="0"/>
        <w:widowControl w:val="0"/>
        <w:kinsoku/>
        <w:wordWrap/>
        <w:overflowPunct/>
        <w:topLinePunct w:val="0"/>
        <w:autoSpaceDE/>
        <w:autoSpaceDN/>
        <w:bidi w:val="0"/>
        <w:adjustRightInd/>
        <w:snapToGrid/>
        <w:spacing w:beforeLines="0"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本项目不得转包或分包，如若发现转包或分包行为，采购人</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有权无条件终止合同，造成的损失由乙方承担。</w:t>
      </w:r>
    </w:p>
    <w:p w14:paraId="6BD2F6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项目实施计划</w:t>
      </w:r>
    </w:p>
    <w:p w14:paraId="1A9F143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项目实施的组织工作方案:工作时间进度表、工作程序或步骤、管理和协调方法、送货方案等。 </w:t>
      </w:r>
    </w:p>
    <w:p w14:paraId="32CCDE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付款方式：</w:t>
      </w:r>
    </w:p>
    <w:p w14:paraId="0C24E9EC">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结算根据合同实际签订的起始时间按实结算。中标人在合同签订后向采购人支付中标金额的1%作为履约保证金（接受保函）；费用按每月支付一次，最后一次支付时间为合同期满以后一次性付清，履约保证金无息退还。采购人将组织代表每</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rPr>
        <w:t>对服务人员到岗情况、工作内容及服务质量按照项目要求进行考核。</w:t>
      </w:r>
    </w:p>
    <w:p w14:paraId="322D7318">
      <w:pPr>
        <w:rPr>
          <w:rFonts w:hint="eastAsia" w:ascii="仿宋" w:hAnsi="仿宋" w:eastAsia="仿宋" w:cs="仿宋"/>
          <w:color w:val="auto"/>
          <w:sz w:val="24"/>
          <w:szCs w:val="24"/>
          <w:highlight w:val="none"/>
        </w:rPr>
      </w:pPr>
    </w:p>
    <w:p w14:paraId="3B3C8F46">
      <w:pPr>
        <w:pStyle w:val="7"/>
        <w:numPr>
          <w:numId w:val="0"/>
        </w:numPr>
        <w:ind w:left="320" w:leftChars="0"/>
        <w:rPr>
          <w:rFonts w:hint="eastAsia" w:ascii="仿宋" w:hAnsi="仿宋" w:eastAsia="仿宋" w:cs="仿宋"/>
          <w:sz w:val="24"/>
          <w:szCs w:val="24"/>
        </w:rPr>
      </w:pPr>
    </w:p>
    <w:p w14:paraId="521A68B4">
      <w:pPr>
        <w:pStyle w:val="7"/>
        <w:numPr>
          <w:numId w:val="0"/>
        </w:numPr>
        <w:ind w:left="320" w:leftChars="0"/>
        <w:rPr>
          <w:rFonts w:hint="eastAsia" w:ascii="仿宋" w:hAnsi="仿宋" w:eastAsia="仿宋" w:cs="仿宋"/>
          <w:sz w:val="24"/>
          <w:szCs w:val="24"/>
        </w:rPr>
      </w:pPr>
    </w:p>
    <w:bookmarkEnd w:id="0"/>
    <w:p w14:paraId="6E1DC895">
      <w:pPr>
        <w:spacing w:before="312" w:beforeLines="100" w:line="360" w:lineRule="auto"/>
        <w:jc w:val="left"/>
        <w:rPr>
          <w:rFonts w:hint="eastAsia" w:ascii="仿宋" w:hAnsi="仿宋" w:eastAsia="仿宋" w:cs="仿宋"/>
          <w:b/>
          <w:sz w:val="24"/>
          <w:szCs w:val="24"/>
        </w:rPr>
      </w:pPr>
      <w:r>
        <w:rPr>
          <w:rFonts w:hint="eastAsia" w:ascii="仿宋" w:hAnsi="仿宋" w:eastAsia="仿宋" w:cs="仿宋"/>
          <w:b/>
          <w:sz w:val="24"/>
          <w:szCs w:val="24"/>
        </w:rPr>
        <w:t>三、合同订立安排</w:t>
      </w:r>
    </w:p>
    <w:p w14:paraId="60E2D50E">
      <w:pPr>
        <w:spacing w:line="360" w:lineRule="auto"/>
        <w:jc w:val="left"/>
        <w:rPr>
          <w:rFonts w:hint="eastAsia" w:ascii="仿宋" w:hAnsi="仿宋" w:eastAsia="仿宋" w:cs="仿宋"/>
          <w:sz w:val="24"/>
          <w:szCs w:val="24"/>
        </w:rPr>
      </w:pPr>
      <w:r>
        <w:rPr>
          <w:rFonts w:hint="eastAsia" w:ascii="仿宋" w:hAnsi="仿宋" w:eastAsia="仿宋" w:cs="仿宋"/>
          <w:sz w:val="24"/>
          <w:szCs w:val="24"/>
        </w:rPr>
        <w:t>（一）采购项目预（概）算（元）：标项1：6600000.00元  标项2：6600000.00元 标项3:2800000.00元  ，最高限价（元）：标项1：6600000.00元  标项2：6600000.00元 标项3:2800000.00元</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14:paraId="7920DB65">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rPr>
        <w:t>（二）开展采购活动的时间安排：</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12</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p>
    <w:p w14:paraId="40B6B43B">
      <w:pPr>
        <w:spacing w:line="360" w:lineRule="auto"/>
        <w:jc w:val="left"/>
        <w:rPr>
          <w:rFonts w:hint="eastAsia" w:ascii="仿宋" w:hAnsi="仿宋" w:eastAsia="仿宋" w:cs="仿宋"/>
          <w:sz w:val="24"/>
          <w:szCs w:val="24"/>
        </w:rPr>
      </w:pPr>
      <w:r>
        <w:rPr>
          <w:rFonts w:hint="eastAsia" w:ascii="仿宋" w:hAnsi="仿宋" w:eastAsia="仿宋" w:cs="仿宋"/>
          <w:sz w:val="24"/>
          <w:szCs w:val="24"/>
        </w:rPr>
        <w:t>（三）采购组织形式：</w:t>
      </w:r>
      <w:r>
        <w:rPr>
          <w:rFonts w:hint="eastAsia" w:ascii="仿宋" w:hAnsi="仿宋" w:eastAsia="仿宋" w:cs="仿宋"/>
          <w:sz w:val="24"/>
          <w:szCs w:val="24"/>
        </w:rPr>
        <w:tab/>
      </w:r>
      <w:r>
        <w:rPr>
          <w:rFonts w:hint="eastAsia" w:ascii="仿宋" w:hAnsi="仿宋" w:eastAsia="仿宋" w:cs="仿宋"/>
          <w:sz w:val="24"/>
          <w:szCs w:val="24"/>
        </w:rPr>
        <w:t>□集中采购</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eastAsia="zh-CN"/>
        </w:rPr>
        <w:t>☑</w:t>
      </w:r>
      <w:r>
        <w:rPr>
          <w:rFonts w:hint="eastAsia" w:ascii="仿宋" w:hAnsi="仿宋" w:eastAsia="仿宋" w:cs="仿宋"/>
          <w:sz w:val="24"/>
          <w:szCs w:val="24"/>
        </w:rPr>
        <w:t xml:space="preserve">分散采购 </w:t>
      </w:r>
    </w:p>
    <w:p w14:paraId="7D10ACFE">
      <w:pPr>
        <w:spacing w:line="360" w:lineRule="auto"/>
        <w:jc w:val="left"/>
        <w:rPr>
          <w:rFonts w:hint="eastAsia" w:ascii="仿宋" w:hAnsi="仿宋" w:eastAsia="仿宋" w:cs="仿宋"/>
          <w:sz w:val="24"/>
          <w:szCs w:val="24"/>
        </w:rPr>
      </w:pPr>
      <w:r>
        <w:rPr>
          <w:rFonts w:hint="eastAsia" w:ascii="仿宋" w:hAnsi="仿宋" w:eastAsia="仿宋" w:cs="仿宋"/>
          <w:sz w:val="24"/>
          <w:szCs w:val="24"/>
        </w:rPr>
        <w:t>（四）委托代理安排</w:t>
      </w:r>
    </w:p>
    <w:p w14:paraId="6CB4AF01">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rPr>
        <w:t>□集中采购机构</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□部门集中采购机构</w:t>
      </w:r>
    </w:p>
    <w:p w14:paraId="6ECE12AF">
      <w:pPr>
        <w:spacing w:line="360" w:lineRule="auto"/>
        <w:ind w:firstLine="42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采购代理机构</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□自行采购（含电子卖场）</w:t>
      </w:r>
    </w:p>
    <w:p w14:paraId="20AEFC7C">
      <w:pPr>
        <w:spacing w:line="360" w:lineRule="auto"/>
        <w:jc w:val="left"/>
        <w:rPr>
          <w:rFonts w:hint="eastAsia" w:ascii="仿宋" w:hAnsi="仿宋" w:eastAsia="仿宋" w:cs="仿宋"/>
          <w:sz w:val="24"/>
          <w:szCs w:val="24"/>
        </w:rPr>
      </w:pPr>
      <w:r>
        <w:rPr>
          <w:rFonts w:hint="eastAsia" w:ascii="仿宋" w:hAnsi="仿宋" w:eastAsia="仿宋" w:cs="仿宋"/>
          <w:sz w:val="24"/>
          <w:szCs w:val="24"/>
        </w:rPr>
        <w:t>（五）采购包划分：</w:t>
      </w:r>
      <w:r>
        <w:rPr>
          <w:rFonts w:hint="eastAsia" w:ascii="仿宋" w:hAnsi="仿宋" w:eastAsia="仿宋" w:cs="仿宋"/>
          <w:sz w:val="24"/>
          <w:szCs w:val="24"/>
        </w:rPr>
        <w:tab/>
      </w:r>
      <w:r>
        <w:rPr>
          <w:rFonts w:hint="eastAsia" w:ascii="仿宋" w:hAnsi="仿宋" w:eastAsia="仿宋" w:cs="仿宋"/>
          <w:sz w:val="24"/>
          <w:szCs w:val="24"/>
          <w:lang w:eastAsia="zh-CN"/>
        </w:rPr>
        <w:t>☑</w:t>
      </w:r>
      <w:r>
        <w:rPr>
          <w:rFonts w:hint="eastAsia" w:ascii="仿宋" w:hAnsi="仿宋" w:eastAsia="仿宋" w:cs="仿宋"/>
          <w:sz w:val="24"/>
          <w:szCs w:val="24"/>
        </w:rPr>
        <w:t>分标项</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lang w:eastAsia="zh-CN"/>
        </w:rPr>
        <w:sym w:font="Wingdings 2" w:char="00A3"/>
      </w:r>
      <w:r>
        <w:rPr>
          <w:rFonts w:hint="eastAsia" w:ascii="仿宋" w:hAnsi="仿宋" w:eastAsia="仿宋" w:cs="仿宋"/>
          <w:sz w:val="24"/>
          <w:szCs w:val="24"/>
        </w:rPr>
        <w:t xml:space="preserve">不分标项 </w:t>
      </w:r>
    </w:p>
    <w:p w14:paraId="1573852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（六）合同分包：</w:t>
      </w:r>
      <w:r>
        <w:rPr>
          <w:rFonts w:hint="eastAsia" w:ascii="仿宋" w:hAnsi="仿宋" w:eastAsia="仿宋" w:cs="仿宋"/>
          <w:sz w:val="24"/>
          <w:szCs w:val="24"/>
          <w:highlight w:val="none"/>
        </w:rPr>
        <w:tab/>
      </w:r>
      <w:r>
        <w:rPr>
          <w:rFonts w:hint="eastAsia" w:ascii="仿宋" w:hAnsi="仿宋" w:eastAsia="仿宋" w:cs="仿宋"/>
          <w:sz w:val="24"/>
          <w:szCs w:val="24"/>
          <w:highlight w:val="none"/>
        </w:rPr>
        <w:tab/>
      </w:r>
      <w:r>
        <w:rPr>
          <w:rFonts w:hint="eastAsia" w:ascii="仿宋" w:hAnsi="仿宋" w:eastAsia="仿宋" w:cs="仿宋"/>
          <w:sz w:val="24"/>
          <w:szCs w:val="24"/>
          <w:highlight w:val="none"/>
        </w:rPr>
        <w:sym w:font="Wingdings 2" w:char="00A3"/>
      </w:r>
      <w:r>
        <w:rPr>
          <w:rFonts w:hint="eastAsia" w:ascii="仿宋" w:hAnsi="仿宋" w:eastAsia="仿宋" w:cs="仿宋"/>
          <w:sz w:val="24"/>
          <w:szCs w:val="24"/>
          <w:highlight w:val="none"/>
        </w:rPr>
        <w:t xml:space="preserve">允许分包    </w:t>
      </w:r>
      <w:r>
        <w:rPr>
          <w:rFonts w:hint="eastAsia" w:ascii="仿宋" w:hAnsi="仿宋" w:eastAsia="仿宋" w:cs="仿宋"/>
          <w:sz w:val="24"/>
          <w:szCs w:val="24"/>
          <w:highlight w:val="none"/>
          <w:lang w:eastAsia="zh-CN"/>
        </w:rPr>
        <w:sym w:font="Wingdings 2" w:char="0052"/>
      </w:r>
      <w:r>
        <w:rPr>
          <w:rFonts w:hint="eastAsia" w:ascii="仿宋" w:hAnsi="仿宋" w:eastAsia="仿宋" w:cs="仿宋"/>
          <w:sz w:val="24"/>
          <w:szCs w:val="24"/>
          <w:highlight w:val="none"/>
        </w:rPr>
        <w:t>不允许分包</w:t>
      </w:r>
    </w:p>
    <w:p w14:paraId="7CBDB032">
      <w:pPr>
        <w:spacing w:line="360" w:lineRule="auto"/>
        <w:jc w:val="left"/>
        <w:rPr>
          <w:rFonts w:hint="eastAsia" w:ascii="仿宋" w:hAnsi="仿宋" w:eastAsia="仿宋" w:cs="仿宋"/>
          <w:sz w:val="24"/>
          <w:szCs w:val="24"/>
        </w:rPr>
      </w:pPr>
      <w:r>
        <w:rPr>
          <w:rFonts w:hint="eastAsia" w:ascii="仿宋" w:hAnsi="仿宋" w:eastAsia="仿宋" w:cs="仿宋"/>
          <w:sz w:val="24"/>
          <w:szCs w:val="24"/>
        </w:rPr>
        <w:t>（七）供应商资格条件</w:t>
      </w:r>
    </w:p>
    <w:p w14:paraId="6E600969">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1.满足《中华人民共和国政府采购法》第二十二条规定；未被“信用中国”（www.creditchina.gov.cn)、中国政府采购网（www.ccgp.gov.cn）列入失信被执行人、重大税收违法案件当事人名单、政府采购严重违法失信行为记录名单。</w:t>
      </w:r>
    </w:p>
    <w:p w14:paraId="3C572EE7">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u w:val="single"/>
        </w:rPr>
        <w:t>2.落实政府采购政策需满足的资格要求：专门面向中小企业</w:t>
      </w:r>
      <w:r>
        <w:rPr>
          <w:rFonts w:hint="eastAsia" w:ascii="仿宋" w:hAnsi="仿宋" w:eastAsia="仿宋" w:cs="仿宋"/>
          <w:sz w:val="24"/>
          <w:szCs w:val="24"/>
          <w:u w:val="single"/>
          <w:lang w:eastAsia="zh-CN"/>
        </w:rPr>
        <w:t>，服务全部由符合政策要求的中小企业承接，提供中小企业声明函。</w:t>
      </w:r>
    </w:p>
    <w:p w14:paraId="1782FBA5">
      <w:pPr>
        <w:spacing w:line="360" w:lineRule="auto"/>
        <w:ind w:firstLine="480" w:firstLineChars="200"/>
        <w:jc w:val="left"/>
        <w:rPr>
          <w:rFonts w:hint="eastAsia" w:ascii="仿宋" w:hAnsi="仿宋" w:eastAsia="仿宋" w:cs="仿宋"/>
          <w:sz w:val="24"/>
          <w:szCs w:val="24"/>
          <w:u w:val="single"/>
          <w:lang w:eastAsia="zh-CN"/>
        </w:rPr>
      </w:pPr>
      <w:r>
        <w:rPr>
          <w:rFonts w:hint="eastAsia" w:ascii="仿宋" w:hAnsi="仿宋" w:eastAsia="仿宋" w:cs="仿宋"/>
          <w:sz w:val="24"/>
          <w:szCs w:val="24"/>
          <w:u w:val="single"/>
        </w:rPr>
        <w:t>3.本项目的特定资格要求：</w:t>
      </w:r>
      <w:r>
        <w:rPr>
          <w:rFonts w:hint="eastAsia" w:ascii="仿宋" w:hAnsi="仿宋" w:eastAsia="仿宋" w:cs="仿宋"/>
          <w:sz w:val="24"/>
          <w:szCs w:val="24"/>
          <w:u w:val="single"/>
          <w:lang w:val="en-US" w:eastAsia="zh-CN"/>
        </w:rPr>
        <w:t>无。</w:t>
      </w:r>
    </w:p>
    <w:p w14:paraId="6224C76E">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BF95B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（八）采购方式</w:t>
      </w:r>
    </w:p>
    <w:p w14:paraId="0851456E">
      <w:pPr>
        <w:spacing w:line="360" w:lineRule="auto"/>
        <w:ind w:firstLine="480"/>
        <w:jc w:val="left"/>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公开招标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□邀请招标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□竞争性谈判</w:t>
      </w:r>
    </w:p>
    <w:p w14:paraId="72575F36">
      <w:pPr>
        <w:spacing w:line="360" w:lineRule="auto"/>
        <w:ind w:firstLine="480"/>
        <w:jc w:val="left"/>
        <w:rPr>
          <w:rFonts w:hint="eastAsia" w:ascii="仿宋" w:hAnsi="仿宋" w:eastAsia="仿宋" w:cs="仿宋"/>
          <w:sz w:val="24"/>
        </w:rPr>
      </w:pPr>
      <w:r>
        <w:rPr>
          <w:rFonts w:hint="eastAsia" w:ascii="仿宋" w:hAnsi="仿宋" w:eastAsia="仿宋" w:cs="仿宋"/>
          <w:sz w:val="24"/>
        </w:rPr>
        <w:t>□竞争性磋商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□询价</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□单一来源采购</w:t>
      </w:r>
    </w:p>
    <w:p w14:paraId="0180D2DC">
      <w:pPr>
        <w:spacing w:line="360" w:lineRule="auto"/>
        <w:ind w:firstLine="480"/>
        <w:jc w:val="left"/>
        <w:rPr>
          <w:rFonts w:hint="eastAsia" w:ascii="仿宋" w:hAnsi="仿宋" w:eastAsia="仿宋" w:cs="仿宋"/>
          <w:sz w:val="24"/>
        </w:rPr>
      </w:pPr>
      <w:r>
        <w:rPr>
          <w:rFonts w:hint="eastAsia" w:ascii="仿宋" w:hAnsi="仿宋" w:eastAsia="仿宋" w:cs="仿宋"/>
          <w:sz w:val="24"/>
        </w:rPr>
        <w:t>□电子卖场</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□其他采购方式 （</w:t>
      </w:r>
      <w:r>
        <w:rPr>
          <w:rFonts w:hint="eastAsia" w:ascii="仿宋" w:hAnsi="仿宋" w:eastAsia="仿宋" w:cs="仿宋"/>
          <w:sz w:val="24"/>
          <w:u w:val="single"/>
        </w:rPr>
        <w:t xml:space="preserve">                 </w:t>
      </w:r>
      <w:r>
        <w:rPr>
          <w:rFonts w:hint="eastAsia" w:ascii="仿宋" w:hAnsi="仿宋" w:eastAsia="仿宋" w:cs="仿宋"/>
          <w:sz w:val="24"/>
        </w:rPr>
        <w:t>）</w:t>
      </w:r>
    </w:p>
    <w:p w14:paraId="599375DD">
      <w:pPr>
        <w:spacing w:line="360" w:lineRule="auto"/>
        <w:jc w:val="left"/>
        <w:rPr>
          <w:rFonts w:hint="eastAsia" w:ascii="仿宋" w:hAnsi="仿宋" w:eastAsia="仿宋" w:cs="仿宋"/>
          <w:sz w:val="24"/>
        </w:rPr>
      </w:pPr>
      <w:r>
        <w:rPr>
          <w:rFonts w:hint="eastAsia" w:ascii="仿宋" w:hAnsi="仿宋" w:eastAsia="仿宋" w:cs="仿宋"/>
          <w:sz w:val="24"/>
        </w:rPr>
        <w:t>（九）选择采购方式的理由</w:t>
      </w:r>
    </w:p>
    <w:p w14:paraId="5829B6B3">
      <w:pPr>
        <w:spacing w:line="360" w:lineRule="auto"/>
        <w:ind w:firstLine="480" w:firstLineChars="200"/>
        <w:jc w:val="left"/>
        <w:rPr>
          <w:rFonts w:hint="eastAsia" w:ascii="仿宋" w:hAnsi="仿宋" w:eastAsia="仿宋" w:cs="仿宋"/>
          <w:sz w:val="24"/>
          <w:u w:val="single"/>
          <w:lang w:eastAsia="zh-CN"/>
        </w:rPr>
      </w:pPr>
      <w:r>
        <w:rPr>
          <w:rFonts w:hint="eastAsia" w:ascii="仿宋" w:hAnsi="仿宋" w:eastAsia="仿宋" w:cs="仿宋"/>
          <w:sz w:val="24"/>
          <w:u w:val="single"/>
          <w:lang w:eastAsia="zh-CN"/>
        </w:rPr>
        <w:t>公开招标，浙江政府采购网全公开采购，最大程度的保证项目公平公正公开进行，接受全社会监督。</w:t>
      </w:r>
    </w:p>
    <w:p w14:paraId="6EC4E5B2">
      <w:pPr>
        <w:spacing w:line="360" w:lineRule="auto"/>
        <w:jc w:val="left"/>
        <w:rPr>
          <w:rFonts w:hint="eastAsia" w:ascii="仿宋" w:hAnsi="仿宋" w:eastAsia="仿宋" w:cs="仿宋"/>
          <w:sz w:val="24"/>
        </w:rPr>
      </w:pPr>
      <w:r>
        <w:rPr>
          <w:rFonts w:hint="eastAsia" w:ascii="仿宋" w:hAnsi="仿宋" w:eastAsia="仿宋" w:cs="仿宋"/>
          <w:sz w:val="24"/>
        </w:rPr>
        <w:t>（十）竞争范围：</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公开发布</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电子卖场</w:t>
      </w:r>
    </w:p>
    <w:p w14:paraId="283E16C7">
      <w:pPr>
        <w:spacing w:line="360" w:lineRule="auto"/>
        <w:jc w:val="left"/>
        <w:rPr>
          <w:rFonts w:hint="eastAsia" w:ascii="仿宋" w:hAnsi="仿宋" w:eastAsia="仿宋" w:cs="仿宋"/>
          <w:sz w:val="24"/>
        </w:rPr>
      </w:pPr>
      <w:r>
        <w:rPr>
          <w:rFonts w:hint="eastAsia" w:ascii="仿宋" w:hAnsi="仿宋" w:eastAsia="仿宋" w:cs="仿宋"/>
          <w:sz w:val="24"/>
        </w:rPr>
        <w:t>（十一）评审规则：</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综合评分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□最低价中标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□其他（</w:t>
      </w:r>
      <w:r>
        <w:rPr>
          <w:rFonts w:hint="eastAsia" w:ascii="仿宋" w:hAnsi="仿宋" w:eastAsia="仿宋" w:cs="仿宋"/>
          <w:sz w:val="24"/>
          <w:u w:val="single"/>
        </w:rPr>
        <w:t xml:space="preserve">             </w:t>
      </w:r>
      <w:r>
        <w:rPr>
          <w:rFonts w:hint="eastAsia" w:ascii="仿宋" w:hAnsi="仿宋" w:eastAsia="仿宋" w:cs="仿宋"/>
          <w:sz w:val="24"/>
        </w:rPr>
        <w:t xml:space="preserve">） </w:t>
      </w:r>
    </w:p>
    <w:p w14:paraId="38349680">
      <w:pPr>
        <w:spacing w:before="312"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二、合同管理安排</w:t>
      </w:r>
    </w:p>
    <w:p w14:paraId="5CD071B3">
      <w:pPr>
        <w:spacing w:line="360" w:lineRule="auto"/>
        <w:jc w:val="left"/>
        <w:rPr>
          <w:rFonts w:hint="eastAsia" w:ascii="仿宋" w:hAnsi="仿宋" w:eastAsia="仿宋" w:cs="仿宋"/>
          <w:sz w:val="24"/>
        </w:rPr>
      </w:pPr>
      <w:r>
        <w:rPr>
          <w:rFonts w:hint="eastAsia" w:ascii="仿宋" w:hAnsi="仿宋" w:eastAsia="仿宋" w:cs="仿宋"/>
          <w:sz w:val="24"/>
        </w:rPr>
        <w:t>（一）合同类型</w:t>
      </w:r>
    </w:p>
    <w:p w14:paraId="19B1C1A1">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□货物合同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服务合同</w:t>
      </w:r>
    </w:p>
    <w:p w14:paraId="0007BACF">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□建设工程合同</w:t>
      </w:r>
      <w:r>
        <w:rPr>
          <w:rFonts w:hint="eastAsia" w:ascii="仿宋" w:hAnsi="仿宋" w:eastAsia="仿宋" w:cs="仿宋"/>
          <w:sz w:val="24"/>
        </w:rPr>
        <w:tab/>
      </w:r>
      <w:r>
        <w:rPr>
          <w:rFonts w:hint="eastAsia" w:ascii="仿宋" w:hAnsi="仿宋" w:eastAsia="仿宋" w:cs="仿宋"/>
          <w:sz w:val="24"/>
        </w:rPr>
        <w:t>□其他 （</w:t>
      </w:r>
      <w:r>
        <w:rPr>
          <w:rFonts w:hint="eastAsia" w:ascii="仿宋" w:hAnsi="仿宋" w:eastAsia="仿宋" w:cs="仿宋"/>
          <w:sz w:val="24"/>
          <w:u w:val="single"/>
        </w:rPr>
        <w:t xml:space="preserve">                 </w:t>
      </w:r>
      <w:r>
        <w:rPr>
          <w:rFonts w:hint="eastAsia" w:ascii="仿宋" w:hAnsi="仿宋" w:eastAsia="仿宋" w:cs="仿宋"/>
          <w:sz w:val="24"/>
        </w:rPr>
        <w:t>）</w:t>
      </w:r>
    </w:p>
    <w:p w14:paraId="5471E046">
      <w:pPr>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（二）定价方式</w:t>
      </w:r>
    </w:p>
    <w:p w14:paraId="5D1A613E">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lang w:eastAsia="zh-CN"/>
        </w:rPr>
        <w:t>□</w:t>
      </w:r>
      <w:r>
        <w:rPr>
          <w:rFonts w:hint="eastAsia" w:ascii="仿宋" w:hAnsi="仿宋" w:eastAsia="仿宋" w:cs="仿宋"/>
          <w:sz w:val="24"/>
          <w:highlight w:val="none"/>
        </w:rPr>
        <w:t>固定总价</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sym w:font="Wingdings 2" w:char="0052"/>
      </w:r>
      <w:r>
        <w:rPr>
          <w:rFonts w:hint="eastAsia" w:ascii="仿宋" w:hAnsi="仿宋" w:eastAsia="仿宋" w:cs="仿宋"/>
          <w:sz w:val="24"/>
          <w:highlight w:val="none"/>
        </w:rPr>
        <w:t>固定单价</w:t>
      </w:r>
    </w:p>
    <w:p w14:paraId="3A1D48D6">
      <w:pPr>
        <w:spacing w:line="360" w:lineRule="auto"/>
        <w:ind w:firstLine="420"/>
        <w:jc w:val="left"/>
        <w:rPr>
          <w:rFonts w:hint="eastAsia" w:ascii="仿宋" w:hAnsi="仿宋" w:eastAsia="仿宋" w:cs="仿宋"/>
          <w:sz w:val="24"/>
          <w:highlight w:val="none"/>
        </w:rPr>
      </w:pPr>
      <w:r>
        <w:rPr>
          <w:rFonts w:hint="eastAsia" w:ascii="仿宋" w:hAnsi="仿宋" w:eastAsia="仿宋" w:cs="仿宋"/>
          <w:sz w:val="24"/>
          <w:highlight w:val="none"/>
        </w:rPr>
        <w:t>□成本补偿</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□绩效激励</w:t>
      </w:r>
    </w:p>
    <w:p w14:paraId="4EFE6AB2">
      <w:pPr>
        <w:spacing w:line="360" w:lineRule="auto"/>
        <w:jc w:val="left"/>
        <w:rPr>
          <w:rFonts w:hint="eastAsia" w:ascii="仿宋" w:hAnsi="仿宋" w:eastAsia="仿宋" w:cs="仿宋"/>
          <w:sz w:val="24"/>
        </w:rPr>
      </w:pPr>
      <w:r>
        <w:rPr>
          <w:rFonts w:hint="eastAsia" w:ascii="仿宋" w:hAnsi="仿宋" w:eastAsia="仿宋" w:cs="仿宋"/>
          <w:sz w:val="24"/>
        </w:rPr>
        <w:t>（三）合同文本的主要条款</w:t>
      </w:r>
    </w:p>
    <w:p w14:paraId="6E7EE512">
      <w:pPr>
        <w:spacing w:line="360" w:lineRule="auto"/>
        <w:ind w:firstLine="420"/>
        <w:jc w:val="left"/>
        <w:rPr>
          <w:rFonts w:hint="eastAsia" w:ascii="仿宋" w:hAnsi="仿宋" w:eastAsia="仿宋" w:cs="仿宋"/>
          <w:sz w:val="24"/>
          <w:lang w:eastAsia="zh-CN"/>
        </w:rPr>
      </w:pPr>
      <w:r>
        <w:rPr>
          <w:rFonts w:hint="eastAsia" w:ascii="仿宋" w:hAnsi="仿宋" w:eastAsia="仿宋" w:cs="仿宋"/>
          <w:sz w:val="24"/>
        </w:rPr>
        <w:t>1.合同主要标的</w:t>
      </w:r>
      <w:r>
        <w:rPr>
          <w:rFonts w:hint="eastAsia" w:ascii="仿宋" w:hAnsi="仿宋" w:eastAsia="仿宋" w:cs="仿宋"/>
          <w:sz w:val="24"/>
          <w:lang w:eastAsia="zh-CN"/>
        </w:rPr>
        <w:t>：</w:t>
      </w:r>
      <w:r>
        <w:rPr>
          <w:rFonts w:hint="eastAsia" w:ascii="仿宋" w:hAnsi="仿宋" w:eastAsia="仿宋" w:cs="仿宋"/>
          <w:iCs/>
          <w:color w:val="auto"/>
          <w:sz w:val="24"/>
          <w:highlight w:val="none"/>
          <w:u w:val="single"/>
          <w:lang w:val="en"/>
        </w:rPr>
        <w:t>同采购标的。</w:t>
      </w:r>
    </w:p>
    <w:p w14:paraId="4685020C">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2.履行时间（期限）：</w:t>
      </w:r>
      <w:r>
        <w:rPr>
          <w:rFonts w:hint="eastAsia" w:ascii="仿宋" w:hAnsi="仿宋" w:eastAsia="仿宋" w:cs="仿宋"/>
          <w:iCs/>
          <w:sz w:val="24"/>
          <w:u w:val="single"/>
          <w:lang w:val="en-US" w:eastAsia="zh-CN"/>
        </w:rPr>
        <w:t>以实际合同签订为准。</w:t>
      </w:r>
    </w:p>
    <w:p w14:paraId="33FDEA29">
      <w:pPr>
        <w:spacing w:line="360" w:lineRule="auto"/>
        <w:ind w:firstLine="480" w:firstLineChars="200"/>
        <w:jc w:val="left"/>
        <w:rPr>
          <w:rFonts w:hint="eastAsia" w:ascii="仿宋" w:hAnsi="仿宋" w:eastAsia="仿宋" w:cs="仿宋"/>
          <w:iCs/>
          <w:sz w:val="24"/>
          <w:u w:val="single"/>
          <w:lang w:val="en-US" w:eastAsia="zh-CN"/>
        </w:rPr>
      </w:pPr>
      <w:r>
        <w:rPr>
          <w:rFonts w:hint="eastAsia" w:ascii="仿宋" w:hAnsi="仿宋" w:eastAsia="仿宋" w:cs="仿宋"/>
          <w:iCs/>
          <w:sz w:val="24"/>
        </w:rPr>
        <w:t>3.履约地点和方式：</w:t>
      </w:r>
      <w:r>
        <w:rPr>
          <w:rFonts w:hint="eastAsia" w:ascii="仿宋" w:hAnsi="仿宋" w:eastAsia="仿宋" w:cs="仿宋"/>
          <w:iCs/>
          <w:sz w:val="24"/>
          <w:u w:val="single"/>
          <w:lang w:eastAsia="zh-CN"/>
        </w:rPr>
        <w:t>采购人指定地点。</w:t>
      </w:r>
    </w:p>
    <w:p w14:paraId="663CEB00">
      <w:pPr>
        <w:spacing w:line="360" w:lineRule="auto"/>
        <w:ind w:firstLine="480" w:firstLineChars="200"/>
        <w:jc w:val="left"/>
        <w:rPr>
          <w:rFonts w:hint="eastAsia" w:ascii="仿宋" w:hAnsi="仿宋" w:eastAsia="仿宋" w:cs="仿宋"/>
          <w:iCs/>
          <w:sz w:val="24"/>
          <w:u w:val="single"/>
          <w:lang w:eastAsia="zh-CN"/>
        </w:rPr>
      </w:pPr>
      <w:r>
        <w:rPr>
          <w:rFonts w:hint="eastAsia" w:ascii="仿宋" w:hAnsi="仿宋" w:eastAsia="仿宋" w:cs="仿宋"/>
          <w:iCs/>
          <w:sz w:val="24"/>
        </w:rPr>
        <w:t>4.价款或者报酬：</w:t>
      </w:r>
      <w:r>
        <w:rPr>
          <w:rFonts w:hint="eastAsia" w:ascii="仿宋" w:hAnsi="仿宋" w:eastAsia="仿宋" w:cs="仿宋"/>
          <w:iCs/>
          <w:sz w:val="24"/>
          <w:u w:val="single"/>
          <w:lang w:val="en-US" w:eastAsia="zh-CN"/>
        </w:rPr>
        <w:t>按合同约定支付。</w:t>
      </w:r>
    </w:p>
    <w:p w14:paraId="04E0816E">
      <w:pPr>
        <w:spacing w:line="360" w:lineRule="auto"/>
        <w:ind w:firstLine="480" w:firstLineChars="200"/>
        <w:jc w:val="left"/>
        <w:rPr>
          <w:rFonts w:hint="eastAsia" w:ascii="仿宋" w:hAnsi="仿宋" w:eastAsia="仿宋" w:cs="仿宋"/>
          <w:iCs/>
          <w:sz w:val="24"/>
          <w:lang w:eastAsia="zh-CN"/>
        </w:rPr>
      </w:pPr>
      <w:r>
        <w:rPr>
          <w:rFonts w:hint="eastAsia" w:ascii="仿宋" w:hAnsi="仿宋" w:eastAsia="仿宋" w:cs="仿宋"/>
          <w:iCs/>
          <w:sz w:val="24"/>
        </w:rPr>
        <w:t>5.考核要求和付款进度安排</w:t>
      </w:r>
      <w:r>
        <w:rPr>
          <w:rFonts w:hint="eastAsia" w:ascii="仿宋" w:hAnsi="仿宋" w:eastAsia="仿宋" w:cs="仿宋"/>
          <w:iCs/>
          <w:sz w:val="24"/>
          <w:lang w:eastAsia="zh-CN"/>
        </w:rPr>
        <w:t>：</w:t>
      </w:r>
    </w:p>
    <w:p w14:paraId="32D51EF7">
      <w:pPr>
        <w:spacing w:line="360" w:lineRule="auto"/>
        <w:ind w:firstLine="480" w:firstLineChars="200"/>
        <w:jc w:val="left"/>
        <w:rPr>
          <w:rFonts w:hint="eastAsia" w:ascii="仿宋" w:hAnsi="仿宋" w:eastAsia="仿宋" w:cs="仿宋"/>
          <w:iCs/>
          <w:sz w:val="24"/>
          <w:u w:val="single"/>
          <w:lang w:eastAsia="zh-CN"/>
        </w:rPr>
      </w:pPr>
      <w:r>
        <w:rPr>
          <w:rFonts w:hint="eastAsia" w:ascii="仿宋" w:hAnsi="仿宋" w:eastAsia="仿宋" w:cs="仿宋"/>
          <w:iCs/>
          <w:sz w:val="24"/>
          <w:u w:val="single"/>
          <w:lang w:val="en-US" w:eastAsia="zh-CN"/>
        </w:rPr>
        <w:t xml:space="preserve">考核要求：具体按招标文件要求为准。 </w:t>
      </w:r>
    </w:p>
    <w:p w14:paraId="647AA38B">
      <w:pPr>
        <w:spacing w:line="360" w:lineRule="auto"/>
        <w:ind w:firstLine="480" w:firstLineChars="200"/>
        <w:jc w:val="left"/>
        <w:rPr>
          <w:rFonts w:hint="eastAsia" w:ascii="仿宋" w:hAnsi="仿宋" w:eastAsia="仿宋" w:cs="仿宋"/>
          <w:iCs/>
          <w:sz w:val="24"/>
          <w:u w:val="single"/>
          <w:lang w:eastAsia="zh-CN"/>
        </w:rPr>
      </w:pPr>
      <w:r>
        <w:rPr>
          <w:rFonts w:hint="eastAsia" w:ascii="仿宋" w:hAnsi="仿宋" w:eastAsia="仿宋" w:cs="仿宋"/>
          <w:iCs/>
          <w:sz w:val="24"/>
          <w:u w:val="single"/>
          <w:lang w:val="en-US" w:eastAsia="zh-CN"/>
        </w:rPr>
        <w:t>付款进度：具体按招标文件要求为准。</w:t>
      </w:r>
    </w:p>
    <w:p w14:paraId="71EA8A30">
      <w:pPr>
        <w:numPr>
          <w:ilvl w:val="0"/>
          <w:numId w:val="4"/>
        </w:num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资金支付方式：</w:t>
      </w:r>
      <w:r>
        <w:rPr>
          <w:rFonts w:hint="eastAsia" w:ascii="仿宋" w:hAnsi="仿宋" w:eastAsia="仿宋" w:cs="仿宋"/>
          <w:iCs/>
          <w:color w:val="auto"/>
          <w:sz w:val="24"/>
          <w:highlight w:val="none"/>
          <w:u w:val="single"/>
        </w:rPr>
        <w:t>分期付款</w:t>
      </w:r>
      <w:r>
        <w:rPr>
          <w:rFonts w:hint="eastAsia" w:ascii="仿宋" w:hAnsi="仿宋" w:eastAsia="仿宋" w:cs="仿宋"/>
          <w:iCs/>
          <w:color w:val="auto"/>
          <w:sz w:val="24"/>
          <w:highlight w:val="none"/>
          <w:u w:val="single"/>
          <w:lang w:eastAsia="zh-CN"/>
        </w:rPr>
        <w:t>。</w:t>
      </w:r>
    </w:p>
    <w:p w14:paraId="35E1CC5C">
      <w:pPr>
        <w:numPr>
          <w:numId w:val="0"/>
        </w:num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7.验收、交付标准和方法</w:t>
      </w:r>
      <w:r>
        <w:rPr>
          <w:rFonts w:hint="eastAsia" w:ascii="仿宋" w:hAnsi="仿宋" w:eastAsia="仿宋" w:cs="仿宋"/>
          <w:sz w:val="24"/>
          <w:u w:val="none"/>
          <w:lang w:val="en-US" w:eastAsia="zh-CN"/>
        </w:rPr>
        <w:t>：</w:t>
      </w:r>
      <w:r>
        <w:rPr>
          <w:rFonts w:hint="eastAsia" w:ascii="仿宋" w:hAnsi="仿宋" w:eastAsia="仿宋" w:cs="仿宋"/>
          <w:iCs/>
          <w:sz w:val="24"/>
          <w:u w:val="single"/>
          <w:lang w:eastAsia="zh-CN"/>
        </w:rPr>
        <w:t>无。</w:t>
      </w:r>
    </w:p>
    <w:p w14:paraId="1388AA26">
      <w:pPr>
        <w:numPr>
          <w:ilvl w:val="-1"/>
          <w:numId w:val="0"/>
        </w:numPr>
        <w:spacing w:line="360" w:lineRule="auto"/>
        <w:ind w:firstLine="480" w:firstLineChars="200"/>
        <w:jc w:val="left"/>
        <w:rPr>
          <w:rFonts w:hint="eastAsia" w:ascii="仿宋" w:hAnsi="仿宋" w:eastAsia="仿宋" w:cs="仿宋"/>
          <w:sz w:val="24"/>
          <w:u w:val="single"/>
          <w:lang w:val="en-US" w:eastAsia="zh-CN"/>
        </w:rPr>
      </w:pPr>
      <w:r>
        <w:rPr>
          <w:rFonts w:hint="eastAsia" w:ascii="仿宋" w:hAnsi="仿宋" w:eastAsia="仿宋" w:cs="仿宋"/>
          <w:iCs/>
          <w:sz w:val="24"/>
          <w:lang w:val="en-US" w:eastAsia="zh-CN"/>
        </w:rPr>
        <w:t>8.</w:t>
      </w:r>
      <w:r>
        <w:rPr>
          <w:rFonts w:hint="eastAsia" w:ascii="仿宋" w:hAnsi="仿宋" w:eastAsia="仿宋" w:cs="仿宋"/>
          <w:iCs/>
          <w:sz w:val="24"/>
        </w:rPr>
        <w:t>质量保修范围和保修期：</w:t>
      </w:r>
      <w:r>
        <w:rPr>
          <w:rFonts w:hint="eastAsia" w:ascii="仿宋" w:hAnsi="仿宋" w:eastAsia="仿宋" w:cs="仿宋"/>
          <w:iCs/>
          <w:sz w:val="24"/>
          <w:u w:val="single"/>
          <w:lang w:eastAsia="zh-CN"/>
        </w:rPr>
        <w:t>无。</w:t>
      </w:r>
    </w:p>
    <w:p w14:paraId="1D711130">
      <w:pPr>
        <w:spacing w:line="360" w:lineRule="auto"/>
        <w:ind w:firstLine="480" w:firstLineChars="200"/>
        <w:jc w:val="left"/>
        <w:rPr>
          <w:rFonts w:hint="eastAsia" w:ascii="仿宋" w:hAnsi="仿宋" w:eastAsia="仿宋" w:cs="仿宋"/>
          <w:iCs/>
          <w:sz w:val="24"/>
          <w:u w:val="single"/>
          <w:lang w:eastAsia="zh-CN"/>
        </w:rPr>
      </w:pPr>
      <w:r>
        <w:rPr>
          <w:rFonts w:hint="eastAsia" w:ascii="仿宋" w:hAnsi="仿宋" w:eastAsia="仿宋" w:cs="仿宋"/>
          <w:iCs/>
          <w:sz w:val="24"/>
        </w:rPr>
        <w:t>9.知识产权归属、处理方式：</w:t>
      </w:r>
      <w:r>
        <w:rPr>
          <w:rFonts w:hint="eastAsia" w:ascii="仿宋" w:hAnsi="仿宋" w:eastAsia="仿宋" w:cs="仿宋"/>
          <w:iCs/>
          <w:sz w:val="24"/>
          <w:u w:val="single"/>
          <w:lang w:eastAsia="zh-CN"/>
        </w:rPr>
        <w:t>无。</w:t>
      </w:r>
    </w:p>
    <w:p w14:paraId="6362C8F7">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10.成本补偿、风险分担约定</w:t>
      </w:r>
    </w:p>
    <w:p w14:paraId="5CEAEEF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不可抗力一旦发生，证明文件由法律规定部门签署，并由采购人、供应商协商合同逾期履行和继续履行的方法，在此情况下，任何一方不能要求损失赔偿。</w:t>
      </w:r>
    </w:p>
    <w:p w14:paraId="47C9F2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11.违约责任与解决争议的方法：</w:t>
      </w:r>
    </w:p>
    <w:p w14:paraId="4CEBC53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除不可抗力外，如果乙方没有按照本合同约定的期限、地点和方式交付服务成果或者实施服务，那么甲方可要求乙方支付违约金，迟延履行违约金按每迟延履行一日的应提供而未提供服务价格的0.05 %计算，最高限额为本合同总价的20%；迟延履行的违约金计算数额达到前述最高限额之日起，甲方有权在要求乙方支付违约金的同时，书面通知乙方解除本合同；</w:t>
      </w:r>
    </w:p>
    <w:p w14:paraId="34773E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w:t>
      </w:r>
      <w:r>
        <w:rPr>
          <w:rFonts w:hint="eastAsia" w:ascii="仿宋" w:hAnsi="仿宋" w:eastAsia="仿宋" w:cs="仿宋"/>
          <w:color w:val="auto"/>
          <w:sz w:val="24"/>
          <w:highlight w:val="none"/>
          <w:u w:val="single"/>
          <w:lang w:val="en-US"/>
        </w:rPr>
        <w:t>服务中涉及的货物，除不可抗力外，如果乙方没有按照本合同约定的期限、地点和方式交付货物，那么甲方可要求乙方支付违约金，违约金按每迟延交付货物一日的应交付而未交付货物价格的0.05（可根据情况修改）%计算，最高限额为本合同总价的20 %；迟延交付货物的违约金计算数额达到前述最高限额之日起，甲方有权在要求乙方支付违约金的同时，书面通知乙方解除本合同；</w:t>
      </w:r>
    </w:p>
    <w:p w14:paraId="1E26FB9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3）除不可抗力外，如果甲方没有按照本合同约定的付款方式付款，那么乙方可要求甲方支付违约金，违约金按每迟延付款一日的应付而未付款的0.05%计算，最高限额为本合同总价的20（可根据情况修改）%；迟延付款的违约金计算数额达到前述最高限额之日起，乙方有权在要求甲方支付违约金的同时，书面通知甲方解除本合同；</w:t>
      </w:r>
    </w:p>
    <w:p w14:paraId="49197FE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4）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41B4B2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5）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6D0EC8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（6）如果出现政府采购监督管理部门在处理投诉事项期间，书面通知甲方暂停采购活动的情形，或者询问或质疑事项可能影响中标或者成交结果的，导致甲方中止履行合同的情形，均不视为甲方违约。</w:t>
      </w:r>
    </w:p>
    <w:p w14:paraId="324016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（7）违约责任合同专用条款另有约定的，从其约定。</w:t>
      </w:r>
    </w:p>
    <w:p w14:paraId="1DC08DAB">
      <w:pPr>
        <w:spacing w:line="360" w:lineRule="auto"/>
        <w:ind w:firstLine="480" w:firstLineChars="200"/>
        <w:jc w:val="left"/>
        <w:rPr>
          <w:rFonts w:hint="eastAsia" w:ascii="仿宋" w:hAnsi="仿宋" w:eastAsia="仿宋" w:cs="仿宋"/>
          <w:b/>
          <w:sz w:val="28"/>
          <w:szCs w:val="28"/>
        </w:rPr>
      </w:pPr>
      <w:r>
        <w:rPr>
          <w:rFonts w:hint="eastAsia" w:ascii="仿宋" w:hAnsi="仿宋" w:eastAsia="仿宋" w:cs="仿宋"/>
          <w:iCs/>
          <w:sz w:val="24"/>
        </w:rPr>
        <w:t>12.其他条款</w:t>
      </w:r>
      <w:r>
        <w:rPr>
          <w:rFonts w:hint="eastAsia" w:ascii="仿宋" w:hAnsi="仿宋" w:eastAsia="仿宋" w:cs="仿宋"/>
          <w:iCs/>
          <w:sz w:val="24"/>
          <w:lang w:eastAsia="zh-CN"/>
        </w:rPr>
        <w:t>：</w:t>
      </w:r>
      <w:r>
        <w:rPr>
          <w:rFonts w:hint="eastAsia" w:ascii="仿宋" w:hAnsi="仿宋" w:eastAsia="仿宋" w:cs="仿宋"/>
          <w:iCs/>
          <w:sz w:val="24"/>
          <w:u w:val="single"/>
          <w:lang w:eastAsia="zh-CN"/>
        </w:rPr>
        <w:t>无。</w:t>
      </w:r>
    </w:p>
    <w:p w14:paraId="29835A8C">
      <w:pPr>
        <w:spacing w:before="312"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三、履约验收方案</w:t>
      </w:r>
    </w:p>
    <w:p w14:paraId="312CA8C8">
      <w:pPr>
        <w:spacing w:line="360" w:lineRule="auto"/>
        <w:jc w:val="left"/>
        <w:rPr>
          <w:rFonts w:hint="eastAsia" w:ascii="仿宋" w:hAnsi="仿宋" w:eastAsia="仿宋" w:cs="仿宋"/>
          <w:sz w:val="24"/>
        </w:rPr>
      </w:pPr>
      <w:r>
        <w:rPr>
          <w:rFonts w:hint="eastAsia" w:ascii="仿宋" w:hAnsi="仿宋" w:eastAsia="仿宋" w:cs="仿宋"/>
          <w:sz w:val="24"/>
        </w:rPr>
        <w:t>（一）履约验收主体</w:t>
      </w:r>
    </w:p>
    <w:p w14:paraId="3A06F3E8">
      <w:pPr>
        <w:spacing w:line="360" w:lineRule="auto"/>
        <w:ind w:left="420" w:leftChars="200"/>
        <w:jc w:val="left"/>
        <w:rPr>
          <w:rFonts w:hint="eastAsia" w:ascii="仿宋" w:hAnsi="仿宋" w:eastAsia="仿宋" w:cs="仿宋"/>
          <w:sz w:val="24"/>
          <w:u w:val="single"/>
          <w:lang w:eastAsia="zh-CN"/>
        </w:rPr>
      </w:pPr>
      <w:r>
        <w:rPr>
          <w:rFonts w:hint="eastAsia" w:ascii="仿宋" w:hAnsi="仿宋" w:eastAsia="仿宋" w:cs="仿宋"/>
          <w:sz w:val="24"/>
        </w:rPr>
        <w:t>1.采购单位：</w:t>
      </w:r>
      <w:r>
        <w:rPr>
          <w:rFonts w:hint="eastAsia" w:ascii="仿宋" w:hAnsi="仿宋" w:eastAsia="仿宋" w:cs="仿宋"/>
          <w:sz w:val="24"/>
          <w:u w:val="single"/>
          <w:lang w:eastAsia="zh-CN"/>
        </w:rPr>
        <w:t>杭州市公安局萧山区分局交通警察大队</w:t>
      </w:r>
    </w:p>
    <w:p w14:paraId="405DC080">
      <w:pPr>
        <w:spacing w:line="360" w:lineRule="auto"/>
        <w:ind w:left="420" w:leftChars="200"/>
        <w:jc w:val="left"/>
        <w:rPr>
          <w:rFonts w:hint="eastAsia" w:ascii="仿宋" w:hAnsi="仿宋" w:eastAsia="仿宋" w:cs="仿宋"/>
          <w:sz w:val="24"/>
          <w:lang w:val="en-US" w:eastAsia="zh-CN"/>
        </w:rPr>
      </w:pPr>
      <w:r>
        <w:rPr>
          <w:rFonts w:hint="eastAsia" w:ascii="仿宋" w:hAnsi="仿宋" w:eastAsia="仿宋" w:cs="仿宋"/>
          <w:sz w:val="24"/>
        </w:rPr>
        <w:t>2.是否选择代理机构：□是</w:t>
      </w:r>
      <w:r>
        <w:rPr>
          <w:rFonts w:hint="eastAsia" w:ascii="仿宋" w:hAnsi="仿宋" w:eastAsia="仿宋" w:cs="仿宋"/>
          <w:sz w:val="24"/>
          <w:lang w:val="en-US" w:eastAsia="zh-CN"/>
        </w:rPr>
        <w:t xml:space="preserve">  </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否</w:t>
      </w:r>
      <w:r>
        <w:rPr>
          <w:rFonts w:hint="eastAsia" w:ascii="仿宋" w:hAnsi="仿宋" w:eastAsia="仿宋" w:cs="仿宋"/>
          <w:sz w:val="24"/>
          <w:lang w:val="en-US" w:eastAsia="zh-CN"/>
        </w:rPr>
        <w:t xml:space="preserve"> </w:t>
      </w:r>
    </w:p>
    <w:p w14:paraId="46627D3C">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rPr>
        <w:t>3.是否邀请本项目的其他供应商：</w:t>
      </w:r>
      <w:r>
        <w:rPr>
          <w:rFonts w:hint="eastAsia" w:ascii="仿宋" w:hAnsi="仿宋" w:eastAsia="仿宋" w:cs="仿宋"/>
          <w:sz w:val="24"/>
        </w:rPr>
        <w:tab/>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否</w:t>
      </w:r>
    </w:p>
    <w:p w14:paraId="51197C55">
      <w:pPr>
        <w:spacing w:line="360" w:lineRule="auto"/>
        <w:ind w:left="420" w:leftChars="200"/>
        <w:jc w:val="left"/>
        <w:rPr>
          <w:rFonts w:hint="eastAsia" w:ascii="仿宋" w:hAnsi="仿宋" w:eastAsia="仿宋" w:cs="仿宋"/>
          <w:sz w:val="24"/>
        </w:rPr>
      </w:pPr>
      <w:r>
        <w:rPr>
          <w:rFonts w:hint="eastAsia" w:ascii="仿宋" w:hAnsi="仿宋" w:eastAsia="仿宋" w:cs="仿宋"/>
          <w:sz w:val="24"/>
        </w:rPr>
        <w:t>4.是否邀请专家：</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否</w:t>
      </w:r>
    </w:p>
    <w:p w14:paraId="501CBFDC">
      <w:pPr>
        <w:spacing w:line="360" w:lineRule="auto"/>
        <w:ind w:left="420" w:leftChars="200"/>
        <w:jc w:val="left"/>
        <w:rPr>
          <w:rFonts w:hint="eastAsia" w:ascii="仿宋" w:hAnsi="仿宋" w:eastAsia="仿宋" w:cs="仿宋"/>
          <w:sz w:val="24"/>
        </w:rPr>
      </w:pPr>
      <w:r>
        <w:rPr>
          <w:rFonts w:hint="eastAsia" w:ascii="仿宋" w:hAnsi="仿宋" w:eastAsia="仿宋" w:cs="仿宋"/>
          <w:sz w:val="24"/>
        </w:rPr>
        <w:t>5.是否邀请服务对象：</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否</w:t>
      </w:r>
    </w:p>
    <w:p w14:paraId="167382BB">
      <w:pPr>
        <w:spacing w:line="360" w:lineRule="auto"/>
        <w:ind w:firstLine="420"/>
        <w:jc w:val="left"/>
        <w:rPr>
          <w:rFonts w:hint="eastAsia" w:ascii="仿宋" w:hAnsi="仿宋" w:eastAsia="仿宋" w:cs="仿宋"/>
          <w:sz w:val="24"/>
          <w:u w:val="single"/>
        </w:rPr>
      </w:pPr>
      <w:r>
        <w:rPr>
          <w:rFonts w:hint="eastAsia" w:ascii="仿宋" w:hAnsi="仿宋" w:eastAsia="仿宋" w:cs="仿宋"/>
          <w:sz w:val="24"/>
        </w:rPr>
        <w:t>6.其他</w:t>
      </w:r>
      <w:r>
        <w:rPr>
          <w:rFonts w:hint="eastAsia" w:ascii="仿宋" w:hAnsi="仿宋" w:eastAsia="仿宋" w:cs="仿宋"/>
          <w:sz w:val="24"/>
          <w:lang w:eastAsia="zh-CN"/>
        </w:rPr>
        <w:t>：</w:t>
      </w:r>
      <w:r>
        <w:rPr>
          <w:rFonts w:hint="eastAsia" w:ascii="仿宋" w:hAnsi="仿宋" w:eastAsia="仿宋" w:cs="仿宋"/>
          <w:sz w:val="24"/>
          <w:highlight w:val="none"/>
        </w:rPr>
        <w:t>无</w:t>
      </w:r>
      <w:r>
        <w:rPr>
          <w:rFonts w:hint="eastAsia" w:ascii="仿宋" w:hAnsi="仿宋" w:eastAsia="仿宋" w:cs="仿宋"/>
          <w:sz w:val="24"/>
          <w:highlight w:val="none"/>
          <w:lang w:eastAsia="zh-CN"/>
        </w:rPr>
        <w:t>。</w:t>
      </w:r>
    </w:p>
    <w:p w14:paraId="6E9F1AC7">
      <w:pPr>
        <w:spacing w:line="360" w:lineRule="auto"/>
        <w:jc w:val="left"/>
        <w:rPr>
          <w:rFonts w:hint="eastAsia" w:ascii="仿宋" w:hAnsi="仿宋" w:eastAsia="仿宋" w:cs="仿宋"/>
          <w:sz w:val="24"/>
          <w:u w:val="single"/>
        </w:rPr>
      </w:pPr>
      <w:r>
        <w:rPr>
          <w:rFonts w:hint="eastAsia" w:ascii="仿宋" w:hAnsi="仿宋" w:eastAsia="仿宋" w:cs="仿宋"/>
          <w:sz w:val="24"/>
        </w:rPr>
        <w:t>（二）履约验收时间：</w:t>
      </w:r>
      <w:r>
        <w:rPr>
          <w:rFonts w:hint="eastAsia" w:ascii="仿宋" w:hAnsi="仿宋" w:eastAsia="仿宋" w:cs="仿宋"/>
          <w:sz w:val="24"/>
          <w:u w:val="single"/>
        </w:rPr>
        <w:t xml:space="preserve">  履约完毕后。 </w:t>
      </w:r>
      <w:bookmarkStart w:id="2" w:name="_GoBack"/>
      <w:bookmarkEnd w:id="2"/>
    </w:p>
    <w:p w14:paraId="1DF02A57">
      <w:pPr>
        <w:spacing w:line="360" w:lineRule="auto"/>
        <w:jc w:val="left"/>
        <w:rPr>
          <w:rFonts w:hint="eastAsia" w:ascii="仿宋" w:hAnsi="仿宋" w:eastAsia="仿宋" w:cs="仿宋"/>
          <w:sz w:val="24"/>
        </w:rPr>
      </w:pPr>
      <w:r>
        <w:rPr>
          <w:rFonts w:hint="eastAsia" w:ascii="仿宋" w:hAnsi="仿宋" w:eastAsia="仿宋" w:cs="仿宋"/>
          <w:sz w:val="24"/>
        </w:rPr>
        <w:t>（三）履约验收方式：</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简易程序</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一般程序</w:t>
      </w:r>
    </w:p>
    <w:p w14:paraId="4FC6BD57">
      <w:pPr>
        <w:spacing w:line="360" w:lineRule="auto"/>
        <w:jc w:val="left"/>
        <w:rPr>
          <w:rFonts w:hint="eastAsia" w:ascii="仿宋" w:hAnsi="仿宋" w:eastAsia="仿宋" w:cs="仿宋"/>
          <w:sz w:val="24"/>
        </w:rPr>
      </w:pPr>
      <w:r>
        <w:rPr>
          <w:rFonts w:hint="eastAsia" w:ascii="仿宋" w:hAnsi="仿宋" w:eastAsia="仿宋" w:cs="仿宋"/>
          <w:sz w:val="24"/>
        </w:rPr>
        <w:t>（四）履约验收程序：</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一次性验收</w:t>
      </w:r>
      <w:r>
        <w:rPr>
          <w:rFonts w:hint="eastAsia" w:ascii="仿宋" w:hAnsi="仿宋" w:eastAsia="仿宋" w:cs="仿宋"/>
          <w:sz w:val="24"/>
        </w:rPr>
        <w:tab/>
      </w:r>
      <w:r>
        <w:rPr>
          <w:rFonts w:hint="eastAsia" w:ascii="仿宋" w:hAnsi="仿宋" w:eastAsia="仿宋" w:cs="仿宋"/>
          <w:sz w:val="24"/>
        </w:rPr>
        <w:t>□分段验收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分期验收</w:t>
      </w:r>
    </w:p>
    <w:p w14:paraId="6B099570">
      <w:pPr>
        <w:spacing w:line="360" w:lineRule="auto"/>
        <w:jc w:val="left"/>
        <w:rPr>
          <w:rFonts w:hint="eastAsia" w:ascii="仿宋" w:hAnsi="仿宋" w:eastAsia="仿宋" w:cs="仿宋"/>
          <w:sz w:val="24"/>
        </w:rPr>
      </w:pPr>
      <w:r>
        <w:rPr>
          <w:rFonts w:hint="eastAsia" w:ascii="仿宋" w:hAnsi="仿宋" w:eastAsia="仿宋" w:cs="仿宋"/>
          <w:sz w:val="24"/>
        </w:rPr>
        <w:t>（五）履约验收内容</w:t>
      </w:r>
    </w:p>
    <w:p w14:paraId="1632CA97">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1.技术履约内容</w:t>
      </w:r>
    </w:p>
    <w:p w14:paraId="02836166">
      <w:pPr>
        <w:shd w:val="clea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按</w:t>
      </w:r>
      <w:r>
        <w:rPr>
          <w:rFonts w:hint="eastAsia" w:ascii="仿宋" w:hAnsi="仿宋" w:eastAsia="仿宋" w:cs="仿宋"/>
          <w:sz w:val="24"/>
          <w:highlight w:val="none"/>
          <w:u w:val="single"/>
          <w:lang w:val="en-US" w:eastAsia="zh-CN"/>
        </w:rPr>
        <w:t>采购文件</w:t>
      </w:r>
      <w:r>
        <w:rPr>
          <w:rFonts w:hint="eastAsia" w:ascii="仿宋" w:hAnsi="仿宋" w:eastAsia="仿宋" w:cs="仿宋"/>
          <w:sz w:val="24"/>
          <w:highlight w:val="none"/>
          <w:u w:val="single"/>
        </w:rPr>
        <w:t>要求完成技术指标或者服务要求。</w:t>
      </w:r>
    </w:p>
    <w:p w14:paraId="60E48E45">
      <w:pPr>
        <w:spacing w:line="360" w:lineRule="auto"/>
        <w:ind w:firstLine="240" w:firstLineChars="100"/>
        <w:jc w:val="left"/>
        <w:rPr>
          <w:rFonts w:hint="eastAsia" w:ascii="仿宋" w:hAnsi="仿宋" w:eastAsia="仿宋" w:cs="仿宋"/>
          <w:iCs/>
          <w:sz w:val="24"/>
        </w:rPr>
      </w:pPr>
      <w:r>
        <w:rPr>
          <w:rFonts w:hint="eastAsia" w:ascii="仿宋" w:hAnsi="仿宋" w:eastAsia="仿宋" w:cs="仿宋"/>
          <w:iCs/>
          <w:sz w:val="24"/>
        </w:rPr>
        <w:t>2.商务履约内容</w:t>
      </w:r>
    </w:p>
    <w:p w14:paraId="422A11B9">
      <w:pPr>
        <w:shd w:val="clea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费用按招标文件要求结算、支付。</w:t>
      </w:r>
    </w:p>
    <w:p w14:paraId="2980DFE1">
      <w:pPr>
        <w:spacing w:line="360" w:lineRule="auto"/>
        <w:jc w:val="left"/>
        <w:rPr>
          <w:rFonts w:hint="eastAsia" w:ascii="仿宋" w:hAnsi="仿宋" w:eastAsia="仿宋" w:cs="仿宋"/>
          <w:sz w:val="24"/>
        </w:rPr>
      </w:pPr>
      <w:r>
        <w:rPr>
          <w:rFonts w:hint="eastAsia" w:ascii="仿宋" w:hAnsi="仿宋" w:eastAsia="仿宋" w:cs="仿宋"/>
          <w:sz w:val="24"/>
        </w:rPr>
        <w:t>（六）履约验收标准</w:t>
      </w:r>
    </w:p>
    <w:p w14:paraId="461661C4">
      <w:pPr>
        <w:shd w:val="clea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highlight w:val="none"/>
          <w:u w:val="single"/>
        </w:rPr>
        <w:t>根据采购文件确定的技术指标或者服务要求确定验收指标和标准。未进行相应约定的，应当符合国家强制性规定、政策要求、安全标准、行业或企业有关标准等。</w:t>
      </w:r>
    </w:p>
    <w:p w14:paraId="1E7B44FD">
      <w:pPr>
        <w:spacing w:line="360" w:lineRule="auto"/>
        <w:jc w:val="left"/>
        <w:rPr>
          <w:rFonts w:hint="eastAsia" w:ascii="仿宋" w:hAnsi="仿宋" w:eastAsia="仿宋" w:cs="仿宋"/>
          <w:sz w:val="24"/>
        </w:rPr>
      </w:pPr>
      <w:r>
        <w:rPr>
          <w:rFonts w:hint="eastAsia" w:ascii="仿宋" w:hAnsi="仿宋" w:eastAsia="仿宋" w:cs="仿宋"/>
          <w:sz w:val="24"/>
        </w:rPr>
        <w:t>（七）履约验收其他事项</w:t>
      </w:r>
    </w:p>
    <w:p w14:paraId="65460AF3">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highlight w:val="none"/>
          <w:u w:val="single"/>
        </w:rPr>
        <w:t>无</w:t>
      </w:r>
      <w:r>
        <w:rPr>
          <w:rFonts w:hint="eastAsia" w:ascii="仿宋" w:hAnsi="仿宋" w:eastAsia="仿宋" w:cs="仿宋"/>
          <w:sz w:val="24"/>
          <w:highlight w:val="none"/>
          <w:u w:val="single"/>
          <w:lang w:eastAsia="zh-CN"/>
        </w:rPr>
        <w:t>。</w:t>
      </w:r>
    </w:p>
    <w:p w14:paraId="3583366F">
      <w:pPr>
        <w:spacing w:before="312" w:beforeLines="100" w:line="360" w:lineRule="auto"/>
        <w:jc w:val="left"/>
        <w:rPr>
          <w:rFonts w:hint="eastAsia" w:ascii="仿宋" w:hAnsi="仿宋" w:eastAsia="仿宋" w:cs="仿宋"/>
          <w:b/>
          <w:sz w:val="28"/>
          <w:szCs w:val="28"/>
        </w:rPr>
      </w:pPr>
      <w:r>
        <w:rPr>
          <w:rFonts w:hint="eastAsia" w:ascii="仿宋" w:hAnsi="仿宋" w:eastAsia="仿宋" w:cs="仿宋"/>
          <w:b/>
          <w:sz w:val="28"/>
          <w:szCs w:val="28"/>
        </w:rPr>
        <w:t>四、风险控制措施和替代方案</w:t>
      </w:r>
    </w:p>
    <w:p w14:paraId="3B7308AF">
      <w:pPr>
        <w:spacing w:line="360" w:lineRule="auto"/>
        <w:ind w:firstLine="420"/>
        <w:jc w:val="left"/>
        <w:rPr>
          <w:rFonts w:hint="eastAsia" w:ascii="仿宋" w:hAnsi="仿宋" w:eastAsia="仿宋" w:cs="仿宋"/>
          <w:sz w:val="24"/>
        </w:rPr>
      </w:pPr>
      <w:r>
        <w:rPr>
          <w:rFonts w:hint="eastAsia" w:ascii="仿宋" w:hAnsi="仿宋" w:eastAsia="仿宋" w:cs="仿宋"/>
          <w:sz w:val="24"/>
        </w:rPr>
        <w:t>该采购项目按照《政府采购需求管理办法》第二十五条规定，是否需要组织风险判断、提出处置措施和替代方案：</w:t>
      </w:r>
      <w:r>
        <w:rPr>
          <w:rFonts w:hint="eastAsia" w:ascii="仿宋" w:hAnsi="仿宋" w:eastAsia="仿宋" w:cs="仿宋"/>
          <w:sz w:val="24"/>
        </w:rPr>
        <w:tab/>
      </w:r>
      <w:r>
        <w:rPr>
          <w:rFonts w:hint="eastAsia" w:ascii="仿宋" w:hAnsi="仿宋" w:eastAsia="仿宋" w:cs="仿宋"/>
          <w:sz w:val="24"/>
          <w:lang w:eastAsia="zh-CN"/>
        </w:rPr>
        <w:t>☑</w:t>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t>□否</w:t>
      </w:r>
    </w:p>
    <w:p w14:paraId="01237152">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（一）国家政策变化应对措施</w:t>
      </w:r>
    </w:p>
    <w:p w14:paraId="441684F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采购人有权根据国家政策或法律法规的变动等非采购人可控因素，对本项目的需求标准、质量要求、合同总价等作出相应变更或者取消项目或者重新组织项目招标，均不视为采购人违约。采购人有权对需求进行修改。 </w:t>
      </w:r>
    </w:p>
    <w:p w14:paraId="00EB618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（二）实施环境变化应对措施</w:t>
      </w:r>
    </w:p>
    <w:p w14:paraId="1F8D651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采购人有权根据实施环境变化等非采购人可控因素，对本项目的需求标准、质量要求、合同总价等作出相应变更或者取消项目或者重新组织项目招标，均不视为采购人违约。采购人有权对需求进行修改。</w:t>
      </w:r>
    </w:p>
    <w:p w14:paraId="2416CEA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（三）重大技术变化应对措施</w:t>
      </w:r>
    </w:p>
    <w:p w14:paraId="7316A7D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采购人有权根据重大技术变化等非采购人可控因素，对本项目的需求标准、质量要求、合同总价等作出相应变更或者取消项目或者重新组织项目招标，均不视为采购人违约。采购人有权对需求进行修改。</w:t>
      </w:r>
    </w:p>
    <w:p w14:paraId="5C4ABC5C">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（四）预算项目调整应对措施</w:t>
      </w:r>
    </w:p>
    <w:p w14:paraId="7C70676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采购人有权根据预算项目调整等非采购人可控因素，对本项目的需求标准、质量要求、 合同总价等作出相应变更或者取消项目或者重新组织项目招标，均不视为采购人违约。采购人有权对需求进行修改。</w:t>
      </w:r>
    </w:p>
    <w:p w14:paraId="3F17B7FA">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（五）因质疑投诉影响采购进度应对措施</w:t>
      </w:r>
    </w:p>
    <w:p w14:paraId="583DEA9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1.依法制订采购需求，正确编制采购文件，从源头上减少质疑投诉。</w:t>
      </w:r>
    </w:p>
    <w:p w14:paraId="61D4D5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2.及时处理质疑，加强从质疑收件、调查核实、组织专家论证、向有关行业主管部门求证、与质疑供应商沟通协调、与职能部门会商等各环节工作，确保顺利处理质疑、 有效减少投诉。 </w:t>
      </w:r>
    </w:p>
    <w:p w14:paraId="4138565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2"/>
          <w:sz w:val="24"/>
          <w:szCs w:val="24"/>
          <w:highlight w:val="none"/>
          <w:u w:val="single"/>
          <w:lang w:val="en-US" w:eastAsia="zh-CN" w:bidi="ar-SA"/>
        </w:rPr>
        <w:t>3.</w:t>
      </w:r>
      <w:r>
        <w:rPr>
          <w:rFonts w:hint="eastAsia" w:ascii="仿宋" w:hAnsi="仿宋" w:eastAsia="仿宋" w:cs="仿宋"/>
          <w:color w:val="auto"/>
          <w:sz w:val="24"/>
          <w:highlight w:val="none"/>
          <w:u w:val="single"/>
        </w:rPr>
        <w:t>质疑属实的，及时修改采购文件中的不合法、不合规条款后继续组织采购活动。</w:t>
      </w:r>
    </w:p>
    <w:p w14:paraId="6FE4B9CF">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（六）采购失败应对措施</w:t>
      </w:r>
    </w:p>
    <w:p w14:paraId="43DA4A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分析采购失败原因，及时调整招标策略；改变招标方式；修改招标文件。</w:t>
      </w:r>
    </w:p>
    <w:p w14:paraId="68F2190F">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（七）不按规定签订或者履行合同应对措施</w:t>
      </w:r>
    </w:p>
    <w:p w14:paraId="5A659EB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1.不按规定签订合同的，重新采购。 </w:t>
      </w:r>
    </w:p>
    <w:p w14:paraId="54C148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2.不履行合同的，重新采购。</w:t>
      </w:r>
    </w:p>
    <w:p w14:paraId="0412859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（八）出现损害国家利益和社会公共利益情形应对措施</w:t>
      </w:r>
    </w:p>
    <w:p w14:paraId="01C452F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一旦出现政府采购合同继续履行将损害国家利益和社会公共利益的情况，采购人和供应商双方都有义务变更、中止或者终止合同。有过错的一方应当承担赔偿责任，双方都有过错的，各自承担相应的责任。</w:t>
      </w:r>
    </w:p>
    <w:p w14:paraId="5FA5DCCB">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（九）其他采购和合同履行过程的风险及应对措施</w:t>
      </w:r>
    </w:p>
    <w:p w14:paraId="697011E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无。</w:t>
      </w:r>
    </w:p>
    <w:p w14:paraId="07D28AED">
      <w:pPr>
        <w:pStyle w:val="6"/>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D52CC"/>
    <w:multiLevelType w:val="singleLevel"/>
    <w:tmpl w:val="984D52CC"/>
    <w:lvl w:ilvl="0" w:tentative="0">
      <w:start w:val="4"/>
      <w:numFmt w:val="chineseCounting"/>
      <w:suff w:val="nothing"/>
      <w:lvlText w:val="%1、"/>
      <w:lvlJc w:val="left"/>
      <w:rPr>
        <w:rFonts w:hint="eastAsia"/>
      </w:rPr>
    </w:lvl>
  </w:abstractNum>
  <w:abstractNum w:abstractNumId="1">
    <w:nsid w:val="E2C2B12A"/>
    <w:multiLevelType w:val="singleLevel"/>
    <w:tmpl w:val="E2C2B12A"/>
    <w:lvl w:ilvl="0" w:tentative="0">
      <w:start w:val="6"/>
      <w:numFmt w:val="decimal"/>
      <w:lvlText w:val="%1."/>
      <w:lvlJc w:val="left"/>
      <w:pPr>
        <w:tabs>
          <w:tab w:val="left" w:pos="312"/>
        </w:tabs>
      </w:pPr>
    </w:lvl>
  </w:abstractNum>
  <w:abstractNum w:abstractNumId="2">
    <w:nsid w:val="49505333"/>
    <w:multiLevelType w:val="singleLevel"/>
    <w:tmpl w:val="49505333"/>
    <w:lvl w:ilvl="0" w:tentative="0">
      <w:start w:val="2"/>
      <w:numFmt w:val="chineseCounting"/>
      <w:suff w:val="nothing"/>
      <w:lvlText w:val="%1）"/>
      <w:lvlJc w:val="left"/>
      <w:rPr>
        <w:rFonts w:hint="eastAsia"/>
      </w:rPr>
    </w:lvl>
  </w:abstractNum>
  <w:abstractNum w:abstractNumId="3">
    <w:nsid w:val="54FDEB2C"/>
    <w:multiLevelType w:val="singleLevel"/>
    <w:tmpl w:val="54FDEB2C"/>
    <w:lvl w:ilvl="0" w:tentative="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OGU2YzAzOGE5M2FiNmVhNTU3OTE5ODEzNzM3ZDIifQ=="/>
  </w:docVars>
  <w:rsids>
    <w:rsidRoot w:val="00000000"/>
    <w:rsid w:val="0341020B"/>
    <w:rsid w:val="05616943"/>
    <w:rsid w:val="071874D5"/>
    <w:rsid w:val="087150EF"/>
    <w:rsid w:val="0D894C89"/>
    <w:rsid w:val="12695089"/>
    <w:rsid w:val="129245E0"/>
    <w:rsid w:val="13060FD8"/>
    <w:rsid w:val="15DA2525"/>
    <w:rsid w:val="16F2389F"/>
    <w:rsid w:val="183A54FD"/>
    <w:rsid w:val="18FA4C8D"/>
    <w:rsid w:val="1A9133CF"/>
    <w:rsid w:val="1AB015B1"/>
    <w:rsid w:val="1BCC2910"/>
    <w:rsid w:val="1D6D3C7F"/>
    <w:rsid w:val="1DB0106A"/>
    <w:rsid w:val="24912949"/>
    <w:rsid w:val="26B96390"/>
    <w:rsid w:val="31F75DB5"/>
    <w:rsid w:val="32193F7E"/>
    <w:rsid w:val="326276D3"/>
    <w:rsid w:val="32B81296"/>
    <w:rsid w:val="398919E9"/>
    <w:rsid w:val="3C2854E9"/>
    <w:rsid w:val="3D155008"/>
    <w:rsid w:val="3EAA6689"/>
    <w:rsid w:val="4AFF6D22"/>
    <w:rsid w:val="4E8F31A6"/>
    <w:rsid w:val="50B60EBE"/>
    <w:rsid w:val="5133250E"/>
    <w:rsid w:val="51A0391C"/>
    <w:rsid w:val="52157E66"/>
    <w:rsid w:val="58474AF1"/>
    <w:rsid w:val="5A882BDD"/>
    <w:rsid w:val="62465E1A"/>
    <w:rsid w:val="64C25C2B"/>
    <w:rsid w:val="698711F2"/>
    <w:rsid w:val="6BEA5A68"/>
    <w:rsid w:val="6C90660F"/>
    <w:rsid w:val="6F193D8B"/>
    <w:rsid w:val="705931BC"/>
    <w:rsid w:val="707B1384"/>
    <w:rsid w:val="72D059B7"/>
    <w:rsid w:val="74C90910"/>
    <w:rsid w:val="791D122B"/>
    <w:rsid w:val="7A94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4">
    <w:name w:val="Body Text"/>
    <w:basedOn w:val="1"/>
    <w:next w:val="5"/>
    <w:semiHidden/>
    <w:unhideWhenUsed/>
    <w:qFormat/>
    <w:uiPriority w:val="99"/>
    <w:pPr>
      <w:spacing w:after="120"/>
    </w:pPr>
  </w:style>
  <w:style w:type="paragraph" w:styleId="5">
    <w:name w:val="Body Text First Indent"/>
    <w:basedOn w:val="4"/>
    <w:next w:val="1"/>
    <w:semiHidden/>
    <w:unhideWhenUsed/>
    <w:qFormat/>
    <w:uiPriority w:val="99"/>
    <w:pPr>
      <w:ind w:firstLine="420" w:firstLineChars="100"/>
    </w:pPr>
  </w:style>
  <w:style w:type="paragraph" w:styleId="6">
    <w:name w:val="Body Text Indent"/>
    <w:basedOn w:val="1"/>
    <w:next w:val="3"/>
    <w:qFormat/>
    <w:uiPriority w:val="0"/>
    <w:pPr>
      <w:adjustRightInd w:val="0"/>
      <w:spacing w:line="480" w:lineRule="exact"/>
      <w:ind w:firstLine="480" w:firstLineChars="200"/>
    </w:pPr>
    <w:rPr>
      <w:rFonts w:ascii="宋体" w:hAnsi="宋体"/>
      <w:sz w:val="24"/>
    </w:rPr>
  </w:style>
  <w:style w:type="paragraph" w:styleId="7">
    <w:name w:val="Plain Text"/>
    <w:basedOn w:val="1"/>
    <w:qFormat/>
    <w:uiPriority w:val="0"/>
    <w:rPr>
      <w:rFonts w:ascii="宋体" w:hAnsi="Courier New" w:cs="Arial"/>
      <w:snapToGrid w:val="0"/>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Normal]"/>
    <w:qFormat/>
    <w:uiPriority w:val="0"/>
    <w:rPr>
      <w:rFonts w:ascii="宋体" w:hAnsi="宋体" w:eastAsia="宋体" w:cs="Times New Roman"/>
      <w:sz w:val="24"/>
      <w:szCs w:val="22"/>
      <w:lang w:val="zh-CN" w:eastAsia="zh-CN" w:bidi="ar-SA"/>
    </w:rPr>
  </w:style>
  <w:style w:type="paragraph" w:customStyle="1" w:styleId="13">
    <w:name w:val="首行缩进"/>
    <w:basedOn w:val="1"/>
    <w:qFormat/>
    <w:uiPriority w:val="0"/>
    <w:pPr>
      <w:spacing w:line="360" w:lineRule="auto"/>
      <w:ind w:firstLine="480" w:firstLineChars="200"/>
    </w:pPr>
    <w:rPr>
      <w:rFonts w:ascii="宋体"/>
      <w:sz w:val="24"/>
      <w:szCs w:val="20"/>
    </w:rPr>
  </w:style>
  <w:style w:type="paragraph" w:customStyle="1" w:styleId="1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3170</Words>
  <Characters>3359</Characters>
  <Lines>0</Lines>
  <Paragraphs>0</Paragraphs>
  <TotalTime>14</TotalTime>
  <ScaleCrop>false</ScaleCrop>
  <LinksUpToDate>false</LinksUpToDate>
  <CharactersWithSpaces>3823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2024-07-19T08:24:00Z</dcterms:created>
  <dc:creator>Administrator</dc:creator>
  <cp:lastModifiedBy>w</cp:lastModifiedBy>
  <dcterms:modified xsi:type="dcterms:W3CDTF">2024-11-22T14:30:13Z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9BEBCAE6CC7E424392B83A013220C62E_12</vt:lpwstr>
  </property>
</Properties>
</file>