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D8F58B">
      <w:pPr>
        <w:pStyle w:val="25"/>
        <w:spacing w:line="360" w:lineRule="auto"/>
        <w:ind w:left="0" w:leftChars="0" w:firstLine="0" w:firstLineChars="0"/>
        <w:jc w:val="both"/>
        <w:rPr>
          <w:rFonts w:hint="eastAsia" w:ascii="宋体" w:hAnsi="宋体" w:eastAsia="宋体" w:cs="宋体"/>
          <w:sz w:val="21"/>
          <w:szCs w:val="21"/>
          <w:highlight w:val="none"/>
        </w:rPr>
      </w:pPr>
    </w:p>
    <w:p w14:paraId="2B174307">
      <w:pPr>
        <w:pStyle w:val="25"/>
        <w:spacing w:line="360" w:lineRule="auto"/>
        <w:ind w:left="0" w:lef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drawing>
          <wp:inline distT="0" distB="0" distL="114300" distR="114300">
            <wp:extent cx="3372485" cy="1139190"/>
            <wp:effectExtent l="0" t="0" r="18415" b="3810"/>
            <wp:docPr id="1" name="图片 2" descr="透明背景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透明背景图"/>
                    <pic:cNvPicPr>
                      <a:picLocks noChangeAspect="1"/>
                    </pic:cNvPicPr>
                  </pic:nvPicPr>
                  <pic:blipFill>
                    <a:blip r:embed="rId8"/>
                    <a:stretch>
                      <a:fillRect/>
                    </a:stretch>
                  </pic:blipFill>
                  <pic:spPr>
                    <a:xfrm>
                      <a:off x="0" y="0"/>
                      <a:ext cx="3372485" cy="1139190"/>
                    </a:xfrm>
                    <a:prstGeom prst="rect">
                      <a:avLst/>
                    </a:prstGeom>
                    <a:noFill/>
                    <a:ln>
                      <a:noFill/>
                    </a:ln>
                  </pic:spPr>
                </pic:pic>
              </a:graphicData>
            </a:graphic>
          </wp:inline>
        </w:drawing>
      </w:r>
    </w:p>
    <w:p w14:paraId="74D3F573">
      <w:pPr>
        <w:snapToGrid w:val="0"/>
        <w:spacing w:beforeLines="50" w:line="360" w:lineRule="auto"/>
        <w:jc w:val="center"/>
        <w:rPr>
          <w:rFonts w:hint="eastAsia" w:ascii="宋体" w:hAnsi="宋体" w:eastAsia="宋体" w:cs="宋体"/>
          <w:sz w:val="21"/>
          <w:szCs w:val="21"/>
          <w:highlight w:val="none"/>
        </w:rPr>
      </w:pPr>
    </w:p>
    <w:p w14:paraId="7BB2CE11">
      <w:pPr>
        <w:snapToGrid w:val="0"/>
        <w:spacing w:beforeLines="50" w:line="360" w:lineRule="auto"/>
        <w:jc w:val="center"/>
        <w:rPr>
          <w:rFonts w:hint="eastAsia" w:ascii="宋体" w:hAnsi="宋体" w:eastAsia="宋体" w:cs="宋体"/>
          <w:sz w:val="21"/>
          <w:szCs w:val="21"/>
          <w:highlight w:val="none"/>
        </w:rPr>
      </w:pPr>
    </w:p>
    <w:p w14:paraId="288F3A16">
      <w:pPr>
        <w:snapToGrid w:val="0"/>
        <w:spacing w:beforeLines="50" w:line="360" w:lineRule="auto"/>
        <w:jc w:val="center"/>
        <w:rPr>
          <w:rFonts w:hint="eastAsia" w:ascii="宋体" w:hAnsi="宋体" w:eastAsia="宋体" w:cs="宋体"/>
          <w:sz w:val="52"/>
          <w:szCs w:val="52"/>
          <w:highlight w:val="none"/>
        </w:rPr>
      </w:pPr>
      <w:r>
        <w:rPr>
          <w:rFonts w:hint="eastAsia" w:ascii="宋体" w:hAnsi="宋体" w:eastAsia="宋体" w:cs="宋体"/>
          <w:sz w:val="52"/>
          <w:szCs w:val="52"/>
          <w:highlight w:val="none"/>
        </w:rPr>
        <w:t>竞争性磋商文件</w:t>
      </w:r>
    </w:p>
    <w:p w14:paraId="78287DD2">
      <w:pPr>
        <w:snapToGrid w:val="0"/>
        <w:spacing w:line="360" w:lineRule="auto"/>
        <w:jc w:val="center"/>
        <w:rPr>
          <w:rFonts w:hint="eastAsia" w:ascii="宋体" w:hAnsi="宋体" w:eastAsia="宋体" w:cs="宋体"/>
          <w:sz w:val="52"/>
          <w:szCs w:val="52"/>
          <w:highlight w:val="none"/>
        </w:rPr>
      </w:pPr>
      <w:r>
        <w:rPr>
          <w:rFonts w:hint="eastAsia" w:ascii="宋体" w:hAnsi="宋体" w:eastAsia="宋体" w:cs="宋体"/>
          <w:sz w:val="52"/>
          <w:szCs w:val="52"/>
          <w:highlight w:val="none"/>
        </w:rPr>
        <w:t>（电子招投标）</w:t>
      </w:r>
    </w:p>
    <w:p w14:paraId="3C01D75D">
      <w:pPr>
        <w:pStyle w:val="13"/>
        <w:snapToGrid w:val="0"/>
        <w:spacing w:before="120" w:after="120" w:line="360" w:lineRule="auto"/>
        <w:rPr>
          <w:rFonts w:hint="eastAsia" w:ascii="宋体" w:hAnsi="宋体" w:eastAsia="宋体" w:cs="宋体"/>
          <w:b/>
          <w:bCs/>
          <w:w w:val="95"/>
          <w:sz w:val="21"/>
          <w:szCs w:val="21"/>
          <w:highlight w:val="none"/>
        </w:rPr>
      </w:pPr>
    </w:p>
    <w:p w14:paraId="7680B3E5">
      <w:pPr>
        <w:pStyle w:val="13"/>
        <w:snapToGrid w:val="0"/>
        <w:spacing w:before="120" w:after="120" w:line="360" w:lineRule="auto"/>
        <w:jc w:val="both"/>
        <w:rPr>
          <w:rFonts w:hint="eastAsia" w:ascii="宋体" w:hAnsi="宋体" w:eastAsia="宋体" w:cs="宋体"/>
          <w:b/>
          <w:bCs/>
          <w:w w:val="95"/>
          <w:sz w:val="21"/>
          <w:szCs w:val="21"/>
          <w:highlight w:val="none"/>
          <w:lang w:val="en-US" w:eastAsia="zh-CN"/>
        </w:rPr>
      </w:pPr>
      <w:r>
        <w:rPr>
          <w:rFonts w:hint="eastAsia" w:ascii="宋体" w:hAnsi="宋体" w:eastAsia="宋体" w:cs="宋体"/>
          <w:b/>
          <w:bCs/>
          <w:w w:val="95"/>
          <w:sz w:val="21"/>
          <w:szCs w:val="21"/>
          <w:highlight w:val="none"/>
          <w:lang w:val="en-US" w:eastAsia="zh-CN"/>
        </w:rPr>
        <w:t xml:space="preserve">  </w:t>
      </w:r>
    </w:p>
    <w:p w14:paraId="2F5312B4">
      <w:pPr>
        <w:pStyle w:val="13"/>
        <w:snapToGrid w:val="0"/>
        <w:spacing w:before="120" w:after="120" w:line="360" w:lineRule="auto"/>
        <w:rPr>
          <w:rFonts w:hint="eastAsia" w:ascii="宋体" w:hAnsi="宋体" w:eastAsia="宋体" w:cs="宋体"/>
          <w:b/>
          <w:sz w:val="21"/>
          <w:szCs w:val="21"/>
          <w:highlight w:val="none"/>
          <w:lang w:eastAsia="zh-CN"/>
        </w:rPr>
      </w:pPr>
    </w:p>
    <w:p w14:paraId="725B5D9A">
      <w:pPr>
        <w:pStyle w:val="13"/>
        <w:snapToGrid w:val="0"/>
        <w:spacing w:before="120" w:after="120" w:line="360" w:lineRule="auto"/>
        <w:rPr>
          <w:rFonts w:hint="eastAsia" w:ascii="宋体" w:hAnsi="宋体" w:eastAsia="宋体" w:cs="宋体"/>
          <w:b/>
          <w:sz w:val="32"/>
          <w:szCs w:val="32"/>
          <w:highlight w:val="none"/>
          <w:lang w:eastAsia="zh-CN"/>
        </w:rPr>
      </w:pPr>
      <w:r>
        <w:rPr>
          <w:rFonts w:hint="eastAsia" w:ascii="宋体" w:hAnsi="宋体" w:eastAsia="宋体" w:cs="宋体"/>
          <w:b/>
          <w:sz w:val="32"/>
          <w:szCs w:val="32"/>
          <w:highlight w:val="none"/>
          <w:lang w:eastAsia="zh-CN"/>
        </w:rPr>
        <w:t>采购项目</w:t>
      </w:r>
      <w:r>
        <w:rPr>
          <w:rFonts w:hint="eastAsia" w:ascii="宋体" w:hAnsi="宋体" w:eastAsia="宋体" w:cs="宋体"/>
          <w:b/>
          <w:sz w:val="32"/>
          <w:szCs w:val="32"/>
          <w:highlight w:val="none"/>
        </w:rPr>
        <w:t>：</w:t>
      </w:r>
      <w:r>
        <w:rPr>
          <w:rFonts w:hint="eastAsia" w:ascii="宋体" w:hAnsi="宋体" w:eastAsia="宋体" w:cs="宋体"/>
          <w:b/>
          <w:sz w:val="32"/>
          <w:szCs w:val="32"/>
          <w:highlight w:val="none"/>
          <w:u w:val="single"/>
          <w:lang w:eastAsia="zh-CN"/>
        </w:rPr>
        <w:t>2025年椒江区前所街道居家养老服务采购项目</w:t>
      </w:r>
    </w:p>
    <w:p w14:paraId="33524244">
      <w:pPr>
        <w:pStyle w:val="13"/>
        <w:snapToGrid w:val="0"/>
        <w:spacing w:before="120" w:after="120" w:line="360" w:lineRule="auto"/>
        <w:rPr>
          <w:rFonts w:hint="eastAsia" w:ascii="宋体" w:hAnsi="宋体" w:eastAsia="宋体" w:cs="宋体"/>
          <w:b/>
          <w:sz w:val="32"/>
          <w:szCs w:val="32"/>
          <w:highlight w:val="none"/>
        </w:rPr>
      </w:pPr>
      <w:r>
        <w:rPr>
          <w:rFonts w:hint="eastAsia" w:ascii="宋体" w:hAnsi="宋体" w:eastAsia="宋体" w:cs="宋体"/>
          <w:b/>
          <w:sz w:val="32"/>
          <w:szCs w:val="32"/>
          <w:highlight w:val="none"/>
        </w:rPr>
        <w:t>采 购 人：</w:t>
      </w:r>
      <w:r>
        <w:rPr>
          <w:rFonts w:hint="eastAsia" w:ascii="宋体" w:hAnsi="宋体" w:eastAsia="宋体" w:cs="宋体"/>
          <w:b/>
          <w:sz w:val="32"/>
          <w:szCs w:val="32"/>
          <w:highlight w:val="none"/>
          <w:u w:val="single"/>
          <w:lang w:eastAsia="zh-CN"/>
        </w:rPr>
        <w:t>台州市椒江区人民政府前所街道办事处</w:t>
      </w:r>
    </w:p>
    <w:p w14:paraId="08D37D40">
      <w:pPr>
        <w:pStyle w:val="13"/>
        <w:snapToGrid w:val="0"/>
        <w:spacing w:before="120" w:after="120" w:line="360" w:lineRule="auto"/>
        <w:rPr>
          <w:rFonts w:hint="eastAsia" w:ascii="宋体" w:hAnsi="宋体" w:eastAsia="宋体" w:cs="宋体"/>
          <w:b/>
          <w:sz w:val="32"/>
          <w:szCs w:val="32"/>
          <w:highlight w:val="none"/>
        </w:rPr>
      </w:pPr>
      <w:r>
        <w:rPr>
          <w:rFonts w:hint="eastAsia" w:ascii="宋体" w:hAnsi="宋体" w:eastAsia="宋体" w:cs="宋体"/>
          <w:b/>
          <w:sz w:val="32"/>
          <w:szCs w:val="32"/>
          <w:highlight w:val="none"/>
        </w:rPr>
        <w:t>代理机构：</w:t>
      </w:r>
      <w:r>
        <w:rPr>
          <w:rFonts w:hint="eastAsia" w:ascii="宋体" w:hAnsi="宋体" w:eastAsia="宋体" w:cs="宋体"/>
          <w:b/>
          <w:sz w:val="32"/>
          <w:szCs w:val="32"/>
          <w:highlight w:val="none"/>
          <w:u w:val="single"/>
        </w:rPr>
        <w:t>赢海招标代理（台州）有限公司</w:t>
      </w:r>
    </w:p>
    <w:p w14:paraId="74F6B655">
      <w:pPr>
        <w:snapToGrid w:val="0"/>
        <w:spacing w:beforeLines="50" w:line="360" w:lineRule="auto"/>
        <w:jc w:val="center"/>
        <w:rPr>
          <w:rFonts w:hint="eastAsia" w:ascii="宋体" w:hAnsi="宋体" w:eastAsia="宋体" w:cs="宋体"/>
          <w:b/>
          <w:bCs/>
          <w:w w:val="95"/>
          <w:sz w:val="21"/>
          <w:szCs w:val="21"/>
          <w:highlight w:val="none"/>
        </w:rPr>
      </w:pPr>
    </w:p>
    <w:p w14:paraId="498DAD43">
      <w:pPr>
        <w:snapToGrid w:val="0"/>
        <w:spacing w:beforeLines="50" w:line="360" w:lineRule="auto"/>
        <w:rPr>
          <w:rFonts w:hint="eastAsia" w:ascii="宋体" w:hAnsi="宋体" w:eastAsia="宋体" w:cs="宋体"/>
          <w:b/>
          <w:bCs/>
          <w:w w:val="95"/>
          <w:sz w:val="21"/>
          <w:szCs w:val="21"/>
          <w:highlight w:val="none"/>
        </w:rPr>
      </w:pPr>
    </w:p>
    <w:p w14:paraId="679E8250">
      <w:pPr>
        <w:pStyle w:val="25"/>
        <w:spacing w:line="360" w:lineRule="auto"/>
        <w:rPr>
          <w:rFonts w:hint="eastAsia" w:ascii="宋体" w:hAnsi="宋体" w:eastAsia="宋体" w:cs="宋体"/>
          <w:sz w:val="21"/>
          <w:szCs w:val="21"/>
          <w:highlight w:val="none"/>
        </w:rPr>
      </w:pPr>
    </w:p>
    <w:p w14:paraId="0CF41DFA">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ascii="宋体" w:hAnsi="宋体" w:eastAsia="宋体" w:cs="宋体"/>
          <w:color w:val="auto"/>
          <w:kern w:val="0"/>
          <w:sz w:val="28"/>
          <w:szCs w:val="28"/>
          <w:highlight w:val="none"/>
          <w:lang w:eastAsia="zh-CN"/>
        </w:rPr>
      </w:pPr>
      <w:r>
        <w:rPr>
          <w:rFonts w:hint="eastAsia" w:ascii="宋体" w:hAnsi="宋体" w:eastAsia="宋体" w:cs="宋体"/>
          <w:b/>
          <w:bCs/>
          <w:color w:val="auto"/>
          <w:kern w:val="0"/>
          <w:sz w:val="28"/>
          <w:szCs w:val="28"/>
          <w:highlight w:val="none"/>
        </w:rPr>
        <w:t>202</w:t>
      </w:r>
      <w:r>
        <w:rPr>
          <w:rFonts w:hint="eastAsia" w:ascii="宋体" w:hAnsi="宋体" w:eastAsia="宋体" w:cs="宋体"/>
          <w:b/>
          <w:bCs/>
          <w:color w:val="auto"/>
          <w:kern w:val="0"/>
          <w:sz w:val="28"/>
          <w:szCs w:val="28"/>
          <w:highlight w:val="none"/>
          <w:lang w:val="en-US" w:eastAsia="zh-CN"/>
        </w:rPr>
        <w:t>5</w:t>
      </w:r>
      <w:r>
        <w:rPr>
          <w:rFonts w:hint="eastAsia" w:ascii="宋体" w:hAnsi="宋体" w:eastAsia="宋体" w:cs="宋体"/>
          <w:b/>
          <w:bCs/>
          <w:color w:val="auto"/>
          <w:kern w:val="0"/>
          <w:sz w:val="28"/>
          <w:szCs w:val="28"/>
          <w:highlight w:val="none"/>
        </w:rPr>
        <w:t>年</w:t>
      </w:r>
      <w:r>
        <w:rPr>
          <w:rFonts w:hint="eastAsia" w:ascii="宋体" w:hAnsi="宋体" w:cs="宋体"/>
          <w:b/>
          <w:bCs/>
          <w:color w:val="auto"/>
          <w:kern w:val="0"/>
          <w:sz w:val="28"/>
          <w:szCs w:val="28"/>
          <w:highlight w:val="none"/>
          <w:lang w:val="en-US" w:eastAsia="zh-CN"/>
        </w:rPr>
        <w:t>5</w:t>
      </w:r>
      <w:r>
        <w:rPr>
          <w:rFonts w:hint="eastAsia" w:ascii="宋体" w:hAnsi="宋体" w:eastAsia="宋体" w:cs="宋体"/>
          <w:b/>
          <w:bCs/>
          <w:color w:val="auto"/>
          <w:kern w:val="0"/>
          <w:sz w:val="28"/>
          <w:szCs w:val="28"/>
          <w:highlight w:val="none"/>
        </w:rPr>
        <w:t>月</w:t>
      </w:r>
    </w:p>
    <w:p w14:paraId="7D5B1B8D">
      <w:pPr>
        <w:spacing w:line="360" w:lineRule="auto"/>
        <w:jc w:val="center"/>
        <w:rPr>
          <w:rFonts w:hint="eastAsia" w:ascii="宋体" w:hAnsi="宋体" w:eastAsia="宋体" w:cs="宋体"/>
          <w:b/>
          <w:bCs/>
          <w:color w:val="auto"/>
          <w:sz w:val="21"/>
          <w:szCs w:val="21"/>
          <w:highlight w:val="none"/>
        </w:rPr>
      </w:pPr>
    </w:p>
    <w:p w14:paraId="24FA508A">
      <w:pPr>
        <w:spacing w:line="360" w:lineRule="auto"/>
        <w:jc w:val="center"/>
        <w:rPr>
          <w:rFonts w:hint="eastAsia" w:ascii="宋体" w:hAnsi="宋体" w:eastAsia="宋体" w:cs="宋体"/>
          <w:b/>
          <w:bCs/>
          <w:color w:val="auto"/>
          <w:sz w:val="21"/>
          <w:szCs w:val="21"/>
          <w:highlight w:val="none"/>
        </w:rPr>
      </w:pPr>
    </w:p>
    <w:p w14:paraId="4A6BCDA5">
      <w:pPr>
        <w:spacing w:line="360" w:lineRule="auto"/>
        <w:jc w:val="center"/>
        <w:rPr>
          <w:rFonts w:hint="eastAsia" w:ascii="宋体" w:hAnsi="宋体" w:eastAsia="宋体" w:cs="宋体"/>
          <w:b/>
          <w:bCs/>
          <w:color w:val="auto"/>
          <w:sz w:val="21"/>
          <w:szCs w:val="21"/>
          <w:highlight w:val="none"/>
        </w:rPr>
      </w:pPr>
    </w:p>
    <w:p w14:paraId="618FA5B3">
      <w:pPr>
        <w:spacing w:line="360" w:lineRule="auto"/>
        <w:jc w:val="center"/>
        <w:rPr>
          <w:rFonts w:hint="eastAsia" w:ascii="宋体" w:hAnsi="宋体" w:eastAsia="宋体" w:cs="宋体"/>
          <w:b/>
          <w:bCs/>
          <w:color w:val="auto"/>
          <w:sz w:val="21"/>
          <w:szCs w:val="21"/>
          <w:highlight w:val="none"/>
        </w:rPr>
      </w:pPr>
    </w:p>
    <w:p w14:paraId="1F75C20F">
      <w:pPr>
        <w:spacing w:line="360" w:lineRule="auto"/>
        <w:jc w:val="center"/>
        <w:rPr>
          <w:rFonts w:hint="eastAsia" w:ascii="宋体" w:hAnsi="宋体" w:eastAsia="宋体" w:cs="宋体"/>
          <w:b/>
          <w:bCs/>
          <w:color w:val="auto"/>
          <w:sz w:val="21"/>
          <w:szCs w:val="21"/>
          <w:highlight w:val="none"/>
        </w:rPr>
      </w:pPr>
    </w:p>
    <w:p w14:paraId="6AD352A0">
      <w:pPr>
        <w:spacing w:line="360" w:lineRule="auto"/>
        <w:jc w:val="both"/>
        <w:rPr>
          <w:rFonts w:hint="eastAsia" w:ascii="宋体" w:hAnsi="宋体" w:eastAsia="宋体" w:cs="宋体"/>
          <w:b/>
          <w:bCs/>
          <w:color w:val="auto"/>
          <w:sz w:val="21"/>
          <w:szCs w:val="21"/>
          <w:highlight w:val="none"/>
        </w:rPr>
      </w:pPr>
    </w:p>
    <w:p w14:paraId="5A993833">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    录</w:t>
      </w:r>
    </w:p>
    <w:p w14:paraId="7574521D">
      <w:pPr>
        <w:spacing w:line="360" w:lineRule="auto"/>
        <w:ind w:left="960"/>
        <w:rPr>
          <w:rFonts w:hint="eastAsia" w:ascii="宋体" w:hAnsi="宋体" w:eastAsia="宋体" w:cs="宋体"/>
          <w:color w:val="auto"/>
          <w:sz w:val="21"/>
          <w:szCs w:val="21"/>
          <w:highlight w:val="none"/>
        </w:rPr>
      </w:pPr>
    </w:p>
    <w:p w14:paraId="6BE08551">
      <w:pPr>
        <w:spacing w:line="360" w:lineRule="auto"/>
        <w:ind w:left="960"/>
        <w:rPr>
          <w:rFonts w:hint="eastAsia" w:ascii="宋体" w:hAnsi="宋体" w:eastAsia="宋体" w:cs="宋体"/>
          <w:color w:val="auto"/>
          <w:sz w:val="21"/>
          <w:szCs w:val="21"/>
          <w:highlight w:val="none"/>
        </w:rPr>
      </w:pPr>
    </w:p>
    <w:p w14:paraId="62C1EC5B">
      <w:pPr>
        <w:spacing w:line="360" w:lineRule="auto"/>
        <w:ind w:left="960"/>
        <w:rPr>
          <w:rFonts w:hint="eastAsia" w:ascii="宋体" w:hAnsi="宋体" w:eastAsia="宋体" w:cs="宋体"/>
          <w:color w:val="auto"/>
          <w:sz w:val="21"/>
          <w:szCs w:val="21"/>
          <w:highlight w:val="none"/>
        </w:rPr>
      </w:pPr>
    </w:p>
    <w:p w14:paraId="3880EE59">
      <w:pPr>
        <w:pStyle w:val="36"/>
        <w:tabs>
          <w:tab w:val="right" w:leader="dot" w:pos="8306"/>
        </w:tabs>
        <w:spacing w:line="360" w:lineRule="auto"/>
        <w:rPr>
          <w:rFonts w:hint="eastAsia" w:ascii="宋体" w:hAnsi="宋体" w:eastAsia="宋体" w:cs="宋体"/>
          <w:color w:val="auto"/>
          <w:sz w:val="30"/>
          <w:szCs w:val="30"/>
          <w:highlight w:val="none"/>
        </w:rPr>
      </w:pPr>
      <w:r>
        <w:rPr>
          <w:rFonts w:hint="eastAsia" w:ascii="宋体" w:hAnsi="宋体" w:eastAsia="宋体" w:cs="宋体"/>
          <w:b/>
          <w:color w:val="auto"/>
          <w:sz w:val="30"/>
          <w:szCs w:val="30"/>
          <w:highlight w:val="none"/>
        </w:rPr>
        <w:fldChar w:fldCharType="begin"/>
      </w:r>
      <w:r>
        <w:rPr>
          <w:rFonts w:hint="eastAsia" w:ascii="宋体" w:hAnsi="宋体" w:eastAsia="宋体" w:cs="宋体"/>
          <w:b/>
          <w:color w:val="auto"/>
          <w:sz w:val="30"/>
          <w:szCs w:val="30"/>
          <w:highlight w:val="none"/>
        </w:rPr>
        <w:instrText xml:space="preserve">TOC \o "1-1" \h \u </w:instrText>
      </w:r>
      <w:r>
        <w:rPr>
          <w:rFonts w:hint="eastAsia" w:ascii="宋体" w:hAnsi="宋体" w:eastAsia="宋体" w:cs="宋体"/>
          <w:b/>
          <w:color w:val="auto"/>
          <w:sz w:val="30"/>
          <w:szCs w:val="30"/>
          <w:highlight w:val="none"/>
        </w:rPr>
        <w:fldChar w:fldCharType="separate"/>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_Toc30699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第一章  竞争性磋商公告</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lang w:val="en-US" w:eastAsia="zh-CN"/>
        </w:rPr>
        <w:t>1</w:t>
      </w:r>
      <w:r>
        <w:rPr>
          <w:rFonts w:hint="eastAsia" w:ascii="宋体" w:hAnsi="宋体" w:eastAsia="宋体" w:cs="宋体"/>
          <w:color w:val="auto"/>
          <w:sz w:val="30"/>
          <w:szCs w:val="30"/>
          <w:highlight w:val="none"/>
        </w:rPr>
        <w:fldChar w:fldCharType="end"/>
      </w:r>
    </w:p>
    <w:p w14:paraId="216B2B25">
      <w:pPr>
        <w:pStyle w:val="36"/>
        <w:tabs>
          <w:tab w:val="right" w:leader="dot" w:pos="8306"/>
        </w:tabs>
        <w:spacing w:line="360" w:lineRule="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_Toc15673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第二章  供应商须知</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_Toc15673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8</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083079CC">
      <w:pPr>
        <w:pStyle w:val="36"/>
        <w:tabs>
          <w:tab w:val="right" w:leader="dot" w:pos="8306"/>
        </w:tabs>
        <w:spacing w:line="360" w:lineRule="auto"/>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_Toc7807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第三章  评审办法及评审标准</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lang w:val="en-US" w:eastAsia="zh-CN"/>
        </w:rPr>
        <w:t>1</w:t>
      </w:r>
    </w:p>
    <w:p w14:paraId="3299A99F">
      <w:pPr>
        <w:pStyle w:val="36"/>
        <w:tabs>
          <w:tab w:val="right" w:leader="dot" w:pos="8306"/>
        </w:tabs>
        <w:spacing w:line="360" w:lineRule="auto"/>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_Toc9699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第四章  项目需求</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rPr>
        <w:fldChar w:fldCharType="end"/>
      </w:r>
      <w:r>
        <w:rPr>
          <w:rFonts w:hint="eastAsia" w:ascii="宋体" w:hAnsi="宋体" w:cs="宋体"/>
          <w:color w:val="auto"/>
          <w:sz w:val="30"/>
          <w:szCs w:val="30"/>
          <w:highlight w:val="none"/>
          <w:lang w:val="en-US" w:eastAsia="zh-CN"/>
        </w:rPr>
        <w:t>6</w:t>
      </w:r>
    </w:p>
    <w:p w14:paraId="3484FC60">
      <w:pPr>
        <w:pStyle w:val="36"/>
        <w:tabs>
          <w:tab w:val="right" w:leader="dot" w:pos="8306"/>
        </w:tabs>
        <w:spacing w:line="360" w:lineRule="auto"/>
        <w:rPr>
          <w:rFonts w:hint="default"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_Toc22277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第五章  政府采购合同主要条款指引</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end"/>
      </w:r>
      <w:r>
        <w:rPr>
          <w:rFonts w:hint="eastAsia" w:ascii="宋体" w:hAnsi="宋体" w:cs="宋体"/>
          <w:color w:val="auto"/>
          <w:sz w:val="30"/>
          <w:szCs w:val="30"/>
          <w:highlight w:val="none"/>
          <w:lang w:val="en-US" w:eastAsia="zh-CN"/>
        </w:rPr>
        <w:t>50</w:t>
      </w:r>
    </w:p>
    <w:p w14:paraId="5A12022A">
      <w:pPr>
        <w:pStyle w:val="36"/>
        <w:tabs>
          <w:tab w:val="right" w:leader="dot" w:pos="8306"/>
        </w:tabs>
        <w:spacing w:line="360" w:lineRule="auto"/>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_Toc3375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第六章  响应文件格式附件</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lang w:val="en-US" w:eastAsia="zh-CN"/>
        </w:rPr>
        <w:t>5</w:t>
      </w:r>
      <w:r>
        <w:rPr>
          <w:rFonts w:hint="eastAsia" w:ascii="宋体" w:hAnsi="宋体" w:eastAsia="宋体" w:cs="宋体"/>
          <w:color w:val="auto"/>
          <w:sz w:val="30"/>
          <w:szCs w:val="30"/>
          <w:highlight w:val="none"/>
        </w:rPr>
        <w:fldChar w:fldCharType="end"/>
      </w:r>
      <w:r>
        <w:rPr>
          <w:rFonts w:hint="eastAsia" w:ascii="宋体" w:hAnsi="宋体" w:cs="宋体"/>
          <w:color w:val="auto"/>
          <w:sz w:val="30"/>
          <w:szCs w:val="30"/>
          <w:highlight w:val="none"/>
          <w:lang w:val="en-US" w:eastAsia="zh-CN"/>
        </w:rPr>
        <w:t>5</w:t>
      </w:r>
    </w:p>
    <w:p w14:paraId="37F4E599">
      <w:pPr>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sz w:val="30"/>
          <w:szCs w:val="30"/>
          <w:highlight w:val="none"/>
        </w:rPr>
        <w:fldChar w:fldCharType="end"/>
      </w:r>
    </w:p>
    <w:p w14:paraId="3F58451B">
      <w:pPr>
        <w:tabs>
          <w:tab w:val="left" w:pos="720"/>
          <w:tab w:val="left" w:pos="1440"/>
          <w:tab w:val="left" w:pos="2160"/>
          <w:tab w:val="left" w:pos="2880"/>
          <w:tab w:val="left" w:pos="3600"/>
          <w:tab w:val="left" w:pos="4320"/>
          <w:tab w:val="left" w:pos="5040"/>
          <w:tab w:val="left" w:pos="5760"/>
        </w:tabs>
        <w:autoSpaceDE w:val="0"/>
        <w:autoSpaceDN w:val="0"/>
        <w:adjustRightInd w:val="0"/>
        <w:snapToGrid w:val="0"/>
        <w:spacing w:line="360" w:lineRule="auto"/>
        <w:ind w:right="1800" w:firstLine="420" w:firstLineChars="200"/>
        <w:jc w:val="center"/>
        <w:rPr>
          <w:rFonts w:hint="eastAsia" w:ascii="宋体" w:hAnsi="宋体" w:eastAsia="宋体" w:cs="宋体"/>
          <w:color w:val="auto"/>
          <w:kern w:val="0"/>
          <w:sz w:val="21"/>
          <w:szCs w:val="21"/>
          <w:highlight w:val="none"/>
        </w:rPr>
      </w:pPr>
    </w:p>
    <w:p w14:paraId="1185BDE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420" w:firstLineChars="200"/>
        <w:jc w:val="center"/>
        <w:rPr>
          <w:rFonts w:hint="eastAsia" w:ascii="宋体" w:hAnsi="宋体" w:eastAsia="宋体" w:cs="宋体"/>
          <w:color w:val="auto"/>
          <w:kern w:val="0"/>
          <w:sz w:val="21"/>
          <w:szCs w:val="21"/>
          <w:highlight w:val="none"/>
        </w:rPr>
      </w:pPr>
    </w:p>
    <w:p w14:paraId="36B6C99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420" w:firstLineChars="200"/>
        <w:jc w:val="center"/>
        <w:rPr>
          <w:rFonts w:hint="eastAsia" w:ascii="宋体" w:hAnsi="宋体" w:eastAsia="宋体" w:cs="宋体"/>
          <w:color w:val="auto"/>
          <w:kern w:val="0"/>
          <w:sz w:val="21"/>
          <w:szCs w:val="21"/>
          <w:highlight w:val="none"/>
        </w:rPr>
      </w:pPr>
    </w:p>
    <w:p w14:paraId="4BEB035B">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eastAsia="宋体" w:cs="宋体"/>
          <w:b/>
          <w:color w:val="auto"/>
          <w:kern w:val="0"/>
          <w:sz w:val="21"/>
          <w:szCs w:val="21"/>
          <w:highlight w:val="none"/>
        </w:rPr>
      </w:pPr>
    </w:p>
    <w:p w14:paraId="286E8F87">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eastAsia="宋体" w:cs="宋体"/>
          <w:b/>
          <w:color w:val="auto"/>
          <w:kern w:val="0"/>
          <w:sz w:val="21"/>
          <w:szCs w:val="21"/>
          <w:highlight w:val="none"/>
        </w:rPr>
      </w:pPr>
    </w:p>
    <w:p w14:paraId="75ABCBF2">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eastAsia="宋体" w:cs="宋体"/>
          <w:b/>
          <w:color w:val="auto"/>
          <w:kern w:val="0"/>
          <w:sz w:val="21"/>
          <w:szCs w:val="21"/>
          <w:highlight w:val="none"/>
        </w:rPr>
      </w:pPr>
    </w:p>
    <w:p w14:paraId="1064646E">
      <w:pPr>
        <w:pStyle w:val="9"/>
        <w:spacing w:line="360" w:lineRule="auto"/>
        <w:rPr>
          <w:rFonts w:hint="eastAsia" w:ascii="宋体" w:hAnsi="宋体" w:eastAsia="宋体" w:cs="宋体"/>
          <w:color w:val="auto"/>
          <w:sz w:val="21"/>
          <w:szCs w:val="21"/>
          <w:highlight w:val="none"/>
        </w:rPr>
      </w:pPr>
    </w:p>
    <w:p w14:paraId="408D4363">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sz w:val="21"/>
          <w:szCs w:val="21"/>
          <w:highlight w:val="none"/>
        </w:rPr>
        <w:sectPr>
          <w:pgSz w:w="11906" w:h="16838"/>
          <w:pgMar w:top="1440" w:right="1786" w:bottom="1440" w:left="1786" w:header="851" w:footer="992" w:gutter="0"/>
          <w:pgBorders>
            <w:top w:val="none" w:sz="0" w:space="0"/>
            <w:left w:val="none" w:sz="0" w:space="0"/>
            <w:bottom w:val="none" w:sz="0" w:space="0"/>
            <w:right w:val="none" w:sz="0" w:space="0"/>
          </w:pgBorders>
          <w:pgNumType w:fmt="decimal"/>
          <w:cols w:space="720" w:num="1"/>
          <w:docGrid w:type="lines" w:linePitch="312" w:charSpace="0"/>
        </w:sectPr>
      </w:pPr>
      <w:bookmarkStart w:id="0" w:name="_Toc30699"/>
    </w:p>
    <w:p w14:paraId="0BADA55C">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36"/>
          <w:szCs w:val="36"/>
          <w:highlight w:val="none"/>
        </w:rPr>
        <w:t>第一章  竞争性磋商公告</w:t>
      </w:r>
      <w:bookmarkEnd w:id="0"/>
    </w:p>
    <w:p w14:paraId="24BFF76C">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根据《中华人民共和国政府采购法》、《中华人民共和国政府采购法实施条例》和</w:t>
      </w:r>
      <w:r>
        <w:rPr>
          <w:rFonts w:hint="eastAsia" w:ascii="宋体" w:hAnsi="宋体" w:eastAsia="宋体" w:cs="宋体"/>
          <w:color w:val="auto"/>
          <w:kern w:val="0"/>
          <w:sz w:val="21"/>
          <w:szCs w:val="21"/>
          <w:highlight w:val="none"/>
          <w:lang w:eastAsia="zh-CN"/>
        </w:rPr>
        <w:t>《政府采购竞争性磋商采购方式管理暂行办法》</w:t>
      </w:r>
      <w:r>
        <w:rPr>
          <w:rFonts w:hint="eastAsia" w:ascii="宋体" w:hAnsi="宋体" w:eastAsia="宋体" w:cs="宋体"/>
          <w:color w:val="auto"/>
          <w:kern w:val="0"/>
          <w:sz w:val="21"/>
          <w:szCs w:val="21"/>
          <w:highlight w:val="none"/>
        </w:rPr>
        <w:t>等有关规定</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受采购人的委托，现就</w:t>
      </w:r>
      <w:r>
        <w:rPr>
          <w:rFonts w:hint="eastAsia" w:ascii="宋体" w:hAnsi="宋体" w:eastAsia="宋体" w:cs="宋体"/>
          <w:b/>
          <w:bCs/>
          <w:color w:val="auto"/>
          <w:kern w:val="0"/>
          <w:sz w:val="21"/>
          <w:szCs w:val="21"/>
          <w:highlight w:val="none"/>
          <w:u w:val="single"/>
          <w:lang w:eastAsia="zh-CN"/>
        </w:rPr>
        <w:t>2025年椒江区前所街道居家养老服务采购项目</w:t>
      </w:r>
      <w:r>
        <w:rPr>
          <w:rFonts w:hint="eastAsia" w:ascii="宋体" w:hAnsi="宋体" w:eastAsia="宋体" w:cs="宋体"/>
          <w:color w:val="auto"/>
          <w:kern w:val="0"/>
          <w:sz w:val="21"/>
          <w:szCs w:val="21"/>
          <w:highlight w:val="none"/>
        </w:rPr>
        <w:t>进行竞争性磋商采购</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欢迎合格供应商前来磋商。</w:t>
      </w:r>
    </w:p>
    <w:p w14:paraId="7A7DD813">
      <w:pPr>
        <w:tabs>
          <w:tab w:val="left" w:pos="180"/>
          <w:tab w:val="left" w:pos="360"/>
          <w:tab w:val="left" w:pos="540"/>
          <w:tab w:val="left" w:pos="8280"/>
        </w:tabs>
        <w:autoSpaceDE w:val="0"/>
        <w:autoSpaceDN w:val="0"/>
        <w:adjustRightInd w:val="0"/>
        <w:spacing w:line="360" w:lineRule="auto"/>
        <w:ind w:firstLine="422" w:firstLineChars="200"/>
        <w:jc w:val="left"/>
        <w:rPr>
          <w:rFonts w:hint="eastAsia" w:ascii="宋体" w:hAnsi="宋体" w:eastAsia="宋体" w:cs="宋体"/>
          <w:color w:val="auto"/>
          <w:kern w:val="0"/>
          <w:sz w:val="21"/>
          <w:szCs w:val="21"/>
          <w:highlight w:val="none"/>
          <w:lang w:eastAsia="zh-CN"/>
        </w:rPr>
      </w:pPr>
      <w:r>
        <w:rPr>
          <w:rFonts w:hint="eastAsia" w:ascii="宋体" w:hAnsi="宋体" w:eastAsia="宋体" w:cs="宋体"/>
          <w:b/>
          <w:color w:val="auto"/>
          <w:kern w:val="0"/>
          <w:sz w:val="21"/>
          <w:szCs w:val="21"/>
          <w:highlight w:val="none"/>
        </w:rPr>
        <w:t>一、项目编号：</w:t>
      </w:r>
      <w:r>
        <w:rPr>
          <w:rFonts w:hint="eastAsia" w:ascii="宋体" w:hAnsi="宋体" w:eastAsia="宋体" w:cs="宋体"/>
          <w:color w:val="auto"/>
          <w:kern w:val="0"/>
          <w:sz w:val="21"/>
          <w:szCs w:val="21"/>
          <w:highlight w:val="none"/>
          <w:lang w:eastAsia="zh-CN"/>
        </w:rPr>
        <w:t>YHZB-2025-0327</w:t>
      </w:r>
    </w:p>
    <w:p w14:paraId="1C67D66D">
      <w:pPr>
        <w:tabs>
          <w:tab w:val="left" w:pos="180"/>
          <w:tab w:val="left" w:pos="360"/>
          <w:tab w:val="left" w:pos="540"/>
          <w:tab w:val="left" w:pos="8280"/>
        </w:tabs>
        <w:autoSpaceDE w:val="0"/>
        <w:autoSpaceDN w:val="0"/>
        <w:adjustRightInd w:val="0"/>
        <w:spacing w:line="360" w:lineRule="auto"/>
        <w:ind w:firstLine="422" w:firstLineChars="200"/>
        <w:jc w:val="left"/>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二、磋商内容：</w:t>
      </w:r>
    </w:p>
    <w:tbl>
      <w:tblPr>
        <w:tblStyle w:val="26"/>
        <w:tblW w:w="8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2160"/>
        <w:gridCol w:w="932"/>
        <w:gridCol w:w="765"/>
        <w:gridCol w:w="1843"/>
        <w:gridCol w:w="1193"/>
      </w:tblGrid>
      <w:tr w14:paraId="506DF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337" w:type="dxa"/>
            <w:noWrap w:val="0"/>
            <w:vAlign w:val="center"/>
          </w:tcPr>
          <w:p w14:paraId="23944CBD">
            <w:pPr>
              <w:tabs>
                <w:tab w:val="left" w:pos="8280"/>
              </w:tabs>
              <w:autoSpaceDE w:val="0"/>
              <w:autoSpaceDN w:val="0"/>
              <w:adjustRightInd w:val="0"/>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标段号</w:t>
            </w:r>
          </w:p>
        </w:tc>
        <w:tc>
          <w:tcPr>
            <w:tcW w:w="2160" w:type="dxa"/>
            <w:noWrap w:val="0"/>
            <w:vAlign w:val="center"/>
          </w:tcPr>
          <w:p w14:paraId="06C37403">
            <w:pPr>
              <w:tabs>
                <w:tab w:val="left" w:pos="8280"/>
              </w:tabs>
              <w:autoSpaceDE w:val="0"/>
              <w:autoSpaceDN w:val="0"/>
              <w:adjustRightInd w:val="0"/>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项目名称</w:t>
            </w:r>
          </w:p>
        </w:tc>
        <w:tc>
          <w:tcPr>
            <w:tcW w:w="932" w:type="dxa"/>
            <w:noWrap w:val="0"/>
            <w:vAlign w:val="center"/>
          </w:tcPr>
          <w:p w14:paraId="276C712D">
            <w:pPr>
              <w:tabs>
                <w:tab w:val="left" w:pos="8280"/>
              </w:tabs>
              <w:autoSpaceDE w:val="0"/>
              <w:autoSpaceDN w:val="0"/>
              <w:adjustRightInd w:val="0"/>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65" w:type="dxa"/>
            <w:noWrap w:val="0"/>
            <w:vAlign w:val="center"/>
          </w:tcPr>
          <w:p w14:paraId="2FD413E0">
            <w:pPr>
              <w:tabs>
                <w:tab w:val="left" w:pos="8280"/>
              </w:tabs>
              <w:autoSpaceDE w:val="0"/>
              <w:autoSpaceDN w:val="0"/>
              <w:adjustRightInd w:val="0"/>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843" w:type="dxa"/>
            <w:noWrap w:val="0"/>
            <w:vAlign w:val="center"/>
          </w:tcPr>
          <w:p w14:paraId="160B3887">
            <w:pPr>
              <w:tabs>
                <w:tab w:val="left" w:pos="8280"/>
              </w:tabs>
              <w:autoSpaceDE w:val="0"/>
              <w:autoSpaceDN w:val="0"/>
              <w:adjustRightInd w:val="0"/>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预算</w:t>
            </w:r>
          </w:p>
        </w:tc>
        <w:tc>
          <w:tcPr>
            <w:tcW w:w="1193" w:type="dxa"/>
            <w:noWrap w:val="0"/>
            <w:vAlign w:val="center"/>
          </w:tcPr>
          <w:p w14:paraId="1E5F1806">
            <w:pPr>
              <w:tabs>
                <w:tab w:val="left" w:pos="8280"/>
              </w:tabs>
              <w:autoSpaceDE w:val="0"/>
              <w:autoSpaceDN w:val="0"/>
              <w:adjustRightInd w:val="0"/>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sz w:val="21"/>
                <w:szCs w:val="21"/>
                <w:highlight w:val="none"/>
              </w:rPr>
              <w:t>简要规格描述</w:t>
            </w:r>
          </w:p>
        </w:tc>
      </w:tr>
      <w:tr w14:paraId="7301A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337" w:type="dxa"/>
            <w:noWrap w:val="0"/>
            <w:vAlign w:val="center"/>
          </w:tcPr>
          <w:p w14:paraId="290B4D13">
            <w:pPr>
              <w:tabs>
                <w:tab w:val="left" w:pos="8280"/>
              </w:tabs>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2160" w:type="dxa"/>
            <w:noWrap w:val="0"/>
            <w:vAlign w:val="center"/>
          </w:tcPr>
          <w:p w14:paraId="346724AC">
            <w:pPr>
              <w:tabs>
                <w:tab w:val="left" w:pos="8280"/>
              </w:tabs>
              <w:autoSpaceDE w:val="0"/>
              <w:autoSpaceDN w:val="0"/>
              <w:adjustRightInd w:val="0"/>
              <w:spacing w:line="24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2025年椒江区前所街道居家养老服务采购项目</w:t>
            </w:r>
          </w:p>
        </w:tc>
        <w:tc>
          <w:tcPr>
            <w:tcW w:w="932" w:type="dxa"/>
            <w:noWrap w:val="0"/>
            <w:vAlign w:val="center"/>
          </w:tcPr>
          <w:p w14:paraId="0F915190">
            <w:pPr>
              <w:tabs>
                <w:tab w:val="left" w:pos="8280"/>
              </w:tabs>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65" w:type="dxa"/>
            <w:noWrap w:val="0"/>
            <w:vAlign w:val="center"/>
          </w:tcPr>
          <w:p w14:paraId="0513647D">
            <w:pPr>
              <w:tabs>
                <w:tab w:val="left" w:pos="8280"/>
              </w:tabs>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1843" w:type="dxa"/>
            <w:noWrap w:val="0"/>
            <w:vAlign w:val="center"/>
          </w:tcPr>
          <w:p w14:paraId="4A1A0B1B">
            <w:pPr>
              <w:tabs>
                <w:tab w:val="left" w:pos="8280"/>
              </w:tabs>
              <w:autoSpaceDE w:val="0"/>
              <w:autoSpaceDN w:val="0"/>
              <w:adjustRightInd w:val="0"/>
              <w:spacing w:line="240" w:lineRule="auto"/>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1481520元/年</w:t>
            </w:r>
          </w:p>
        </w:tc>
        <w:tc>
          <w:tcPr>
            <w:tcW w:w="1193" w:type="dxa"/>
            <w:noWrap w:val="0"/>
            <w:vAlign w:val="center"/>
          </w:tcPr>
          <w:p w14:paraId="4A0EAA53">
            <w:pPr>
              <w:tabs>
                <w:tab w:val="left" w:pos="8280"/>
              </w:tabs>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eastAsia="zh-CN"/>
              </w:rPr>
              <w:t>详见项目需求</w:t>
            </w:r>
          </w:p>
        </w:tc>
      </w:tr>
    </w:tbl>
    <w:p w14:paraId="346EB7EB">
      <w:pPr>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sz w:val="21"/>
          <w:szCs w:val="21"/>
          <w:highlight w:val="none"/>
          <w:lang w:eastAsia="zh-CN"/>
        </w:rPr>
        <w:t>服务期：</w:t>
      </w:r>
      <w:r>
        <w:rPr>
          <w:rFonts w:hint="eastAsia" w:ascii="宋体" w:hAnsi="宋体" w:eastAsia="宋体" w:cs="宋体"/>
          <w:b w:val="0"/>
          <w:bCs/>
          <w:sz w:val="21"/>
          <w:szCs w:val="21"/>
          <w:highlight w:val="none"/>
          <w:lang w:val="en-US" w:eastAsia="zh-CN"/>
        </w:rPr>
        <w:t>三年（采用1+1+1模式），合同一年一签。在签约合同服务期满一个月前，采购人将视中标人在合同服务期内的工作表现，且项目内容和资金符合采购预算安排或要求，可将合同承包期续签1年，最多续签2次，如采购人决定不再续签，不视为违约。（若该年度服务期限未满，项目采购金额累计达到预算价时，采购人有权提前终止）</w:t>
      </w:r>
    </w:p>
    <w:p w14:paraId="37EA7724">
      <w:pPr>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三、合格磋商供应商的资格条件：</w:t>
      </w:r>
    </w:p>
    <w:p w14:paraId="475A7281">
      <w:pPr>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符合《中华人民共和国政府采购法》第二十二条规定的磋商供应商资格条件</w:t>
      </w:r>
      <w:r>
        <w:rPr>
          <w:rFonts w:hint="eastAsia" w:ascii="宋体" w:hAnsi="宋体" w:eastAsia="宋体" w:cs="宋体"/>
          <w:color w:val="auto"/>
          <w:sz w:val="21"/>
          <w:szCs w:val="21"/>
          <w:highlight w:val="none"/>
          <w:lang w:eastAsia="zh-CN"/>
        </w:rPr>
        <w:t>；未被“信用中国”（www.creditchina.gov.cn）、中国政府采购网（www.ccgp.gov.cn）列入失信被执行人、重大税收违法案件当事人名单、政府采购严重违法失信行为记录名单。</w:t>
      </w:r>
    </w:p>
    <w:p w14:paraId="396AD77C">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落实政府采购政策需满足的资格要求：本项目按照《政府采购促进中小企业发展管理办法》【财库（2020）46号】第七条规定：专门面向中小企业采购。</w:t>
      </w:r>
    </w:p>
    <w:p w14:paraId="5FEED6AD">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本项目不接受联合体磋商。</w:t>
      </w:r>
    </w:p>
    <w:p w14:paraId="33840537">
      <w:pPr>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四、磋商文件获取的方式、时间：</w:t>
      </w:r>
    </w:p>
    <w:p w14:paraId="3FEB894E">
      <w:pPr>
        <w:snapToGrid w:val="0"/>
        <w:spacing w:line="360" w:lineRule="auto"/>
        <w:ind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本项目</w:t>
      </w:r>
      <w:r>
        <w:rPr>
          <w:rFonts w:hint="eastAsia" w:ascii="宋体" w:hAnsi="宋体" w:eastAsia="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实行“</w:t>
      </w:r>
      <w:r>
        <w:rPr>
          <w:rFonts w:hint="eastAsia" w:ascii="宋体" w:hAnsi="宋体" w:eastAsia="宋体" w:cs="宋体"/>
          <w:b/>
          <w:bCs/>
          <w:color w:val="auto"/>
          <w:sz w:val="21"/>
          <w:szCs w:val="21"/>
          <w:highlight w:val="none"/>
          <w:lang w:val="en-US" w:eastAsia="zh-CN"/>
        </w:rPr>
        <w:t>浙江政府采购网</w:t>
      </w:r>
      <w:r>
        <w:rPr>
          <w:rFonts w:hint="eastAsia" w:ascii="宋体" w:hAnsi="宋体" w:eastAsia="宋体" w:cs="宋体"/>
          <w:b/>
          <w:bCs/>
          <w:color w:val="auto"/>
          <w:sz w:val="21"/>
          <w:szCs w:val="21"/>
          <w:highlight w:val="none"/>
        </w:rPr>
        <w:t>”（http://zfcg.czt.zj.gov.cn）在线获取，不提供</w:t>
      </w:r>
      <w:r>
        <w:rPr>
          <w:rFonts w:hint="eastAsia" w:ascii="宋体" w:hAnsi="宋体" w:eastAsia="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纸质版。供应商获取</w:t>
      </w:r>
      <w:r>
        <w:rPr>
          <w:rFonts w:hint="eastAsia" w:ascii="宋体" w:hAnsi="宋体" w:eastAsia="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前应先完成“</w:t>
      </w:r>
      <w:r>
        <w:rPr>
          <w:rFonts w:hint="eastAsia" w:ascii="宋体" w:hAnsi="宋体" w:eastAsia="宋体" w:cs="宋体"/>
          <w:b/>
          <w:bCs/>
          <w:color w:val="auto"/>
          <w:sz w:val="21"/>
          <w:szCs w:val="21"/>
          <w:highlight w:val="none"/>
          <w:lang w:val="en-US" w:eastAsia="zh-CN"/>
        </w:rPr>
        <w:t>浙江政府采购网</w:t>
      </w:r>
      <w:r>
        <w:rPr>
          <w:rFonts w:hint="eastAsia" w:ascii="宋体" w:hAnsi="宋体" w:eastAsia="宋体" w:cs="宋体"/>
          <w:b/>
          <w:bCs/>
          <w:color w:val="auto"/>
          <w:sz w:val="21"/>
          <w:szCs w:val="21"/>
          <w:highlight w:val="none"/>
        </w:rPr>
        <w:t>”的账号注册</w:t>
      </w:r>
      <w:r>
        <w:rPr>
          <w:rFonts w:hint="eastAsia" w:ascii="宋体" w:hAnsi="宋体" w:eastAsia="宋体" w:cs="宋体"/>
          <w:b/>
          <w:bCs/>
          <w:color w:val="auto"/>
          <w:sz w:val="21"/>
          <w:szCs w:val="21"/>
          <w:highlight w:val="none"/>
          <w:lang w:eastAsia="zh-CN"/>
        </w:rPr>
        <w:t>。</w:t>
      </w:r>
    </w:p>
    <w:p w14:paraId="2831D15F">
      <w:pPr>
        <w:snapToGrid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获取</w:t>
      </w:r>
      <w:r>
        <w:rPr>
          <w:rFonts w:hint="eastAsia" w:ascii="宋体" w:hAnsi="宋体" w:eastAsia="宋体" w:cs="宋体"/>
          <w:b/>
          <w:bCs/>
          <w:color w:val="auto"/>
          <w:sz w:val="21"/>
          <w:szCs w:val="21"/>
          <w:highlight w:val="none"/>
        </w:rPr>
        <w:t>方式：潜在供应商</w:t>
      </w:r>
      <w:r>
        <w:rPr>
          <w:rFonts w:hint="eastAsia" w:ascii="宋体" w:hAnsi="宋体" w:eastAsia="宋体" w:cs="宋体"/>
          <w:b/>
          <w:bCs/>
          <w:color w:val="auto"/>
          <w:sz w:val="21"/>
          <w:szCs w:val="21"/>
          <w:highlight w:val="none"/>
          <w:lang w:val="en-US" w:eastAsia="zh-CN"/>
        </w:rPr>
        <w:t>登录政府采购</w:t>
      </w:r>
      <w:r>
        <w:rPr>
          <w:rFonts w:hint="eastAsia" w:ascii="宋体" w:hAnsi="宋体" w:eastAsia="宋体" w:cs="宋体"/>
          <w:b/>
          <w:bCs/>
          <w:color w:val="auto"/>
          <w:sz w:val="21"/>
          <w:szCs w:val="21"/>
          <w:highlight w:val="none"/>
        </w:rPr>
        <w:t>云平台，在线申请获取</w:t>
      </w:r>
      <w:r>
        <w:rPr>
          <w:rFonts w:hint="eastAsia" w:ascii="宋体" w:hAnsi="宋体" w:eastAsia="宋体" w:cs="宋体"/>
          <w:b/>
          <w:bCs/>
          <w:color w:val="auto"/>
          <w:sz w:val="21"/>
          <w:szCs w:val="21"/>
          <w:highlight w:val="none"/>
          <w:lang w:eastAsia="zh-CN"/>
        </w:rPr>
        <w:t>采购文件</w:t>
      </w:r>
      <w:r>
        <w:rPr>
          <w:rFonts w:hint="eastAsia" w:ascii="宋体" w:hAnsi="宋体" w:eastAsia="宋体" w:cs="宋体"/>
          <w:color w:val="auto"/>
          <w:sz w:val="21"/>
          <w:szCs w:val="21"/>
          <w:highlight w:val="none"/>
        </w:rPr>
        <w:t>（进入“项目采购”应用，在获取</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菜单中选择项目，申请获取</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不收取工本费；仅需浏览</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的供应商可点击“游客，浏览</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”直接下载</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浏览）；</w:t>
      </w:r>
    </w:p>
    <w:p w14:paraId="33B73FFB">
      <w:pPr>
        <w:snapToGrid w:val="0"/>
        <w:spacing w:line="360" w:lineRule="auto"/>
        <w:ind w:firstLine="422" w:firstLineChars="200"/>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获取（公告）时间：</w:t>
      </w:r>
      <w:r>
        <w:rPr>
          <w:rFonts w:hint="eastAsia" w:ascii="宋体" w:hAnsi="宋体" w:eastAsia="宋体" w:cs="宋体"/>
          <w:color w:val="auto"/>
          <w:sz w:val="21"/>
          <w:szCs w:val="21"/>
          <w:highlight w:val="none"/>
          <w:lang w:eastAsia="zh-CN"/>
        </w:rPr>
        <w:t>自本公告发布之日起至投标文件递交截止时间止；</w:t>
      </w:r>
    </w:p>
    <w:p w14:paraId="3C146534">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供应商网上报名操作指南：“浙江政府采购网-办事指南-省采中心-网上报名”（http://zfcg.czt.zj.gov.cn/bs_other/2018-03-30/12002.html）。</w:t>
      </w:r>
    </w:p>
    <w:p w14:paraId="411CE7A5">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、供应商获取</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时须提交的文件资料：无；</w:t>
      </w:r>
    </w:p>
    <w:p w14:paraId="50485A92">
      <w:pPr>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、提示：</w:t>
      </w:r>
      <w:r>
        <w:rPr>
          <w:rFonts w:hint="eastAsia" w:ascii="宋体" w:hAnsi="宋体" w:eastAsia="宋体" w:cs="宋体"/>
          <w:b/>
          <w:bCs/>
          <w:color w:val="auto"/>
          <w:sz w:val="21"/>
          <w:szCs w:val="21"/>
          <w:highlight w:val="none"/>
          <w:lang w:eastAsia="zh-CN"/>
        </w:rPr>
        <w:t>竞争性磋商公告</w:t>
      </w:r>
      <w:r>
        <w:rPr>
          <w:rFonts w:hint="eastAsia" w:ascii="宋体" w:hAnsi="宋体" w:eastAsia="宋体" w:cs="宋体"/>
          <w:b/>
          <w:bCs/>
          <w:color w:val="auto"/>
          <w:sz w:val="21"/>
          <w:szCs w:val="21"/>
          <w:highlight w:val="none"/>
        </w:rPr>
        <w:t>附件内的</w:t>
      </w:r>
      <w:r>
        <w:rPr>
          <w:rFonts w:hint="eastAsia" w:ascii="宋体" w:hAnsi="宋体" w:eastAsia="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（或采购需求）仅供阅览使用，供应商只有在“政府采购云平台”完成获取</w:t>
      </w:r>
      <w:r>
        <w:rPr>
          <w:rFonts w:hint="eastAsia" w:ascii="宋体" w:hAnsi="宋体" w:eastAsia="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申请并下载了</w:t>
      </w:r>
      <w:r>
        <w:rPr>
          <w:rFonts w:hint="eastAsia" w:ascii="宋体" w:hAnsi="宋体" w:eastAsia="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后才视作依法获取</w:t>
      </w:r>
      <w:r>
        <w:rPr>
          <w:rFonts w:hint="eastAsia" w:ascii="宋体" w:hAnsi="宋体" w:eastAsia="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（法律法规所指的供应商获取</w:t>
      </w:r>
      <w:r>
        <w:rPr>
          <w:rFonts w:hint="eastAsia" w:ascii="宋体" w:hAnsi="宋体" w:eastAsia="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时间以供应商完成获取</w:t>
      </w:r>
      <w:r>
        <w:rPr>
          <w:rFonts w:hint="eastAsia" w:ascii="宋体" w:hAnsi="宋体" w:eastAsia="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申请后下载</w:t>
      </w:r>
      <w:r>
        <w:rPr>
          <w:rFonts w:hint="eastAsia" w:ascii="宋体" w:hAnsi="宋体" w:eastAsia="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的时间为准）。</w:t>
      </w:r>
    </w:p>
    <w:p w14:paraId="190B7697">
      <w:pPr>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注：请供应商按上述要求获取</w:t>
      </w:r>
      <w:r>
        <w:rPr>
          <w:rFonts w:hint="eastAsia" w:ascii="宋体" w:hAnsi="宋体" w:eastAsia="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，如未在“</w:t>
      </w:r>
      <w:r>
        <w:rPr>
          <w:rFonts w:hint="eastAsia" w:ascii="宋体" w:hAnsi="宋体" w:eastAsia="宋体" w:cs="宋体"/>
          <w:b/>
          <w:bCs/>
          <w:color w:val="auto"/>
          <w:sz w:val="21"/>
          <w:szCs w:val="21"/>
          <w:highlight w:val="none"/>
          <w:lang w:val="en-US" w:eastAsia="zh-CN"/>
        </w:rPr>
        <w:t>政府采购云平台</w:t>
      </w:r>
      <w:r>
        <w:rPr>
          <w:rFonts w:hint="eastAsia" w:ascii="宋体" w:hAnsi="宋体" w:eastAsia="宋体" w:cs="宋体"/>
          <w:b/>
          <w:bCs/>
          <w:color w:val="auto"/>
          <w:sz w:val="21"/>
          <w:szCs w:val="21"/>
          <w:highlight w:val="none"/>
        </w:rPr>
        <w:t>”系统内完成相关流程，引起的</w:t>
      </w:r>
      <w:r>
        <w:rPr>
          <w:rFonts w:hint="eastAsia" w:ascii="宋体" w:hAnsi="宋体" w:eastAsia="宋体" w:cs="宋体"/>
          <w:b/>
          <w:bCs/>
          <w:color w:val="auto"/>
          <w:sz w:val="21"/>
          <w:szCs w:val="21"/>
          <w:highlight w:val="none"/>
          <w:lang w:val="en-US" w:eastAsia="zh-CN"/>
        </w:rPr>
        <w:t>投标</w:t>
      </w:r>
      <w:r>
        <w:rPr>
          <w:rFonts w:hint="eastAsia" w:ascii="宋体" w:hAnsi="宋体" w:eastAsia="宋体" w:cs="宋体"/>
          <w:b/>
          <w:bCs/>
          <w:color w:val="auto"/>
          <w:sz w:val="21"/>
          <w:szCs w:val="21"/>
          <w:highlight w:val="none"/>
        </w:rPr>
        <w:t>无效责任自负。</w:t>
      </w:r>
    </w:p>
    <w:p w14:paraId="0AB5FB6A">
      <w:pPr>
        <w:snapToGrid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五、</w:t>
      </w:r>
      <w:r>
        <w:rPr>
          <w:rFonts w:hint="eastAsia" w:ascii="宋体" w:hAnsi="宋体" w:eastAsia="宋体" w:cs="宋体"/>
          <w:b/>
          <w:color w:val="auto"/>
          <w:kern w:val="0"/>
          <w:sz w:val="21"/>
          <w:szCs w:val="21"/>
          <w:highlight w:val="none"/>
          <w:lang w:val="en-US" w:eastAsia="zh-CN"/>
        </w:rPr>
        <w:t>在线投标响应（电子投标）说明：</w:t>
      </w:r>
    </w:p>
    <w:p w14:paraId="3D92A89A">
      <w:pPr>
        <w:spacing w:line="360" w:lineRule="auto"/>
        <w:ind w:firstLine="426" w:firstLineChars="202"/>
        <w:outlineLvl w:val="0"/>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1、本项目通过“政府采购云平台（www.zcygov.cn）”实行在线投标响应（电子投标），供应商应先安装“政采云电子投标客户端”，并按照本采购文件和“政府采购云平台”的要求，通过“政采云电子投标客户端”编制并加密磋商响应文件。</w:t>
      </w:r>
      <w:r>
        <w:rPr>
          <w:rFonts w:hint="eastAsia" w:ascii="宋体" w:hAnsi="宋体" w:eastAsia="宋体" w:cs="宋体"/>
          <w:b/>
          <w:bCs/>
          <w:color w:val="auto"/>
          <w:sz w:val="21"/>
          <w:szCs w:val="21"/>
          <w:highlight w:val="none"/>
          <w:u w:val="none"/>
        </w:rPr>
        <w:t>▲</w:t>
      </w:r>
      <w:r>
        <w:rPr>
          <w:rFonts w:hint="eastAsia" w:ascii="宋体" w:hAnsi="宋体" w:eastAsia="宋体" w:cs="宋体"/>
          <w:b/>
          <w:bCs/>
          <w:color w:val="auto"/>
          <w:sz w:val="21"/>
          <w:szCs w:val="21"/>
          <w:highlight w:val="none"/>
          <w:u w:val="none"/>
          <w:lang w:val="en-US" w:eastAsia="zh-CN"/>
        </w:rPr>
        <w:t>供应商未按规定加密的磋商响应文件，“政府采购云平台”将予以拒收。</w:t>
      </w:r>
    </w:p>
    <w:p w14:paraId="59DB7E2F">
      <w:pPr>
        <w:spacing w:line="360" w:lineRule="auto"/>
        <w:ind w:firstLine="426" w:firstLineChars="202"/>
        <w:outlineLvl w:val="0"/>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政采云电子投标客户端”请自行前往“浙江政府采购网-下载专区-电子交易客户端”进行下载；电子投标具体操作流程详见《供应商项目采购-电子招投标操作指南》；通过“政府采购云平台”参与在线投标时如遇平台技术问题详询95763。</w:t>
      </w:r>
    </w:p>
    <w:p w14:paraId="4C0BB989">
      <w:pPr>
        <w:spacing w:line="360" w:lineRule="auto"/>
        <w:ind w:firstLine="426" w:firstLineChars="202"/>
        <w:outlineLvl w:val="0"/>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2、为确保网上操作合法、有效和安全，投标供应商应当在磋商截止时间前完成在“政府采购云平台”的身份认证，确保在电子投标过程中能够对相关数据电文进行加密和使用电子签章。使用“政采云电子投标客户端”需要提前申领CA数字证书，申领流程请自行前往“浙江政府采购网-下载专区-电子交易客户端-</w:t>
      </w:r>
      <w:r>
        <w:rPr>
          <w:rFonts w:hint="eastAsia" w:ascii="宋体" w:hAnsi="宋体" w:eastAsia="宋体" w:cs="宋体"/>
          <w:b/>
          <w:bCs/>
          <w:color w:val="auto"/>
          <w:sz w:val="21"/>
          <w:szCs w:val="21"/>
          <w:highlight w:val="none"/>
          <w:u w:val="none"/>
          <w:lang w:val="en-US" w:eastAsia="zh-CN"/>
        </w:rPr>
        <w:fldChar w:fldCharType="begin"/>
      </w:r>
      <w:r>
        <w:rPr>
          <w:rFonts w:hint="eastAsia" w:ascii="宋体" w:hAnsi="宋体" w:eastAsia="宋体" w:cs="宋体"/>
          <w:b/>
          <w:bCs/>
          <w:color w:val="auto"/>
          <w:sz w:val="21"/>
          <w:szCs w:val="21"/>
          <w:highlight w:val="none"/>
          <w:u w:val="none"/>
          <w:lang w:val="en-US" w:eastAsia="zh-CN"/>
        </w:rPr>
        <w:instrText xml:space="preserve"> HYPERLINK "http://zfcg.czt.zj.gov.cn/bidClientTemplate/2019-05-27/12945.html" \o "CA驱动和申领流程" </w:instrText>
      </w:r>
      <w:r>
        <w:rPr>
          <w:rFonts w:hint="eastAsia" w:ascii="宋体" w:hAnsi="宋体" w:eastAsia="宋体" w:cs="宋体"/>
          <w:b/>
          <w:bCs/>
          <w:color w:val="auto"/>
          <w:sz w:val="21"/>
          <w:szCs w:val="21"/>
          <w:highlight w:val="none"/>
          <w:u w:val="none"/>
          <w:lang w:val="en-US" w:eastAsia="zh-CN"/>
        </w:rPr>
        <w:fldChar w:fldCharType="separate"/>
      </w:r>
      <w:r>
        <w:rPr>
          <w:rFonts w:hint="eastAsia" w:ascii="宋体" w:hAnsi="宋体" w:eastAsia="宋体" w:cs="宋体"/>
          <w:b/>
          <w:bCs/>
          <w:color w:val="auto"/>
          <w:sz w:val="21"/>
          <w:szCs w:val="21"/>
          <w:highlight w:val="none"/>
          <w:u w:val="none"/>
          <w:lang w:val="en-US" w:eastAsia="zh-CN"/>
        </w:rPr>
        <w:t>CA驱动和申领流程</w:t>
      </w:r>
      <w:r>
        <w:rPr>
          <w:rFonts w:hint="eastAsia" w:ascii="宋体" w:hAnsi="宋体" w:eastAsia="宋体" w:cs="宋体"/>
          <w:b/>
          <w:bCs/>
          <w:color w:val="auto"/>
          <w:sz w:val="21"/>
          <w:szCs w:val="21"/>
          <w:highlight w:val="none"/>
          <w:u w:val="none"/>
          <w:lang w:val="en-US" w:eastAsia="zh-CN"/>
        </w:rPr>
        <w:fldChar w:fldCharType="end"/>
      </w:r>
      <w:r>
        <w:rPr>
          <w:rFonts w:hint="eastAsia" w:ascii="宋体" w:hAnsi="宋体" w:eastAsia="宋体" w:cs="宋体"/>
          <w:b/>
          <w:bCs/>
          <w:color w:val="auto"/>
          <w:sz w:val="21"/>
          <w:szCs w:val="21"/>
          <w:highlight w:val="none"/>
          <w:u w:val="none"/>
          <w:lang w:val="en-US" w:eastAsia="zh-CN"/>
        </w:rPr>
        <w:t>”进行查阅；</w:t>
      </w:r>
    </w:p>
    <w:p w14:paraId="737AD910">
      <w:pPr>
        <w:spacing w:line="360" w:lineRule="auto"/>
        <w:ind w:firstLine="426" w:firstLineChars="202"/>
        <w:outlineLvl w:val="0"/>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3、供应商通过政府采购云平台电子投标工具制作磋商响应文件，电子投标工具请供应商自行前往浙江省政府采购网下载并安装，（下载网址：https://zfcg.czt.zj.gov.cn/bidClientTemplate/2021-11-01/12975.html?utm=web-government-front.a2eab82.0.0.19c58540c14611ed94855fb6758c26ac），电子投标具体流程文档详见网址：</w:t>
      </w:r>
      <w:r>
        <w:rPr>
          <w:rFonts w:hint="eastAsia" w:ascii="宋体" w:hAnsi="宋体" w:eastAsia="宋体" w:cs="宋体"/>
          <w:b/>
          <w:bCs/>
          <w:color w:val="auto"/>
          <w:sz w:val="21"/>
          <w:szCs w:val="21"/>
          <w:highlight w:val="none"/>
          <w:u w:val="none"/>
          <w:lang w:val="en-US" w:eastAsia="zh-CN"/>
        </w:rPr>
        <w:fldChar w:fldCharType="begin"/>
      </w:r>
      <w:r>
        <w:rPr>
          <w:rFonts w:hint="eastAsia" w:ascii="宋体" w:hAnsi="宋体" w:eastAsia="宋体" w:cs="宋体"/>
          <w:b/>
          <w:bCs/>
          <w:color w:val="auto"/>
          <w:sz w:val="21"/>
          <w:szCs w:val="21"/>
          <w:highlight w:val="none"/>
          <w:u w:val="none"/>
          <w:lang w:val="en-US" w:eastAsia="zh-CN"/>
        </w:rPr>
        <w:instrText xml:space="preserve"> HYPERLINK "https://service.zcygov.cn/#/knowledges/CW1EtGwBFdiHxlNd6I3m" </w:instrText>
      </w:r>
      <w:r>
        <w:rPr>
          <w:rFonts w:hint="eastAsia" w:ascii="宋体" w:hAnsi="宋体" w:eastAsia="宋体" w:cs="宋体"/>
          <w:b/>
          <w:bCs/>
          <w:color w:val="auto"/>
          <w:sz w:val="21"/>
          <w:szCs w:val="21"/>
          <w:highlight w:val="none"/>
          <w:u w:val="none"/>
          <w:lang w:val="en-US" w:eastAsia="zh-CN"/>
        </w:rPr>
        <w:fldChar w:fldCharType="separate"/>
      </w:r>
      <w:r>
        <w:rPr>
          <w:rFonts w:hint="eastAsia" w:ascii="宋体" w:hAnsi="宋体" w:eastAsia="宋体" w:cs="宋体"/>
          <w:b/>
          <w:bCs/>
          <w:color w:val="auto"/>
          <w:sz w:val="21"/>
          <w:szCs w:val="21"/>
          <w:highlight w:val="none"/>
          <w:u w:val="none"/>
          <w:lang w:val="en-US" w:eastAsia="zh-CN"/>
        </w:rPr>
        <w:t>https://service.zcygov.cn/#/knowledges/CW1EtGwBFdiHxlNd6I3m</w:t>
      </w:r>
      <w:r>
        <w:rPr>
          <w:rFonts w:hint="eastAsia" w:ascii="宋体" w:hAnsi="宋体" w:eastAsia="宋体" w:cs="宋体"/>
          <w:b/>
          <w:bCs/>
          <w:color w:val="auto"/>
          <w:sz w:val="21"/>
          <w:szCs w:val="21"/>
          <w:highlight w:val="none"/>
          <w:u w:val="none"/>
          <w:lang w:val="en-US" w:eastAsia="zh-CN"/>
        </w:rPr>
        <w:fldChar w:fldCharType="end"/>
      </w:r>
      <w:r>
        <w:rPr>
          <w:rFonts w:hint="eastAsia" w:ascii="宋体" w:hAnsi="宋体" w:eastAsia="宋体" w:cs="宋体"/>
          <w:b/>
          <w:bCs/>
          <w:color w:val="auto"/>
          <w:sz w:val="21"/>
          <w:szCs w:val="21"/>
          <w:highlight w:val="none"/>
          <w:u w:val="none"/>
          <w:lang w:val="en-US" w:eastAsia="zh-CN"/>
        </w:rPr>
        <w:t>/6IMVAG0BFdiHxlNdQ8Na?keyword=%E6%8A%95%E6%A0%87。</w:t>
      </w:r>
    </w:p>
    <w:p w14:paraId="739B52FB">
      <w:pPr>
        <w:spacing w:line="360" w:lineRule="auto"/>
        <w:ind w:firstLine="426" w:firstLineChars="202"/>
        <w:outlineLvl w:val="0"/>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4、投标供应商应当在磋商截止时间前，将生成的“电子加密磋商响应文件”上传递交至“政府采购云平台”。磋商截止时间前可以补充、修改或者撤回电子磋商响应文件。补充或者修改电子磋商响应文件的，应当先行撤回原文件，补充、修改后重新传输递交。磋商截止时间前未完成传输的，视为撤回磋商响应文件。</w:t>
      </w:r>
    </w:p>
    <w:p w14:paraId="1B866850">
      <w:pPr>
        <w:spacing w:line="360" w:lineRule="auto"/>
        <w:ind w:firstLine="426" w:firstLineChars="202"/>
        <w:outlineLvl w:val="0"/>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5、供应商同时还可以提供经政采云平台加密处理的、以介质（U盘）存储的数据电文形式的备份磋商响应文件（不强制要求，未递交备份磋商响应文件的风险由供应商自行承担）。备份磋商响应文件应当在磋商截止时间前送达并按要求密封</w:t>
      </w:r>
      <w:r>
        <w:rPr>
          <w:rFonts w:hint="eastAsia" w:ascii="宋体" w:hAnsi="宋体" w:eastAsia="宋体" w:cs="宋体"/>
          <w:b/>
          <w:bCs/>
          <w:color w:val="auto"/>
          <w:sz w:val="21"/>
          <w:szCs w:val="21"/>
          <w:highlight w:val="none"/>
          <w:u w:val="none"/>
          <w:lang w:eastAsia="zh-CN"/>
        </w:rPr>
        <w:t>（</w:t>
      </w:r>
      <w:r>
        <w:rPr>
          <w:rFonts w:hint="eastAsia" w:ascii="宋体" w:hAnsi="宋体" w:eastAsia="宋体" w:cs="宋体"/>
          <w:b/>
          <w:bCs/>
          <w:color w:val="auto"/>
          <w:sz w:val="21"/>
          <w:szCs w:val="21"/>
          <w:highlight w:val="none"/>
          <w:u w:val="none"/>
        </w:rPr>
        <w:t>备份磋商响应文件在密封袋的封口处应有磋商供应商公章或磋商授权委托代理人签字。封皮上写明项目编号、标段、招标项目名称、供应商名称，并注明“</w:t>
      </w:r>
      <w:r>
        <w:rPr>
          <w:rFonts w:hint="eastAsia" w:ascii="宋体" w:hAnsi="宋体" w:eastAsia="宋体" w:cs="宋体"/>
          <w:b/>
          <w:bCs/>
          <w:color w:val="auto"/>
          <w:sz w:val="21"/>
          <w:szCs w:val="21"/>
          <w:highlight w:val="none"/>
          <w:u w:val="none"/>
          <w:lang w:val="en-US" w:eastAsia="zh-CN"/>
        </w:rPr>
        <w:t>备份</w:t>
      </w:r>
      <w:r>
        <w:rPr>
          <w:rFonts w:hint="eastAsia" w:ascii="宋体" w:hAnsi="宋体" w:eastAsia="宋体" w:cs="宋体"/>
          <w:b/>
          <w:bCs/>
          <w:color w:val="auto"/>
          <w:sz w:val="21"/>
          <w:szCs w:val="21"/>
          <w:highlight w:val="none"/>
          <w:u w:val="none"/>
        </w:rPr>
        <w:t>磋商响应文件”、“磋商时启封”字样</w:t>
      </w:r>
      <w:r>
        <w:rPr>
          <w:rFonts w:hint="eastAsia" w:ascii="宋体" w:hAnsi="宋体" w:eastAsia="宋体" w:cs="宋体"/>
          <w:b/>
          <w:bCs/>
          <w:color w:val="auto"/>
          <w:sz w:val="21"/>
          <w:szCs w:val="21"/>
          <w:highlight w:val="none"/>
          <w:u w:val="none"/>
          <w:lang w:eastAsia="zh-CN"/>
        </w:rPr>
        <w:t>）</w:t>
      </w:r>
      <w:r>
        <w:rPr>
          <w:rFonts w:hint="eastAsia" w:ascii="宋体" w:hAnsi="宋体" w:eastAsia="宋体" w:cs="宋体"/>
          <w:b/>
          <w:bCs/>
          <w:color w:val="auto"/>
          <w:sz w:val="21"/>
          <w:szCs w:val="21"/>
          <w:highlight w:val="none"/>
          <w:u w:val="none"/>
          <w:lang w:val="en-US" w:eastAsia="zh-CN"/>
        </w:rPr>
        <w:t>并建议采用顺丰邮寄（或直接递交）到台州市椒江区白云街道开元路43-45号二楼；收件人：陈海东；联系电话：18806860226，逾期寄达、到付或未按要求密封将被拒收。</w:t>
      </w:r>
    </w:p>
    <w:p w14:paraId="1F5F976E">
      <w:pPr>
        <w:spacing w:line="360" w:lineRule="auto"/>
        <w:ind w:firstLine="426" w:firstLineChars="202"/>
        <w:outlineLvl w:val="0"/>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6、▲通过“政府采购云平台”上传递交的“电子加密磋商响应文件”无法按时解密，投标供应商递交了备份磋商响应文件的，以备份磋商响应文件为依据，否则视为磋商响应文件撤回。通过“政府采购云平台”上传递交的“电子加密磋商响应文件”已按时解密的，“备份磋商响应文件”自动失效。▲磋商供应商仅递交备份磋商响应文件的，投标无效。</w:t>
      </w:r>
    </w:p>
    <w:p w14:paraId="564FCD74">
      <w:pPr>
        <w:spacing w:line="360" w:lineRule="auto"/>
        <w:ind w:firstLine="426" w:firstLineChars="202"/>
        <w:outlineLvl w:val="0"/>
        <w:rPr>
          <w:rFonts w:hint="eastAsia" w:ascii="宋体" w:hAnsi="宋体" w:eastAsia="宋体" w:cs="宋体"/>
          <w:color w:val="auto"/>
          <w:sz w:val="21"/>
          <w:szCs w:val="21"/>
          <w:highlight w:val="none"/>
          <w:u w:val="single"/>
        </w:rPr>
      </w:pPr>
      <w:r>
        <w:rPr>
          <w:rFonts w:hint="eastAsia" w:ascii="宋体" w:hAnsi="宋体" w:eastAsia="宋体" w:cs="宋体"/>
          <w:b/>
          <w:bCs/>
          <w:color w:val="auto"/>
          <w:sz w:val="21"/>
          <w:szCs w:val="21"/>
          <w:highlight w:val="none"/>
          <w:u w:val="none"/>
          <w:lang w:val="en-US" w:eastAsia="zh-CN"/>
        </w:rPr>
        <w:t xml:space="preserve"> 7、在政府采购活动中，供应商提供的货物、工程或者服务符合下列情形的，享受本办法规定的中小企业扶持政策： ①在货物采购项目中，货物由中小企业制造，即货物由中小企业生产且使用该中小企业商号或者注册商标； ②在工程采购项目中，工程由中小企业承建，即工程施工单位为中小企业； ③在服务采购项目中，服务由中小企业承接，即提供服务的人员为中小企业依照《中华人民共和国劳动合同法》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以联合体形式参加政府采购活动，联合体各方均为中小企业的，联合体视同中小企业。其中，联合体各方均为小微企业的，联合体视同小微企业。</w:t>
      </w:r>
    </w:p>
    <w:p w14:paraId="14210015">
      <w:pPr>
        <w:numPr>
          <w:ilvl w:val="0"/>
          <w:numId w:val="0"/>
        </w:num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422" w:firstLineChars="200"/>
        <w:jc w:val="left"/>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六、供应商信用信息查询渠道及截止时点、信用信息查询记录和证据留存的具体方式、信用信息的使用规则：</w:t>
      </w:r>
    </w:p>
    <w:p w14:paraId="6554A744">
      <w:pPr>
        <w:numPr>
          <w:ilvl w:val="0"/>
          <w:numId w:val="0"/>
        </w:num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420" w:firstLineChars="20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1、查询渠道：“信用中国”（www.creditchina.gov.cn）、“中国政府采购网”（www.ccgp.gov.cn）、“浙江政府采购网（www.zjzfcg.gov.cn）。</w:t>
      </w:r>
    </w:p>
    <w:p w14:paraId="5ACBC8DB">
      <w:pPr>
        <w:numPr>
          <w:ilvl w:val="0"/>
          <w:numId w:val="0"/>
        </w:num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420" w:firstLineChars="20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2、信用信息查询的截止时点：开标后评标前。</w:t>
      </w:r>
    </w:p>
    <w:p w14:paraId="574DF19C">
      <w:pPr>
        <w:numPr>
          <w:ilvl w:val="0"/>
          <w:numId w:val="0"/>
        </w:num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420" w:firstLineChars="20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3、信用信息查询记录和证据留存的具体方式：由采购代理机构在规定查询时间内打印信用信息查询记录并归入项目档案。</w:t>
      </w:r>
    </w:p>
    <w:p w14:paraId="01CD1B78">
      <w:pPr>
        <w:numPr>
          <w:ilvl w:val="0"/>
          <w:numId w:val="0"/>
        </w:num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420" w:firstLineChars="200"/>
        <w:jc w:val="left"/>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4、信用信息的使用规则：对列入失信被执行人、重大税收违法失信主体、政府采购严重违法失信行为记录名单及其他不符合《中华人民共和国政府采购法》第二十二条规定条件的供应商，将被拒绝其参与政府采购活动。</w:t>
      </w:r>
    </w:p>
    <w:p w14:paraId="24E377DF">
      <w:pPr>
        <w:numPr>
          <w:ilvl w:val="0"/>
          <w:numId w:val="0"/>
        </w:num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422" w:firstLineChars="200"/>
        <w:jc w:val="left"/>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SA"/>
        </w:rPr>
        <w:t>七、</w:t>
      </w:r>
      <w:r>
        <w:rPr>
          <w:rFonts w:hint="eastAsia" w:ascii="宋体" w:hAnsi="宋体" w:eastAsia="宋体" w:cs="宋体"/>
          <w:b/>
          <w:color w:val="auto"/>
          <w:kern w:val="0"/>
          <w:sz w:val="21"/>
          <w:szCs w:val="21"/>
          <w:highlight w:val="none"/>
        </w:rPr>
        <w:t>响应文件递交截止时间及磋商开始时间：</w:t>
      </w:r>
    </w:p>
    <w:p w14:paraId="7650D6CC">
      <w:pPr>
        <w:numPr>
          <w:ilvl w:val="0"/>
          <w:numId w:val="0"/>
        </w:num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以浙江政府采购网（https://zfcg.czt.zj.gov.cn）公告时间为准</w:t>
      </w:r>
    </w:p>
    <w:p w14:paraId="6A14D678">
      <w:pPr>
        <w:numPr>
          <w:ilvl w:val="0"/>
          <w:numId w:val="0"/>
        </w:num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422"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SA"/>
        </w:rPr>
        <w:t>八、</w:t>
      </w:r>
      <w:r>
        <w:rPr>
          <w:rFonts w:hint="eastAsia" w:ascii="宋体" w:hAnsi="宋体" w:eastAsia="宋体" w:cs="宋体"/>
          <w:b/>
          <w:bCs/>
          <w:color w:val="auto"/>
          <w:sz w:val="21"/>
          <w:szCs w:val="21"/>
          <w:highlight w:val="none"/>
        </w:rPr>
        <w:t>磋商响应文件提交：</w:t>
      </w:r>
      <w:r>
        <w:rPr>
          <w:rFonts w:hint="eastAsia" w:ascii="宋体" w:hAnsi="宋体" w:eastAsia="宋体" w:cs="宋体"/>
          <w:color w:val="auto"/>
          <w:sz w:val="21"/>
          <w:szCs w:val="21"/>
          <w:highlight w:val="none"/>
          <w:lang w:val="en-US" w:eastAsia="zh-CN"/>
        </w:rPr>
        <w:t>通过“政府采购云平台（www.zcygov.cn）”实行在线投标响应。</w:t>
      </w:r>
    </w:p>
    <w:p w14:paraId="5206BDBF">
      <w:pPr>
        <w:numPr>
          <w:ilvl w:val="0"/>
          <w:numId w:val="0"/>
        </w:num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lang w:val="en-US" w:eastAsia="zh-CN"/>
        </w:rPr>
        <w:t>九</w:t>
      </w:r>
      <w:r>
        <w:rPr>
          <w:rFonts w:hint="eastAsia" w:ascii="宋体" w:hAnsi="宋体" w:eastAsia="宋体" w:cs="宋体"/>
          <w:b/>
          <w:color w:val="auto"/>
          <w:sz w:val="21"/>
          <w:szCs w:val="21"/>
          <w:highlight w:val="none"/>
        </w:rPr>
        <w:t>、相关注意事项</w:t>
      </w:r>
      <w:r>
        <w:rPr>
          <w:rFonts w:hint="eastAsia" w:ascii="宋体" w:hAnsi="宋体" w:eastAsia="宋体" w:cs="宋体"/>
          <w:color w:val="auto"/>
          <w:sz w:val="21"/>
          <w:szCs w:val="21"/>
          <w:highlight w:val="none"/>
        </w:rPr>
        <w:t>：</w:t>
      </w:r>
    </w:p>
    <w:p w14:paraId="5277864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4AEDEE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根据《浙江省财政厅关于进一步促进政府采购公平竞争打造最优营商环境的通知》 浙财采监〔2021〕22号)文件关于“健全行政裁决机制”要求，鼓励供应商在线提起询问，路径为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政采云-项目采购-询问质疑投诉-询问列表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鼓励供应商在线提起质疑，路径为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政采云-项目采购-询问质疑投诉-质疑列表。质疑供应商对在线质疑答复不满意的，可在线提起投诉，路径为:浙江政府服务网-政府采购投诉处理-在线办理。</w:t>
      </w:r>
    </w:p>
    <w:p w14:paraId="1EDF526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、本项目公告期限为3个工作日。供应商认为采购文件使自己的权益受到损害的，可以自</w:t>
      </w:r>
      <w:r>
        <w:rPr>
          <w:rFonts w:hint="eastAsia" w:ascii="宋体" w:hAnsi="宋体" w:eastAsia="宋体" w:cs="宋体"/>
          <w:color w:val="auto"/>
          <w:sz w:val="21"/>
          <w:szCs w:val="21"/>
          <w:highlight w:val="none"/>
          <w:lang w:val="en-US" w:eastAsia="zh-CN"/>
        </w:rPr>
        <w:t>获取</w:t>
      </w:r>
      <w:r>
        <w:rPr>
          <w:rFonts w:hint="eastAsia" w:ascii="宋体" w:hAnsi="宋体" w:eastAsia="宋体" w:cs="宋体"/>
          <w:color w:val="auto"/>
          <w:sz w:val="21"/>
          <w:szCs w:val="21"/>
          <w:highlight w:val="none"/>
        </w:rPr>
        <w:t>采购文件之日或采购文件公告期限届满之日起7个工作日内，以书面形式一次性向采购人和采购代理机构提出同一环节，</w:t>
      </w:r>
      <w:r>
        <w:rPr>
          <w:rFonts w:hint="eastAsia" w:ascii="宋体" w:hAnsi="宋体" w:eastAsia="宋体" w:cs="宋体"/>
          <w:color w:val="auto"/>
          <w:sz w:val="21"/>
          <w:szCs w:val="21"/>
          <w:highlight w:val="none"/>
          <w:lang w:val="en-US" w:eastAsia="zh-CN"/>
        </w:rPr>
        <w:t>后续就采购</w:t>
      </w:r>
      <w:r>
        <w:rPr>
          <w:rFonts w:hint="eastAsia" w:ascii="宋体" w:hAnsi="宋体" w:eastAsia="宋体" w:cs="宋体"/>
          <w:color w:val="auto"/>
          <w:sz w:val="21"/>
          <w:szCs w:val="21"/>
          <w:highlight w:val="none"/>
        </w:rPr>
        <w:t>过程、</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结果</w:t>
      </w:r>
      <w:r>
        <w:rPr>
          <w:rFonts w:hint="eastAsia" w:ascii="宋体" w:hAnsi="宋体" w:eastAsia="宋体" w:cs="宋体"/>
          <w:color w:val="auto"/>
          <w:sz w:val="21"/>
          <w:szCs w:val="21"/>
          <w:highlight w:val="none"/>
          <w:lang w:val="en-US" w:eastAsia="zh-CN"/>
        </w:rPr>
        <w:t>提出质疑的，也应在同一环节一次性提出</w:t>
      </w:r>
      <w:r>
        <w:rPr>
          <w:rFonts w:hint="eastAsia" w:ascii="宋体" w:hAnsi="宋体" w:eastAsia="宋体" w:cs="宋体"/>
          <w:color w:val="auto"/>
          <w:sz w:val="21"/>
          <w:szCs w:val="21"/>
          <w:highlight w:val="none"/>
          <w:lang w:eastAsia="zh-CN"/>
        </w:rPr>
        <w:t>，以供应商</w:t>
      </w:r>
      <w:r>
        <w:rPr>
          <w:rFonts w:hint="eastAsia" w:ascii="宋体" w:hAnsi="宋体" w:eastAsia="宋体" w:cs="宋体"/>
          <w:color w:val="auto"/>
          <w:sz w:val="21"/>
          <w:szCs w:val="21"/>
          <w:highlight w:val="none"/>
          <w:lang w:val="en-US" w:eastAsia="zh-CN"/>
        </w:rPr>
        <w:t>线上</w:t>
      </w:r>
      <w:r>
        <w:rPr>
          <w:rFonts w:hint="eastAsia" w:ascii="宋体" w:hAnsi="宋体" w:eastAsia="宋体" w:cs="宋体"/>
          <w:color w:val="auto"/>
          <w:sz w:val="21"/>
          <w:szCs w:val="21"/>
          <w:highlight w:val="none"/>
          <w:lang w:eastAsia="zh-CN"/>
        </w:rPr>
        <w:t>提供质疑函的时间为提起质疑的时间</w:t>
      </w:r>
      <w:r>
        <w:rPr>
          <w:rFonts w:hint="eastAsia" w:ascii="宋体" w:hAnsi="宋体" w:eastAsia="宋体" w:cs="宋体"/>
          <w:color w:val="auto"/>
          <w:sz w:val="21"/>
          <w:szCs w:val="21"/>
          <w:highlight w:val="none"/>
        </w:rPr>
        <w:t>。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E1418F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5FC4535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、请各磋商响应供应商及时办理浙江政府采购网“政府采购供应商注册”手续。</w:t>
      </w:r>
    </w:p>
    <w:p w14:paraId="1D6F8D2C">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参与政府采购项目的注册供应商，需登录浙江政府采购网（http://zfcg.czt.zj.gov.cn）进行网上获取文件；尚未注册的供应商应当先在浙江政府采购网上申请注册，注册终审通过后再进行网上获取文件。</w:t>
      </w:r>
    </w:p>
    <w:p w14:paraId="0CA153B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本项目所有公告发布网站：“浙江省政府采购网”（http://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"http://www.zjzfcg.gov.cn）。"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www.zjzfcg.gov.cn）。</w:t>
      </w:r>
      <w:r>
        <w:rPr>
          <w:rFonts w:hint="eastAsia" w:ascii="宋体" w:hAnsi="宋体" w:eastAsia="宋体" w:cs="宋体"/>
          <w:color w:val="auto"/>
          <w:sz w:val="21"/>
          <w:szCs w:val="21"/>
          <w:highlight w:val="none"/>
        </w:rPr>
        <w:fldChar w:fldCharType="end"/>
      </w:r>
    </w:p>
    <w:p w14:paraId="00B1C0C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、采购文件发售截止时间之后有潜在供应商提出要求获取采购文件的允许其报名获取，但对采购文件有异议应按规定的时间提出，逾期提出的，采购组织机构可不予受理、答复。</w:t>
      </w:r>
    </w:p>
    <w:p w14:paraId="503C5FA6">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十</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联系方式：</w:t>
      </w:r>
    </w:p>
    <w:p w14:paraId="7E33E47B">
      <w:pPr>
        <w:spacing w:line="36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（一）采购代理机构</w:t>
      </w:r>
    </w:p>
    <w:p w14:paraId="709EE1A4">
      <w:pPr>
        <w:snapToGrid w:val="0"/>
        <w:spacing w:line="360" w:lineRule="auto"/>
        <w:ind w:firstLine="525" w:firstLineChars="25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代理机构名称：</w:t>
      </w:r>
      <w:r>
        <w:rPr>
          <w:rFonts w:hint="eastAsia" w:ascii="宋体" w:hAnsi="宋体" w:eastAsia="宋体" w:cs="宋体"/>
          <w:color w:val="auto"/>
          <w:sz w:val="21"/>
          <w:szCs w:val="21"/>
          <w:highlight w:val="none"/>
          <w:u w:val="single"/>
          <w:lang w:eastAsia="zh-CN"/>
        </w:rPr>
        <w:t>赢海招标代理（台州）有限公司</w:t>
      </w:r>
    </w:p>
    <w:p w14:paraId="6E92383F">
      <w:pPr>
        <w:snapToGrid w:val="0"/>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lang w:eastAsia="zh-CN"/>
        </w:rPr>
        <w:t>台州市椒江区白云街道开元路43-45号二楼</w:t>
      </w:r>
    </w:p>
    <w:p w14:paraId="5C094EDE">
      <w:pPr>
        <w:snapToGrid w:val="0"/>
        <w:spacing w:line="360" w:lineRule="auto"/>
        <w:ind w:firstLine="525" w:firstLineChars="25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项目联系人：</w:t>
      </w:r>
      <w:r>
        <w:rPr>
          <w:rFonts w:hint="eastAsia" w:ascii="宋体" w:hAnsi="宋体" w:eastAsia="宋体" w:cs="宋体"/>
          <w:color w:val="auto"/>
          <w:sz w:val="21"/>
          <w:szCs w:val="21"/>
          <w:highlight w:val="none"/>
          <w:u w:val="single"/>
        </w:rPr>
        <w:t>陈</w:t>
      </w:r>
      <w:r>
        <w:rPr>
          <w:rFonts w:hint="eastAsia" w:ascii="宋体" w:hAnsi="宋体" w:eastAsia="宋体" w:cs="宋体"/>
          <w:color w:val="auto"/>
          <w:sz w:val="21"/>
          <w:szCs w:val="21"/>
          <w:highlight w:val="none"/>
          <w:u w:val="single"/>
          <w:lang w:val="en-US" w:eastAsia="zh-CN"/>
        </w:rPr>
        <w:t>海东</w:t>
      </w:r>
    </w:p>
    <w:p w14:paraId="259B641F">
      <w:pPr>
        <w:snapToGrid w:val="0"/>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联系电话：</w:t>
      </w:r>
      <w:r>
        <w:rPr>
          <w:rFonts w:hint="eastAsia" w:ascii="宋体" w:hAnsi="宋体" w:eastAsia="宋体" w:cs="宋体"/>
          <w:sz w:val="21"/>
          <w:szCs w:val="21"/>
          <w:highlight w:val="none"/>
          <w:u w:val="single"/>
          <w:lang w:eastAsia="zh-CN"/>
        </w:rPr>
        <w:t>18806860226</w:t>
      </w:r>
      <w:r>
        <w:rPr>
          <w:rFonts w:hint="eastAsia" w:ascii="宋体" w:hAnsi="宋体" w:eastAsia="宋体" w:cs="宋体"/>
          <w:color w:val="auto"/>
          <w:sz w:val="21"/>
          <w:szCs w:val="21"/>
          <w:highlight w:val="none"/>
        </w:rPr>
        <w:t xml:space="preserve">     </w:t>
      </w:r>
    </w:p>
    <w:p w14:paraId="0D833399">
      <w:pPr>
        <w:snapToGrid w:val="0"/>
        <w:spacing w:line="360" w:lineRule="auto"/>
        <w:ind w:firstLine="525" w:firstLineChars="25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代理机构质疑联系人：</w:t>
      </w:r>
      <w:r>
        <w:rPr>
          <w:rFonts w:hint="eastAsia" w:ascii="宋体" w:hAnsi="宋体" w:eastAsia="宋体" w:cs="宋体"/>
          <w:color w:val="auto"/>
          <w:sz w:val="21"/>
          <w:szCs w:val="21"/>
          <w:highlight w:val="none"/>
          <w:u w:val="single"/>
          <w:lang w:val="en-US" w:eastAsia="zh-CN"/>
        </w:rPr>
        <w:t>陈宇环</w:t>
      </w:r>
    </w:p>
    <w:p w14:paraId="60BA8950">
      <w:pPr>
        <w:snapToGrid w:val="0"/>
        <w:spacing w:line="360" w:lineRule="auto"/>
        <w:ind w:firstLine="525" w:firstLineChars="25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联系电话：</w:t>
      </w:r>
      <w:r>
        <w:rPr>
          <w:rFonts w:hint="eastAsia" w:ascii="宋体" w:hAnsi="宋体" w:eastAsia="宋体" w:cs="宋体"/>
          <w:sz w:val="21"/>
          <w:szCs w:val="21"/>
          <w:highlight w:val="none"/>
          <w:u w:val="single"/>
          <w:lang w:eastAsia="zh-CN"/>
        </w:rPr>
        <w:t>0576-88113912</w:t>
      </w:r>
    </w:p>
    <w:p w14:paraId="44D99660">
      <w:pPr>
        <w:snapToGrid w:val="0"/>
        <w:spacing w:line="360" w:lineRule="auto"/>
        <w:ind w:firstLine="527" w:firstLineChars="25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（二）采购人</w:t>
      </w:r>
    </w:p>
    <w:p w14:paraId="22741989">
      <w:pPr>
        <w:snapToGrid w:val="0"/>
        <w:spacing w:line="360" w:lineRule="auto"/>
        <w:ind w:firstLine="525" w:firstLineChars="25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single"/>
          <w:lang w:eastAsia="zh-CN"/>
        </w:rPr>
        <w:t>台州市椒江区人民政府前所街道办事处</w:t>
      </w:r>
    </w:p>
    <w:p w14:paraId="58601AC5">
      <w:pPr>
        <w:snapToGrid w:val="0"/>
        <w:spacing w:line="360" w:lineRule="auto"/>
        <w:ind w:firstLine="525" w:firstLineChars="25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采购人地址：</w:t>
      </w:r>
      <w:r>
        <w:rPr>
          <w:rFonts w:hint="eastAsia" w:ascii="宋体" w:hAnsi="宋体" w:eastAsia="宋体" w:cs="宋体"/>
          <w:color w:val="auto"/>
          <w:sz w:val="21"/>
          <w:szCs w:val="21"/>
          <w:highlight w:val="none"/>
          <w:u w:val="single"/>
          <w:lang w:eastAsia="zh-CN"/>
        </w:rPr>
        <w:t>浙江省台州市椒江区椒北大街10号</w:t>
      </w:r>
    </w:p>
    <w:p w14:paraId="5A4D1BE7">
      <w:pPr>
        <w:snapToGrid w:val="0"/>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single"/>
          <w:lang w:val="en-US" w:eastAsia="zh-CN"/>
        </w:rPr>
        <w:t>徐女士</w:t>
      </w:r>
      <w:r>
        <w:rPr>
          <w:rFonts w:hint="eastAsia" w:ascii="宋体" w:hAnsi="宋体" w:eastAsia="宋体" w:cs="宋体"/>
          <w:color w:val="auto"/>
          <w:sz w:val="21"/>
          <w:szCs w:val="21"/>
          <w:highlight w:val="none"/>
        </w:rPr>
        <w:t xml:space="preserve">                    </w:t>
      </w:r>
    </w:p>
    <w:p w14:paraId="64A22B45">
      <w:pPr>
        <w:snapToGrid w:val="0"/>
        <w:spacing w:line="360" w:lineRule="auto"/>
        <w:ind w:firstLine="525" w:firstLineChars="25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联系电话：</w:t>
      </w:r>
      <w:r>
        <w:rPr>
          <w:rFonts w:hint="eastAsia" w:ascii="宋体" w:hAnsi="宋体" w:eastAsia="宋体" w:cs="宋体"/>
          <w:b w:val="0"/>
          <w:bCs w:val="0"/>
          <w:color w:val="auto"/>
          <w:sz w:val="21"/>
          <w:szCs w:val="21"/>
          <w:highlight w:val="none"/>
          <w:u w:val="single"/>
          <w:lang w:val="en-US" w:eastAsia="zh-CN"/>
        </w:rPr>
        <w:t>0576-89085053</w:t>
      </w:r>
    </w:p>
    <w:p w14:paraId="497B5204">
      <w:pPr>
        <w:snapToGrid w:val="0"/>
        <w:spacing w:line="360" w:lineRule="auto"/>
        <w:ind w:firstLine="525" w:firstLineChars="25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质疑联系人：</w:t>
      </w:r>
      <w:r>
        <w:rPr>
          <w:rFonts w:hint="eastAsia" w:ascii="宋体" w:hAnsi="宋体" w:cs="宋体"/>
          <w:b w:val="0"/>
          <w:bCs w:val="0"/>
          <w:color w:val="auto"/>
          <w:kern w:val="0"/>
          <w:sz w:val="21"/>
          <w:szCs w:val="21"/>
          <w:highlight w:val="none"/>
          <w:u w:val="single"/>
          <w:lang w:val="en-US" w:eastAsia="zh-CN"/>
        </w:rPr>
        <w:t>曹先生</w:t>
      </w:r>
    </w:p>
    <w:p w14:paraId="4EB2589A">
      <w:pPr>
        <w:snapToGrid w:val="0"/>
        <w:spacing w:line="360" w:lineRule="auto"/>
        <w:ind w:firstLine="525" w:firstLineChars="25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质疑联系方式：</w:t>
      </w:r>
      <w:r>
        <w:rPr>
          <w:rFonts w:hint="eastAsia" w:ascii="宋体" w:hAnsi="宋体" w:eastAsia="宋体" w:cs="宋体"/>
          <w:b w:val="0"/>
          <w:bCs w:val="0"/>
          <w:color w:val="auto"/>
          <w:kern w:val="0"/>
          <w:sz w:val="21"/>
          <w:szCs w:val="21"/>
          <w:highlight w:val="none"/>
          <w:u w:val="single"/>
          <w:lang w:val="en-US" w:eastAsia="zh-CN"/>
        </w:rPr>
        <w:t>0576-88931029</w:t>
      </w:r>
    </w:p>
    <w:p w14:paraId="75F5124C">
      <w:pPr>
        <w:snapToGrid w:val="0"/>
        <w:spacing w:line="360" w:lineRule="auto"/>
        <w:ind w:firstLine="527" w:firstLineChars="25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（三）同级政府采购监督管理部门</w:t>
      </w:r>
    </w:p>
    <w:p w14:paraId="6A60544F">
      <w:pPr>
        <w:snapToGrid w:val="0"/>
        <w:spacing w:line="360" w:lineRule="auto"/>
        <w:ind w:firstLine="525" w:firstLineChars="250"/>
        <w:rPr>
          <w:rFonts w:hint="eastAsia" w:ascii="宋体" w:hAnsi="宋体" w:eastAsia="宋体" w:cs="宋体"/>
          <w:color w:val="auto"/>
          <w:sz w:val="21"/>
          <w:szCs w:val="21"/>
          <w:highlight w:val="none"/>
          <w:lang w:eastAsia="zh-CN" w:bidi="en-US"/>
        </w:rPr>
      </w:pPr>
      <w:r>
        <w:rPr>
          <w:rFonts w:hint="eastAsia" w:ascii="宋体" w:hAnsi="宋体" w:eastAsia="宋体" w:cs="宋体"/>
          <w:color w:val="auto"/>
          <w:sz w:val="21"/>
          <w:szCs w:val="21"/>
          <w:highlight w:val="none"/>
          <w:lang w:bidi="en-US"/>
        </w:rPr>
        <w:t>名称：</w:t>
      </w:r>
      <w:r>
        <w:rPr>
          <w:rFonts w:hint="eastAsia" w:ascii="宋体" w:hAnsi="宋体" w:eastAsia="宋体" w:cs="宋体"/>
          <w:color w:val="auto"/>
          <w:sz w:val="21"/>
          <w:szCs w:val="21"/>
          <w:highlight w:val="none"/>
          <w:u w:val="single"/>
          <w:lang w:bidi="en-US"/>
        </w:rPr>
        <w:t>台州市椒江区财政局政府采购监管</w:t>
      </w:r>
      <w:r>
        <w:rPr>
          <w:rFonts w:hint="eastAsia" w:ascii="宋体" w:hAnsi="宋体" w:eastAsia="宋体" w:cs="宋体"/>
          <w:color w:val="auto"/>
          <w:sz w:val="21"/>
          <w:szCs w:val="21"/>
          <w:highlight w:val="none"/>
          <w:u w:val="single"/>
          <w:lang w:val="en-US" w:eastAsia="zh-CN" w:bidi="en-US"/>
        </w:rPr>
        <w:t>科</w:t>
      </w:r>
    </w:p>
    <w:p w14:paraId="7CADE6FC">
      <w:pPr>
        <w:snapToGrid w:val="0"/>
        <w:spacing w:line="360" w:lineRule="auto"/>
        <w:ind w:firstLine="525" w:firstLineChars="250"/>
        <w:rPr>
          <w:rFonts w:hint="eastAsia" w:ascii="宋体" w:hAnsi="宋体" w:eastAsia="宋体" w:cs="宋体"/>
          <w:color w:val="auto"/>
          <w:sz w:val="21"/>
          <w:szCs w:val="21"/>
          <w:highlight w:val="none"/>
          <w:lang w:val="en-US" w:eastAsia="zh-CN" w:bidi="en-US"/>
        </w:rPr>
      </w:pPr>
      <w:r>
        <w:rPr>
          <w:rFonts w:hint="eastAsia" w:ascii="宋体" w:hAnsi="宋体" w:eastAsia="宋体" w:cs="宋体"/>
          <w:color w:val="auto"/>
          <w:sz w:val="21"/>
          <w:szCs w:val="21"/>
          <w:highlight w:val="none"/>
          <w:lang w:bidi="en-US"/>
        </w:rPr>
        <w:t>地址：</w:t>
      </w:r>
      <w:r>
        <w:rPr>
          <w:rFonts w:hint="eastAsia" w:ascii="宋体" w:hAnsi="宋体" w:eastAsia="宋体" w:cs="宋体"/>
          <w:color w:val="auto"/>
          <w:sz w:val="21"/>
          <w:szCs w:val="21"/>
          <w:highlight w:val="none"/>
          <w:u w:val="single"/>
          <w:lang w:val="en-US" w:eastAsia="zh-CN" w:bidi="en-US"/>
        </w:rPr>
        <w:t>台州市椒江区财政局</w:t>
      </w:r>
    </w:p>
    <w:p w14:paraId="0A096EA6">
      <w:pPr>
        <w:snapToGrid w:val="0"/>
        <w:spacing w:line="360" w:lineRule="auto"/>
        <w:ind w:firstLine="525" w:firstLineChars="250"/>
        <w:rPr>
          <w:rFonts w:hint="eastAsia" w:ascii="宋体" w:hAnsi="宋体" w:eastAsia="宋体" w:cs="宋体"/>
          <w:color w:val="auto"/>
          <w:sz w:val="21"/>
          <w:szCs w:val="21"/>
          <w:highlight w:val="none"/>
          <w:lang w:bidi="en-US"/>
        </w:rPr>
      </w:pPr>
      <w:r>
        <w:rPr>
          <w:rFonts w:hint="eastAsia" w:ascii="宋体" w:hAnsi="宋体" w:eastAsia="宋体" w:cs="宋体"/>
          <w:color w:val="auto"/>
          <w:sz w:val="21"/>
          <w:szCs w:val="21"/>
          <w:highlight w:val="none"/>
          <w:lang w:bidi="en-US"/>
        </w:rPr>
        <w:t>联系人：</w:t>
      </w:r>
      <w:r>
        <w:rPr>
          <w:rFonts w:hint="eastAsia" w:ascii="宋体" w:hAnsi="宋体" w:eastAsia="宋体" w:cs="宋体"/>
          <w:color w:val="auto"/>
          <w:sz w:val="21"/>
          <w:szCs w:val="21"/>
          <w:highlight w:val="none"/>
          <w:u w:val="single"/>
          <w:lang w:val="en-US" w:eastAsia="zh-CN" w:bidi="en-US"/>
        </w:rPr>
        <w:t>李</w:t>
      </w:r>
      <w:r>
        <w:rPr>
          <w:rFonts w:hint="eastAsia" w:ascii="宋体" w:hAnsi="宋体" w:eastAsia="宋体" w:cs="宋体"/>
          <w:color w:val="auto"/>
          <w:sz w:val="21"/>
          <w:szCs w:val="21"/>
          <w:highlight w:val="none"/>
          <w:u w:val="single"/>
          <w:lang w:bidi="en-US"/>
        </w:rPr>
        <w:t>老师</w:t>
      </w:r>
    </w:p>
    <w:p w14:paraId="3A302ADB">
      <w:pPr>
        <w:snapToGrid w:val="0"/>
        <w:spacing w:line="360" w:lineRule="auto"/>
        <w:ind w:firstLine="525" w:firstLineChars="250"/>
        <w:rPr>
          <w:rFonts w:hint="eastAsia" w:ascii="宋体" w:hAnsi="宋体" w:eastAsia="宋体" w:cs="宋体"/>
          <w:color w:val="auto"/>
          <w:sz w:val="21"/>
          <w:szCs w:val="21"/>
          <w:highlight w:val="none"/>
          <w:lang w:bidi="en-US"/>
        </w:rPr>
      </w:pPr>
      <w:r>
        <w:rPr>
          <w:rFonts w:hint="eastAsia" w:ascii="宋体" w:hAnsi="宋体" w:eastAsia="宋体" w:cs="宋体"/>
          <w:color w:val="auto"/>
          <w:sz w:val="21"/>
          <w:szCs w:val="21"/>
          <w:highlight w:val="none"/>
          <w:lang w:val="en-US" w:eastAsia="zh-CN" w:bidi="en-US"/>
        </w:rPr>
        <w:t>联系电话</w:t>
      </w:r>
      <w:r>
        <w:rPr>
          <w:rFonts w:hint="eastAsia" w:ascii="宋体" w:hAnsi="宋体" w:eastAsia="宋体" w:cs="宋体"/>
          <w:color w:val="auto"/>
          <w:sz w:val="21"/>
          <w:szCs w:val="21"/>
          <w:highlight w:val="none"/>
          <w:lang w:bidi="en-US"/>
        </w:rPr>
        <w:t>：</w:t>
      </w:r>
      <w:r>
        <w:rPr>
          <w:rFonts w:hint="eastAsia" w:ascii="宋体" w:hAnsi="宋体" w:eastAsia="宋体" w:cs="宋体"/>
          <w:color w:val="auto"/>
          <w:sz w:val="21"/>
          <w:szCs w:val="21"/>
          <w:highlight w:val="none"/>
          <w:u w:val="single"/>
          <w:lang w:eastAsia="zh-CN" w:bidi="en-US"/>
        </w:rPr>
        <w:t>0576-88553889</w:t>
      </w:r>
    </w:p>
    <w:p w14:paraId="781654B2">
      <w:pPr>
        <w:snapToGrid w:val="0"/>
        <w:spacing w:line="360" w:lineRule="auto"/>
        <w:ind w:firstLine="527" w:firstLineChars="250"/>
        <w:rPr>
          <w:rFonts w:hint="eastAsia" w:ascii="宋体" w:hAnsi="宋体" w:eastAsia="宋体" w:cs="宋体"/>
          <w:b/>
          <w:color w:val="auto"/>
          <w:kern w:val="0"/>
          <w:sz w:val="21"/>
          <w:szCs w:val="21"/>
          <w:highlight w:val="none"/>
          <w:lang w:eastAsia="zh-CN"/>
        </w:rPr>
      </w:pP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lang w:val="en-US" w:eastAsia="zh-CN"/>
        </w:rPr>
        <w:t>四</w:t>
      </w: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rPr>
        <w:t>其他事项</w:t>
      </w:r>
      <w:r>
        <w:rPr>
          <w:rFonts w:hint="eastAsia" w:ascii="宋体" w:hAnsi="宋体" w:eastAsia="宋体" w:cs="宋体"/>
          <w:b/>
          <w:color w:val="auto"/>
          <w:kern w:val="0"/>
          <w:sz w:val="21"/>
          <w:szCs w:val="21"/>
          <w:highlight w:val="none"/>
          <w:lang w:eastAsia="zh-CN"/>
        </w:rPr>
        <w:t>：</w:t>
      </w:r>
    </w:p>
    <w:p w14:paraId="20A1A618">
      <w:pPr>
        <w:pStyle w:val="6"/>
        <w:keepNext w:val="0"/>
        <w:keepLines w:val="0"/>
        <w:pageBreakBefore w:val="0"/>
        <w:kinsoku/>
        <w:wordWrap/>
        <w:overflowPunct/>
        <w:topLinePunct w:val="0"/>
        <w:bidi w:val="0"/>
        <w:snapToGrid/>
        <w:spacing w:line="420" w:lineRule="exact"/>
        <w:ind w:firstLine="482"/>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政采贷</w:t>
      </w:r>
      <w:r>
        <w:rPr>
          <w:rFonts w:hint="eastAsia" w:ascii="宋体" w:hAnsi="宋体" w:eastAsia="宋体" w:cs="宋体"/>
          <w:b/>
          <w:color w:val="auto"/>
          <w:sz w:val="21"/>
          <w:szCs w:val="21"/>
          <w:highlight w:val="none"/>
          <w:lang w:eastAsia="zh-CN"/>
        </w:rPr>
        <w:t>联系方式</w:t>
      </w:r>
    </w:p>
    <w:tbl>
      <w:tblPr>
        <w:tblStyle w:val="26"/>
        <w:tblW w:w="9885" w:type="dxa"/>
        <w:jc w:val="center"/>
        <w:tblCellSpacing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15" w:type="dxa"/>
          <w:left w:w="15" w:type="dxa"/>
          <w:bottom w:w="15" w:type="dxa"/>
          <w:right w:w="15" w:type="dxa"/>
        </w:tblCellMar>
      </w:tblPr>
      <w:tblGrid>
        <w:gridCol w:w="933"/>
        <w:gridCol w:w="2540"/>
        <w:gridCol w:w="1555"/>
        <w:gridCol w:w="1459"/>
        <w:gridCol w:w="3398"/>
      </w:tblGrid>
      <w:tr w14:paraId="025647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15" w:hRule="atLeast"/>
          <w:tblCellSpacing w:w="15" w:type="dxa"/>
          <w:jc w:val="center"/>
        </w:trPr>
        <w:tc>
          <w:tcPr>
            <w:tcW w:w="888" w:type="dxa"/>
            <w:tcBorders>
              <w:tl2br w:val="nil"/>
              <w:tr2bl w:val="nil"/>
            </w:tcBorders>
            <w:noWrap w:val="0"/>
            <w:tcMar>
              <w:top w:w="0" w:type="dxa"/>
              <w:left w:w="105" w:type="dxa"/>
              <w:bottom w:w="0" w:type="dxa"/>
              <w:right w:w="105" w:type="dxa"/>
            </w:tcMar>
            <w:vAlign w:val="center"/>
          </w:tcPr>
          <w:p w14:paraId="2DCB7E15">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2510" w:type="dxa"/>
            <w:tcBorders>
              <w:tl2br w:val="nil"/>
              <w:tr2bl w:val="nil"/>
            </w:tcBorders>
            <w:noWrap w:val="0"/>
            <w:tcMar>
              <w:top w:w="0" w:type="dxa"/>
              <w:left w:w="105" w:type="dxa"/>
              <w:bottom w:w="0" w:type="dxa"/>
              <w:right w:w="105" w:type="dxa"/>
            </w:tcMar>
            <w:vAlign w:val="center"/>
          </w:tcPr>
          <w:p w14:paraId="0D1B2459">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银行</w:t>
            </w:r>
          </w:p>
        </w:tc>
        <w:tc>
          <w:tcPr>
            <w:tcW w:w="1525" w:type="dxa"/>
            <w:tcBorders>
              <w:tl2br w:val="nil"/>
              <w:tr2bl w:val="nil"/>
            </w:tcBorders>
            <w:noWrap w:val="0"/>
            <w:tcMar>
              <w:top w:w="0" w:type="dxa"/>
              <w:left w:w="105" w:type="dxa"/>
              <w:bottom w:w="0" w:type="dxa"/>
              <w:right w:w="105" w:type="dxa"/>
            </w:tcMar>
            <w:vAlign w:val="center"/>
          </w:tcPr>
          <w:p w14:paraId="7718FB51">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贷款年利率</w:t>
            </w:r>
          </w:p>
        </w:tc>
        <w:tc>
          <w:tcPr>
            <w:tcW w:w="1429" w:type="dxa"/>
            <w:tcBorders>
              <w:tl2br w:val="nil"/>
              <w:tr2bl w:val="nil"/>
            </w:tcBorders>
            <w:noWrap w:val="0"/>
            <w:tcMar>
              <w:top w:w="0" w:type="dxa"/>
              <w:left w:w="105" w:type="dxa"/>
              <w:bottom w:w="0" w:type="dxa"/>
              <w:right w:w="105" w:type="dxa"/>
            </w:tcMar>
            <w:vAlign w:val="center"/>
          </w:tcPr>
          <w:p w14:paraId="45DF15A9">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3353" w:type="dxa"/>
            <w:tcBorders>
              <w:tl2br w:val="nil"/>
              <w:tr2bl w:val="nil"/>
            </w:tcBorders>
            <w:noWrap w:val="0"/>
            <w:tcMar>
              <w:top w:w="0" w:type="dxa"/>
              <w:left w:w="105" w:type="dxa"/>
              <w:bottom w:w="0" w:type="dxa"/>
              <w:right w:w="105" w:type="dxa"/>
            </w:tcMar>
            <w:vAlign w:val="center"/>
          </w:tcPr>
          <w:p w14:paraId="29D2B1D8">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517BE7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15" w:hRule="atLeast"/>
          <w:tblCellSpacing w:w="15" w:type="dxa"/>
          <w:jc w:val="center"/>
        </w:trPr>
        <w:tc>
          <w:tcPr>
            <w:tcW w:w="888" w:type="dxa"/>
            <w:tcBorders>
              <w:tl2br w:val="nil"/>
              <w:tr2bl w:val="nil"/>
            </w:tcBorders>
            <w:noWrap w:val="0"/>
            <w:tcMar>
              <w:top w:w="0" w:type="dxa"/>
              <w:left w:w="105" w:type="dxa"/>
              <w:bottom w:w="0" w:type="dxa"/>
              <w:right w:w="105" w:type="dxa"/>
            </w:tcMar>
            <w:vAlign w:val="center"/>
          </w:tcPr>
          <w:p w14:paraId="638A39BA">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510" w:type="dxa"/>
            <w:tcBorders>
              <w:tl2br w:val="nil"/>
              <w:tr2bl w:val="nil"/>
            </w:tcBorders>
            <w:noWrap w:val="0"/>
            <w:tcMar>
              <w:top w:w="0" w:type="dxa"/>
              <w:left w:w="105" w:type="dxa"/>
              <w:bottom w:w="0" w:type="dxa"/>
              <w:right w:w="105" w:type="dxa"/>
            </w:tcMar>
            <w:vAlign w:val="center"/>
          </w:tcPr>
          <w:p w14:paraId="3CFEC597">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中国工商银行</w:t>
            </w:r>
          </w:p>
        </w:tc>
        <w:tc>
          <w:tcPr>
            <w:tcW w:w="1525" w:type="dxa"/>
            <w:tcBorders>
              <w:tl2br w:val="nil"/>
              <w:tr2bl w:val="nil"/>
            </w:tcBorders>
            <w:noWrap w:val="0"/>
            <w:tcMar>
              <w:top w:w="0" w:type="dxa"/>
              <w:left w:w="105" w:type="dxa"/>
              <w:bottom w:w="0" w:type="dxa"/>
              <w:right w:w="105" w:type="dxa"/>
            </w:tcMar>
            <w:vAlign w:val="center"/>
          </w:tcPr>
          <w:p w14:paraId="673E10E7">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3.8%起</w:t>
            </w:r>
          </w:p>
        </w:tc>
        <w:tc>
          <w:tcPr>
            <w:tcW w:w="1429" w:type="dxa"/>
            <w:tcBorders>
              <w:tl2br w:val="nil"/>
              <w:tr2bl w:val="nil"/>
            </w:tcBorders>
            <w:noWrap w:val="0"/>
            <w:tcMar>
              <w:top w:w="0" w:type="dxa"/>
              <w:left w:w="105" w:type="dxa"/>
              <w:bottom w:w="0" w:type="dxa"/>
              <w:right w:w="105" w:type="dxa"/>
            </w:tcMar>
            <w:vAlign w:val="center"/>
          </w:tcPr>
          <w:p w14:paraId="788FEB1C">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lang w:eastAsia="zh-CN"/>
              </w:rPr>
              <w:t>卢嘉诚</w:t>
            </w:r>
          </w:p>
        </w:tc>
        <w:tc>
          <w:tcPr>
            <w:tcW w:w="3353" w:type="dxa"/>
            <w:tcBorders>
              <w:tl2br w:val="nil"/>
              <w:tr2bl w:val="nil"/>
            </w:tcBorders>
            <w:noWrap w:val="0"/>
            <w:tcMar>
              <w:top w:w="0" w:type="dxa"/>
              <w:left w:w="105" w:type="dxa"/>
              <w:bottom w:w="0" w:type="dxa"/>
              <w:right w:w="105" w:type="dxa"/>
            </w:tcMar>
            <w:vAlign w:val="center"/>
          </w:tcPr>
          <w:p w14:paraId="001169AF">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lang w:eastAsia="zh-CN"/>
              </w:rPr>
              <w:t>88588246、13867658508</w:t>
            </w:r>
          </w:p>
        </w:tc>
      </w:tr>
      <w:tr w14:paraId="3F3381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15" w:hRule="atLeast"/>
          <w:tblCellSpacing w:w="15" w:type="dxa"/>
          <w:jc w:val="center"/>
        </w:trPr>
        <w:tc>
          <w:tcPr>
            <w:tcW w:w="888" w:type="dxa"/>
            <w:tcBorders>
              <w:tl2br w:val="nil"/>
              <w:tr2bl w:val="nil"/>
            </w:tcBorders>
            <w:noWrap w:val="0"/>
            <w:tcMar>
              <w:top w:w="0" w:type="dxa"/>
              <w:left w:w="105" w:type="dxa"/>
              <w:bottom w:w="0" w:type="dxa"/>
              <w:right w:w="105" w:type="dxa"/>
            </w:tcMar>
            <w:vAlign w:val="center"/>
          </w:tcPr>
          <w:p w14:paraId="4858C75B">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510" w:type="dxa"/>
            <w:tcBorders>
              <w:tl2br w:val="nil"/>
              <w:tr2bl w:val="nil"/>
            </w:tcBorders>
            <w:noWrap w:val="0"/>
            <w:tcMar>
              <w:top w:w="0" w:type="dxa"/>
              <w:left w:w="105" w:type="dxa"/>
              <w:bottom w:w="0" w:type="dxa"/>
              <w:right w:w="105" w:type="dxa"/>
            </w:tcMar>
            <w:vAlign w:val="center"/>
          </w:tcPr>
          <w:p w14:paraId="6E144CDF">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中国农业银行</w:t>
            </w:r>
          </w:p>
        </w:tc>
        <w:tc>
          <w:tcPr>
            <w:tcW w:w="1525" w:type="dxa"/>
            <w:tcBorders>
              <w:tl2br w:val="nil"/>
              <w:tr2bl w:val="nil"/>
            </w:tcBorders>
            <w:noWrap w:val="0"/>
            <w:tcMar>
              <w:top w:w="0" w:type="dxa"/>
              <w:left w:w="105" w:type="dxa"/>
              <w:bottom w:w="0" w:type="dxa"/>
              <w:right w:w="105" w:type="dxa"/>
            </w:tcMar>
            <w:vAlign w:val="center"/>
          </w:tcPr>
          <w:p w14:paraId="60A9B1BD">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3.8%起</w:t>
            </w:r>
          </w:p>
        </w:tc>
        <w:tc>
          <w:tcPr>
            <w:tcW w:w="1429" w:type="dxa"/>
            <w:tcBorders>
              <w:tl2br w:val="nil"/>
              <w:tr2bl w:val="nil"/>
            </w:tcBorders>
            <w:noWrap w:val="0"/>
            <w:tcMar>
              <w:top w:w="0" w:type="dxa"/>
              <w:left w:w="105" w:type="dxa"/>
              <w:bottom w:w="0" w:type="dxa"/>
              <w:right w:w="105" w:type="dxa"/>
            </w:tcMar>
            <w:vAlign w:val="center"/>
          </w:tcPr>
          <w:p w14:paraId="2568A0D4">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龚盛</w:t>
            </w:r>
          </w:p>
        </w:tc>
        <w:tc>
          <w:tcPr>
            <w:tcW w:w="3353" w:type="dxa"/>
            <w:tcBorders>
              <w:tl2br w:val="nil"/>
              <w:tr2bl w:val="nil"/>
            </w:tcBorders>
            <w:noWrap w:val="0"/>
            <w:tcMar>
              <w:top w:w="0" w:type="dxa"/>
              <w:left w:w="105" w:type="dxa"/>
              <w:bottom w:w="0" w:type="dxa"/>
              <w:right w:w="105" w:type="dxa"/>
            </w:tcMar>
            <w:vAlign w:val="center"/>
          </w:tcPr>
          <w:p w14:paraId="4215EC29">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15858682216</w:t>
            </w:r>
          </w:p>
        </w:tc>
      </w:tr>
      <w:tr w14:paraId="7CC3D7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15" w:hRule="atLeast"/>
          <w:tblCellSpacing w:w="15" w:type="dxa"/>
          <w:jc w:val="center"/>
        </w:trPr>
        <w:tc>
          <w:tcPr>
            <w:tcW w:w="888" w:type="dxa"/>
            <w:tcBorders>
              <w:tl2br w:val="nil"/>
              <w:tr2bl w:val="nil"/>
            </w:tcBorders>
            <w:noWrap w:val="0"/>
            <w:tcMar>
              <w:top w:w="0" w:type="dxa"/>
              <w:left w:w="105" w:type="dxa"/>
              <w:bottom w:w="0" w:type="dxa"/>
              <w:right w:w="105" w:type="dxa"/>
            </w:tcMar>
            <w:vAlign w:val="center"/>
          </w:tcPr>
          <w:p w14:paraId="3C7CA054">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510" w:type="dxa"/>
            <w:tcBorders>
              <w:tl2br w:val="nil"/>
              <w:tr2bl w:val="nil"/>
            </w:tcBorders>
            <w:noWrap w:val="0"/>
            <w:tcMar>
              <w:top w:w="0" w:type="dxa"/>
              <w:left w:w="105" w:type="dxa"/>
              <w:bottom w:w="0" w:type="dxa"/>
              <w:right w:w="105" w:type="dxa"/>
            </w:tcMar>
            <w:vAlign w:val="center"/>
          </w:tcPr>
          <w:p w14:paraId="0466C4CE">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中国建设银行</w:t>
            </w:r>
          </w:p>
        </w:tc>
        <w:tc>
          <w:tcPr>
            <w:tcW w:w="1525" w:type="dxa"/>
            <w:tcBorders>
              <w:tl2br w:val="nil"/>
              <w:tr2bl w:val="nil"/>
            </w:tcBorders>
            <w:noWrap w:val="0"/>
            <w:tcMar>
              <w:top w:w="0" w:type="dxa"/>
              <w:left w:w="105" w:type="dxa"/>
              <w:bottom w:w="0" w:type="dxa"/>
              <w:right w:w="105" w:type="dxa"/>
            </w:tcMar>
            <w:vAlign w:val="center"/>
          </w:tcPr>
          <w:p w14:paraId="7DEF7F78">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3.8%起</w:t>
            </w:r>
          </w:p>
        </w:tc>
        <w:tc>
          <w:tcPr>
            <w:tcW w:w="1429" w:type="dxa"/>
            <w:tcBorders>
              <w:tl2br w:val="nil"/>
              <w:tr2bl w:val="nil"/>
            </w:tcBorders>
            <w:noWrap w:val="0"/>
            <w:tcMar>
              <w:top w:w="0" w:type="dxa"/>
              <w:left w:w="105" w:type="dxa"/>
              <w:bottom w:w="0" w:type="dxa"/>
              <w:right w:w="105" w:type="dxa"/>
            </w:tcMar>
            <w:vAlign w:val="center"/>
          </w:tcPr>
          <w:p w14:paraId="5CE16255">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梅晶晶</w:t>
            </w:r>
          </w:p>
        </w:tc>
        <w:tc>
          <w:tcPr>
            <w:tcW w:w="3353" w:type="dxa"/>
            <w:tcBorders>
              <w:tl2br w:val="nil"/>
              <w:tr2bl w:val="nil"/>
            </w:tcBorders>
            <w:noWrap w:val="0"/>
            <w:tcMar>
              <w:top w:w="0" w:type="dxa"/>
              <w:left w:w="105" w:type="dxa"/>
              <w:bottom w:w="0" w:type="dxa"/>
              <w:right w:w="105" w:type="dxa"/>
            </w:tcMar>
            <w:vAlign w:val="center"/>
          </w:tcPr>
          <w:p w14:paraId="48B83884">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88525339、13736585303</w:t>
            </w:r>
          </w:p>
        </w:tc>
      </w:tr>
      <w:tr w14:paraId="447420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15" w:hRule="atLeast"/>
          <w:tblCellSpacing w:w="15" w:type="dxa"/>
          <w:jc w:val="center"/>
        </w:trPr>
        <w:tc>
          <w:tcPr>
            <w:tcW w:w="888" w:type="dxa"/>
            <w:tcBorders>
              <w:tl2br w:val="nil"/>
              <w:tr2bl w:val="nil"/>
            </w:tcBorders>
            <w:noWrap w:val="0"/>
            <w:tcMar>
              <w:top w:w="0" w:type="dxa"/>
              <w:left w:w="105" w:type="dxa"/>
              <w:bottom w:w="0" w:type="dxa"/>
              <w:right w:w="105" w:type="dxa"/>
            </w:tcMar>
            <w:vAlign w:val="center"/>
          </w:tcPr>
          <w:p w14:paraId="2EF10C49">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510" w:type="dxa"/>
            <w:tcBorders>
              <w:tl2br w:val="nil"/>
              <w:tr2bl w:val="nil"/>
            </w:tcBorders>
            <w:noWrap w:val="0"/>
            <w:tcMar>
              <w:top w:w="0" w:type="dxa"/>
              <w:left w:w="105" w:type="dxa"/>
              <w:bottom w:w="0" w:type="dxa"/>
              <w:right w:w="105" w:type="dxa"/>
            </w:tcMar>
            <w:vAlign w:val="center"/>
          </w:tcPr>
          <w:p w14:paraId="03A9BADF">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中国银行</w:t>
            </w:r>
          </w:p>
        </w:tc>
        <w:tc>
          <w:tcPr>
            <w:tcW w:w="1525" w:type="dxa"/>
            <w:tcBorders>
              <w:tl2br w:val="nil"/>
              <w:tr2bl w:val="nil"/>
            </w:tcBorders>
            <w:noWrap w:val="0"/>
            <w:tcMar>
              <w:top w:w="0" w:type="dxa"/>
              <w:left w:w="105" w:type="dxa"/>
              <w:bottom w:w="0" w:type="dxa"/>
              <w:right w:w="105" w:type="dxa"/>
            </w:tcMar>
            <w:vAlign w:val="center"/>
          </w:tcPr>
          <w:p w14:paraId="79049397">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3.75%起</w:t>
            </w:r>
          </w:p>
        </w:tc>
        <w:tc>
          <w:tcPr>
            <w:tcW w:w="1429" w:type="dxa"/>
            <w:tcBorders>
              <w:tl2br w:val="nil"/>
              <w:tr2bl w:val="nil"/>
            </w:tcBorders>
            <w:noWrap w:val="0"/>
            <w:tcMar>
              <w:top w:w="0" w:type="dxa"/>
              <w:left w:w="105" w:type="dxa"/>
              <w:bottom w:w="0" w:type="dxa"/>
              <w:right w:w="105" w:type="dxa"/>
            </w:tcMar>
            <w:vAlign w:val="center"/>
          </w:tcPr>
          <w:p w14:paraId="2DA5509F">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lang w:eastAsia="zh-CN"/>
              </w:rPr>
              <w:t>王海</w:t>
            </w:r>
          </w:p>
        </w:tc>
        <w:tc>
          <w:tcPr>
            <w:tcW w:w="3353" w:type="dxa"/>
            <w:tcBorders>
              <w:tl2br w:val="nil"/>
              <w:tr2bl w:val="nil"/>
            </w:tcBorders>
            <w:noWrap w:val="0"/>
            <w:tcMar>
              <w:top w:w="0" w:type="dxa"/>
              <w:left w:w="105" w:type="dxa"/>
              <w:bottom w:w="0" w:type="dxa"/>
              <w:right w:w="105" w:type="dxa"/>
            </w:tcMar>
            <w:vAlign w:val="center"/>
          </w:tcPr>
          <w:p w14:paraId="35B9AFE8">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lang w:eastAsia="zh-CN"/>
              </w:rPr>
              <w:t>13857677798</w:t>
            </w:r>
          </w:p>
        </w:tc>
      </w:tr>
      <w:tr w14:paraId="3B9BA2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15" w:hRule="atLeast"/>
          <w:tblCellSpacing w:w="15" w:type="dxa"/>
          <w:jc w:val="center"/>
        </w:trPr>
        <w:tc>
          <w:tcPr>
            <w:tcW w:w="888" w:type="dxa"/>
            <w:tcBorders>
              <w:tl2br w:val="nil"/>
              <w:tr2bl w:val="nil"/>
            </w:tcBorders>
            <w:noWrap w:val="0"/>
            <w:tcMar>
              <w:top w:w="0" w:type="dxa"/>
              <w:left w:w="105" w:type="dxa"/>
              <w:bottom w:w="0" w:type="dxa"/>
              <w:right w:w="105" w:type="dxa"/>
            </w:tcMar>
            <w:vAlign w:val="center"/>
          </w:tcPr>
          <w:p w14:paraId="1981F845">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510" w:type="dxa"/>
            <w:tcBorders>
              <w:tl2br w:val="nil"/>
              <w:tr2bl w:val="nil"/>
            </w:tcBorders>
            <w:noWrap w:val="0"/>
            <w:tcMar>
              <w:top w:w="0" w:type="dxa"/>
              <w:left w:w="105" w:type="dxa"/>
              <w:bottom w:w="0" w:type="dxa"/>
              <w:right w:w="105" w:type="dxa"/>
            </w:tcMar>
            <w:vAlign w:val="center"/>
          </w:tcPr>
          <w:p w14:paraId="3FCBBC51">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浦发银行台州分行</w:t>
            </w:r>
          </w:p>
        </w:tc>
        <w:tc>
          <w:tcPr>
            <w:tcW w:w="1525" w:type="dxa"/>
            <w:tcBorders>
              <w:tl2br w:val="nil"/>
              <w:tr2bl w:val="nil"/>
            </w:tcBorders>
            <w:noWrap w:val="0"/>
            <w:tcMar>
              <w:top w:w="0" w:type="dxa"/>
              <w:left w:w="105" w:type="dxa"/>
              <w:bottom w:w="0" w:type="dxa"/>
              <w:right w:w="105" w:type="dxa"/>
            </w:tcMar>
            <w:vAlign w:val="center"/>
          </w:tcPr>
          <w:p w14:paraId="1CCA1C65">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4.05%起</w:t>
            </w:r>
          </w:p>
        </w:tc>
        <w:tc>
          <w:tcPr>
            <w:tcW w:w="1429" w:type="dxa"/>
            <w:tcBorders>
              <w:tl2br w:val="nil"/>
              <w:tr2bl w:val="nil"/>
            </w:tcBorders>
            <w:noWrap w:val="0"/>
            <w:tcMar>
              <w:top w:w="0" w:type="dxa"/>
              <w:left w:w="105" w:type="dxa"/>
              <w:bottom w:w="0" w:type="dxa"/>
              <w:right w:w="105" w:type="dxa"/>
            </w:tcMar>
            <w:vAlign w:val="center"/>
          </w:tcPr>
          <w:p w14:paraId="2FD6C6F9">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王渊</w:t>
            </w:r>
          </w:p>
        </w:tc>
        <w:tc>
          <w:tcPr>
            <w:tcW w:w="3353" w:type="dxa"/>
            <w:tcBorders>
              <w:tl2br w:val="nil"/>
              <w:tr2bl w:val="nil"/>
            </w:tcBorders>
            <w:noWrap w:val="0"/>
            <w:tcMar>
              <w:top w:w="0" w:type="dxa"/>
              <w:left w:w="105" w:type="dxa"/>
              <w:bottom w:w="0" w:type="dxa"/>
              <w:right w:w="105" w:type="dxa"/>
            </w:tcMar>
            <w:vAlign w:val="center"/>
          </w:tcPr>
          <w:p w14:paraId="46CE77D6">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13616676319</w:t>
            </w:r>
          </w:p>
        </w:tc>
      </w:tr>
      <w:tr w14:paraId="5D0FC5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15" w:hRule="atLeast"/>
          <w:tblCellSpacing w:w="15" w:type="dxa"/>
          <w:jc w:val="center"/>
        </w:trPr>
        <w:tc>
          <w:tcPr>
            <w:tcW w:w="888" w:type="dxa"/>
            <w:tcBorders>
              <w:tl2br w:val="nil"/>
              <w:tr2bl w:val="nil"/>
            </w:tcBorders>
            <w:noWrap w:val="0"/>
            <w:tcMar>
              <w:top w:w="0" w:type="dxa"/>
              <w:left w:w="105" w:type="dxa"/>
              <w:bottom w:w="0" w:type="dxa"/>
              <w:right w:w="105" w:type="dxa"/>
            </w:tcMar>
            <w:vAlign w:val="center"/>
          </w:tcPr>
          <w:p w14:paraId="270FC80D">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510" w:type="dxa"/>
            <w:tcBorders>
              <w:tl2br w:val="nil"/>
              <w:tr2bl w:val="nil"/>
            </w:tcBorders>
            <w:noWrap w:val="0"/>
            <w:tcMar>
              <w:top w:w="0" w:type="dxa"/>
              <w:left w:w="105" w:type="dxa"/>
              <w:bottom w:w="0" w:type="dxa"/>
              <w:right w:w="105" w:type="dxa"/>
            </w:tcMar>
            <w:vAlign w:val="center"/>
          </w:tcPr>
          <w:p w14:paraId="79451640">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浦发银行椒江分行</w:t>
            </w:r>
          </w:p>
        </w:tc>
        <w:tc>
          <w:tcPr>
            <w:tcW w:w="1525" w:type="dxa"/>
            <w:tcBorders>
              <w:tl2br w:val="nil"/>
              <w:tr2bl w:val="nil"/>
            </w:tcBorders>
            <w:noWrap w:val="0"/>
            <w:tcMar>
              <w:top w:w="0" w:type="dxa"/>
              <w:left w:w="105" w:type="dxa"/>
              <w:bottom w:w="0" w:type="dxa"/>
              <w:right w:w="105" w:type="dxa"/>
            </w:tcMar>
            <w:vAlign w:val="center"/>
          </w:tcPr>
          <w:p w14:paraId="3A6141AC">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4.05%起</w:t>
            </w:r>
          </w:p>
        </w:tc>
        <w:tc>
          <w:tcPr>
            <w:tcW w:w="1429" w:type="dxa"/>
            <w:tcBorders>
              <w:tl2br w:val="nil"/>
              <w:tr2bl w:val="nil"/>
            </w:tcBorders>
            <w:noWrap w:val="0"/>
            <w:tcMar>
              <w:top w:w="0" w:type="dxa"/>
              <w:left w:w="105" w:type="dxa"/>
              <w:bottom w:w="0" w:type="dxa"/>
              <w:right w:w="105" w:type="dxa"/>
            </w:tcMar>
            <w:vAlign w:val="center"/>
          </w:tcPr>
          <w:p w14:paraId="71DA773A">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孙瑞华</w:t>
            </w:r>
          </w:p>
        </w:tc>
        <w:tc>
          <w:tcPr>
            <w:tcW w:w="3353" w:type="dxa"/>
            <w:tcBorders>
              <w:tl2br w:val="nil"/>
              <w:tr2bl w:val="nil"/>
            </w:tcBorders>
            <w:noWrap w:val="0"/>
            <w:tcMar>
              <w:top w:w="0" w:type="dxa"/>
              <w:left w:w="105" w:type="dxa"/>
              <w:bottom w:w="0" w:type="dxa"/>
              <w:right w:w="105" w:type="dxa"/>
            </w:tcMar>
            <w:vAlign w:val="center"/>
          </w:tcPr>
          <w:p w14:paraId="25DA5472">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13857688081</w:t>
            </w:r>
          </w:p>
        </w:tc>
      </w:tr>
      <w:tr w14:paraId="4608D3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15" w:hRule="atLeast"/>
          <w:tblCellSpacing w:w="15" w:type="dxa"/>
          <w:jc w:val="center"/>
        </w:trPr>
        <w:tc>
          <w:tcPr>
            <w:tcW w:w="888" w:type="dxa"/>
            <w:tcBorders>
              <w:tl2br w:val="nil"/>
              <w:tr2bl w:val="nil"/>
            </w:tcBorders>
            <w:noWrap w:val="0"/>
            <w:tcMar>
              <w:top w:w="0" w:type="dxa"/>
              <w:left w:w="105" w:type="dxa"/>
              <w:bottom w:w="0" w:type="dxa"/>
              <w:right w:w="105" w:type="dxa"/>
            </w:tcMar>
            <w:vAlign w:val="center"/>
          </w:tcPr>
          <w:p w14:paraId="6064BFFF">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510" w:type="dxa"/>
            <w:tcBorders>
              <w:tl2br w:val="nil"/>
              <w:tr2bl w:val="nil"/>
            </w:tcBorders>
            <w:noWrap w:val="0"/>
            <w:tcMar>
              <w:top w:w="0" w:type="dxa"/>
              <w:left w:w="105" w:type="dxa"/>
              <w:bottom w:w="0" w:type="dxa"/>
              <w:right w:w="105" w:type="dxa"/>
            </w:tcMar>
            <w:vAlign w:val="center"/>
          </w:tcPr>
          <w:p w14:paraId="72F68BC4">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交通银行台州分行</w:t>
            </w:r>
          </w:p>
        </w:tc>
        <w:tc>
          <w:tcPr>
            <w:tcW w:w="1525" w:type="dxa"/>
            <w:tcBorders>
              <w:tl2br w:val="nil"/>
              <w:tr2bl w:val="nil"/>
            </w:tcBorders>
            <w:noWrap w:val="0"/>
            <w:tcMar>
              <w:top w:w="0" w:type="dxa"/>
              <w:left w:w="105" w:type="dxa"/>
              <w:bottom w:w="0" w:type="dxa"/>
              <w:right w:w="105" w:type="dxa"/>
            </w:tcMar>
            <w:vAlign w:val="center"/>
          </w:tcPr>
          <w:p w14:paraId="5F0A8E93">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3.75%起</w:t>
            </w:r>
          </w:p>
        </w:tc>
        <w:tc>
          <w:tcPr>
            <w:tcW w:w="1429" w:type="dxa"/>
            <w:tcBorders>
              <w:tl2br w:val="nil"/>
              <w:tr2bl w:val="nil"/>
            </w:tcBorders>
            <w:noWrap w:val="0"/>
            <w:tcMar>
              <w:top w:w="0" w:type="dxa"/>
              <w:left w:w="105" w:type="dxa"/>
              <w:bottom w:w="0" w:type="dxa"/>
              <w:right w:w="105" w:type="dxa"/>
            </w:tcMar>
            <w:vAlign w:val="center"/>
          </w:tcPr>
          <w:p w14:paraId="43141C1C">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周翔宇</w:t>
            </w:r>
          </w:p>
        </w:tc>
        <w:tc>
          <w:tcPr>
            <w:tcW w:w="3353" w:type="dxa"/>
            <w:tcBorders>
              <w:tl2br w:val="nil"/>
              <w:tr2bl w:val="nil"/>
            </w:tcBorders>
            <w:noWrap w:val="0"/>
            <w:tcMar>
              <w:top w:w="0" w:type="dxa"/>
              <w:left w:w="105" w:type="dxa"/>
              <w:bottom w:w="0" w:type="dxa"/>
              <w:right w:w="105" w:type="dxa"/>
            </w:tcMar>
            <w:vAlign w:val="center"/>
          </w:tcPr>
          <w:p w14:paraId="28FBC203">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13867697018</w:t>
            </w:r>
          </w:p>
        </w:tc>
      </w:tr>
      <w:tr w14:paraId="68F715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15" w:hRule="atLeast"/>
          <w:tblCellSpacing w:w="15" w:type="dxa"/>
          <w:jc w:val="center"/>
        </w:trPr>
        <w:tc>
          <w:tcPr>
            <w:tcW w:w="888" w:type="dxa"/>
            <w:tcBorders>
              <w:tl2br w:val="nil"/>
              <w:tr2bl w:val="nil"/>
            </w:tcBorders>
            <w:noWrap w:val="0"/>
            <w:tcMar>
              <w:top w:w="0" w:type="dxa"/>
              <w:left w:w="105" w:type="dxa"/>
              <w:bottom w:w="0" w:type="dxa"/>
              <w:right w:w="105" w:type="dxa"/>
            </w:tcMar>
            <w:vAlign w:val="center"/>
          </w:tcPr>
          <w:p w14:paraId="0FB9296B">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510" w:type="dxa"/>
            <w:tcBorders>
              <w:tl2br w:val="nil"/>
              <w:tr2bl w:val="nil"/>
            </w:tcBorders>
            <w:noWrap w:val="0"/>
            <w:tcMar>
              <w:top w:w="0" w:type="dxa"/>
              <w:left w:w="105" w:type="dxa"/>
              <w:bottom w:w="0" w:type="dxa"/>
              <w:right w:w="105" w:type="dxa"/>
            </w:tcMar>
            <w:vAlign w:val="center"/>
          </w:tcPr>
          <w:p w14:paraId="5094B547">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招商银行台州分行</w:t>
            </w:r>
          </w:p>
        </w:tc>
        <w:tc>
          <w:tcPr>
            <w:tcW w:w="1525" w:type="dxa"/>
            <w:tcBorders>
              <w:tl2br w:val="nil"/>
              <w:tr2bl w:val="nil"/>
            </w:tcBorders>
            <w:noWrap w:val="0"/>
            <w:tcMar>
              <w:top w:w="0" w:type="dxa"/>
              <w:left w:w="105" w:type="dxa"/>
              <w:bottom w:w="0" w:type="dxa"/>
              <w:right w:w="105" w:type="dxa"/>
            </w:tcMar>
            <w:vAlign w:val="center"/>
          </w:tcPr>
          <w:p w14:paraId="3A8DBC11">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4.32%起</w:t>
            </w:r>
          </w:p>
        </w:tc>
        <w:tc>
          <w:tcPr>
            <w:tcW w:w="1429" w:type="dxa"/>
            <w:tcBorders>
              <w:tl2br w:val="nil"/>
              <w:tr2bl w:val="nil"/>
            </w:tcBorders>
            <w:noWrap w:val="0"/>
            <w:tcMar>
              <w:top w:w="0" w:type="dxa"/>
              <w:left w:w="105" w:type="dxa"/>
              <w:bottom w:w="0" w:type="dxa"/>
              <w:right w:w="105" w:type="dxa"/>
            </w:tcMar>
            <w:vAlign w:val="center"/>
          </w:tcPr>
          <w:p w14:paraId="16437AE8">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王海玲</w:t>
            </w:r>
          </w:p>
        </w:tc>
        <w:tc>
          <w:tcPr>
            <w:tcW w:w="3353" w:type="dxa"/>
            <w:tcBorders>
              <w:tl2br w:val="nil"/>
              <w:tr2bl w:val="nil"/>
            </w:tcBorders>
            <w:noWrap w:val="0"/>
            <w:tcMar>
              <w:top w:w="0" w:type="dxa"/>
              <w:left w:w="105" w:type="dxa"/>
              <w:bottom w:w="0" w:type="dxa"/>
              <w:right w:w="105" w:type="dxa"/>
            </w:tcMar>
            <w:vAlign w:val="center"/>
          </w:tcPr>
          <w:p w14:paraId="5C42D145">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13566413827</w:t>
            </w:r>
          </w:p>
        </w:tc>
      </w:tr>
      <w:tr w14:paraId="327AEE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15" w:hRule="atLeast"/>
          <w:tblCellSpacing w:w="15" w:type="dxa"/>
          <w:jc w:val="center"/>
        </w:trPr>
        <w:tc>
          <w:tcPr>
            <w:tcW w:w="888" w:type="dxa"/>
            <w:tcBorders>
              <w:tl2br w:val="nil"/>
              <w:tr2bl w:val="nil"/>
            </w:tcBorders>
            <w:noWrap w:val="0"/>
            <w:tcMar>
              <w:top w:w="0" w:type="dxa"/>
              <w:left w:w="105" w:type="dxa"/>
              <w:bottom w:w="0" w:type="dxa"/>
              <w:right w:w="105" w:type="dxa"/>
            </w:tcMar>
            <w:vAlign w:val="center"/>
          </w:tcPr>
          <w:p w14:paraId="2D4FCF86">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510" w:type="dxa"/>
            <w:tcBorders>
              <w:tl2br w:val="nil"/>
              <w:tr2bl w:val="nil"/>
            </w:tcBorders>
            <w:noWrap w:val="0"/>
            <w:tcMar>
              <w:top w:w="0" w:type="dxa"/>
              <w:left w:w="105" w:type="dxa"/>
              <w:bottom w:w="0" w:type="dxa"/>
              <w:right w:w="105" w:type="dxa"/>
            </w:tcMar>
            <w:vAlign w:val="center"/>
          </w:tcPr>
          <w:p w14:paraId="441FC2DF">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浙商银行台州分行</w:t>
            </w:r>
          </w:p>
        </w:tc>
        <w:tc>
          <w:tcPr>
            <w:tcW w:w="1525" w:type="dxa"/>
            <w:tcBorders>
              <w:tl2br w:val="nil"/>
              <w:tr2bl w:val="nil"/>
            </w:tcBorders>
            <w:noWrap w:val="0"/>
            <w:tcMar>
              <w:top w:w="0" w:type="dxa"/>
              <w:left w:w="105" w:type="dxa"/>
              <w:bottom w:w="0" w:type="dxa"/>
              <w:right w:w="105" w:type="dxa"/>
            </w:tcMar>
            <w:vAlign w:val="center"/>
          </w:tcPr>
          <w:p w14:paraId="3DB80A02">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5.01%起</w:t>
            </w:r>
          </w:p>
        </w:tc>
        <w:tc>
          <w:tcPr>
            <w:tcW w:w="1429" w:type="dxa"/>
            <w:tcBorders>
              <w:tl2br w:val="nil"/>
              <w:tr2bl w:val="nil"/>
            </w:tcBorders>
            <w:noWrap w:val="0"/>
            <w:tcMar>
              <w:top w:w="0" w:type="dxa"/>
              <w:left w:w="105" w:type="dxa"/>
              <w:bottom w:w="0" w:type="dxa"/>
              <w:right w:w="105" w:type="dxa"/>
            </w:tcMar>
            <w:vAlign w:val="center"/>
          </w:tcPr>
          <w:p w14:paraId="097B18CB">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章涉漪</w:t>
            </w:r>
          </w:p>
        </w:tc>
        <w:tc>
          <w:tcPr>
            <w:tcW w:w="3353" w:type="dxa"/>
            <w:tcBorders>
              <w:tl2br w:val="nil"/>
              <w:tr2bl w:val="nil"/>
            </w:tcBorders>
            <w:noWrap w:val="0"/>
            <w:tcMar>
              <w:top w:w="0" w:type="dxa"/>
              <w:left w:w="105" w:type="dxa"/>
              <w:bottom w:w="0" w:type="dxa"/>
              <w:right w:w="105" w:type="dxa"/>
            </w:tcMar>
            <w:vAlign w:val="center"/>
          </w:tcPr>
          <w:p w14:paraId="039ED3FE">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81880185、13606681262</w:t>
            </w:r>
          </w:p>
        </w:tc>
      </w:tr>
      <w:tr w14:paraId="2964F6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15" w:hRule="atLeast"/>
          <w:tblCellSpacing w:w="15" w:type="dxa"/>
          <w:jc w:val="center"/>
        </w:trPr>
        <w:tc>
          <w:tcPr>
            <w:tcW w:w="888" w:type="dxa"/>
            <w:tcBorders>
              <w:tl2br w:val="nil"/>
              <w:tr2bl w:val="nil"/>
            </w:tcBorders>
            <w:noWrap w:val="0"/>
            <w:tcMar>
              <w:top w:w="0" w:type="dxa"/>
              <w:left w:w="105" w:type="dxa"/>
              <w:bottom w:w="0" w:type="dxa"/>
              <w:right w:w="105" w:type="dxa"/>
            </w:tcMar>
            <w:vAlign w:val="center"/>
          </w:tcPr>
          <w:p w14:paraId="2410BC4B">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510" w:type="dxa"/>
            <w:tcBorders>
              <w:tl2br w:val="nil"/>
              <w:tr2bl w:val="nil"/>
            </w:tcBorders>
            <w:noWrap w:val="0"/>
            <w:tcMar>
              <w:top w:w="0" w:type="dxa"/>
              <w:left w:w="105" w:type="dxa"/>
              <w:bottom w:w="0" w:type="dxa"/>
              <w:right w:w="105" w:type="dxa"/>
            </w:tcMar>
            <w:vAlign w:val="center"/>
          </w:tcPr>
          <w:p w14:paraId="3B9AE31F">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中信银行台州分行</w:t>
            </w:r>
          </w:p>
        </w:tc>
        <w:tc>
          <w:tcPr>
            <w:tcW w:w="1525" w:type="dxa"/>
            <w:tcBorders>
              <w:tl2br w:val="nil"/>
              <w:tr2bl w:val="nil"/>
            </w:tcBorders>
            <w:noWrap w:val="0"/>
            <w:tcMar>
              <w:top w:w="0" w:type="dxa"/>
              <w:left w:w="105" w:type="dxa"/>
              <w:bottom w:w="0" w:type="dxa"/>
              <w:right w:w="105" w:type="dxa"/>
            </w:tcMar>
            <w:vAlign w:val="center"/>
          </w:tcPr>
          <w:p w14:paraId="0767AE92">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4.15%起</w:t>
            </w:r>
          </w:p>
        </w:tc>
        <w:tc>
          <w:tcPr>
            <w:tcW w:w="1429" w:type="dxa"/>
            <w:tcBorders>
              <w:tl2br w:val="nil"/>
              <w:tr2bl w:val="nil"/>
            </w:tcBorders>
            <w:noWrap w:val="0"/>
            <w:tcMar>
              <w:top w:w="0" w:type="dxa"/>
              <w:left w:w="105" w:type="dxa"/>
              <w:bottom w:w="0" w:type="dxa"/>
              <w:right w:w="105" w:type="dxa"/>
            </w:tcMar>
            <w:vAlign w:val="center"/>
          </w:tcPr>
          <w:p w14:paraId="25191012">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陈金园</w:t>
            </w:r>
          </w:p>
        </w:tc>
        <w:tc>
          <w:tcPr>
            <w:tcW w:w="3353" w:type="dxa"/>
            <w:tcBorders>
              <w:tl2br w:val="nil"/>
              <w:tr2bl w:val="nil"/>
            </w:tcBorders>
            <w:noWrap w:val="0"/>
            <w:tcMar>
              <w:top w:w="0" w:type="dxa"/>
              <w:left w:w="105" w:type="dxa"/>
              <w:bottom w:w="0" w:type="dxa"/>
              <w:right w:w="105" w:type="dxa"/>
            </w:tcMar>
            <w:vAlign w:val="center"/>
          </w:tcPr>
          <w:p w14:paraId="063F315C">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13586052161</w:t>
            </w:r>
          </w:p>
        </w:tc>
      </w:tr>
      <w:tr w14:paraId="12BCCD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15" w:hRule="atLeast"/>
          <w:tblCellSpacing w:w="15" w:type="dxa"/>
          <w:jc w:val="center"/>
        </w:trPr>
        <w:tc>
          <w:tcPr>
            <w:tcW w:w="888" w:type="dxa"/>
            <w:tcBorders>
              <w:tl2br w:val="nil"/>
              <w:tr2bl w:val="nil"/>
            </w:tcBorders>
            <w:noWrap w:val="0"/>
            <w:tcMar>
              <w:top w:w="0" w:type="dxa"/>
              <w:left w:w="105" w:type="dxa"/>
              <w:bottom w:w="0" w:type="dxa"/>
              <w:right w:w="105" w:type="dxa"/>
            </w:tcMar>
            <w:vAlign w:val="center"/>
          </w:tcPr>
          <w:p w14:paraId="08696BC9">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510" w:type="dxa"/>
            <w:tcBorders>
              <w:tl2br w:val="nil"/>
              <w:tr2bl w:val="nil"/>
            </w:tcBorders>
            <w:noWrap w:val="0"/>
            <w:tcMar>
              <w:top w:w="0" w:type="dxa"/>
              <w:left w:w="105" w:type="dxa"/>
              <w:bottom w:w="0" w:type="dxa"/>
              <w:right w:w="105" w:type="dxa"/>
            </w:tcMar>
            <w:vAlign w:val="center"/>
          </w:tcPr>
          <w:p w14:paraId="0AF1CB21">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华夏银行台州分行</w:t>
            </w:r>
          </w:p>
        </w:tc>
        <w:tc>
          <w:tcPr>
            <w:tcW w:w="1525" w:type="dxa"/>
            <w:tcBorders>
              <w:tl2br w:val="nil"/>
              <w:tr2bl w:val="nil"/>
            </w:tcBorders>
            <w:noWrap w:val="0"/>
            <w:tcMar>
              <w:top w:w="0" w:type="dxa"/>
              <w:left w:w="105" w:type="dxa"/>
              <w:bottom w:w="0" w:type="dxa"/>
              <w:right w:w="105" w:type="dxa"/>
            </w:tcMar>
            <w:vAlign w:val="center"/>
          </w:tcPr>
          <w:p w14:paraId="21255E19">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4.5%起</w:t>
            </w:r>
          </w:p>
        </w:tc>
        <w:tc>
          <w:tcPr>
            <w:tcW w:w="1429" w:type="dxa"/>
            <w:tcBorders>
              <w:tl2br w:val="nil"/>
              <w:tr2bl w:val="nil"/>
            </w:tcBorders>
            <w:noWrap w:val="0"/>
            <w:tcMar>
              <w:top w:w="0" w:type="dxa"/>
              <w:left w:w="105" w:type="dxa"/>
              <w:bottom w:w="0" w:type="dxa"/>
              <w:right w:w="105" w:type="dxa"/>
            </w:tcMar>
            <w:vAlign w:val="center"/>
          </w:tcPr>
          <w:p w14:paraId="792C97DF">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邱明达</w:t>
            </w:r>
          </w:p>
        </w:tc>
        <w:tc>
          <w:tcPr>
            <w:tcW w:w="3353" w:type="dxa"/>
            <w:tcBorders>
              <w:tl2br w:val="nil"/>
              <w:tr2bl w:val="nil"/>
            </w:tcBorders>
            <w:noWrap w:val="0"/>
            <w:tcMar>
              <w:top w:w="0" w:type="dxa"/>
              <w:left w:w="105" w:type="dxa"/>
              <w:bottom w:w="0" w:type="dxa"/>
              <w:right w:w="105" w:type="dxa"/>
            </w:tcMar>
            <w:vAlign w:val="center"/>
          </w:tcPr>
          <w:p w14:paraId="7CED93D9">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81871518、13736252233</w:t>
            </w:r>
          </w:p>
        </w:tc>
      </w:tr>
      <w:tr w14:paraId="1E0421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15" w:hRule="atLeast"/>
          <w:tblCellSpacing w:w="15" w:type="dxa"/>
          <w:jc w:val="center"/>
        </w:trPr>
        <w:tc>
          <w:tcPr>
            <w:tcW w:w="888" w:type="dxa"/>
            <w:tcBorders>
              <w:tl2br w:val="nil"/>
              <w:tr2bl w:val="nil"/>
            </w:tcBorders>
            <w:noWrap w:val="0"/>
            <w:tcMar>
              <w:top w:w="0" w:type="dxa"/>
              <w:left w:w="105" w:type="dxa"/>
              <w:bottom w:w="0" w:type="dxa"/>
              <w:right w:w="105" w:type="dxa"/>
            </w:tcMar>
            <w:vAlign w:val="center"/>
          </w:tcPr>
          <w:p w14:paraId="596E2174">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510" w:type="dxa"/>
            <w:tcBorders>
              <w:tl2br w:val="nil"/>
              <w:tr2bl w:val="nil"/>
            </w:tcBorders>
            <w:noWrap w:val="0"/>
            <w:tcMar>
              <w:top w:w="0" w:type="dxa"/>
              <w:left w:w="105" w:type="dxa"/>
              <w:bottom w:w="0" w:type="dxa"/>
              <w:right w:w="105" w:type="dxa"/>
            </w:tcMar>
            <w:vAlign w:val="center"/>
          </w:tcPr>
          <w:p w14:paraId="25476D0B">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泰隆银行开发区支行</w:t>
            </w:r>
          </w:p>
        </w:tc>
        <w:tc>
          <w:tcPr>
            <w:tcW w:w="1525" w:type="dxa"/>
            <w:tcBorders>
              <w:tl2br w:val="nil"/>
              <w:tr2bl w:val="nil"/>
            </w:tcBorders>
            <w:noWrap w:val="0"/>
            <w:tcMar>
              <w:top w:w="0" w:type="dxa"/>
              <w:left w:w="105" w:type="dxa"/>
              <w:bottom w:w="0" w:type="dxa"/>
              <w:right w:w="105" w:type="dxa"/>
            </w:tcMar>
            <w:vAlign w:val="center"/>
          </w:tcPr>
          <w:p w14:paraId="28822526">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5.6%起</w:t>
            </w:r>
          </w:p>
        </w:tc>
        <w:tc>
          <w:tcPr>
            <w:tcW w:w="1429" w:type="dxa"/>
            <w:tcBorders>
              <w:tl2br w:val="nil"/>
              <w:tr2bl w:val="nil"/>
            </w:tcBorders>
            <w:noWrap w:val="0"/>
            <w:tcMar>
              <w:top w:w="0" w:type="dxa"/>
              <w:left w:w="105" w:type="dxa"/>
              <w:bottom w:w="0" w:type="dxa"/>
              <w:right w:w="105" w:type="dxa"/>
            </w:tcMar>
            <w:vAlign w:val="center"/>
          </w:tcPr>
          <w:p w14:paraId="0FC3BCC6">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梁宛莉</w:t>
            </w:r>
          </w:p>
        </w:tc>
        <w:tc>
          <w:tcPr>
            <w:tcW w:w="3353" w:type="dxa"/>
            <w:tcBorders>
              <w:tl2br w:val="nil"/>
              <w:tr2bl w:val="nil"/>
            </w:tcBorders>
            <w:noWrap w:val="0"/>
            <w:tcMar>
              <w:top w:w="0" w:type="dxa"/>
              <w:left w:w="105" w:type="dxa"/>
              <w:bottom w:w="0" w:type="dxa"/>
              <w:right w:w="105" w:type="dxa"/>
            </w:tcMar>
            <w:vAlign w:val="center"/>
          </w:tcPr>
          <w:p w14:paraId="0F30E54B">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13306869100</w:t>
            </w:r>
          </w:p>
        </w:tc>
      </w:tr>
      <w:tr w14:paraId="28BC96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15" w:hRule="atLeast"/>
          <w:tblCellSpacing w:w="15" w:type="dxa"/>
          <w:jc w:val="center"/>
        </w:trPr>
        <w:tc>
          <w:tcPr>
            <w:tcW w:w="888" w:type="dxa"/>
            <w:tcBorders>
              <w:tl2br w:val="nil"/>
              <w:tr2bl w:val="nil"/>
            </w:tcBorders>
            <w:noWrap w:val="0"/>
            <w:tcMar>
              <w:top w:w="0" w:type="dxa"/>
              <w:left w:w="105" w:type="dxa"/>
              <w:bottom w:w="0" w:type="dxa"/>
              <w:right w:w="105" w:type="dxa"/>
            </w:tcMar>
            <w:vAlign w:val="center"/>
          </w:tcPr>
          <w:p w14:paraId="75C5A707">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2510" w:type="dxa"/>
            <w:tcBorders>
              <w:tl2br w:val="nil"/>
              <w:tr2bl w:val="nil"/>
            </w:tcBorders>
            <w:noWrap w:val="0"/>
            <w:tcMar>
              <w:top w:w="0" w:type="dxa"/>
              <w:left w:w="105" w:type="dxa"/>
              <w:bottom w:w="0" w:type="dxa"/>
              <w:right w:w="105" w:type="dxa"/>
            </w:tcMar>
            <w:vAlign w:val="center"/>
          </w:tcPr>
          <w:p w14:paraId="2F4B79CB">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民泰银行椒江支行</w:t>
            </w:r>
          </w:p>
        </w:tc>
        <w:tc>
          <w:tcPr>
            <w:tcW w:w="1525" w:type="dxa"/>
            <w:tcBorders>
              <w:tl2br w:val="nil"/>
              <w:tr2bl w:val="nil"/>
            </w:tcBorders>
            <w:noWrap w:val="0"/>
            <w:tcMar>
              <w:top w:w="0" w:type="dxa"/>
              <w:left w:w="105" w:type="dxa"/>
              <w:bottom w:w="0" w:type="dxa"/>
              <w:right w:w="105" w:type="dxa"/>
            </w:tcMar>
            <w:vAlign w:val="center"/>
          </w:tcPr>
          <w:p w14:paraId="004B9B2A">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5.8%起</w:t>
            </w:r>
          </w:p>
        </w:tc>
        <w:tc>
          <w:tcPr>
            <w:tcW w:w="1429" w:type="dxa"/>
            <w:tcBorders>
              <w:tl2br w:val="nil"/>
              <w:tr2bl w:val="nil"/>
            </w:tcBorders>
            <w:noWrap w:val="0"/>
            <w:tcMar>
              <w:top w:w="0" w:type="dxa"/>
              <w:left w:w="105" w:type="dxa"/>
              <w:bottom w:w="0" w:type="dxa"/>
              <w:right w:w="105" w:type="dxa"/>
            </w:tcMar>
            <w:vAlign w:val="center"/>
          </w:tcPr>
          <w:p w14:paraId="2A8676CB">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陈慧珠</w:t>
            </w:r>
          </w:p>
        </w:tc>
        <w:tc>
          <w:tcPr>
            <w:tcW w:w="3353" w:type="dxa"/>
            <w:tcBorders>
              <w:tl2br w:val="nil"/>
              <w:tr2bl w:val="nil"/>
            </w:tcBorders>
            <w:noWrap w:val="0"/>
            <w:tcMar>
              <w:top w:w="0" w:type="dxa"/>
              <w:left w:w="105" w:type="dxa"/>
              <w:bottom w:w="0" w:type="dxa"/>
              <w:right w:w="105" w:type="dxa"/>
            </w:tcMar>
            <w:vAlign w:val="center"/>
          </w:tcPr>
          <w:p w14:paraId="1A0794A5">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13857699669</w:t>
            </w:r>
          </w:p>
        </w:tc>
      </w:tr>
      <w:tr w14:paraId="70099A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15" w:hRule="atLeast"/>
          <w:tblCellSpacing w:w="15" w:type="dxa"/>
          <w:jc w:val="center"/>
        </w:trPr>
        <w:tc>
          <w:tcPr>
            <w:tcW w:w="888" w:type="dxa"/>
            <w:tcBorders>
              <w:tl2br w:val="nil"/>
              <w:tr2bl w:val="nil"/>
            </w:tcBorders>
            <w:noWrap w:val="0"/>
            <w:tcMar>
              <w:top w:w="0" w:type="dxa"/>
              <w:left w:w="105" w:type="dxa"/>
              <w:bottom w:w="0" w:type="dxa"/>
              <w:right w:w="105" w:type="dxa"/>
            </w:tcMar>
            <w:vAlign w:val="center"/>
          </w:tcPr>
          <w:p w14:paraId="4B59D73F">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2510" w:type="dxa"/>
            <w:tcBorders>
              <w:tl2br w:val="nil"/>
              <w:tr2bl w:val="nil"/>
            </w:tcBorders>
            <w:noWrap w:val="0"/>
            <w:tcMar>
              <w:top w:w="0" w:type="dxa"/>
              <w:left w:w="105" w:type="dxa"/>
              <w:bottom w:w="0" w:type="dxa"/>
              <w:right w:w="105" w:type="dxa"/>
            </w:tcMar>
            <w:vAlign w:val="center"/>
          </w:tcPr>
          <w:p w14:paraId="068BFB23">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绍兴银行台州分行</w:t>
            </w:r>
          </w:p>
        </w:tc>
        <w:tc>
          <w:tcPr>
            <w:tcW w:w="1525" w:type="dxa"/>
            <w:tcBorders>
              <w:tl2br w:val="nil"/>
              <w:tr2bl w:val="nil"/>
            </w:tcBorders>
            <w:noWrap w:val="0"/>
            <w:tcMar>
              <w:top w:w="0" w:type="dxa"/>
              <w:left w:w="105" w:type="dxa"/>
              <w:bottom w:w="0" w:type="dxa"/>
              <w:right w:w="105" w:type="dxa"/>
            </w:tcMar>
            <w:vAlign w:val="center"/>
          </w:tcPr>
          <w:p w14:paraId="13FBBB16">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5.1%起</w:t>
            </w:r>
          </w:p>
        </w:tc>
        <w:tc>
          <w:tcPr>
            <w:tcW w:w="1429" w:type="dxa"/>
            <w:tcBorders>
              <w:tl2br w:val="nil"/>
              <w:tr2bl w:val="nil"/>
            </w:tcBorders>
            <w:noWrap w:val="0"/>
            <w:tcMar>
              <w:top w:w="0" w:type="dxa"/>
              <w:left w:w="105" w:type="dxa"/>
              <w:bottom w:w="0" w:type="dxa"/>
              <w:right w:w="105" w:type="dxa"/>
            </w:tcMar>
            <w:vAlign w:val="center"/>
          </w:tcPr>
          <w:p w14:paraId="2D3E3CB7">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郭庭斌</w:t>
            </w:r>
          </w:p>
        </w:tc>
        <w:tc>
          <w:tcPr>
            <w:tcW w:w="3353" w:type="dxa"/>
            <w:tcBorders>
              <w:tl2br w:val="nil"/>
              <w:tr2bl w:val="nil"/>
            </w:tcBorders>
            <w:noWrap w:val="0"/>
            <w:tcMar>
              <w:top w:w="0" w:type="dxa"/>
              <w:left w:w="105" w:type="dxa"/>
              <w:bottom w:w="0" w:type="dxa"/>
              <w:right w:w="105" w:type="dxa"/>
            </w:tcMar>
            <w:vAlign w:val="center"/>
          </w:tcPr>
          <w:p w14:paraId="4BD77F79">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15958633119</w:t>
            </w:r>
          </w:p>
        </w:tc>
      </w:tr>
      <w:tr w14:paraId="53517F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15" w:hRule="atLeast"/>
          <w:tblCellSpacing w:w="15" w:type="dxa"/>
          <w:jc w:val="center"/>
        </w:trPr>
        <w:tc>
          <w:tcPr>
            <w:tcW w:w="888" w:type="dxa"/>
            <w:tcBorders>
              <w:tl2br w:val="nil"/>
              <w:tr2bl w:val="nil"/>
            </w:tcBorders>
            <w:noWrap w:val="0"/>
            <w:tcMar>
              <w:top w:w="0" w:type="dxa"/>
              <w:left w:w="105" w:type="dxa"/>
              <w:bottom w:w="0" w:type="dxa"/>
              <w:right w:w="105" w:type="dxa"/>
            </w:tcMar>
            <w:vAlign w:val="center"/>
          </w:tcPr>
          <w:p w14:paraId="32276D9C">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2510" w:type="dxa"/>
            <w:tcBorders>
              <w:tl2br w:val="nil"/>
              <w:tr2bl w:val="nil"/>
            </w:tcBorders>
            <w:noWrap w:val="0"/>
            <w:tcMar>
              <w:top w:w="0" w:type="dxa"/>
              <w:left w:w="105" w:type="dxa"/>
              <w:bottom w:w="0" w:type="dxa"/>
              <w:right w:w="105" w:type="dxa"/>
            </w:tcMar>
            <w:vAlign w:val="center"/>
          </w:tcPr>
          <w:p w14:paraId="24CE1A6D">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温州银行台州分行</w:t>
            </w:r>
          </w:p>
        </w:tc>
        <w:tc>
          <w:tcPr>
            <w:tcW w:w="1525" w:type="dxa"/>
            <w:tcBorders>
              <w:tl2br w:val="nil"/>
              <w:tr2bl w:val="nil"/>
            </w:tcBorders>
            <w:noWrap w:val="0"/>
            <w:tcMar>
              <w:top w:w="0" w:type="dxa"/>
              <w:left w:w="105" w:type="dxa"/>
              <w:bottom w:w="0" w:type="dxa"/>
              <w:right w:w="105" w:type="dxa"/>
            </w:tcMar>
            <w:vAlign w:val="center"/>
          </w:tcPr>
          <w:p w14:paraId="3DB07362">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4.55%起</w:t>
            </w:r>
          </w:p>
        </w:tc>
        <w:tc>
          <w:tcPr>
            <w:tcW w:w="1429" w:type="dxa"/>
            <w:tcBorders>
              <w:tl2br w:val="nil"/>
              <w:tr2bl w:val="nil"/>
            </w:tcBorders>
            <w:noWrap w:val="0"/>
            <w:tcMar>
              <w:top w:w="0" w:type="dxa"/>
              <w:left w:w="105" w:type="dxa"/>
              <w:bottom w:w="0" w:type="dxa"/>
              <w:right w:w="105" w:type="dxa"/>
            </w:tcMar>
            <w:vAlign w:val="center"/>
          </w:tcPr>
          <w:p w14:paraId="19B691DA">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王晓波</w:t>
            </w:r>
          </w:p>
        </w:tc>
        <w:tc>
          <w:tcPr>
            <w:tcW w:w="3353" w:type="dxa"/>
            <w:tcBorders>
              <w:tl2br w:val="nil"/>
              <w:tr2bl w:val="nil"/>
            </w:tcBorders>
            <w:noWrap w:val="0"/>
            <w:tcMar>
              <w:top w:w="0" w:type="dxa"/>
              <w:left w:w="105" w:type="dxa"/>
              <w:bottom w:w="0" w:type="dxa"/>
              <w:right w:w="105" w:type="dxa"/>
            </w:tcMar>
            <w:vAlign w:val="center"/>
          </w:tcPr>
          <w:p w14:paraId="413E673C">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15824005475</w:t>
            </w:r>
          </w:p>
        </w:tc>
      </w:tr>
      <w:tr w14:paraId="1F0938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15" w:hRule="atLeast"/>
          <w:tblCellSpacing w:w="15" w:type="dxa"/>
          <w:jc w:val="center"/>
        </w:trPr>
        <w:tc>
          <w:tcPr>
            <w:tcW w:w="888" w:type="dxa"/>
            <w:tcBorders>
              <w:tl2br w:val="nil"/>
              <w:tr2bl w:val="nil"/>
            </w:tcBorders>
            <w:noWrap w:val="0"/>
            <w:tcMar>
              <w:top w:w="0" w:type="dxa"/>
              <w:left w:w="105" w:type="dxa"/>
              <w:bottom w:w="0" w:type="dxa"/>
              <w:right w:w="105" w:type="dxa"/>
            </w:tcMar>
            <w:vAlign w:val="center"/>
          </w:tcPr>
          <w:p w14:paraId="4EE35F37">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2510" w:type="dxa"/>
            <w:tcBorders>
              <w:tl2br w:val="nil"/>
              <w:tr2bl w:val="nil"/>
            </w:tcBorders>
            <w:noWrap w:val="0"/>
            <w:tcMar>
              <w:top w:w="0" w:type="dxa"/>
              <w:left w:w="105" w:type="dxa"/>
              <w:bottom w:w="0" w:type="dxa"/>
              <w:right w:w="105" w:type="dxa"/>
            </w:tcMar>
            <w:vAlign w:val="center"/>
          </w:tcPr>
          <w:p w14:paraId="46F275F5">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平安银行台州分行</w:t>
            </w:r>
          </w:p>
        </w:tc>
        <w:tc>
          <w:tcPr>
            <w:tcW w:w="1525" w:type="dxa"/>
            <w:tcBorders>
              <w:tl2br w:val="nil"/>
              <w:tr2bl w:val="nil"/>
            </w:tcBorders>
            <w:noWrap w:val="0"/>
            <w:tcMar>
              <w:top w:w="0" w:type="dxa"/>
              <w:left w:w="105" w:type="dxa"/>
              <w:bottom w:w="0" w:type="dxa"/>
              <w:right w:w="105" w:type="dxa"/>
            </w:tcMar>
            <w:vAlign w:val="center"/>
          </w:tcPr>
          <w:p w14:paraId="614989CF">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6.53%起</w:t>
            </w:r>
          </w:p>
        </w:tc>
        <w:tc>
          <w:tcPr>
            <w:tcW w:w="1429" w:type="dxa"/>
            <w:tcBorders>
              <w:tl2br w:val="nil"/>
              <w:tr2bl w:val="nil"/>
            </w:tcBorders>
            <w:noWrap w:val="0"/>
            <w:tcMar>
              <w:top w:w="0" w:type="dxa"/>
              <w:left w:w="105" w:type="dxa"/>
              <w:bottom w:w="0" w:type="dxa"/>
              <w:right w:w="105" w:type="dxa"/>
            </w:tcMar>
            <w:vAlign w:val="center"/>
          </w:tcPr>
          <w:p w14:paraId="0C649805">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李俊丽</w:t>
            </w:r>
          </w:p>
        </w:tc>
        <w:tc>
          <w:tcPr>
            <w:tcW w:w="3353" w:type="dxa"/>
            <w:tcBorders>
              <w:tl2br w:val="nil"/>
              <w:tr2bl w:val="nil"/>
            </w:tcBorders>
            <w:noWrap w:val="0"/>
            <w:tcMar>
              <w:top w:w="0" w:type="dxa"/>
              <w:left w:w="105" w:type="dxa"/>
              <w:bottom w:w="0" w:type="dxa"/>
              <w:right w:w="105" w:type="dxa"/>
            </w:tcMar>
            <w:vAlign w:val="center"/>
          </w:tcPr>
          <w:p w14:paraId="6C195CB0">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15906861025</w:t>
            </w:r>
          </w:p>
        </w:tc>
      </w:tr>
      <w:tr w14:paraId="65B5C1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15" w:hRule="atLeast"/>
          <w:tblCellSpacing w:w="15" w:type="dxa"/>
          <w:jc w:val="center"/>
        </w:trPr>
        <w:tc>
          <w:tcPr>
            <w:tcW w:w="888" w:type="dxa"/>
            <w:tcBorders>
              <w:tl2br w:val="nil"/>
              <w:tr2bl w:val="nil"/>
            </w:tcBorders>
            <w:noWrap w:val="0"/>
            <w:tcMar>
              <w:top w:w="0" w:type="dxa"/>
              <w:left w:w="105" w:type="dxa"/>
              <w:bottom w:w="0" w:type="dxa"/>
              <w:right w:w="105" w:type="dxa"/>
            </w:tcMar>
            <w:vAlign w:val="center"/>
          </w:tcPr>
          <w:p w14:paraId="7F1B3436">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2510" w:type="dxa"/>
            <w:tcBorders>
              <w:tl2br w:val="nil"/>
              <w:tr2bl w:val="nil"/>
            </w:tcBorders>
            <w:noWrap w:val="0"/>
            <w:tcMar>
              <w:top w:w="0" w:type="dxa"/>
              <w:left w:w="105" w:type="dxa"/>
              <w:bottom w:w="0" w:type="dxa"/>
              <w:right w:w="105" w:type="dxa"/>
            </w:tcMar>
            <w:vAlign w:val="center"/>
          </w:tcPr>
          <w:p w14:paraId="6AAE0378">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宁波银行台州分行</w:t>
            </w:r>
          </w:p>
        </w:tc>
        <w:tc>
          <w:tcPr>
            <w:tcW w:w="1525" w:type="dxa"/>
            <w:tcBorders>
              <w:tl2br w:val="nil"/>
              <w:tr2bl w:val="nil"/>
            </w:tcBorders>
            <w:noWrap w:val="0"/>
            <w:tcMar>
              <w:top w:w="0" w:type="dxa"/>
              <w:left w:w="105" w:type="dxa"/>
              <w:bottom w:w="0" w:type="dxa"/>
              <w:right w:w="105" w:type="dxa"/>
            </w:tcMar>
            <w:vAlign w:val="center"/>
          </w:tcPr>
          <w:p w14:paraId="30EF70AF">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4.35%起</w:t>
            </w:r>
          </w:p>
        </w:tc>
        <w:tc>
          <w:tcPr>
            <w:tcW w:w="1429" w:type="dxa"/>
            <w:tcBorders>
              <w:tl2br w:val="nil"/>
              <w:tr2bl w:val="nil"/>
            </w:tcBorders>
            <w:noWrap w:val="0"/>
            <w:tcMar>
              <w:top w:w="0" w:type="dxa"/>
              <w:left w:w="105" w:type="dxa"/>
              <w:bottom w:w="0" w:type="dxa"/>
              <w:right w:w="105" w:type="dxa"/>
            </w:tcMar>
            <w:vAlign w:val="center"/>
          </w:tcPr>
          <w:p w14:paraId="2FACD8D6">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戴莉丽</w:t>
            </w:r>
          </w:p>
        </w:tc>
        <w:tc>
          <w:tcPr>
            <w:tcW w:w="3353" w:type="dxa"/>
            <w:tcBorders>
              <w:tl2br w:val="nil"/>
              <w:tr2bl w:val="nil"/>
            </w:tcBorders>
            <w:noWrap w:val="0"/>
            <w:tcMar>
              <w:top w:w="0" w:type="dxa"/>
              <w:left w:w="105" w:type="dxa"/>
              <w:bottom w:w="0" w:type="dxa"/>
              <w:right w:w="105" w:type="dxa"/>
            </w:tcMar>
            <w:vAlign w:val="center"/>
          </w:tcPr>
          <w:p w14:paraId="57233FB0">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13566627207</w:t>
            </w:r>
          </w:p>
        </w:tc>
      </w:tr>
      <w:tr w14:paraId="0894F5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15" w:hRule="atLeast"/>
          <w:tblCellSpacing w:w="15" w:type="dxa"/>
          <w:jc w:val="center"/>
        </w:trPr>
        <w:tc>
          <w:tcPr>
            <w:tcW w:w="888" w:type="dxa"/>
            <w:tcBorders>
              <w:tl2br w:val="nil"/>
              <w:tr2bl w:val="nil"/>
            </w:tcBorders>
            <w:noWrap w:val="0"/>
            <w:tcMar>
              <w:top w:w="0" w:type="dxa"/>
              <w:left w:w="105" w:type="dxa"/>
              <w:bottom w:w="0" w:type="dxa"/>
              <w:right w:w="105" w:type="dxa"/>
            </w:tcMar>
            <w:vAlign w:val="center"/>
          </w:tcPr>
          <w:p w14:paraId="087D0E53">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2510" w:type="dxa"/>
            <w:tcBorders>
              <w:tl2br w:val="nil"/>
              <w:tr2bl w:val="nil"/>
            </w:tcBorders>
            <w:noWrap w:val="0"/>
            <w:tcMar>
              <w:top w:w="0" w:type="dxa"/>
              <w:left w:w="105" w:type="dxa"/>
              <w:bottom w:w="0" w:type="dxa"/>
              <w:right w:w="105" w:type="dxa"/>
            </w:tcMar>
            <w:vAlign w:val="center"/>
          </w:tcPr>
          <w:p w14:paraId="7379BF7F">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金华银行台州分行</w:t>
            </w:r>
          </w:p>
        </w:tc>
        <w:tc>
          <w:tcPr>
            <w:tcW w:w="1525" w:type="dxa"/>
            <w:tcBorders>
              <w:tl2br w:val="nil"/>
              <w:tr2bl w:val="nil"/>
            </w:tcBorders>
            <w:noWrap w:val="0"/>
            <w:tcMar>
              <w:top w:w="0" w:type="dxa"/>
              <w:left w:w="105" w:type="dxa"/>
              <w:bottom w:w="0" w:type="dxa"/>
              <w:right w:w="105" w:type="dxa"/>
            </w:tcMar>
            <w:vAlign w:val="center"/>
          </w:tcPr>
          <w:p w14:paraId="242A789C">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4.05%起</w:t>
            </w:r>
          </w:p>
        </w:tc>
        <w:tc>
          <w:tcPr>
            <w:tcW w:w="1429" w:type="dxa"/>
            <w:tcBorders>
              <w:tl2br w:val="nil"/>
              <w:tr2bl w:val="nil"/>
            </w:tcBorders>
            <w:noWrap w:val="0"/>
            <w:tcMar>
              <w:top w:w="0" w:type="dxa"/>
              <w:left w:w="105" w:type="dxa"/>
              <w:bottom w:w="0" w:type="dxa"/>
              <w:right w:w="105" w:type="dxa"/>
            </w:tcMar>
            <w:vAlign w:val="center"/>
          </w:tcPr>
          <w:p w14:paraId="47019AD8">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金雪婷</w:t>
            </w:r>
          </w:p>
        </w:tc>
        <w:tc>
          <w:tcPr>
            <w:tcW w:w="3353" w:type="dxa"/>
            <w:tcBorders>
              <w:tl2br w:val="nil"/>
              <w:tr2bl w:val="nil"/>
            </w:tcBorders>
            <w:noWrap w:val="0"/>
            <w:tcMar>
              <w:top w:w="0" w:type="dxa"/>
              <w:left w:w="105" w:type="dxa"/>
              <w:bottom w:w="0" w:type="dxa"/>
              <w:right w:w="105" w:type="dxa"/>
            </w:tcMar>
            <w:vAlign w:val="center"/>
          </w:tcPr>
          <w:p w14:paraId="5E6775E5">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81886670、15968661569</w:t>
            </w:r>
          </w:p>
        </w:tc>
      </w:tr>
      <w:tr w14:paraId="3EA3E6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47" w:hRule="atLeast"/>
          <w:tblCellSpacing w:w="15" w:type="dxa"/>
          <w:jc w:val="center"/>
        </w:trPr>
        <w:tc>
          <w:tcPr>
            <w:tcW w:w="888" w:type="dxa"/>
            <w:tcBorders>
              <w:tl2br w:val="nil"/>
              <w:tr2bl w:val="nil"/>
            </w:tcBorders>
            <w:noWrap w:val="0"/>
            <w:tcMar>
              <w:top w:w="0" w:type="dxa"/>
              <w:left w:w="105" w:type="dxa"/>
              <w:bottom w:w="0" w:type="dxa"/>
              <w:right w:w="105" w:type="dxa"/>
            </w:tcMar>
            <w:vAlign w:val="center"/>
          </w:tcPr>
          <w:p w14:paraId="72260F7F">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2510" w:type="dxa"/>
            <w:tcBorders>
              <w:tl2br w:val="nil"/>
              <w:tr2bl w:val="nil"/>
            </w:tcBorders>
            <w:noWrap w:val="0"/>
            <w:tcMar>
              <w:top w:w="0" w:type="dxa"/>
              <w:left w:w="105" w:type="dxa"/>
              <w:bottom w:w="0" w:type="dxa"/>
              <w:right w:w="105" w:type="dxa"/>
            </w:tcMar>
            <w:vAlign w:val="center"/>
          </w:tcPr>
          <w:p w14:paraId="083677A2">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台州银行</w:t>
            </w:r>
          </w:p>
        </w:tc>
        <w:tc>
          <w:tcPr>
            <w:tcW w:w="1525" w:type="dxa"/>
            <w:tcBorders>
              <w:tl2br w:val="nil"/>
              <w:tr2bl w:val="nil"/>
            </w:tcBorders>
            <w:noWrap w:val="0"/>
            <w:tcMar>
              <w:top w:w="0" w:type="dxa"/>
              <w:left w:w="105" w:type="dxa"/>
              <w:bottom w:w="0" w:type="dxa"/>
              <w:right w:w="105" w:type="dxa"/>
            </w:tcMar>
            <w:vAlign w:val="center"/>
          </w:tcPr>
          <w:p w14:paraId="51600D75">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5.6%起</w:t>
            </w:r>
          </w:p>
        </w:tc>
        <w:tc>
          <w:tcPr>
            <w:tcW w:w="1429" w:type="dxa"/>
            <w:tcBorders>
              <w:tl2br w:val="nil"/>
              <w:tr2bl w:val="nil"/>
            </w:tcBorders>
            <w:noWrap w:val="0"/>
            <w:tcMar>
              <w:top w:w="0" w:type="dxa"/>
              <w:left w:w="105" w:type="dxa"/>
              <w:bottom w:w="0" w:type="dxa"/>
              <w:right w:w="105" w:type="dxa"/>
            </w:tcMar>
            <w:vAlign w:val="center"/>
          </w:tcPr>
          <w:p w14:paraId="7F9FE342">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洪婷</w:t>
            </w:r>
          </w:p>
        </w:tc>
        <w:tc>
          <w:tcPr>
            <w:tcW w:w="3353" w:type="dxa"/>
            <w:tcBorders>
              <w:tl2br w:val="nil"/>
              <w:tr2bl w:val="nil"/>
            </w:tcBorders>
            <w:noWrap w:val="0"/>
            <w:tcMar>
              <w:top w:w="0" w:type="dxa"/>
              <w:left w:w="105" w:type="dxa"/>
              <w:bottom w:w="0" w:type="dxa"/>
              <w:right w:w="105" w:type="dxa"/>
            </w:tcMar>
            <w:vAlign w:val="center"/>
          </w:tcPr>
          <w:p w14:paraId="0B66DC5C">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15858624999</w:t>
            </w:r>
          </w:p>
        </w:tc>
      </w:tr>
    </w:tbl>
    <w:p w14:paraId="5557F323">
      <w:pPr>
        <w:pStyle w:val="6"/>
        <w:keepNext w:val="0"/>
        <w:keepLines w:val="0"/>
        <w:pageBreakBefore w:val="0"/>
        <w:kinsoku/>
        <w:wordWrap/>
        <w:overflowPunct/>
        <w:topLinePunct w:val="0"/>
        <w:bidi w:val="0"/>
        <w:snapToGrid/>
        <w:spacing w:line="420" w:lineRule="exact"/>
        <w:ind w:firstLine="482"/>
        <w:jc w:val="center"/>
        <w:textAlignment w:val="auto"/>
        <w:rPr>
          <w:rFonts w:hint="eastAsia" w:ascii="宋体" w:hAnsi="宋体" w:eastAsia="宋体" w:cs="宋体"/>
          <w:b/>
          <w:color w:val="auto"/>
          <w:sz w:val="21"/>
          <w:szCs w:val="21"/>
          <w:highlight w:val="none"/>
        </w:rPr>
      </w:pPr>
    </w:p>
    <w:p w14:paraId="61F609D0">
      <w:pPr>
        <w:pStyle w:val="6"/>
        <w:keepNext w:val="0"/>
        <w:keepLines w:val="0"/>
        <w:pageBreakBefore w:val="0"/>
        <w:kinsoku/>
        <w:wordWrap/>
        <w:overflowPunct/>
        <w:topLinePunct w:val="0"/>
        <w:bidi w:val="0"/>
        <w:snapToGrid/>
        <w:spacing w:line="420" w:lineRule="exact"/>
        <w:ind w:firstLine="482"/>
        <w:jc w:val="center"/>
        <w:textAlignment w:val="auto"/>
        <w:outlineLvl w:val="0"/>
        <w:rPr>
          <w:rFonts w:hint="eastAsia" w:ascii="宋体" w:hAnsi="宋体" w:eastAsia="宋体" w:cs="宋体"/>
          <w:b/>
          <w:color w:val="auto"/>
          <w:sz w:val="21"/>
          <w:szCs w:val="21"/>
          <w:highlight w:val="none"/>
        </w:rPr>
      </w:pPr>
      <w:bookmarkStart w:id="1" w:name="_Toc15843"/>
      <w:r>
        <w:rPr>
          <w:rFonts w:hint="eastAsia" w:ascii="宋体" w:hAnsi="宋体" w:eastAsia="宋体" w:cs="宋体"/>
          <w:b/>
          <w:color w:val="auto"/>
          <w:sz w:val="21"/>
          <w:szCs w:val="21"/>
          <w:highlight w:val="none"/>
        </w:rPr>
        <w:t>合同履约保函联系方式</w:t>
      </w:r>
      <w:bookmarkEnd w:id="1"/>
    </w:p>
    <w:tbl>
      <w:tblPr>
        <w:tblStyle w:val="26"/>
        <w:tblW w:w="9885" w:type="dxa"/>
        <w:jc w:val="center"/>
        <w:tblCellSpacing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15" w:type="dxa"/>
          <w:left w:w="15" w:type="dxa"/>
          <w:bottom w:w="15" w:type="dxa"/>
          <w:right w:w="15" w:type="dxa"/>
        </w:tblCellMar>
      </w:tblPr>
      <w:tblGrid>
        <w:gridCol w:w="933"/>
        <w:gridCol w:w="2968"/>
        <w:gridCol w:w="3240"/>
        <w:gridCol w:w="1125"/>
        <w:gridCol w:w="1619"/>
      </w:tblGrid>
      <w:tr w14:paraId="62F030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15" w:hRule="atLeast"/>
          <w:tblCellSpacing w:w="15" w:type="dxa"/>
          <w:jc w:val="center"/>
        </w:trPr>
        <w:tc>
          <w:tcPr>
            <w:tcW w:w="888" w:type="dxa"/>
            <w:tcBorders>
              <w:tl2br w:val="nil"/>
              <w:tr2bl w:val="nil"/>
            </w:tcBorders>
            <w:noWrap w:val="0"/>
            <w:tcMar>
              <w:top w:w="0" w:type="dxa"/>
              <w:left w:w="105" w:type="dxa"/>
              <w:bottom w:w="0" w:type="dxa"/>
              <w:right w:w="105" w:type="dxa"/>
            </w:tcMar>
            <w:vAlign w:val="center"/>
          </w:tcPr>
          <w:p w14:paraId="684F1E61">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2938" w:type="dxa"/>
            <w:tcBorders>
              <w:tl2br w:val="nil"/>
              <w:tr2bl w:val="nil"/>
            </w:tcBorders>
            <w:noWrap w:val="0"/>
            <w:tcMar>
              <w:top w:w="0" w:type="dxa"/>
              <w:left w:w="105" w:type="dxa"/>
              <w:bottom w:w="0" w:type="dxa"/>
              <w:right w:w="105" w:type="dxa"/>
            </w:tcMar>
            <w:vAlign w:val="center"/>
          </w:tcPr>
          <w:p w14:paraId="46B30474">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保险公司名称</w:t>
            </w:r>
          </w:p>
        </w:tc>
        <w:tc>
          <w:tcPr>
            <w:tcW w:w="3210" w:type="dxa"/>
            <w:tcBorders>
              <w:tl2br w:val="nil"/>
              <w:tr2bl w:val="nil"/>
            </w:tcBorders>
            <w:noWrap w:val="0"/>
            <w:tcMar>
              <w:top w:w="0" w:type="dxa"/>
              <w:left w:w="105" w:type="dxa"/>
              <w:bottom w:w="0" w:type="dxa"/>
              <w:right w:w="105" w:type="dxa"/>
            </w:tcMar>
            <w:vAlign w:val="center"/>
          </w:tcPr>
          <w:p w14:paraId="795BE1FC">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保费率</w:t>
            </w:r>
          </w:p>
        </w:tc>
        <w:tc>
          <w:tcPr>
            <w:tcW w:w="1095" w:type="dxa"/>
            <w:tcBorders>
              <w:tl2br w:val="nil"/>
              <w:tr2bl w:val="nil"/>
            </w:tcBorders>
            <w:noWrap w:val="0"/>
            <w:tcMar>
              <w:top w:w="0" w:type="dxa"/>
              <w:left w:w="105" w:type="dxa"/>
              <w:bottom w:w="0" w:type="dxa"/>
              <w:right w:w="105" w:type="dxa"/>
            </w:tcMar>
            <w:vAlign w:val="center"/>
          </w:tcPr>
          <w:p w14:paraId="08952871">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联系人</w:t>
            </w:r>
          </w:p>
        </w:tc>
        <w:tc>
          <w:tcPr>
            <w:tcW w:w="1574" w:type="dxa"/>
            <w:tcBorders>
              <w:tl2br w:val="nil"/>
              <w:tr2bl w:val="nil"/>
            </w:tcBorders>
            <w:noWrap w:val="0"/>
            <w:tcMar>
              <w:top w:w="0" w:type="dxa"/>
              <w:left w:w="105" w:type="dxa"/>
              <w:bottom w:w="0" w:type="dxa"/>
              <w:right w:w="105" w:type="dxa"/>
            </w:tcMar>
            <w:vAlign w:val="center"/>
          </w:tcPr>
          <w:p w14:paraId="2E65F458">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联系电话</w:t>
            </w:r>
          </w:p>
        </w:tc>
      </w:tr>
      <w:tr w14:paraId="310526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15" w:hRule="atLeast"/>
          <w:tblCellSpacing w:w="15" w:type="dxa"/>
          <w:jc w:val="center"/>
        </w:trPr>
        <w:tc>
          <w:tcPr>
            <w:tcW w:w="888" w:type="dxa"/>
            <w:tcBorders>
              <w:tl2br w:val="nil"/>
              <w:tr2bl w:val="nil"/>
            </w:tcBorders>
            <w:noWrap w:val="0"/>
            <w:tcMar>
              <w:top w:w="0" w:type="dxa"/>
              <w:left w:w="105" w:type="dxa"/>
              <w:bottom w:w="0" w:type="dxa"/>
              <w:right w:w="105" w:type="dxa"/>
            </w:tcMar>
            <w:vAlign w:val="center"/>
          </w:tcPr>
          <w:p w14:paraId="2A514FD5">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938" w:type="dxa"/>
            <w:tcBorders>
              <w:tl2br w:val="nil"/>
              <w:tr2bl w:val="nil"/>
            </w:tcBorders>
            <w:noWrap w:val="0"/>
            <w:tcMar>
              <w:top w:w="0" w:type="dxa"/>
              <w:left w:w="105" w:type="dxa"/>
              <w:bottom w:w="0" w:type="dxa"/>
              <w:right w:w="105" w:type="dxa"/>
            </w:tcMar>
            <w:vAlign w:val="center"/>
          </w:tcPr>
          <w:p w14:paraId="7086FC3B">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中国人寿财产保险股份有限公司台州中心支公司</w:t>
            </w:r>
          </w:p>
        </w:tc>
        <w:tc>
          <w:tcPr>
            <w:tcW w:w="3210" w:type="dxa"/>
            <w:tcBorders>
              <w:tl2br w:val="nil"/>
              <w:tr2bl w:val="nil"/>
            </w:tcBorders>
            <w:noWrap w:val="0"/>
            <w:tcMar>
              <w:top w:w="0" w:type="dxa"/>
              <w:left w:w="105" w:type="dxa"/>
              <w:bottom w:w="0" w:type="dxa"/>
              <w:right w:w="105" w:type="dxa"/>
            </w:tcMar>
            <w:vAlign w:val="center"/>
          </w:tcPr>
          <w:p w14:paraId="1C2C81CD">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年费率1%，最低保费500元</w:t>
            </w:r>
          </w:p>
        </w:tc>
        <w:tc>
          <w:tcPr>
            <w:tcW w:w="1095" w:type="dxa"/>
            <w:tcBorders>
              <w:tl2br w:val="nil"/>
              <w:tr2bl w:val="nil"/>
            </w:tcBorders>
            <w:noWrap w:val="0"/>
            <w:tcMar>
              <w:top w:w="0" w:type="dxa"/>
              <w:left w:w="105" w:type="dxa"/>
              <w:bottom w:w="0" w:type="dxa"/>
              <w:right w:w="105" w:type="dxa"/>
            </w:tcMar>
            <w:vAlign w:val="center"/>
          </w:tcPr>
          <w:p w14:paraId="3F5D8DD5">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徐凌</w:t>
            </w:r>
          </w:p>
        </w:tc>
        <w:tc>
          <w:tcPr>
            <w:tcW w:w="1574" w:type="dxa"/>
            <w:tcBorders>
              <w:tl2br w:val="nil"/>
              <w:tr2bl w:val="nil"/>
            </w:tcBorders>
            <w:noWrap w:val="0"/>
            <w:tcMar>
              <w:top w:w="0" w:type="dxa"/>
              <w:left w:w="105" w:type="dxa"/>
              <w:bottom w:w="0" w:type="dxa"/>
              <w:right w:w="105" w:type="dxa"/>
            </w:tcMar>
            <w:vAlign w:val="center"/>
          </w:tcPr>
          <w:p w14:paraId="4A92D05F">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13905168070</w:t>
            </w:r>
          </w:p>
        </w:tc>
      </w:tr>
      <w:tr w14:paraId="72DAC9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15" w:hRule="atLeast"/>
          <w:tblCellSpacing w:w="15" w:type="dxa"/>
          <w:jc w:val="center"/>
        </w:trPr>
        <w:tc>
          <w:tcPr>
            <w:tcW w:w="888" w:type="dxa"/>
            <w:tcBorders>
              <w:tl2br w:val="nil"/>
              <w:tr2bl w:val="nil"/>
            </w:tcBorders>
            <w:noWrap w:val="0"/>
            <w:tcMar>
              <w:top w:w="0" w:type="dxa"/>
              <w:left w:w="105" w:type="dxa"/>
              <w:bottom w:w="0" w:type="dxa"/>
              <w:right w:w="105" w:type="dxa"/>
            </w:tcMar>
            <w:vAlign w:val="center"/>
          </w:tcPr>
          <w:p w14:paraId="7D6D9898">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938" w:type="dxa"/>
            <w:tcBorders>
              <w:tl2br w:val="nil"/>
              <w:tr2bl w:val="nil"/>
            </w:tcBorders>
            <w:noWrap w:val="0"/>
            <w:tcMar>
              <w:top w:w="0" w:type="dxa"/>
              <w:left w:w="105" w:type="dxa"/>
              <w:bottom w:w="0" w:type="dxa"/>
              <w:right w:w="105" w:type="dxa"/>
            </w:tcMar>
            <w:vAlign w:val="center"/>
          </w:tcPr>
          <w:p w14:paraId="41334B0A">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永诚财产保险股份有限公司台州分公司</w:t>
            </w:r>
          </w:p>
        </w:tc>
        <w:tc>
          <w:tcPr>
            <w:tcW w:w="3210" w:type="dxa"/>
            <w:tcBorders>
              <w:tl2br w:val="nil"/>
              <w:tr2bl w:val="nil"/>
            </w:tcBorders>
            <w:noWrap w:val="0"/>
            <w:tcMar>
              <w:top w:w="0" w:type="dxa"/>
              <w:left w:w="105" w:type="dxa"/>
              <w:bottom w:w="0" w:type="dxa"/>
              <w:right w:w="105" w:type="dxa"/>
            </w:tcMar>
            <w:vAlign w:val="center"/>
          </w:tcPr>
          <w:p w14:paraId="05978779">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年费率1%，最低保费1000元</w:t>
            </w:r>
          </w:p>
        </w:tc>
        <w:tc>
          <w:tcPr>
            <w:tcW w:w="1095" w:type="dxa"/>
            <w:tcBorders>
              <w:tl2br w:val="nil"/>
              <w:tr2bl w:val="nil"/>
            </w:tcBorders>
            <w:noWrap w:val="0"/>
            <w:tcMar>
              <w:top w:w="0" w:type="dxa"/>
              <w:left w:w="105" w:type="dxa"/>
              <w:bottom w:w="0" w:type="dxa"/>
              <w:right w:w="105" w:type="dxa"/>
            </w:tcMar>
            <w:vAlign w:val="center"/>
          </w:tcPr>
          <w:p w14:paraId="5C04F7BA">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尹刚强</w:t>
            </w:r>
          </w:p>
        </w:tc>
        <w:tc>
          <w:tcPr>
            <w:tcW w:w="1574" w:type="dxa"/>
            <w:tcBorders>
              <w:tl2br w:val="nil"/>
              <w:tr2bl w:val="nil"/>
            </w:tcBorders>
            <w:noWrap w:val="0"/>
            <w:tcMar>
              <w:top w:w="0" w:type="dxa"/>
              <w:left w:w="105" w:type="dxa"/>
              <w:bottom w:w="0" w:type="dxa"/>
              <w:right w:w="105" w:type="dxa"/>
            </w:tcMar>
            <w:vAlign w:val="center"/>
          </w:tcPr>
          <w:p w14:paraId="32016D84">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13750668184</w:t>
            </w:r>
          </w:p>
        </w:tc>
      </w:tr>
      <w:tr w14:paraId="4E248B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15" w:hRule="atLeast"/>
          <w:tblCellSpacing w:w="15" w:type="dxa"/>
          <w:jc w:val="center"/>
        </w:trPr>
        <w:tc>
          <w:tcPr>
            <w:tcW w:w="888" w:type="dxa"/>
            <w:tcBorders>
              <w:tl2br w:val="nil"/>
              <w:tr2bl w:val="nil"/>
            </w:tcBorders>
            <w:noWrap w:val="0"/>
            <w:tcMar>
              <w:top w:w="0" w:type="dxa"/>
              <w:left w:w="105" w:type="dxa"/>
              <w:bottom w:w="0" w:type="dxa"/>
              <w:right w:w="105" w:type="dxa"/>
            </w:tcMar>
            <w:vAlign w:val="center"/>
          </w:tcPr>
          <w:p w14:paraId="75EB8640">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938" w:type="dxa"/>
            <w:tcBorders>
              <w:tl2br w:val="nil"/>
              <w:tr2bl w:val="nil"/>
            </w:tcBorders>
            <w:noWrap w:val="0"/>
            <w:tcMar>
              <w:top w:w="0" w:type="dxa"/>
              <w:left w:w="105" w:type="dxa"/>
              <w:bottom w:w="0" w:type="dxa"/>
              <w:right w:w="105" w:type="dxa"/>
            </w:tcMar>
            <w:vAlign w:val="center"/>
          </w:tcPr>
          <w:p w14:paraId="1D1C3CCA">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华泰财产保险有限公司台州中心支公司</w:t>
            </w:r>
          </w:p>
        </w:tc>
        <w:tc>
          <w:tcPr>
            <w:tcW w:w="3210" w:type="dxa"/>
            <w:tcBorders>
              <w:tl2br w:val="nil"/>
              <w:tr2bl w:val="nil"/>
            </w:tcBorders>
            <w:noWrap w:val="0"/>
            <w:tcMar>
              <w:top w:w="0" w:type="dxa"/>
              <w:left w:w="105" w:type="dxa"/>
              <w:bottom w:w="0" w:type="dxa"/>
              <w:right w:w="105" w:type="dxa"/>
            </w:tcMar>
            <w:vAlign w:val="center"/>
          </w:tcPr>
          <w:p w14:paraId="04953689">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年费率0.5%，最低保费1000元</w:t>
            </w:r>
          </w:p>
        </w:tc>
        <w:tc>
          <w:tcPr>
            <w:tcW w:w="1095" w:type="dxa"/>
            <w:tcBorders>
              <w:tl2br w:val="nil"/>
              <w:tr2bl w:val="nil"/>
            </w:tcBorders>
            <w:noWrap w:val="0"/>
            <w:tcMar>
              <w:top w:w="0" w:type="dxa"/>
              <w:left w:w="105" w:type="dxa"/>
              <w:bottom w:w="0" w:type="dxa"/>
              <w:right w:w="105" w:type="dxa"/>
            </w:tcMar>
            <w:vAlign w:val="center"/>
          </w:tcPr>
          <w:p w14:paraId="016BF87F">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王灵芳</w:t>
            </w:r>
          </w:p>
        </w:tc>
        <w:tc>
          <w:tcPr>
            <w:tcW w:w="1574" w:type="dxa"/>
            <w:tcBorders>
              <w:tl2br w:val="nil"/>
              <w:tr2bl w:val="nil"/>
            </w:tcBorders>
            <w:noWrap w:val="0"/>
            <w:tcMar>
              <w:top w:w="0" w:type="dxa"/>
              <w:left w:w="105" w:type="dxa"/>
              <w:bottom w:w="0" w:type="dxa"/>
              <w:right w:w="105" w:type="dxa"/>
            </w:tcMar>
            <w:vAlign w:val="center"/>
          </w:tcPr>
          <w:p w14:paraId="085CB8BC">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88869818、13586123199</w:t>
            </w:r>
          </w:p>
        </w:tc>
      </w:tr>
      <w:tr w14:paraId="5D0C4B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15" w:hRule="atLeast"/>
          <w:tblCellSpacing w:w="15" w:type="dxa"/>
          <w:jc w:val="center"/>
        </w:trPr>
        <w:tc>
          <w:tcPr>
            <w:tcW w:w="888" w:type="dxa"/>
            <w:tcBorders>
              <w:tl2br w:val="nil"/>
              <w:tr2bl w:val="nil"/>
            </w:tcBorders>
            <w:noWrap w:val="0"/>
            <w:tcMar>
              <w:top w:w="0" w:type="dxa"/>
              <w:left w:w="105" w:type="dxa"/>
              <w:bottom w:w="0" w:type="dxa"/>
              <w:right w:w="105" w:type="dxa"/>
            </w:tcMar>
            <w:vAlign w:val="center"/>
          </w:tcPr>
          <w:p w14:paraId="538B5359">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938" w:type="dxa"/>
            <w:tcBorders>
              <w:tl2br w:val="nil"/>
              <w:tr2bl w:val="nil"/>
            </w:tcBorders>
            <w:noWrap w:val="0"/>
            <w:tcMar>
              <w:top w:w="0" w:type="dxa"/>
              <w:left w:w="105" w:type="dxa"/>
              <w:bottom w:w="0" w:type="dxa"/>
              <w:right w:w="105" w:type="dxa"/>
            </w:tcMar>
            <w:vAlign w:val="center"/>
          </w:tcPr>
          <w:p w14:paraId="5731D72C">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中国大地财产保险股份有限公司台州中心支公司</w:t>
            </w:r>
          </w:p>
        </w:tc>
        <w:tc>
          <w:tcPr>
            <w:tcW w:w="3210" w:type="dxa"/>
            <w:tcBorders>
              <w:tl2br w:val="nil"/>
              <w:tr2bl w:val="nil"/>
            </w:tcBorders>
            <w:noWrap w:val="0"/>
            <w:tcMar>
              <w:top w:w="0" w:type="dxa"/>
              <w:left w:w="105" w:type="dxa"/>
              <w:bottom w:w="0" w:type="dxa"/>
              <w:right w:w="105" w:type="dxa"/>
            </w:tcMar>
            <w:vAlign w:val="center"/>
          </w:tcPr>
          <w:p w14:paraId="10A2F001">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年费率1.5%，最低保费1000元</w:t>
            </w:r>
          </w:p>
        </w:tc>
        <w:tc>
          <w:tcPr>
            <w:tcW w:w="1095" w:type="dxa"/>
            <w:tcBorders>
              <w:tl2br w:val="nil"/>
              <w:tr2bl w:val="nil"/>
            </w:tcBorders>
            <w:noWrap w:val="0"/>
            <w:tcMar>
              <w:top w:w="0" w:type="dxa"/>
              <w:left w:w="105" w:type="dxa"/>
              <w:bottom w:w="0" w:type="dxa"/>
              <w:right w:w="105" w:type="dxa"/>
            </w:tcMar>
            <w:vAlign w:val="center"/>
          </w:tcPr>
          <w:p w14:paraId="7336781E">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徐小明</w:t>
            </w:r>
          </w:p>
        </w:tc>
        <w:tc>
          <w:tcPr>
            <w:tcW w:w="1574" w:type="dxa"/>
            <w:tcBorders>
              <w:tl2br w:val="nil"/>
              <w:tr2bl w:val="nil"/>
            </w:tcBorders>
            <w:noWrap w:val="0"/>
            <w:tcMar>
              <w:top w:w="0" w:type="dxa"/>
              <w:left w:w="105" w:type="dxa"/>
              <w:bottom w:w="0" w:type="dxa"/>
              <w:right w:w="105" w:type="dxa"/>
            </w:tcMar>
            <w:vAlign w:val="center"/>
          </w:tcPr>
          <w:p w14:paraId="6E438197">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88552788、13968603112</w:t>
            </w:r>
          </w:p>
        </w:tc>
      </w:tr>
      <w:tr w14:paraId="1C50B0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15" w:hRule="atLeast"/>
          <w:tblCellSpacing w:w="15" w:type="dxa"/>
          <w:jc w:val="center"/>
        </w:trPr>
        <w:tc>
          <w:tcPr>
            <w:tcW w:w="888" w:type="dxa"/>
            <w:tcBorders>
              <w:tl2br w:val="nil"/>
              <w:tr2bl w:val="nil"/>
            </w:tcBorders>
            <w:noWrap w:val="0"/>
            <w:tcMar>
              <w:top w:w="0" w:type="dxa"/>
              <w:left w:w="105" w:type="dxa"/>
              <w:bottom w:w="0" w:type="dxa"/>
              <w:right w:w="105" w:type="dxa"/>
            </w:tcMar>
            <w:vAlign w:val="center"/>
          </w:tcPr>
          <w:p w14:paraId="60ACF148">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938" w:type="dxa"/>
            <w:tcBorders>
              <w:tl2br w:val="nil"/>
              <w:tr2bl w:val="nil"/>
            </w:tcBorders>
            <w:noWrap w:val="0"/>
            <w:tcMar>
              <w:top w:w="0" w:type="dxa"/>
              <w:left w:w="105" w:type="dxa"/>
              <w:bottom w:w="0" w:type="dxa"/>
              <w:right w:w="105" w:type="dxa"/>
            </w:tcMar>
            <w:vAlign w:val="center"/>
          </w:tcPr>
          <w:p w14:paraId="2916F314">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阳光保险台州中心支公司</w:t>
            </w:r>
          </w:p>
        </w:tc>
        <w:tc>
          <w:tcPr>
            <w:tcW w:w="3210" w:type="dxa"/>
            <w:tcBorders>
              <w:tl2br w:val="nil"/>
              <w:tr2bl w:val="nil"/>
            </w:tcBorders>
            <w:noWrap w:val="0"/>
            <w:tcMar>
              <w:top w:w="0" w:type="dxa"/>
              <w:left w:w="105" w:type="dxa"/>
              <w:bottom w:w="0" w:type="dxa"/>
              <w:right w:w="105" w:type="dxa"/>
            </w:tcMar>
            <w:vAlign w:val="center"/>
          </w:tcPr>
          <w:p w14:paraId="5B0BE346">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年费率1%，最低保费500元</w:t>
            </w:r>
          </w:p>
        </w:tc>
        <w:tc>
          <w:tcPr>
            <w:tcW w:w="1095" w:type="dxa"/>
            <w:tcBorders>
              <w:tl2br w:val="nil"/>
              <w:tr2bl w:val="nil"/>
            </w:tcBorders>
            <w:noWrap w:val="0"/>
            <w:tcMar>
              <w:top w:w="0" w:type="dxa"/>
              <w:left w:w="105" w:type="dxa"/>
              <w:bottom w:w="0" w:type="dxa"/>
              <w:right w:w="105" w:type="dxa"/>
            </w:tcMar>
            <w:vAlign w:val="center"/>
          </w:tcPr>
          <w:p w14:paraId="01E2AD59">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林高明</w:t>
            </w:r>
          </w:p>
        </w:tc>
        <w:tc>
          <w:tcPr>
            <w:tcW w:w="1574" w:type="dxa"/>
            <w:tcBorders>
              <w:tl2br w:val="nil"/>
              <w:tr2bl w:val="nil"/>
            </w:tcBorders>
            <w:noWrap w:val="0"/>
            <w:tcMar>
              <w:top w:w="0" w:type="dxa"/>
              <w:left w:w="105" w:type="dxa"/>
              <w:bottom w:w="0" w:type="dxa"/>
              <w:right w:w="105" w:type="dxa"/>
            </w:tcMar>
            <w:vAlign w:val="center"/>
          </w:tcPr>
          <w:p w14:paraId="0135D83A">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15888682693</w:t>
            </w:r>
          </w:p>
        </w:tc>
      </w:tr>
      <w:tr w14:paraId="261E8E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15" w:hRule="atLeast"/>
          <w:tblCellSpacing w:w="15" w:type="dxa"/>
          <w:jc w:val="center"/>
        </w:trPr>
        <w:tc>
          <w:tcPr>
            <w:tcW w:w="888" w:type="dxa"/>
            <w:tcBorders>
              <w:tl2br w:val="nil"/>
              <w:tr2bl w:val="nil"/>
            </w:tcBorders>
            <w:noWrap w:val="0"/>
            <w:tcMar>
              <w:top w:w="0" w:type="dxa"/>
              <w:left w:w="105" w:type="dxa"/>
              <w:bottom w:w="0" w:type="dxa"/>
              <w:right w:w="105" w:type="dxa"/>
            </w:tcMar>
            <w:vAlign w:val="center"/>
          </w:tcPr>
          <w:p w14:paraId="6036B2C2">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938" w:type="dxa"/>
            <w:tcBorders>
              <w:tl2br w:val="nil"/>
              <w:tr2bl w:val="nil"/>
            </w:tcBorders>
            <w:noWrap w:val="0"/>
            <w:tcMar>
              <w:top w:w="0" w:type="dxa"/>
              <w:left w:w="105" w:type="dxa"/>
              <w:bottom w:w="0" w:type="dxa"/>
              <w:right w:w="105" w:type="dxa"/>
            </w:tcMar>
            <w:vAlign w:val="center"/>
          </w:tcPr>
          <w:p w14:paraId="340E46C0">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中华联合财产保险股份有限公司台州中心支公司</w:t>
            </w:r>
          </w:p>
        </w:tc>
        <w:tc>
          <w:tcPr>
            <w:tcW w:w="3210" w:type="dxa"/>
            <w:tcBorders>
              <w:tl2br w:val="nil"/>
              <w:tr2bl w:val="nil"/>
            </w:tcBorders>
            <w:noWrap w:val="0"/>
            <w:tcMar>
              <w:top w:w="0" w:type="dxa"/>
              <w:left w:w="105" w:type="dxa"/>
              <w:bottom w:w="0" w:type="dxa"/>
              <w:right w:w="105" w:type="dxa"/>
            </w:tcMar>
            <w:vAlign w:val="center"/>
          </w:tcPr>
          <w:p w14:paraId="03A4D5FB">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年费率2%，最低保费500元</w:t>
            </w:r>
          </w:p>
        </w:tc>
        <w:tc>
          <w:tcPr>
            <w:tcW w:w="1095" w:type="dxa"/>
            <w:tcBorders>
              <w:tl2br w:val="nil"/>
              <w:tr2bl w:val="nil"/>
            </w:tcBorders>
            <w:noWrap w:val="0"/>
            <w:tcMar>
              <w:top w:w="0" w:type="dxa"/>
              <w:left w:w="105" w:type="dxa"/>
              <w:bottom w:w="0" w:type="dxa"/>
              <w:right w:w="105" w:type="dxa"/>
            </w:tcMar>
            <w:vAlign w:val="center"/>
          </w:tcPr>
          <w:p w14:paraId="26296F5F">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王仙高</w:t>
            </w:r>
          </w:p>
        </w:tc>
        <w:tc>
          <w:tcPr>
            <w:tcW w:w="1574" w:type="dxa"/>
            <w:tcBorders>
              <w:tl2br w:val="nil"/>
              <w:tr2bl w:val="nil"/>
            </w:tcBorders>
            <w:noWrap w:val="0"/>
            <w:tcMar>
              <w:top w:w="0" w:type="dxa"/>
              <w:left w:w="105" w:type="dxa"/>
              <w:bottom w:w="0" w:type="dxa"/>
              <w:right w:w="105" w:type="dxa"/>
            </w:tcMar>
            <w:vAlign w:val="center"/>
          </w:tcPr>
          <w:p w14:paraId="50E8549F">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13858600221</w:t>
            </w:r>
          </w:p>
        </w:tc>
      </w:tr>
      <w:tr w14:paraId="104603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15" w:hRule="atLeast"/>
          <w:tblCellSpacing w:w="15" w:type="dxa"/>
          <w:jc w:val="center"/>
        </w:trPr>
        <w:tc>
          <w:tcPr>
            <w:tcW w:w="888" w:type="dxa"/>
            <w:tcBorders>
              <w:tl2br w:val="nil"/>
              <w:tr2bl w:val="nil"/>
            </w:tcBorders>
            <w:noWrap w:val="0"/>
            <w:tcMar>
              <w:top w:w="0" w:type="dxa"/>
              <w:left w:w="105" w:type="dxa"/>
              <w:bottom w:w="0" w:type="dxa"/>
              <w:right w:w="105" w:type="dxa"/>
            </w:tcMar>
            <w:vAlign w:val="center"/>
          </w:tcPr>
          <w:p w14:paraId="120F4603">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938" w:type="dxa"/>
            <w:tcBorders>
              <w:tl2br w:val="nil"/>
              <w:tr2bl w:val="nil"/>
            </w:tcBorders>
            <w:noWrap w:val="0"/>
            <w:tcMar>
              <w:top w:w="0" w:type="dxa"/>
              <w:left w:w="105" w:type="dxa"/>
              <w:bottom w:w="0" w:type="dxa"/>
              <w:right w:w="105" w:type="dxa"/>
            </w:tcMar>
            <w:vAlign w:val="center"/>
          </w:tcPr>
          <w:p w14:paraId="32FCA9B3">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中国人民财产保险股份有限公司台州中心支公司</w:t>
            </w:r>
          </w:p>
        </w:tc>
        <w:tc>
          <w:tcPr>
            <w:tcW w:w="3210" w:type="dxa"/>
            <w:tcBorders>
              <w:tl2br w:val="nil"/>
              <w:tr2bl w:val="nil"/>
            </w:tcBorders>
            <w:noWrap w:val="0"/>
            <w:tcMar>
              <w:top w:w="0" w:type="dxa"/>
              <w:left w:w="105" w:type="dxa"/>
              <w:bottom w:w="0" w:type="dxa"/>
              <w:right w:w="105" w:type="dxa"/>
            </w:tcMar>
            <w:vAlign w:val="center"/>
          </w:tcPr>
          <w:p w14:paraId="3E845A3C">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年费率0.3%，最低保费1000元</w:t>
            </w:r>
          </w:p>
        </w:tc>
        <w:tc>
          <w:tcPr>
            <w:tcW w:w="1095" w:type="dxa"/>
            <w:tcBorders>
              <w:tl2br w:val="nil"/>
              <w:tr2bl w:val="nil"/>
            </w:tcBorders>
            <w:noWrap w:val="0"/>
            <w:tcMar>
              <w:top w:w="0" w:type="dxa"/>
              <w:left w:w="105" w:type="dxa"/>
              <w:bottom w:w="0" w:type="dxa"/>
              <w:right w:w="105" w:type="dxa"/>
            </w:tcMar>
            <w:vAlign w:val="center"/>
          </w:tcPr>
          <w:p w14:paraId="069F6EDE">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王仙春</w:t>
            </w:r>
          </w:p>
        </w:tc>
        <w:tc>
          <w:tcPr>
            <w:tcW w:w="1574" w:type="dxa"/>
            <w:tcBorders>
              <w:tl2br w:val="nil"/>
              <w:tr2bl w:val="nil"/>
            </w:tcBorders>
            <w:noWrap w:val="0"/>
            <w:tcMar>
              <w:top w:w="0" w:type="dxa"/>
              <w:left w:w="105" w:type="dxa"/>
              <w:bottom w:w="0" w:type="dxa"/>
              <w:right w:w="105" w:type="dxa"/>
            </w:tcMar>
            <w:vAlign w:val="center"/>
          </w:tcPr>
          <w:p w14:paraId="27547BA5">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13515769179</w:t>
            </w:r>
          </w:p>
        </w:tc>
      </w:tr>
      <w:tr w14:paraId="136D6C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15" w:hRule="atLeast"/>
          <w:tblCellSpacing w:w="15" w:type="dxa"/>
          <w:jc w:val="center"/>
        </w:trPr>
        <w:tc>
          <w:tcPr>
            <w:tcW w:w="888" w:type="dxa"/>
            <w:tcBorders>
              <w:tl2br w:val="nil"/>
              <w:tr2bl w:val="nil"/>
            </w:tcBorders>
            <w:noWrap w:val="0"/>
            <w:tcMar>
              <w:top w:w="0" w:type="dxa"/>
              <w:left w:w="105" w:type="dxa"/>
              <w:bottom w:w="0" w:type="dxa"/>
              <w:right w:w="105" w:type="dxa"/>
            </w:tcMar>
            <w:vAlign w:val="center"/>
          </w:tcPr>
          <w:p w14:paraId="048542AD">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938" w:type="dxa"/>
            <w:tcBorders>
              <w:tl2br w:val="nil"/>
              <w:tr2bl w:val="nil"/>
            </w:tcBorders>
            <w:noWrap w:val="0"/>
            <w:tcMar>
              <w:top w:w="0" w:type="dxa"/>
              <w:left w:w="105" w:type="dxa"/>
              <w:bottom w:w="0" w:type="dxa"/>
              <w:right w:w="105" w:type="dxa"/>
            </w:tcMar>
            <w:vAlign w:val="center"/>
          </w:tcPr>
          <w:p w14:paraId="117FF796">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永安财产保险股份有限公司台州中心支公司</w:t>
            </w:r>
          </w:p>
        </w:tc>
        <w:tc>
          <w:tcPr>
            <w:tcW w:w="3210" w:type="dxa"/>
            <w:tcBorders>
              <w:tl2br w:val="nil"/>
              <w:tr2bl w:val="nil"/>
            </w:tcBorders>
            <w:noWrap w:val="0"/>
            <w:tcMar>
              <w:top w:w="0" w:type="dxa"/>
              <w:left w:w="105" w:type="dxa"/>
              <w:bottom w:w="0" w:type="dxa"/>
              <w:right w:w="105" w:type="dxa"/>
            </w:tcMar>
            <w:vAlign w:val="center"/>
          </w:tcPr>
          <w:p w14:paraId="51106E1C">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年费率0.3%，最低保费1000</w:t>
            </w:r>
          </w:p>
        </w:tc>
        <w:tc>
          <w:tcPr>
            <w:tcW w:w="1095" w:type="dxa"/>
            <w:tcBorders>
              <w:tl2br w:val="nil"/>
              <w:tr2bl w:val="nil"/>
            </w:tcBorders>
            <w:noWrap w:val="0"/>
            <w:tcMar>
              <w:top w:w="0" w:type="dxa"/>
              <w:left w:w="105" w:type="dxa"/>
              <w:bottom w:w="0" w:type="dxa"/>
              <w:right w:w="105" w:type="dxa"/>
            </w:tcMar>
            <w:vAlign w:val="center"/>
          </w:tcPr>
          <w:p w14:paraId="17187A0B">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王春宇</w:t>
            </w:r>
          </w:p>
        </w:tc>
        <w:tc>
          <w:tcPr>
            <w:tcW w:w="1574" w:type="dxa"/>
            <w:tcBorders>
              <w:tl2br w:val="nil"/>
              <w:tr2bl w:val="nil"/>
            </w:tcBorders>
            <w:noWrap w:val="0"/>
            <w:tcMar>
              <w:top w:w="0" w:type="dxa"/>
              <w:left w:w="105" w:type="dxa"/>
              <w:bottom w:w="0" w:type="dxa"/>
              <w:right w:w="105" w:type="dxa"/>
            </w:tcMar>
            <w:vAlign w:val="center"/>
          </w:tcPr>
          <w:p w14:paraId="39F39EA0">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13676675331</w:t>
            </w:r>
          </w:p>
        </w:tc>
      </w:tr>
    </w:tbl>
    <w:p w14:paraId="3F49EE82">
      <w:pPr>
        <w:keepNext w:val="0"/>
        <w:keepLines w:val="0"/>
        <w:pageBreakBefore w:val="0"/>
        <w:kinsoku/>
        <w:wordWrap/>
        <w:overflowPunct/>
        <w:topLinePunct w:val="0"/>
        <w:bidi w:val="0"/>
        <w:snapToGrid/>
        <w:spacing w:line="420" w:lineRule="exact"/>
        <w:ind w:firstLine="738" w:firstLineChars="350"/>
        <w:jc w:val="center"/>
        <w:textAlignment w:val="auto"/>
        <w:rPr>
          <w:rFonts w:hint="eastAsia" w:ascii="宋体" w:hAnsi="宋体" w:eastAsia="宋体" w:cs="宋体"/>
          <w:b/>
          <w:color w:val="auto"/>
          <w:sz w:val="21"/>
          <w:szCs w:val="21"/>
          <w:highlight w:val="none"/>
        </w:rPr>
      </w:pPr>
    </w:p>
    <w:p w14:paraId="7066137C">
      <w:pPr>
        <w:keepNext w:val="0"/>
        <w:keepLines w:val="0"/>
        <w:pageBreakBefore w:val="0"/>
        <w:kinsoku/>
        <w:wordWrap/>
        <w:overflowPunct/>
        <w:topLinePunct w:val="0"/>
        <w:bidi w:val="0"/>
        <w:snapToGrid/>
        <w:spacing w:line="420" w:lineRule="exact"/>
        <w:ind w:firstLine="738" w:firstLineChars="35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预付款保函联系方式</w:t>
      </w:r>
    </w:p>
    <w:tbl>
      <w:tblPr>
        <w:tblStyle w:val="26"/>
        <w:tblW w:w="9885" w:type="dxa"/>
        <w:jc w:val="center"/>
        <w:tblCellSpacing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15" w:type="dxa"/>
          <w:left w:w="15" w:type="dxa"/>
          <w:bottom w:w="15" w:type="dxa"/>
          <w:right w:w="15" w:type="dxa"/>
        </w:tblCellMar>
      </w:tblPr>
      <w:tblGrid>
        <w:gridCol w:w="933"/>
        <w:gridCol w:w="2968"/>
        <w:gridCol w:w="3240"/>
        <w:gridCol w:w="1125"/>
        <w:gridCol w:w="1619"/>
      </w:tblGrid>
      <w:tr w14:paraId="5BE9FE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15" w:hRule="atLeast"/>
          <w:tblCellSpacing w:w="15" w:type="dxa"/>
          <w:jc w:val="center"/>
        </w:trPr>
        <w:tc>
          <w:tcPr>
            <w:tcW w:w="888" w:type="dxa"/>
            <w:tcBorders>
              <w:tl2br w:val="nil"/>
              <w:tr2bl w:val="nil"/>
            </w:tcBorders>
            <w:noWrap w:val="0"/>
            <w:tcMar>
              <w:top w:w="0" w:type="dxa"/>
              <w:left w:w="105" w:type="dxa"/>
              <w:bottom w:w="0" w:type="dxa"/>
              <w:right w:w="105" w:type="dxa"/>
            </w:tcMar>
            <w:vAlign w:val="center"/>
          </w:tcPr>
          <w:p w14:paraId="5CCE1EDE">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2938" w:type="dxa"/>
            <w:tcBorders>
              <w:tl2br w:val="nil"/>
              <w:tr2bl w:val="nil"/>
            </w:tcBorders>
            <w:noWrap w:val="0"/>
            <w:tcMar>
              <w:top w:w="0" w:type="dxa"/>
              <w:left w:w="105" w:type="dxa"/>
              <w:bottom w:w="0" w:type="dxa"/>
              <w:right w:w="105" w:type="dxa"/>
            </w:tcMar>
            <w:vAlign w:val="center"/>
          </w:tcPr>
          <w:p w14:paraId="03668EAA">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保险公司名称</w:t>
            </w:r>
          </w:p>
        </w:tc>
        <w:tc>
          <w:tcPr>
            <w:tcW w:w="3210" w:type="dxa"/>
            <w:tcBorders>
              <w:tl2br w:val="nil"/>
              <w:tr2bl w:val="nil"/>
            </w:tcBorders>
            <w:noWrap w:val="0"/>
            <w:tcMar>
              <w:top w:w="0" w:type="dxa"/>
              <w:left w:w="105" w:type="dxa"/>
              <w:bottom w:w="0" w:type="dxa"/>
              <w:right w:w="105" w:type="dxa"/>
            </w:tcMar>
            <w:vAlign w:val="center"/>
          </w:tcPr>
          <w:p w14:paraId="24D985F7">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保费率</w:t>
            </w:r>
          </w:p>
        </w:tc>
        <w:tc>
          <w:tcPr>
            <w:tcW w:w="1095" w:type="dxa"/>
            <w:tcBorders>
              <w:tl2br w:val="nil"/>
              <w:tr2bl w:val="nil"/>
            </w:tcBorders>
            <w:noWrap w:val="0"/>
            <w:tcMar>
              <w:top w:w="0" w:type="dxa"/>
              <w:left w:w="105" w:type="dxa"/>
              <w:bottom w:w="0" w:type="dxa"/>
              <w:right w:w="105" w:type="dxa"/>
            </w:tcMar>
            <w:vAlign w:val="center"/>
          </w:tcPr>
          <w:p w14:paraId="3F194232">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联系人</w:t>
            </w:r>
          </w:p>
        </w:tc>
        <w:tc>
          <w:tcPr>
            <w:tcW w:w="1574" w:type="dxa"/>
            <w:tcBorders>
              <w:tl2br w:val="nil"/>
              <w:tr2bl w:val="nil"/>
            </w:tcBorders>
            <w:noWrap w:val="0"/>
            <w:tcMar>
              <w:top w:w="0" w:type="dxa"/>
              <w:left w:w="105" w:type="dxa"/>
              <w:bottom w:w="0" w:type="dxa"/>
              <w:right w:w="105" w:type="dxa"/>
            </w:tcMar>
            <w:vAlign w:val="center"/>
          </w:tcPr>
          <w:p w14:paraId="2548CF76">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联系电话</w:t>
            </w:r>
          </w:p>
        </w:tc>
      </w:tr>
      <w:tr w14:paraId="1F9E4C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15" w:hRule="atLeast"/>
          <w:tblCellSpacing w:w="15" w:type="dxa"/>
          <w:jc w:val="center"/>
        </w:trPr>
        <w:tc>
          <w:tcPr>
            <w:tcW w:w="888" w:type="dxa"/>
            <w:tcBorders>
              <w:tl2br w:val="nil"/>
              <w:tr2bl w:val="nil"/>
            </w:tcBorders>
            <w:noWrap w:val="0"/>
            <w:tcMar>
              <w:top w:w="0" w:type="dxa"/>
              <w:left w:w="105" w:type="dxa"/>
              <w:bottom w:w="0" w:type="dxa"/>
              <w:right w:w="105" w:type="dxa"/>
            </w:tcMar>
            <w:vAlign w:val="center"/>
          </w:tcPr>
          <w:p w14:paraId="76F1DB86">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938" w:type="dxa"/>
            <w:tcBorders>
              <w:tl2br w:val="nil"/>
              <w:tr2bl w:val="nil"/>
            </w:tcBorders>
            <w:noWrap w:val="0"/>
            <w:tcMar>
              <w:top w:w="0" w:type="dxa"/>
              <w:left w:w="105" w:type="dxa"/>
              <w:bottom w:w="0" w:type="dxa"/>
              <w:right w:w="105" w:type="dxa"/>
            </w:tcMar>
            <w:vAlign w:val="center"/>
          </w:tcPr>
          <w:p w14:paraId="293D875E">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中国人寿财产保险股份有限公司台州中心支公司</w:t>
            </w:r>
          </w:p>
        </w:tc>
        <w:tc>
          <w:tcPr>
            <w:tcW w:w="3210" w:type="dxa"/>
            <w:tcBorders>
              <w:tl2br w:val="nil"/>
              <w:tr2bl w:val="nil"/>
            </w:tcBorders>
            <w:noWrap w:val="0"/>
            <w:tcMar>
              <w:top w:w="0" w:type="dxa"/>
              <w:left w:w="105" w:type="dxa"/>
              <w:bottom w:w="0" w:type="dxa"/>
              <w:right w:w="105" w:type="dxa"/>
            </w:tcMar>
            <w:vAlign w:val="center"/>
          </w:tcPr>
          <w:p w14:paraId="1C56F04A">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年费率3%，最低保费500元</w:t>
            </w:r>
          </w:p>
        </w:tc>
        <w:tc>
          <w:tcPr>
            <w:tcW w:w="1095" w:type="dxa"/>
            <w:tcBorders>
              <w:tl2br w:val="nil"/>
              <w:tr2bl w:val="nil"/>
            </w:tcBorders>
            <w:noWrap w:val="0"/>
            <w:tcMar>
              <w:top w:w="0" w:type="dxa"/>
              <w:left w:w="105" w:type="dxa"/>
              <w:bottom w:w="0" w:type="dxa"/>
              <w:right w:w="105" w:type="dxa"/>
            </w:tcMar>
            <w:vAlign w:val="center"/>
          </w:tcPr>
          <w:p w14:paraId="42405B3A">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徐凌</w:t>
            </w:r>
          </w:p>
        </w:tc>
        <w:tc>
          <w:tcPr>
            <w:tcW w:w="1574" w:type="dxa"/>
            <w:tcBorders>
              <w:tl2br w:val="nil"/>
              <w:tr2bl w:val="nil"/>
            </w:tcBorders>
            <w:noWrap w:val="0"/>
            <w:tcMar>
              <w:top w:w="0" w:type="dxa"/>
              <w:left w:w="105" w:type="dxa"/>
              <w:bottom w:w="0" w:type="dxa"/>
              <w:right w:w="105" w:type="dxa"/>
            </w:tcMar>
            <w:vAlign w:val="center"/>
          </w:tcPr>
          <w:p w14:paraId="61738BD9">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13905168070</w:t>
            </w:r>
          </w:p>
        </w:tc>
      </w:tr>
      <w:tr w14:paraId="4DF4E9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15" w:hRule="atLeast"/>
          <w:tblCellSpacing w:w="15" w:type="dxa"/>
          <w:jc w:val="center"/>
        </w:trPr>
        <w:tc>
          <w:tcPr>
            <w:tcW w:w="888" w:type="dxa"/>
            <w:tcBorders>
              <w:tl2br w:val="nil"/>
              <w:tr2bl w:val="nil"/>
            </w:tcBorders>
            <w:noWrap w:val="0"/>
            <w:tcMar>
              <w:top w:w="0" w:type="dxa"/>
              <w:left w:w="105" w:type="dxa"/>
              <w:bottom w:w="0" w:type="dxa"/>
              <w:right w:w="105" w:type="dxa"/>
            </w:tcMar>
            <w:vAlign w:val="center"/>
          </w:tcPr>
          <w:p w14:paraId="5FE13C5E">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938" w:type="dxa"/>
            <w:tcBorders>
              <w:tl2br w:val="nil"/>
              <w:tr2bl w:val="nil"/>
            </w:tcBorders>
            <w:noWrap w:val="0"/>
            <w:tcMar>
              <w:top w:w="0" w:type="dxa"/>
              <w:left w:w="105" w:type="dxa"/>
              <w:bottom w:w="0" w:type="dxa"/>
              <w:right w:w="105" w:type="dxa"/>
            </w:tcMar>
            <w:vAlign w:val="center"/>
          </w:tcPr>
          <w:p w14:paraId="26247812">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阳光保险台州中心支公司</w:t>
            </w:r>
          </w:p>
        </w:tc>
        <w:tc>
          <w:tcPr>
            <w:tcW w:w="3210" w:type="dxa"/>
            <w:tcBorders>
              <w:tl2br w:val="nil"/>
              <w:tr2bl w:val="nil"/>
            </w:tcBorders>
            <w:noWrap w:val="0"/>
            <w:tcMar>
              <w:top w:w="0" w:type="dxa"/>
              <w:left w:w="105" w:type="dxa"/>
              <w:bottom w:w="0" w:type="dxa"/>
              <w:right w:w="105" w:type="dxa"/>
            </w:tcMar>
            <w:vAlign w:val="center"/>
          </w:tcPr>
          <w:p w14:paraId="0F5EF572">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年费率1%，最低保费500元</w:t>
            </w:r>
          </w:p>
        </w:tc>
        <w:tc>
          <w:tcPr>
            <w:tcW w:w="1095" w:type="dxa"/>
            <w:tcBorders>
              <w:tl2br w:val="nil"/>
              <w:tr2bl w:val="nil"/>
            </w:tcBorders>
            <w:noWrap w:val="0"/>
            <w:tcMar>
              <w:top w:w="0" w:type="dxa"/>
              <w:left w:w="105" w:type="dxa"/>
              <w:bottom w:w="0" w:type="dxa"/>
              <w:right w:w="105" w:type="dxa"/>
            </w:tcMar>
            <w:vAlign w:val="center"/>
          </w:tcPr>
          <w:p w14:paraId="21BACC37">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林高明</w:t>
            </w:r>
          </w:p>
        </w:tc>
        <w:tc>
          <w:tcPr>
            <w:tcW w:w="1574" w:type="dxa"/>
            <w:tcBorders>
              <w:tl2br w:val="nil"/>
              <w:tr2bl w:val="nil"/>
            </w:tcBorders>
            <w:noWrap w:val="0"/>
            <w:tcMar>
              <w:top w:w="0" w:type="dxa"/>
              <w:left w:w="105" w:type="dxa"/>
              <w:bottom w:w="0" w:type="dxa"/>
              <w:right w:w="105" w:type="dxa"/>
            </w:tcMar>
            <w:vAlign w:val="center"/>
          </w:tcPr>
          <w:p w14:paraId="571F49B2">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15888682693</w:t>
            </w:r>
          </w:p>
        </w:tc>
      </w:tr>
      <w:tr w14:paraId="4402F2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15" w:hRule="atLeast"/>
          <w:tblCellSpacing w:w="15" w:type="dxa"/>
          <w:jc w:val="center"/>
        </w:trPr>
        <w:tc>
          <w:tcPr>
            <w:tcW w:w="888" w:type="dxa"/>
            <w:tcBorders>
              <w:tl2br w:val="nil"/>
              <w:tr2bl w:val="nil"/>
            </w:tcBorders>
            <w:noWrap w:val="0"/>
            <w:tcMar>
              <w:top w:w="0" w:type="dxa"/>
              <w:left w:w="105" w:type="dxa"/>
              <w:bottom w:w="0" w:type="dxa"/>
              <w:right w:w="105" w:type="dxa"/>
            </w:tcMar>
            <w:vAlign w:val="center"/>
          </w:tcPr>
          <w:p w14:paraId="4F9F23B2">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938" w:type="dxa"/>
            <w:tcBorders>
              <w:tl2br w:val="nil"/>
              <w:tr2bl w:val="nil"/>
            </w:tcBorders>
            <w:noWrap w:val="0"/>
            <w:tcMar>
              <w:top w:w="0" w:type="dxa"/>
              <w:left w:w="105" w:type="dxa"/>
              <w:bottom w:w="0" w:type="dxa"/>
              <w:right w:w="105" w:type="dxa"/>
            </w:tcMar>
            <w:vAlign w:val="center"/>
          </w:tcPr>
          <w:p w14:paraId="1871FDD2">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天安财产保险股份有限公司台州中心支公司</w:t>
            </w:r>
          </w:p>
        </w:tc>
        <w:tc>
          <w:tcPr>
            <w:tcW w:w="3210" w:type="dxa"/>
            <w:tcBorders>
              <w:tl2br w:val="nil"/>
              <w:tr2bl w:val="nil"/>
            </w:tcBorders>
            <w:noWrap w:val="0"/>
            <w:tcMar>
              <w:top w:w="0" w:type="dxa"/>
              <w:left w:w="105" w:type="dxa"/>
              <w:bottom w:w="0" w:type="dxa"/>
              <w:right w:w="105" w:type="dxa"/>
            </w:tcMar>
            <w:vAlign w:val="center"/>
          </w:tcPr>
          <w:p w14:paraId="16ED59B2">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年费率1%-2%，最低保费500元</w:t>
            </w:r>
          </w:p>
        </w:tc>
        <w:tc>
          <w:tcPr>
            <w:tcW w:w="1095" w:type="dxa"/>
            <w:tcBorders>
              <w:tl2br w:val="nil"/>
              <w:tr2bl w:val="nil"/>
            </w:tcBorders>
            <w:noWrap w:val="0"/>
            <w:tcMar>
              <w:top w:w="0" w:type="dxa"/>
              <w:left w:w="105" w:type="dxa"/>
              <w:bottom w:w="0" w:type="dxa"/>
              <w:right w:w="105" w:type="dxa"/>
            </w:tcMar>
            <w:vAlign w:val="center"/>
          </w:tcPr>
          <w:p w14:paraId="67C9D068">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罗赛</w:t>
            </w:r>
          </w:p>
        </w:tc>
        <w:tc>
          <w:tcPr>
            <w:tcW w:w="1574" w:type="dxa"/>
            <w:tcBorders>
              <w:tl2br w:val="nil"/>
              <w:tr2bl w:val="nil"/>
            </w:tcBorders>
            <w:noWrap w:val="0"/>
            <w:tcMar>
              <w:top w:w="0" w:type="dxa"/>
              <w:left w:w="105" w:type="dxa"/>
              <w:bottom w:w="0" w:type="dxa"/>
              <w:right w:w="105" w:type="dxa"/>
            </w:tcMar>
            <w:vAlign w:val="center"/>
          </w:tcPr>
          <w:p w14:paraId="12D24A24">
            <w:pPr>
              <w:keepNext w:val="0"/>
              <w:keepLines w:val="0"/>
              <w:pageBreakBefore w:val="0"/>
              <w:suppressLineNumbers w:val="0"/>
              <w:kinsoku/>
              <w:wordWrap/>
              <w:overflowPunct/>
              <w:topLinePunct w:val="0"/>
              <w:bidi w:val="0"/>
              <w:snapToGrid/>
              <w:spacing w:before="0" w:beforeAutospacing="0" w:after="0" w:afterAutospacing="0" w:line="4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13736605643</w:t>
            </w:r>
          </w:p>
        </w:tc>
      </w:tr>
    </w:tbl>
    <w:p w14:paraId="6C62C988">
      <w:pPr>
        <w:keepNext w:val="0"/>
        <w:keepLines w:val="0"/>
        <w:pageBreakBefore w:val="0"/>
        <w:kinsoku/>
        <w:topLinePunct w:val="0"/>
        <w:bidi w:val="0"/>
        <w:spacing w:beforeAutospacing="0" w:afterAutospacing="0"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十一</w:t>
      </w:r>
      <w:r>
        <w:rPr>
          <w:rFonts w:hint="eastAsia" w:ascii="宋体" w:hAnsi="宋体" w:eastAsia="宋体" w:cs="宋体"/>
          <w:b/>
          <w:color w:val="auto"/>
          <w:sz w:val="21"/>
          <w:szCs w:val="21"/>
          <w:highlight w:val="none"/>
        </w:rPr>
        <w:t>、采购（中标）公告发布媒体：</w:t>
      </w:r>
      <w:r>
        <w:rPr>
          <w:rFonts w:hint="eastAsia" w:ascii="宋体" w:hAnsi="宋体" w:eastAsia="宋体" w:cs="宋体"/>
          <w:color w:val="auto"/>
          <w:sz w:val="21"/>
          <w:szCs w:val="21"/>
          <w:highlight w:val="none"/>
        </w:rPr>
        <w:t>浙江政府采购网（</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"http://www.zjzfcg.gov.cn/new/" </w:instrText>
      </w:r>
      <w:r>
        <w:rPr>
          <w:rFonts w:hint="eastAsia" w:ascii="宋体" w:hAnsi="宋体" w:eastAsia="宋体" w:cs="宋体"/>
          <w:color w:val="auto"/>
          <w:sz w:val="21"/>
          <w:szCs w:val="21"/>
          <w:highlight w:val="none"/>
        </w:rPr>
        <w:fldChar w:fldCharType="separate"/>
      </w:r>
      <w:r>
        <w:rPr>
          <w:rStyle w:val="30"/>
          <w:rFonts w:hint="eastAsia" w:ascii="宋体" w:hAnsi="宋体" w:eastAsia="宋体" w:cs="宋体"/>
          <w:color w:val="auto"/>
          <w:sz w:val="21"/>
          <w:szCs w:val="21"/>
          <w:highlight w:val="none"/>
        </w:rPr>
        <w:t>http://zfcg.czt.zj.gov.cn</w:t>
      </w:r>
      <w:r>
        <w:rPr>
          <w:rStyle w:val="30"/>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w:t>
      </w:r>
    </w:p>
    <w:p w14:paraId="17BE1B62">
      <w:pPr>
        <w:keepNext w:val="0"/>
        <w:keepLines w:val="0"/>
        <w:pageBreakBefore w:val="0"/>
        <w:kinsoku/>
        <w:topLinePunct w:val="0"/>
        <w:bidi w:val="0"/>
        <w:spacing w:beforeAutospacing="0" w:afterAutospacing="0" w:line="360" w:lineRule="auto"/>
        <w:ind w:right="-252" w:rightChars="-12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备注：请贵单位下载本次招标采购文件后，认真阅读各项内容，进行必要的准备工作，按文件的要求详细填写和编制响应文件，并按以上确定的时间、地点准时上传</w:t>
      </w:r>
      <w:r>
        <w:rPr>
          <w:rFonts w:hint="eastAsia" w:ascii="宋体" w:hAnsi="宋体" w:eastAsia="宋体" w:cs="宋体"/>
          <w:b/>
          <w:color w:val="auto"/>
          <w:sz w:val="21"/>
          <w:szCs w:val="21"/>
          <w:highlight w:val="none"/>
          <w:lang w:val="en-US" w:eastAsia="zh-CN"/>
        </w:rPr>
        <w:t>响应</w:t>
      </w:r>
      <w:r>
        <w:rPr>
          <w:rFonts w:hint="eastAsia" w:ascii="宋体" w:hAnsi="宋体" w:eastAsia="宋体" w:cs="宋体"/>
          <w:b/>
          <w:color w:val="auto"/>
          <w:sz w:val="21"/>
          <w:szCs w:val="21"/>
          <w:highlight w:val="none"/>
        </w:rPr>
        <w:t>文件。</w:t>
      </w:r>
    </w:p>
    <w:p w14:paraId="26C2BBAB">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 </w:t>
      </w:r>
    </w:p>
    <w:p w14:paraId="4750DC81">
      <w:pPr>
        <w:spacing w:line="360" w:lineRule="auto"/>
        <w:jc w:val="right"/>
        <w:rPr>
          <w:rFonts w:hint="eastAsia" w:ascii="宋体" w:hAnsi="宋体" w:eastAsia="宋体" w:cs="宋体"/>
          <w:color w:val="auto"/>
          <w:sz w:val="21"/>
          <w:szCs w:val="21"/>
          <w:highlight w:val="none"/>
        </w:rPr>
      </w:pPr>
    </w:p>
    <w:p w14:paraId="3775A9E0">
      <w:pPr>
        <w:spacing w:line="360" w:lineRule="auto"/>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赢海招标代理（台州）有限公司</w:t>
      </w:r>
    </w:p>
    <w:p w14:paraId="4B0C39A7">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right"/>
        <w:rPr>
          <w:rFonts w:hint="eastAsia" w:ascii="宋体" w:hAnsi="宋体"/>
          <w:color w:val="auto"/>
          <w:sz w:val="24"/>
          <w:highlight w:val="none"/>
          <w:lang w:eastAsia="zh-CN"/>
        </w:rPr>
      </w:pP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月</w:t>
      </w:r>
    </w:p>
    <w:p w14:paraId="00180B8C">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hint="eastAsia" w:ascii="宋体" w:hAnsi="宋体"/>
          <w:b/>
          <w:color w:val="auto"/>
          <w:sz w:val="36"/>
          <w:szCs w:val="36"/>
          <w:highlight w:val="none"/>
        </w:rPr>
      </w:pPr>
      <w:r>
        <w:rPr>
          <w:rFonts w:hint="eastAsia" w:ascii="宋体" w:hAnsi="宋体"/>
          <w:color w:val="auto"/>
          <w:sz w:val="24"/>
          <w:highlight w:val="none"/>
          <w:lang w:eastAsia="zh-CN"/>
        </w:rPr>
        <w:br w:type="page"/>
      </w:r>
      <w:bookmarkStart w:id="2" w:name="_Toc15673"/>
      <w:r>
        <w:rPr>
          <w:rFonts w:hint="eastAsia" w:ascii="宋体" w:hAnsi="宋体"/>
          <w:b/>
          <w:color w:val="auto"/>
          <w:sz w:val="36"/>
          <w:szCs w:val="36"/>
          <w:highlight w:val="none"/>
        </w:rPr>
        <w:t>第二章  供应商须知</w:t>
      </w:r>
      <w:bookmarkEnd w:id="2"/>
    </w:p>
    <w:p w14:paraId="154CD75B">
      <w:pPr>
        <w:spacing w:line="360" w:lineRule="auto"/>
        <w:jc w:val="center"/>
        <w:rPr>
          <w:rFonts w:ascii="宋体" w:hAnsi="宋体"/>
          <w:b/>
          <w:color w:val="auto"/>
          <w:sz w:val="24"/>
          <w:highlight w:val="none"/>
        </w:rPr>
      </w:pPr>
      <w:r>
        <w:rPr>
          <w:rFonts w:hint="eastAsia" w:ascii="宋体" w:hAnsi="宋体"/>
          <w:b/>
          <w:color w:val="auto"/>
          <w:sz w:val="24"/>
          <w:highlight w:val="none"/>
        </w:rPr>
        <w:t>前附表</w:t>
      </w:r>
    </w:p>
    <w:tbl>
      <w:tblPr>
        <w:tblStyle w:val="26"/>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530"/>
        <w:gridCol w:w="7212"/>
      </w:tblGrid>
      <w:tr w14:paraId="664F0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40" w:type="dxa"/>
            <w:noWrap w:val="0"/>
            <w:vAlign w:val="center"/>
          </w:tcPr>
          <w:p w14:paraId="1E246595">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30" w:type="dxa"/>
            <w:noWrap w:val="0"/>
            <w:vAlign w:val="center"/>
          </w:tcPr>
          <w:p w14:paraId="7A0A2824">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    目</w:t>
            </w:r>
          </w:p>
        </w:tc>
        <w:tc>
          <w:tcPr>
            <w:tcW w:w="7212" w:type="dxa"/>
            <w:noWrap w:val="0"/>
            <w:vAlign w:val="center"/>
          </w:tcPr>
          <w:p w14:paraId="1C27604E">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                 容</w:t>
            </w:r>
          </w:p>
        </w:tc>
      </w:tr>
      <w:tr w14:paraId="68E1E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 w:type="dxa"/>
            <w:noWrap w:val="0"/>
            <w:vAlign w:val="center"/>
          </w:tcPr>
          <w:p w14:paraId="21DC2742">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530" w:type="dxa"/>
            <w:noWrap w:val="0"/>
            <w:vAlign w:val="center"/>
          </w:tcPr>
          <w:p w14:paraId="746C6298">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项目说明</w:t>
            </w:r>
          </w:p>
        </w:tc>
        <w:tc>
          <w:tcPr>
            <w:tcW w:w="7212" w:type="dxa"/>
            <w:noWrap w:val="0"/>
            <w:vAlign w:val="center"/>
          </w:tcPr>
          <w:p w14:paraId="1A9A3E55">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项目类别：服务类</w:t>
            </w:r>
          </w:p>
          <w:p w14:paraId="15411A0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w:t>
            </w:r>
            <w:r>
              <w:rPr>
                <w:rFonts w:hint="eastAsia" w:ascii="宋体" w:hAnsi="宋体" w:eastAsia="宋体" w:cs="宋体"/>
                <w:color w:val="auto"/>
                <w:sz w:val="21"/>
                <w:szCs w:val="21"/>
                <w:highlight w:val="none"/>
                <w:lang w:val="en-US" w:eastAsia="zh-CN"/>
              </w:rPr>
              <w:t>（十六）其他未列明行业</w:t>
            </w:r>
            <w:r>
              <w:rPr>
                <w:rFonts w:hint="eastAsia" w:ascii="宋体" w:hAnsi="宋体" w:eastAsia="宋体" w:cs="宋体"/>
                <w:color w:val="auto"/>
                <w:sz w:val="21"/>
                <w:szCs w:val="21"/>
                <w:highlight w:val="none"/>
              </w:rPr>
              <w:t>。</w:t>
            </w:r>
          </w:p>
        </w:tc>
      </w:tr>
      <w:tr w14:paraId="09850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 w:type="dxa"/>
            <w:noWrap w:val="0"/>
            <w:vAlign w:val="center"/>
          </w:tcPr>
          <w:p w14:paraId="5A5A5DC1">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530" w:type="dxa"/>
            <w:noWrap w:val="0"/>
            <w:vAlign w:val="center"/>
          </w:tcPr>
          <w:p w14:paraId="0C0C69B6">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供应商特定资格要求</w:t>
            </w:r>
          </w:p>
        </w:tc>
        <w:tc>
          <w:tcPr>
            <w:tcW w:w="7212" w:type="dxa"/>
            <w:noWrap w:val="0"/>
            <w:vAlign w:val="center"/>
          </w:tcPr>
          <w:p w14:paraId="5349AF7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符合竞争性磋商公告资格要求的供应商。</w:t>
            </w:r>
          </w:p>
        </w:tc>
      </w:tr>
      <w:tr w14:paraId="37A4D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 w:type="dxa"/>
            <w:noWrap w:val="0"/>
            <w:vAlign w:val="center"/>
          </w:tcPr>
          <w:p w14:paraId="2134A506">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530" w:type="dxa"/>
            <w:noWrap w:val="0"/>
            <w:vAlign w:val="center"/>
          </w:tcPr>
          <w:p w14:paraId="30243346">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答疑会或</w:t>
            </w:r>
            <w:r>
              <w:rPr>
                <w:rFonts w:hint="eastAsia" w:ascii="宋体" w:hAnsi="宋体" w:eastAsia="宋体" w:cs="宋体"/>
                <w:color w:val="auto"/>
                <w:sz w:val="21"/>
                <w:szCs w:val="21"/>
                <w:highlight w:val="none"/>
              </w:rPr>
              <w:t>现场踏勘</w:t>
            </w:r>
          </w:p>
        </w:tc>
        <w:tc>
          <w:tcPr>
            <w:tcW w:w="7212" w:type="dxa"/>
            <w:noWrap w:val="0"/>
            <w:vAlign w:val="center"/>
          </w:tcPr>
          <w:p w14:paraId="30B695EC">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无</w:t>
            </w:r>
          </w:p>
        </w:tc>
      </w:tr>
      <w:tr w14:paraId="47AA4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 w:type="dxa"/>
            <w:noWrap w:val="0"/>
            <w:vAlign w:val="center"/>
          </w:tcPr>
          <w:p w14:paraId="3E69D400">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530" w:type="dxa"/>
            <w:noWrap w:val="0"/>
            <w:vAlign w:val="center"/>
          </w:tcPr>
          <w:p w14:paraId="2B846F7F">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lang w:val="en-US" w:eastAsia="zh-CN"/>
              </w:rPr>
              <w:t>组成</w:t>
            </w:r>
            <w:r>
              <w:rPr>
                <w:rFonts w:hint="eastAsia" w:ascii="宋体" w:hAnsi="宋体" w:eastAsia="宋体" w:cs="宋体"/>
                <w:color w:val="auto"/>
                <w:sz w:val="21"/>
                <w:szCs w:val="21"/>
                <w:highlight w:val="none"/>
              </w:rPr>
              <w:t>要求</w:t>
            </w:r>
          </w:p>
        </w:tc>
        <w:tc>
          <w:tcPr>
            <w:tcW w:w="7212" w:type="dxa"/>
            <w:noWrap w:val="0"/>
            <w:vAlign w:val="center"/>
          </w:tcPr>
          <w:p w14:paraId="096288F4">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本项目实行电子投标，供应商应准备电子磋商响应文件、</w:t>
            </w:r>
            <w:r>
              <w:rPr>
                <w:rFonts w:hint="eastAsia" w:ascii="宋体" w:hAnsi="宋体" w:eastAsia="宋体" w:cs="宋体"/>
                <w:color w:val="auto"/>
                <w:sz w:val="21"/>
                <w:szCs w:val="21"/>
                <w:highlight w:val="none"/>
                <w:lang w:val="en-US" w:eastAsia="zh-CN"/>
              </w:rPr>
              <w:t>还可以提供</w:t>
            </w:r>
            <w:r>
              <w:rPr>
                <w:rFonts w:hint="eastAsia" w:ascii="宋体" w:hAnsi="宋体" w:eastAsia="宋体" w:cs="宋体"/>
                <w:color w:val="auto"/>
                <w:sz w:val="21"/>
                <w:szCs w:val="21"/>
                <w:highlight w:val="none"/>
              </w:rPr>
              <w:t>以介质（U盘）存储的数据电文形式的备份磋商响应文件</w:t>
            </w:r>
            <w:r>
              <w:rPr>
                <w:rFonts w:hint="eastAsia" w:ascii="宋体" w:hAnsi="宋体" w:eastAsia="宋体" w:cs="宋体"/>
                <w:color w:val="auto"/>
                <w:sz w:val="21"/>
                <w:szCs w:val="21"/>
                <w:highlight w:val="none"/>
                <w:lang w:eastAsia="zh-CN"/>
              </w:rPr>
              <w:t>。</w:t>
            </w:r>
          </w:p>
          <w:p w14:paraId="515033B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指通过“</w:t>
            </w:r>
            <w:r>
              <w:rPr>
                <w:rFonts w:hint="eastAsia" w:ascii="宋体" w:hAnsi="宋体" w:eastAsia="宋体" w:cs="宋体"/>
                <w:color w:val="auto"/>
                <w:sz w:val="21"/>
                <w:szCs w:val="21"/>
                <w:highlight w:val="none"/>
                <w:lang w:eastAsia="zh-CN"/>
              </w:rPr>
              <w:t>政采云电子投标客户端</w:t>
            </w: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文件编制后生成并加密的数据电文形式的</w:t>
            </w:r>
            <w:r>
              <w:rPr>
                <w:rFonts w:hint="eastAsia" w:ascii="宋体" w:hAnsi="宋体" w:eastAsia="宋体" w:cs="宋体"/>
                <w:color w:val="auto"/>
                <w:sz w:val="21"/>
                <w:szCs w:val="21"/>
                <w:highlight w:val="none"/>
                <w:lang w:val="en-US" w:eastAsia="zh-CN"/>
              </w:rPr>
              <w:t>电子</w:t>
            </w:r>
            <w:r>
              <w:rPr>
                <w:rFonts w:hint="eastAsia" w:ascii="宋体" w:hAnsi="宋体" w:eastAsia="宋体" w:cs="宋体"/>
                <w:color w:val="auto"/>
                <w:sz w:val="21"/>
                <w:szCs w:val="21"/>
                <w:highlight w:val="none"/>
              </w:rPr>
              <w:t>磋商响应文件。</w:t>
            </w:r>
          </w:p>
          <w:p w14:paraId="76DB160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是指“电子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文件”同时生成的数据电文形式的电子文件（备份标书），以U盘形式提供。</w:t>
            </w:r>
          </w:p>
          <w:p w14:paraId="3026A883">
            <w:pPr>
              <w:keepNext w:val="0"/>
              <w:keepLines w:val="0"/>
              <w:pageBreakBefore w:val="0"/>
              <w:kinsoku/>
              <w:wordWrap/>
              <w:overflowPunct/>
              <w:topLinePunct w:val="0"/>
              <w:bidi w:val="0"/>
              <w:spacing w:line="240" w:lineRule="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以上两类</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文件均由资格</w:t>
            </w:r>
            <w:r>
              <w:rPr>
                <w:rFonts w:hint="eastAsia" w:ascii="宋体" w:hAnsi="宋体" w:eastAsia="宋体" w:cs="宋体"/>
                <w:color w:val="auto"/>
                <w:sz w:val="21"/>
                <w:szCs w:val="21"/>
                <w:highlight w:val="none"/>
                <w:lang w:val="en-US" w:eastAsia="zh-CN"/>
              </w:rPr>
              <w:t>证明文件</w:t>
            </w:r>
            <w:r>
              <w:rPr>
                <w:rFonts w:hint="eastAsia" w:ascii="宋体" w:hAnsi="宋体" w:eastAsia="宋体" w:cs="宋体"/>
                <w:color w:val="auto"/>
                <w:sz w:val="21"/>
                <w:szCs w:val="21"/>
                <w:highlight w:val="none"/>
              </w:rPr>
              <w:t>、商务技术文件、报价文件三部分组成。</w:t>
            </w:r>
          </w:p>
        </w:tc>
      </w:tr>
      <w:tr w14:paraId="0BC8C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 w:type="dxa"/>
            <w:noWrap w:val="0"/>
            <w:vAlign w:val="center"/>
          </w:tcPr>
          <w:p w14:paraId="64F6A113">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1530" w:type="dxa"/>
            <w:noWrap w:val="0"/>
            <w:vAlign w:val="center"/>
          </w:tcPr>
          <w:p w14:paraId="5A38037D">
            <w:pPr>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磋商响应文件有效期</w:t>
            </w:r>
          </w:p>
        </w:tc>
        <w:tc>
          <w:tcPr>
            <w:tcW w:w="7212" w:type="dxa"/>
            <w:noWrap w:val="0"/>
            <w:vAlign w:val="center"/>
          </w:tcPr>
          <w:p w14:paraId="794E4F3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▲磋商响应有效期为90天，磋商响应有效期从提交磋商响应文件的截止之日起算。</w:t>
            </w:r>
          </w:p>
        </w:tc>
      </w:tr>
      <w:tr w14:paraId="46C6B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 w:type="dxa"/>
            <w:noWrap w:val="0"/>
            <w:vAlign w:val="center"/>
          </w:tcPr>
          <w:p w14:paraId="172BE9CE">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530" w:type="dxa"/>
            <w:noWrap w:val="0"/>
            <w:vAlign w:val="center"/>
          </w:tcPr>
          <w:p w14:paraId="005A6884">
            <w:pPr>
              <w:pStyle w:val="9"/>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电子磋商响应文件的传输递交</w:t>
            </w:r>
          </w:p>
        </w:tc>
        <w:tc>
          <w:tcPr>
            <w:tcW w:w="7212" w:type="dxa"/>
            <w:noWrap w:val="0"/>
            <w:vAlign w:val="center"/>
          </w:tcPr>
          <w:p w14:paraId="0DD2119B">
            <w:pPr>
              <w:keepNext w:val="0"/>
              <w:keepLines w:val="0"/>
              <w:pageBreakBefore w:val="0"/>
              <w:kinsoku/>
              <w:wordWrap/>
              <w:overflowPunct/>
              <w:topLinePunct w:val="0"/>
              <w:bidi w:val="0"/>
              <w:spacing w:line="240" w:lineRule="auto"/>
              <w:outlineLvl w:val="9"/>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val="0"/>
                <w:bCs w:val="0"/>
                <w:color w:val="auto"/>
                <w:kern w:val="2"/>
                <w:sz w:val="21"/>
                <w:szCs w:val="21"/>
                <w:highlight w:val="none"/>
                <w:lang w:val="en-US" w:eastAsia="zh-CN" w:bidi="ar-SA"/>
              </w:rPr>
              <w:t xml:space="preserve"> </w:t>
            </w:r>
            <w:r>
              <w:rPr>
                <w:rFonts w:hint="eastAsia" w:ascii="宋体" w:hAnsi="宋体" w:eastAsia="宋体" w:cs="宋体"/>
                <w:b/>
                <w:bCs/>
                <w:color w:val="auto"/>
                <w:kern w:val="2"/>
                <w:sz w:val="21"/>
                <w:szCs w:val="21"/>
                <w:highlight w:val="none"/>
                <w:u w:val="single"/>
                <w:lang w:val="en-US" w:eastAsia="zh-CN" w:bidi="ar-SA"/>
              </w:rPr>
              <w:t>同磋商开始时间</w:t>
            </w:r>
          </w:p>
          <w:p w14:paraId="5752A4BC">
            <w:pPr>
              <w:keepNext w:val="0"/>
              <w:keepLines w:val="0"/>
              <w:pageBreakBefore w:val="0"/>
              <w:kinsoku/>
              <w:wordWrap/>
              <w:overflowPunct/>
              <w:topLinePunct w:val="0"/>
              <w:bidi w:val="0"/>
              <w:spacing w:line="240" w:lineRule="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供应商应当在磋商截止时间前完成电子磋商响应文件的传输递交，磋商截止时间前可以补充、修改或者撤回电子磋商响应文件。补充或者修改电子磋商响应文件的，应当先行撤回原文件，补充、修改后重新传输递交。磋商截止时间前未完成传输的，视为撤回磋商响应文件。磋商截止时间后寄达的磋商响应文件，将被拒收。</w:t>
            </w:r>
          </w:p>
        </w:tc>
      </w:tr>
      <w:tr w14:paraId="7173F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5" w:hRule="atLeast"/>
          <w:jc w:val="center"/>
        </w:trPr>
        <w:tc>
          <w:tcPr>
            <w:tcW w:w="740" w:type="dxa"/>
            <w:noWrap w:val="0"/>
            <w:vAlign w:val="center"/>
          </w:tcPr>
          <w:p w14:paraId="3C07D21C">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p>
        </w:tc>
        <w:tc>
          <w:tcPr>
            <w:tcW w:w="1530" w:type="dxa"/>
            <w:noWrap w:val="0"/>
            <w:vAlign w:val="center"/>
          </w:tcPr>
          <w:p w14:paraId="58A7CE0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备份磋商响应文件的递交</w:t>
            </w:r>
          </w:p>
        </w:tc>
        <w:tc>
          <w:tcPr>
            <w:tcW w:w="7212" w:type="dxa"/>
            <w:noWrap w:val="0"/>
            <w:vAlign w:val="center"/>
          </w:tcPr>
          <w:p w14:paraId="1A9242C5">
            <w:pPr>
              <w:pStyle w:val="58"/>
              <w:keepNext w:val="0"/>
              <w:keepLines w:val="0"/>
              <w:pageBreakBefore w:val="0"/>
              <w:kinsoku/>
              <w:wordWrap/>
              <w:overflowPunct/>
              <w:topLinePunct w:val="0"/>
              <w:bidi w:val="0"/>
              <w:snapToGrid w:val="0"/>
              <w:spacing w:line="240" w:lineRule="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rPr>
              <w:t>供应商同时还可以提供经政采云平台加密处理的、以介质（U盘）存储的数据电文形式的备份磋商响应文件（不强制要求，未递交备份磋商响应文件的风险由供应商自行承担）。备份磋商响应文件应当在磋商截止时间前送达并按要求密封（备份磋商响应文件在密封袋的封口处应有磋商供应商公章或磋商授权委托代理人签字。封皮上写明项目编号、标段、招标项目名称、供应商名称，并注明“备份磋商响应文件”、“磋商时启封”字样）并建议采用顺丰邮寄（或直接递交）到</w:t>
            </w:r>
            <w:r>
              <w:rPr>
                <w:rFonts w:hint="eastAsia" w:ascii="宋体" w:hAnsi="宋体" w:eastAsia="宋体" w:cs="宋体"/>
                <w:b/>
                <w:bCs/>
                <w:color w:val="auto"/>
                <w:kern w:val="2"/>
                <w:sz w:val="21"/>
                <w:szCs w:val="21"/>
                <w:highlight w:val="none"/>
                <w:lang w:val="en-US" w:eastAsia="zh-CN"/>
              </w:rPr>
              <w:t>台州市椒江区白云街道开元路43-45号二楼；</w:t>
            </w:r>
            <w:r>
              <w:rPr>
                <w:rFonts w:hint="eastAsia" w:ascii="宋体" w:hAnsi="宋体" w:eastAsia="宋体" w:cs="宋体"/>
                <w:b/>
                <w:bCs/>
                <w:color w:val="auto"/>
                <w:kern w:val="2"/>
                <w:sz w:val="21"/>
                <w:szCs w:val="21"/>
                <w:highlight w:val="none"/>
              </w:rPr>
              <w:t>收件人：</w:t>
            </w:r>
            <w:r>
              <w:rPr>
                <w:rFonts w:hint="eastAsia" w:ascii="宋体" w:hAnsi="宋体" w:eastAsia="宋体" w:cs="宋体"/>
                <w:b/>
                <w:bCs/>
                <w:color w:val="auto"/>
                <w:kern w:val="2"/>
                <w:sz w:val="21"/>
                <w:szCs w:val="21"/>
                <w:highlight w:val="none"/>
                <w:lang w:val="en-US" w:eastAsia="zh-CN"/>
              </w:rPr>
              <w:t>陈海东</w:t>
            </w:r>
            <w:r>
              <w:rPr>
                <w:rFonts w:hint="eastAsia" w:ascii="宋体" w:hAnsi="宋体" w:eastAsia="宋体" w:cs="宋体"/>
                <w:b/>
                <w:bCs/>
                <w:color w:val="auto"/>
                <w:kern w:val="2"/>
                <w:sz w:val="21"/>
                <w:szCs w:val="21"/>
                <w:highlight w:val="none"/>
              </w:rPr>
              <w:t>；联系电话：</w:t>
            </w:r>
            <w:r>
              <w:rPr>
                <w:rFonts w:hint="eastAsia" w:ascii="宋体" w:hAnsi="宋体" w:eastAsia="宋体" w:cs="宋体"/>
                <w:b/>
                <w:bCs/>
                <w:color w:val="auto"/>
                <w:kern w:val="2"/>
                <w:sz w:val="21"/>
                <w:szCs w:val="21"/>
                <w:highlight w:val="none"/>
                <w:lang w:val="en-US" w:eastAsia="zh-CN"/>
              </w:rPr>
              <w:t>18806860226</w:t>
            </w:r>
            <w:r>
              <w:rPr>
                <w:rFonts w:hint="eastAsia" w:ascii="宋体" w:hAnsi="宋体" w:eastAsia="宋体" w:cs="宋体"/>
                <w:color w:val="auto"/>
                <w:kern w:val="2"/>
                <w:sz w:val="21"/>
                <w:szCs w:val="21"/>
                <w:highlight w:val="none"/>
              </w:rPr>
              <w:t>，逾期寄达、到付或未按要求密封将被拒收。</w:t>
            </w:r>
            <w:r>
              <w:rPr>
                <w:rFonts w:hint="eastAsia" w:ascii="宋体" w:hAnsi="宋体" w:eastAsia="宋体" w:cs="宋体"/>
                <w:color w:val="auto"/>
                <w:kern w:val="2"/>
                <w:sz w:val="21"/>
                <w:szCs w:val="21"/>
                <w:highlight w:val="none"/>
                <w:lang w:val="en-US" w:eastAsia="zh-CN" w:bidi="ar-SA"/>
              </w:rPr>
              <w:t>▲如供应商未在磋商截止时间前完成电子磋商响应文件的传输递交，其备份磋商响应文件也将为无效磋商响应文件。</w:t>
            </w:r>
          </w:p>
          <w:p w14:paraId="08885180">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en-US"/>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bCs/>
                <w:color w:val="auto"/>
                <w:kern w:val="2"/>
                <w:sz w:val="21"/>
                <w:szCs w:val="21"/>
                <w:highlight w:val="none"/>
                <w:u w:val="single"/>
                <w:lang w:val="en-US" w:eastAsia="zh-CN" w:bidi="ar-SA"/>
              </w:rPr>
              <w:t>同磋商开始时间</w:t>
            </w:r>
          </w:p>
        </w:tc>
      </w:tr>
      <w:tr w14:paraId="7688F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jc w:val="center"/>
        </w:trPr>
        <w:tc>
          <w:tcPr>
            <w:tcW w:w="740" w:type="dxa"/>
            <w:noWrap w:val="0"/>
            <w:vAlign w:val="center"/>
          </w:tcPr>
          <w:p w14:paraId="3061850A">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530" w:type="dxa"/>
            <w:noWrap w:val="0"/>
            <w:vAlign w:val="center"/>
          </w:tcPr>
          <w:p w14:paraId="3B19318D">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备份</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份数</w:t>
            </w:r>
            <w:r>
              <w:rPr>
                <w:rFonts w:hint="eastAsia" w:ascii="宋体" w:hAnsi="宋体" w:eastAsia="宋体" w:cs="宋体"/>
                <w:color w:val="auto"/>
                <w:sz w:val="21"/>
                <w:szCs w:val="21"/>
                <w:highlight w:val="none"/>
                <w:lang w:val="en-US" w:eastAsia="zh-CN"/>
              </w:rPr>
              <w:t>及密封要求</w:t>
            </w:r>
          </w:p>
        </w:tc>
        <w:tc>
          <w:tcPr>
            <w:tcW w:w="7212" w:type="dxa"/>
            <w:noWrap w:val="0"/>
            <w:vAlign w:val="center"/>
          </w:tcPr>
          <w:p w14:paraId="141DEDB8">
            <w:pPr>
              <w:pStyle w:val="22"/>
              <w:keepNext w:val="0"/>
              <w:keepLines w:val="0"/>
              <w:pageBreakBefore w:val="0"/>
              <w:numPr>
                <w:ilvl w:val="0"/>
                <w:numId w:val="0"/>
              </w:numPr>
              <w:kinsoku/>
              <w:wordWrap/>
              <w:overflowPunct/>
              <w:topLinePunct w:val="0"/>
              <w:bidi w:val="0"/>
              <w:spacing w:before="0" w:beforeAutospacing="0" w:after="0" w:afterAutospacing="0" w:line="240" w:lineRule="auto"/>
              <w:textAlignment w:val="auto"/>
              <w:outlineLvl w:val="9"/>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如提供备份文件的，提供</w:t>
            </w:r>
            <w:r>
              <w:rPr>
                <w:rFonts w:hint="eastAsia" w:ascii="宋体" w:hAnsi="宋体" w:eastAsia="宋体" w:cs="宋体"/>
                <w:color w:val="auto"/>
                <w:sz w:val="21"/>
                <w:szCs w:val="21"/>
                <w:highlight w:val="none"/>
              </w:rPr>
              <w:t>一份，以U盘形式提供。</w:t>
            </w:r>
          </w:p>
          <w:p w14:paraId="53A1F861">
            <w:pPr>
              <w:keepNext w:val="0"/>
              <w:keepLines w:val="0"/>
              <w:pageBreakBefore w:val="0"/>
              <w:kinsoku/>
              <w:wordWrap/>
              <w:overflowPunct/>
              <w:topLinePunct w:val="0"/>
              <w:bidi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备份</w:t>
            </w:r>
            <w:r>
              <w:rPr>
                <w:rFonts w:hint="eastAsia" w:ascii="宋体" w:hAnsi="宋体" w:eastAsia="宋体" w:cs="宋体"/>
                <w:bCs/>
                <w:color w:val="auto"/>
                <w:sz w:val="21"/>
                <w:szCs w:val="21"/>
                <w:highlight w:val="none"/>
                <w:lang w:val="en-US" w:eastAsia="zh-CN"/>
              </w:rPr>
              <w:t>磋商响应</w:t>
            </w:r>
            <w:r>
              <w:rPr>
                <w:rFonts w:hint="eastAsia" w:ascii="宋体" w:hAnsi="宋体" w:eastAsia="宋体" w:cs="宋体"/>
                <w:bCs/>
                <w:color w:val="auto"/>
                <w:sz w:val="21"/>
                <w:szCs w:val="21"/>
                <w:highlight w:val="none"/>
              </w:rPr>
              <w:t>文件在密封袋的封口处加盖投标人公章、法定代表人代表或授权委托代理人印章或签字。封皮上写明项目编号、标项、招标项目名称、投标人名称，并注明“</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文件名称”、“开标时启封”字样</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bCs/>
                <w:color w:val="auto"/>
                <w:sz w:val="21"/>
                <w:szCs w:val="21"/>
                <w:highlight w:val="none"/>
              </w:rPr>
              <w:t>，采购代理机构对</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文件的误投和提前启封不负责任。</w:t>
            </w:r>
          </w:p>
          <w:p w14:paraId="30E08CEA">
            <w:pPr>
              <w:keepNext w:val="0"/>
              <w:keepLines w:val="0"/>
              <w:pageBreakBefore w:val="0"/>
              <w:kinsoku/>
              <w:wordWrap/>
              <w:overflowPunct/>
              <w:topLinePunct w:val="0"/>
              <w:bidi w:val="0"/>
              <w:spacing w:line="24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rPr>
              <w:t>如电子</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文件解密成功，则备份</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文件不再拆封。</w:t>
            </w:r>
          </w:p>
        </w:tc>
      </w:tr>
      <w:tr w14:paraId="2738C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40" w:type="dxa"/>
            <w:noWrap w:val="0"/>
            <w:vAlign w:val="center"/>
          </w:tcPr>
          <w:p w14:paraId="11399C61">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9</w:t>
            </w:r>
          </w:p>
        </w:tc>
        <w:tc>
          <w:tcPr>
            <w:tcW w:w="1530" w:type="dxa"/>
            <w:noWrap w:val="0"/>
            <w:vAlign w:val="center"/>
          </w:tcPr>
          <w:p w14:paraId="6777122E">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磋商时间及地点</w:t>
            </w:r>
          </w:p>
        </w:tc>
        <w:tc>
          <w:tcPr>
            <w:tcW w:w="7212" w:type="dxa"/>
            <w:noWrap w:val="0"/>
            <w:vAlign w:val="center"/>
          </w:tcPr>
          <w:p w14:paraId="18B9C927">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时间：以浙江政府采购网（https://zfcg.czt.zj.gov.cn）公告时间为准；</w:t>
            </w:r>
          </w:p>
          <w:p w14:paraId="4227F2E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地点：通过“政府采购云平台（www.zcygov.cn）”实行在线投标响应。</w:t>
            </w:r>
          </w:p>
        </w:tc>
      </w:tr>
      <w:tr w14:paraId="0DCB9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740" w:type="dxa"/>
            <w:noWrap w:val="0"/>
            <w:vAlign w:val="center"/>
          </w:tcPr>
          <w:p w14:paraId="50CE362D">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530" w:type="dxa"/>
            <w:noWrap w:val="0"/>
            <w:vAlign w:val="center"/>
          </w:tcPr>
          <w:p w14:paraId="1A03316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w:t>
            </w:r>
          </w:p>
        </w:tc>
        <w:tc>
          <w:tcPr>
            <w:tcW w:w="7212" w:type="dxa"/>
            <w:noWrap w:val="0"/>
            <w:vAlign w:val="center"/>
          </w:tcPr>
          <w:p w14:paraId="11052E7A">
            <w:pPr>
              <w:keepNext w:val="0"/>
              <w:keepLines w:val="0"/>
              <w:pageBreakBefore w:val="0"/>
              <w:numPr>
                <w:ilvl w:val="0"/>
                <w:numId w:val="0"/>
              </w:numPr>
              <w:kinsoku/>
              <w:wordWrap/>
              <w:overflowPunct/>
              <w:topLinePunct w:val="0"/>
              <w:bidi w:val="0"/>
              <w:spacing w:line="240" w:lineRule="auto"/>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踏勘现场时间及地点：不组织，各投标单位根据自己需要，自行前往勘察现场和周围环境，所产生的费用由投标单位自理。</w:t>
            </w:r>
          </w:p>
          <w:p w14:paraId="52CFD7F4">
            <w:pPr>
              <w:keepNext w:val="0"/>
              <w:keepLines w:val="0"/>
              <w:pageBreakBefore w:val="0"/>
              <w:numPr>
                <w:ilvl w:val="0"/>
                <w:numId w:val="0"/>
              </w:numPr>
              <w:kinsoku/>
              <w:wordWrap/>
              <w:overflowPunct/>
              <w:topLinePunct w:val="0"/>
              <w:bidi w:val="0"/>
              <w:spacing w:line="240" w:lineRule="auto"/>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2、节能产品、环保产品：无要求；</w:t>
            </w:r>
          </w:p>
          <w:p w14:paraId="0E7239B6">
            <w:pPr>
              <w:keepNext w:val="0"/>
              <w:keepLines w:val="0"/>
              <w:pageBreakBefore w:val="0"/>
              <w:numPr>
                <w:ilvl w:val="0"/>
                <w:numId w:val="0"/>
              </w:numPr>
              <w:kinsoku/>
              <w:wordWrap/>
              <w:overflowPunct/>
              <w:topLinePunct w:val="0"/>
              <w:bidi w:val="0"/>
              <w:spacing w:line="240" w:lineRule="auto"/>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3、样品：无要求；</w:t>
            </w:r>
          </w:p>
          <w:p w14:paraId="130FDCBA">
            <w:pPr>
              <w:keepNext w:val="0"/>
              <w:keepLines w:val="0"/>
              <w:pageBreakBefore w:val="0"/>
              <w:numPr>
                <w:ilvl w:val="0"/>
                <w:numId w:val="0"/>
              </w:numPr>
              <w:kinsoku/>
              <w:wordWrap/>
              <w:overflowPunct/>
              <w:topLinePunct w:val="0"/>
              <w:bidi w:val="0"/>
              <w:spacing w:line="240" w:lineRule="auto"/>
              <w:ind w:left="0" w:leftChars="0" w:firstLine="0" w:firstLineChars="0"/>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4、现场演示：</w:t>
            </w: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rPr>
              <w:t>要求。</w:t>
            </w:r>
          </w:p>
        </w:tc>
      </w:tr>
      <w:tr w14:paraId="119EE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40" w:type="dxa"/>
            <w:noWrap w:val="0"/>
            <w:vAlign w:val="center"/>
          </w:tcPr>
          <w:p w14:paraId="4F23C846">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530" w:type="dxa"/>
            <w:noWrap w:val="0"/>
            <w:vAlign w:val="center"/>
          </w:tcPr>
          <w:p w14:paraId="51E298A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中小企业扶持政策</w:t>
            </w:r>
          </w:p>
        </w:tc>
        <w:tc>
          <w:tcPr>
            <w:tcW w:w="7212" w:type="dxa"/>
            <w:noWrap w:val="0"/>
            <w:vAlign w:val="center"/>
          </w:tcPr>
          <w:p w14:paraId="32E49601">
            <w:pPr>
              <w:pStyle w:val="47"/>
              <w:numPr>
                <w:ilvl w:val="0"/>
                <w:numId w:val="0"/>
              </w:num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依据《政府采购促进中小企业发展管理办法》（财库【2020】46号）第四条规定，本项目服务由中小企业承接，即提供服务的人员为中小企业依照《中华人民共和国劳动合同法》签订劳动合同的从业人员，享受该办法规定对中小企业的扶持政策。残疾人福利性单位和监狱企业视同小型、微型企业。</w:t>
            </w:r>
          </w:p>
          <w:p w14:paraId="0645A6D9">
            <w:pPr>
              <w:pStyle w:val="47"/>
              <w:keepNext w:val="0"/>
              <w:keepLines w:val="0"/>
              <w:pageBreakBefore w:val="0"/>
              <w:numPr>
                <w:ilvl w:val="0"/>
                <w:numId w:val="0"/>
              </w:numPr>
              <w:kinsoku/>
              <w:wordWrap/>
              <w:overflowPunct/>
              <w:topLinePunct w:val="0"/>
              <w:bidi w:val="0"/>
              <w:spacing w:line="240" w:lineRule="auto"/>
              <w:ind w:left="0" w:leftChars="0" w:firstLine="0" w:firstLine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依据《政府采购促进中小企业发展管理办法》（财库【2020】46号）第十二条规定，享受扶持政策获得政府采购合同的，小微企业不得将合同分包给大中型企业，中型企业不得将合同分包给大型企业，否则按违约处理。</w:t>
            </w:r>
          </w:p>
        </w:tc>
      </w:tr>
      <w:tr w14:paraId="00873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40" w:type="dxa"/>
            <w:noWrap w:val="0"/>
            <w:vAlign w:val="center"/>
          </w:tcPr>
          <w:p w14:paraId="572FCEA1">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1530" w:type="dxa"/>
            <w:noWrap w:val="0"/>
            <w:vAlign w:val="center"/>
          </w:tcPr>
          <w:p w14:paraId="77F936D0">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履约保证金</w:t>
            </w:r>
          </w:p>
        </w:tc>
        <w:tc>
          <w:tcPr>
            <w:tcW w:w="7212" w:type="dxa"/>
            <w:noWrap w:val="0"/>
            <w:vAlign w:val="center"/>
          </w:tcPr>
          <w:p w14:paraId="1970A6B0">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本项目履约保证金为合同金额的1%。可采用银行保函、保险机构保证保险保单、保兑支票、银行汇票或支票，服务期满后无违约情况一个月内退还，如有违约情况，退还剩余部分。采用保函保单方式的，应当保证其有效期截止日须为所有活动结束止。</w:t>
            </w:r>
            <w:r>
              <w:rPr>
                <w:rFonts w:hint="eastAsia" w:ascii="宋体" w:hAnsi="宋体" w:eastAsia="宋体" w:cs="宋体"/>
                <w:color w:val="auto"/>
                <w:sz w:val="21"/>
                <w:szCs w:val="21"/>
                <w:highlight w:val="none"/>
                <w:lang w:val="en-US" w:eastAsia="zh-CN"/>
              </w:rPr>
              <w:t>保证金在合同签订前提交。</w:t>
            </w:r>
          </w:p>
        </w:tc>
      </w:tr>
      <w:tr w14:paraId="71E59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740" w:type="dxa"/>
            <w:noWrap w:val="0"/>
            <w:vAlign w:val="center"/>
          </w:tcPr>
          <w:p w14:paraId="58E18C2D">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1530" w:type="dxa"/>
            <w:noWrap w:val="0"/>
            <w:vAlign w:val="center"/>
          </w:tcPr>
          <w:p w14:paraId="372A868D">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实质性条款</w:t>
            </w:r>
          </w:p>
        </w:tc>
        <w:tc>
          <w:tcPr>
            <w:tcW w:w="7212" w:type="dxa"/>
            <w:noWrap w:val="0"/>
            <w:vAlign w:val="center"/>
          </w:tcPr>
          <w:p w14:paraId="2DD2985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带“</w:t>
            </w:r>
            <w:r>
              <w:rPr>
                <w:rFonts w:hint="eastAsia" w:ascii="宋体" w:hAnsi="宋体" w:eastAsia="宋体" w:cs="宋体"/>
                <w:color w:val="auto"/>
                <w:sz w:val="21"/>
                <w:szCs w:val="21"/>
                <w:highlight w:val="none"/>
              </w:rPr>
              <w:t>▲”的条款是实质性条款，磋商响应文件须做出实质性响应，否则终止磋商。</w:t>
            </w:r>
          </w:p>
        </w:tc>
      </w:tr>
      <w:tr w14:paraId="7C508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740" w:type="dxa"/>
            <w:noWrap w:val="0"/>
            <w:vAlign w:val="center"/>
          </w:tcPr>
          <w:p w14:paraId="448FB5AD">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1530" w:type="dxa"/>
            <w:noWrap w:val="0"/>
            <w:vAlign w:val="center"/>
          </w:tcPr>
          <w:p w14:paraId="1908CB09">
            <w:pPr>
              <w:spacing w:line="240" w:lineRule="auto"/>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en-US" w:eastAsia="zh-CN"/>
              </w:rPr>
              <w:t>其他</w:t>
            </w:r>
          </w:p>
        </w:tc>
        <w:tc>
          <w:tcPr>
            <w:tcW w:w="7212" w:type="dxa"/>
            <w:noWrap w:val="0"/>
            <w:vAlign w:val="center"/>
          </w:tcPr>
          <w:p w14:paraId="398439F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1、各供应商自行在浙江政府采购网下载或查阅采购文件和相关更正公告等，不另行通知，如有遗漏采购人、采购代理机构概不负责。</w:t>
            </w:r>
          </w:p>
          <w:p w14:paraId="0DAD82C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2、两家或两家以上供应商提供的投标文件出自同一终端设备的，或在相同Internet主机分配地址（相同IP地址）报名或网上投标的，后果由供应商自行承担。</w:t>
            </w:r>
          </w:p>
          <w:p w14:paraId="7CFB1710">
            <w:pPr>
              <w:spacing w:line="240" w:lineRule="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3、开标时间后30分钟内供应商须携带CA自备电脑登录“政采云”平台，用“项目采购-开标评标”功能解密投标文件，投标人未按时解密或解密失败的，其上传的电子投标文件自动失效。</w:t>
            </w:r>
          </w:p>
        </w:tc>
      </w:tr>
      <w:tr w14:paraId="5E21B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740" w:type="dxa"/>
            <w:noWrap w:val="0"/>
            <w:vAlign w:val="center"/>
          </w:tcPr>
          <w:p w14:paraId="2A34FD5E">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1530" w:type="dxa"/>
            <w:noWrap w:val="0"/>
            <w:vAlign w:val="center"/>
          </w:tcPr>
          <w:p w14:paraId="6006E165">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解释权</w:t>
            </w:r>
          </w:p>
        </w:tc>
        <w:tc>
          <w:tcPr>
            <w:tcW w:w="7212" w:type="dxa"/>
            <w:noWrap w:val="0"/>
            <w:vAlign w:val="center"/>
          </w:tcPr>
          <w:p w14:paraId="11F43436">
            <w:pPr>
              <w:keepNext w:val="0"/>
              <w:keepLines w:val="0"/>
              <w:pageBreakBefore w:val="0"/>
              <w:kinsoku/>
              <w:wordWrap/>
              <w:overflowPunct/>
              <w:topLinePunct w:val="0"/>
              <w:bidi w:val="0"/>
              <w:spacing w:line="240" w:lineRule="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本</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的解释权属于</w:t>
            </w:r>
            <w:r>
              <w:rPr>
                <w:rFonts w:hint="eastAsia" w:ascii="宋体" w:hAnsi="宋体" w:eastAsia="宋体" w:cs="宋体"/>
                <w:b/>
                <w:bCs/>
                <w:color w:val="auto"/>
                <w:sz w:val="21"/>
                <w:szCs w:val="21"/>
                <w:highlight w:val="none"/>
                <w:lang w:eastAsia="zh-CN"/>
              </w:rPr>
              <w:t>赢海招标代理（台州）有限公司</w:t>
            </w:r>
            <w:r>
              <w:rPr>
                <w:rFonts w:hint="eastAsia" w:ascii="宋体" w:hAnsi="宋体" w:eastAsia="宋体" w:cs="宋体"/>
                <w:b/>
                <w:color w:val="auto"/>
                <w:sz w:val="21"/>
                <w:szCs w:val="21"/>
                <w:highlight w:val="none"/>
                <w:lang w:val="en-US" w:eastAsia="zh-CN"/>
              </w:rPr>
              <w:t>和采购人</w:t>
            </w:r>
          </w:p>
        </w:tc>
      </w:tr>
    </w:tbl>
    <w:p w14:paraId="7E6A1935">
      <w:pPr>
        <w:pStyle w:val="13"/>
        <w:snapToGrid w:val="0"/>
        <w:spacing w:line="360" w:lineRule="auto"/>
        <w:jc w:val="left"/>
        <w:rPr>
          <w:rFonts w:hint="eastAsia" w:hAnsi="宋体"/>
          <w:b/>
          <w:color w:val="auto"/>
          <w:sz w:val="24"/>
          <w:highlight w:val="none"/>
        </w:rPr>
      </w:pPr>
    </w:p>
    <w:p w14:paraId="654EEDE3">
      <w:pPr>
        <w:pStyle w:val="13"/>
        <w:snapToGrid w:val="0"/>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一、总  则</w:t>
      </w:r>
    </w:p>
    <w:p w14:paraId="4C99F7E8">
      <w:pPr>
        <w:pStyle w:val="13"/>
        <w:snapToGrid w:val="0"/>
        <w:spacing w:line="360" w:lineRule="auto"/>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（一）适用范围</w:t>
      </w:r>
    </w:p>
    <w:p w14:paraId="6B75C271">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w:t>
      </w:r>
      <w:r>
        <w:rPr>
          <w:rFonts w:hint="eastAsia" w:ascii="宋体" w:hAnsi="宋体" w:eastAsia="宋体" w:cs="宋体"/>
          <w:bCs/>
          <w:color w:val="auto"/>
          <w:sz w:val="21"/>
          <w:szCs w:val="21"/>
          <w:highlight w:val="none"/>
        </w:rPr>
        <w:t>磋商文件</w:t>
      </w:r>
      <w:r>
        <w:rPr>
          <w:rFonts w:hint="eastAsia" w:ascii="宋体" w:hAnsi="宋体" w:eastAsia="宋体" w:cs="宋体"/>
          <w:color w:val="auto"/>
          <w:sz w:val="21"/>
          <w:szCs w:val="21"/>
          <w:highlight w:val="none"/>
        </w:rPr>
        <w:t>适用于</w:t>
      </w:r>
      <w:r>
        <w:rPr>
          <w:rFonts w:hint="eastAsia" w:ascii="宋体" w:hAnsi="宋体" w:eastAsia="宋体" w:cs="宋体"/>
          <w:bCs/>
          <w:color w:val="auto"/>
          <w:sz w:val="21"/>
          <w:szCs w:val="21"/>
          <w:highlight w:val="none"/>
        </w:rPr>
        <w:t>本次</w:t>
      </w:r>
      <w:r>
        <w:rPr>
          <w:rFonts w:hint="eastAsia" w:ascii="宋体" w:hAnsi="宋体" w:eastAsia="宋体" w:cs="宋体"/>
          <w:color w:val="auto"/>
          <w:sz w:val="21"/>
          <w:szCs w:val="21"/>
          <w:highlight w:val="none"/>
        </w:rPr>
        <w:t>项目的磋商、</w:t>
      </w:r>
      <w:r>
        <w:rPr>
          <w:rFonts w:hint="eastAsia" w:ascii="宋体" w:hAnsi="宋体" w:eastAsia="宋体" w:cs="宋体"/>
          <w:bCs/>
          <w:color w:val="auto"/>
          <w:sz w:val="21"/>
          <w:szCs w:val="21"/>
          <w:highlight w:val="none"/>
        </w:rPr>
        <w:t>评审、确定成交供应商</w:t>
      </w:r>
      <w:r>
        <w:rPr>
          <w:rFonts w:hint="eastAsia" w:ascii="宋体" w:hAnsi="宋体" w:eastAsia="宋体" w:cs="宋体"/>
          <w:color w:val="auto"/>
          <w:sz w:val="21"/>
          <w:szCs w:val="21"/>
          <w:highlight w:val="none"/>
        </w:rPr>
        <w:t>、验收、合同履约、付款等行为（法律、法规另有规定的，从其规定）。</w:t>
      </w:r>
    </w:p>
    <w:p w14:paraId="169F842D">
      <w:pPr>
        <w:snapToGrid w:val="0"/>
        <w:spacing w:line="360" w:lineRule="auto"/>
        <w:ind w:firstLine="422" w:firstLineChars="200"/>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（二）定义</w:t>
      </w:r>
    </w:p>
    <w:p w14:paraId="26F2D56B">
      <w:pPr>
        <w:pStyle w:val="4"/>
        <w:keepNext w:val="0"/>
        <w:keepLines w:val="0"/>
        <w:tabs>
          <w:tab w:val="left" w:pos="0"/>
          <w:tab w:val="left" w:pos="851"/>
        </w:tabs>
        <w:autoSpaceDE w:val="0"/>
        <w:autoSpaceDN w:val="0"/>
        <w:adjustRightInd w:val="0"/>
        <w:snapToGrid w:val="0"/>
        <w:spacing w:before="0" w:after="0" w:line="360" w:lineRule="auto"/>
        <w:ind w:firstLine="48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zh-CN"/>
        </w:rPr>
        <w:t>采购组织机构：指采购人委托组织磋商的采购代理机构。</w:t>
      </w:r>
    </w:p>
    <w:p w14:paraId="2A9933F6">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2、采购人：是指委托采购代理机构采购本次项目的国家机关、事业单位和团体组织。</w:t>
      </w:r>
    </w:p>
    <w:p w14:paraId="1A7C2424">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3、磋商供应商：是指向</w:t>
      </w:r>
      <w:r>
        <w:rPr>
          <w:rFonts w:hint="eastAsia" w:ascii="宋体" w:hAnsi="宋体" w:eastAsia="宋体" w:cs="宋体"/>
          <w:color w:val="auto"/>
          <w:sz w:val="21"/>
          <w:szCs w:val="21"/>
          <w:highlight w:val="none"/>
          <w:lang w:val="zh-CN"/>
        </w:rPr>
        <w:t>采购组织机构</w:t>
      </w:r>
      <w:r>
        <w:rPr>
          <w:rFonts w:hint="eastAsia" w:ascii="宋体" w:hAnsi="宋体" w:eastAsia="宋体" w:cs="宋体"/>
          <w:color w:val="auto"/>
          <w:sz w:val="21"/>
          <w:szCs w:val="21"/>
          <w:highlight w:val="none"/>
        </w:rPr>
        <w:t>提交磋商响应文件的单位或个人。</w:t>
      </w:r>
    </w:p>
    <w:p w14:paraId="6D1E89EC">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4、货物：是指各种形态和种类的物品，包括原材料、燃料、设备、产品等。</w:t>
      </w:r>
    </w:p>
    <w:p w14:paraId="5A2ACC25">
      <w:pPr>
        <w:snapToGrid w:val="0"/>
        <w:spacing w:line="360" w:lineRule="auto"/>
        <w:ind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5、服务：是指除货物和工程以外的政府采购对象，包括各类专业服务、信息网络开发服务、金融保险服务、运输服务，以及维修与维护服务等。</w:t>
      </w:r>
    </w:p>
    <w:p w14:paraId="65A6E6D3">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6、“书面形式”包括信函、传真等。</w:t>
      </w:r>
    </w:p>
    <w:p w14:paraId="21ECBC45">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7、“▲”系指实质性要求条款。</w:t>
      </w:r>
    </w:p>
    <w:p w14:paraId="19D6314D">
      <w:pPr>
        <w:snapToGrid w:val="0"/>
        <w:spacing w:line="360" w:lineRule="auto"/>
        <w:ind w:firstLine="413" w:firstLineChars="196"/>
        <w:jc w:val="left"/>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（三）磋商费用</w:t>
      </w:r>
    </w:p>
    <w:p w14:paraId="0864475F">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不论磋商结果如何，供应商均应自行承担所有与磋商有关的全部费用（</w:t>
      </w:r>
      <w:r>
        <w:rPr>
          <w:rFonts w:hint="eastAsia" w:ascii="宋体" w:hAnsi="宋体" w:eastAsia="宋体" w:cs="宋体"/>
          <w:bCs/>
          <w:color w:val="auto"/>
          <w:sz w:val="21"/>
          <w:szCs w:val="21"/>
          <w:highlight w:val="none"/>
        </w:rPr>
        <w:t>磋商文件</w:t>
      </w:r>
      <w:r>
        <w:rPr>
          <w:rFonts w:hint="eastAsia" w:ascii="宋体" w:hAnsi="宋体" w:eastAsia="宋体" w:cs="宋体"/>
          <w:color w:val="auto"/>
          <w:sz w:val="21"/>
          <w:szCs w:val="21"/>
          <w:highlight w:val="none"/>
        </w:rPr>
        <w:t>有相关规定除外）。</w:t>
      </w:r>
    </w:p>
    <w:p w14:paraId="10A5A8BE">
      <w:pPr>
        <w:pStyle w:val="13"/>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（四）特别说明</w:t>
      </w:r>
    </w:p>
    <w:p w14:paraId="7CB02357">
      <w:pPr>
        <w:pStyle w:val="13"/>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1、供应商磋商所使用的资格、信誉、荣誉、业绩与企业认证必须为本法人所拥有。供应商磋商所使用的采购项目实施人员必须为本法人员工。▲其中涉及资格条件的如非本法人所拥有，则投标无效。</w:t>
      </w:r>
    </w:p>
    <w:p w14:paraId="312F20D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2、供应商所标产品除磋商文件中明确规定要求“提供官网截图或相应检测报告的证明材料”以外，所有技术参数描述均以磋商响应文件为准。</w:t>
      </w:r>
      <w:r>
        <w:rPr>
          <w:rFonts w:hint="eastAsia" w:ascii="宋体" w:hAnsi="宋体" w:eastAsia="宋体" w:cs="宋体"/>
          <w:b/>
          <w:bCs/>
          <w:color w:val="auto"/>
          <w:kern w:val="2"/>
          <w:sz w:val="21"/>
          <w:szCs w:val="21"/>
          <w:highlight w:val="none"/>
          <w:lang w:val="en-US" w:eastAsia="zh-CN" w:bidi="ar-SA"/>
        </w:rPr>
        <w:t>磋商供应商对所标产品技术参数的真实性承担法律责任。</w:t>
      </w:r>
      <w:r>
        <w:rPr>
          <w:rFonts w:hint="eastAsia" w:ascii="宋体" w:hAnsi="宋体" w:eastAsia="宋体" w:cs="宋体"/>
          <w:color w:val="auto"/>
          <w:kern w:val="2"/>
          <w:sz w:val="21"/>
          <w:szCs w:val="21"/>
          <w:highlight w:val="none"/>
          <w:lang w:val="en-US" w:eastAsia="zh-CN" w:bidi="ar-SA"/>
        </w:rPr>
        <w:t>项目磋商结束后、质疑期限内，如有质疑供应商认为成交供应商所标产品、磋商响应文件技术参数与采购需求存在重大偏离、错误、甚至造假的情况，应提供具体有效的证明材料。</w:t>
      </w:r>
      <w:r>
        <w:rPr>
          <w:rFonts w:hint="eastAsia" w:ascii="宋体" w:hAnsi="宋体" w:eastAsia="宋体" w:cs="宋体"/>
          <w:color w:val="auto"/>
          <w:kern w:val="2"/>
          <w:sz w:val="21"/>
          <w:szCs w:val="21"/>
          <w:highlight w:val="none"/>
          <w:lang w:val="en-US" w:eastAsia="zh-CN" w:bidi="ar-SA"/>
        </w:rPr>
        <w:tab/>
      </w:r>
    </w:p>
    <w:p w14:paraId="3E6A30A0">
      <w:pPr>
        <w:pStyle w:val="4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供应商在磋商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952044C">
      <w:pPr>
        <w:pStyle w:val="4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▲4、供应商不得相互串通磋商报价，不得妨碍其他供应商的公平竞争，不得损害采购人或其他供应商的合法权益，供应商不得以向采购人、磋商小组成员行贿或者采取其他不正当手段谋取成交。</w:t>
      </w:r>
    </w:p>
    <w:p w14:paraId="1F2AA411">
      <w:pPr>
        <w:pStyle w:val="4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▲5、为采购项目提供整体设计、规范编制或者项目管理、监理、检测等服务的供应商，不得再参加该采购项目的其他采购活动。</w:t>
      </w:r>
    </w:p>
    <w:p w14:paraId="4725B6C5">
      <w:pPr>
        <w:pStyle w:val="4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6、磋商响应文件格式中的表格式样可以根据项目差别做适当调整,但应当保持表格样式基本形态不变。</w:t>
      </w:r>
    </w:p>
    <w:p w14:paraId="008F7E2D">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7、单位负责人为同一人或者存在直接控股、管理关系的不同供应商，不得参加同一合同项下的政府采购活动。电子交易平台运营机构，以及与该机构有直接控股或者管理关系可能影响采购公正性的任何单位和个人，不得在该平台进行的政府采购项目电子交易中投标、响应和代理政府采购项目。</w:t>
      </w:r>
    </w:p>
    <w:p w14:paraId="317F8374">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14:paraId="107102E6">
      <w:pPr>
        <w:pStyle w:val="4"/>
        <w:keepNext w:val="0"/>
        <w:keepLines w:val="0"/>
        <w:tabs>
          <w:tab w:val="left" w:pos="851"/>
        </w:tabs>
        <w:autoSpaceDE w:val="0"/>
        <w:autoSpaceDN w:val="0"/>
        <w:adjustRightInd w:val="0"/>
        <w:snapToGrid w:val="0"/>
        <w:spacing w:before="0" w:after="0" w:line="360" w:lineRule="auto"/>
        <w:ind w:firstLine="48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9、本项目不允许转包、分包。</w:t>
      </w:r>
    </w:p>
    <w:p w14:paraId="2CD153C9">
      <w:pPr>
        <w:pStyle w:val="4"/>
        <w:keepNext w:val="0"/>
        <w:keepLines w:val="0"/>
        <w:tabs>
          <w:tab w:val="left" w:pos="851"/>
        </w:tabs>
        <w:autoSpaceDE w:val="0"/>
        <w:autoSpaceDN w:val="0"/>
        <w:adjustRightInd w:val="0"/>
        <w:snapToGrid w:val="0"/>
        <w:spacing w:before="0" w:after="0" w:line="360" w:lineRule="auto"/>
        <w:ind w:firstLine="48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10、本招标文件中关于电子磋商、响应内容、流程如与政采云系统中最新的内容、操作不一致的，以政采云系统中的要求为准。</w:t>
      </w:r>
    </w:p>
    <w:p w14:paraId="07620BE3">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二、磋商响应文件</w:t>
      </w:r>
    </w:p>
    <w:p w14:paraId="290593E5">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bCs/>
          <w:color w:val="auto"/>
          <w:sz w:val="21"/>
          <w:szCs w:val="21"/>
          <w:highlight w:val="none"/>
        </w:rPr>
        <w:t>（一）</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color w:val="auto"/>
          <w:sz w:val="21"/>
          <w:szCs w:val="21"/>
          <w:highlight w:val="none"/>
          <w:lang w:val="en-US" w:eastAsia="zh-CN"/>
        </w:rPr>
        <w:t>响应文件的形式和效力</w:t>
      </w:r>
    </w:p>
    <w:p w14:paraId="042E298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本项目实行电子投标，供应商应准备</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还可以提供</w:t>
      </w:r>
      <w:r>
        <w:rPr>
          <w:rFonts w:hint="eastAsia" w:ascii="宋体" w:hAnsi="宋体" w:eastAsia="宋体" w:cs="宋体"/>
          <w:bCs/>
          <w:color w:val="auto"/>
          <w:sz w:val="21"/>
          <w:szCs w:val="21"/>
          <w:highlight w:val="none"/>
          <w:lang w:eastAsia="zh-CN"/>
        </w:rPr>
        <w:t>备份磋商响应文件。</w:t>
      </w:r>
    </w:p>
    <w:p w14:paraId="3ACCD3E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color w:val="auto"/>
          <w:sz w:val="21"/>
          <w:szCs w:val="21"/>
          <w:highlight w:val="none"/>
          <w:lang w:val="zh-CN"/>
        </w:rPr>
        <w:t>电子磋商响应文件按</w:t>
      </w:r>
      <w:r>
        <w:rPr>
          <w:rFonts w:hint="eastAsia" w:ascii="宋体" w:hAnsi="宋体" w:eastAsia="宋体" w:cs="宋体"/>
          <w:color w:val="auto"/>
          <w:sz w:val="21"/>
          <w:szCs w:val="21"/>
          <w:highlight w:val="none"/>
          <w:lang w:val="en-US" w:eastAsia="zh-CN"/>
        </w:rPr>
        <w:t>政府采购</w:t>
      </w:r>
      <w:r>
        <w:rPr>
          <w:rFonts w:hint="eastAsia" w:ascii="宋体" w:hAnsi="宋体" w:eastAsia="宋体" w:cs="宋体"/>
          <w:color w:val="auto"/>
          <w:sz w:val="21"/>
          <w:szCs w:val="21"/>
          <w:highlight w:val="none"/>
          <w:lang w:val="zh-CN"/>
        </w:rPr>
        <w:t>云平台供应商项目采购-电子招</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val="zh-CN"/>
        </w:rPr>
        <w:t>操作指南（网址：https://helpcenter.zcygov.cn/document/#/document/detail?siteCode=beijing&amp;manualId=359&amp;topicId=1447）及本磋商文件要求制作、加密并递交</w:t>
      </w:r>
      <w:r>
        <w:rPr>
          <w:rFonts w:hint="eastAsia" w:ascii="宋体" w:hAnsi="宋体" w:eastAsia="宋体" w:cs="宋体"/>
          <w:bCs/>
          <w:color w:val="auto"/>
          <w:sz w:val="21"/>
          <w:szCs w:val="21"/>
          <w:highlight w:val="none"/>
          <w:lang w:val="zh-CN"/>
        </w:rPr>
        <w:t>。</w:t>
      </w:r>
    </w:p>
    <w:p w14:paraId="7CBDDEC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备份磋商响应文件是指“电子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val="zh-CN"/>
        </w:rPr>
        <w:t>文件”同时生成的数据电文形式的电子文件（备份标书），以U盘形式提供。</w:t>
      </w:r>
    </w:p>
    <w:p w14:paraId="4FBE77D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3、磋商响应</w:t>
      </w:r>
      <w:r>
        <w:rPr>
          <w:rFonts w:hint="eastAsia" w:ascii="宋体" w:hAnsi="宋体" w:eastAsia="宋体" w:cs="宋体"/>
          <w:color w:val="auto"/>
          <w:sz w:val="21"/>
          <w:szCs w:val="21"/>
          <w:highlight w:val="none"/>
          <w:u w:val="single"/>
        </w:rPr>
        <w:t>文件启用顺序和效力：</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rPr>
        <w:t>文件的启用，按先后顺位分别为</w:t>
      </w:r>
      <w:r>
        <w:rPr>
          <w:rFonts w:hint="eastAsia" w:ascii="宋体" w:hAnsi="宋体" w:eastAsia="宋体" w:cs="宋体"/>
          <w:color w:val="auto"/>
          <w:sz w:val="21"/>
          <w:szCs w:val="21"/>
          <w:highlight w:val="none"/>
          <w:u w:val="single"/>
          <w:lang w:eastAsia="zh-CN"/>
        </w:rPr>
        <w:t>电子磋商响应文件</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备份磋商响应文件</w:t>
      </w:r>
      <w:r>
        <w:rPr>
          <w:rFonts w:hint="eastAsia" w:ascii="宋体" w:hAnsi="宋体" w:eastAsia="宋体" w:cs="宋体"/>
          <w:color w:val="auto"/>
          <w:sz w:val="21"/>
          <w:szCs w:val="21"/>
          <w:highlight w:val="none"/>
          <w:u w:val="single"/>
        </w:rPr>
        <w:t>。如果某位</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的电子</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rPr>
        <w:t>文件无法按时解密的，可启用以介质（U盘）存储的数据电文形式的</w:t>
      </w:r>
      <w:r>
        <w:rPr>
          <w:rFonts w:hint="eastAsia" w:ascii="宋体" w:hAnsi="宋体" w:eastAsia="宋体" w:cs="宋体"/>
          <w:color w:val="auto"/>
          <w:sz w:val="21"/>
          <w:szCs w:val="21"/>
          <w:highlight w:val="none"/>
          <w:u w:val="single"/>
          <w:lang w:eastAsia="zh-CN"/>
        </w:rPr>
        <w:t>备份</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lang w:eastAsia="zh-CN"/>
        </w:rPr>
        <w:t>文件</w:t>
      </w:r>
      <w:r>
        <w:rPr>
          <w:rFonts w:hint="eastAsia" w:ascii="宋体" w:hAnsi="宋体" w:eastAsia="宋体" w:cs="宋体"/>
          <w:color w:val="auto"/>
          <w:sz w:val="21"/>
          <w:szCs w:val="21"/>
          <w:highlight w:val="none"/>
          <w:u w:val="single"/>
        </w:rPr>
        <w:t>。</w:t>
      </w:r>
    </w:p>
    <w:p w14:paraId="1BF2ECE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color w:val="auto"/>
          <w:kern w:val="0"/>
          <w:sz w:val="21"/>
          <w:szCs w:val="21"/>
          <w:highlight w:val="none"/>
          <w:lang w:val="zh-CN"/>
        </w:rPr>
      </w:pPr>
      <w:r>
        <w:rPr>
          <w:rFonts w:hint="eastAsia" w:ascii="宋体" w:hAnsi="宋体" w:eastAsia="宋体" w:cs="宋体"/>
          <w:bCs/>
          <w:color w:val="auto"/>
          <w:sz w:val="21"/>
          <w:szCs w:val="21"/>
          <w:highlight w:val="none"/>
        </w:rPr>
        <w:t>▲未传输递交</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，投标无效。</w:t>
      </w:r>
    </w:p>
    <w:p w14:paraId="48BE4433">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310" w:firstLineChars="147"/>
        <w:jc w:val="left"/>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zh-CN"/>
        </w:rPr>
        <w:t>（</w:t>
      </w:r>
      <w:r>
        <w:rPr>
          <w:rFonts w:hint="eastAsia" w:ascii="宋体" w:hAnsi="宋体" w:eastAsia="宋体" w:cs="宋体"/>
          <w:b/>
          <w:color w:val="auto"/>
          <w:kern w:val="0"/>
          <w:sz w:val="21"/>
          <w:szCs w:val="21"/>
          <w:highlight w:val="none"/>
          <w:lang w:val="en-US" w:eastAsia="zh-CN"/>
        </w:rPr>
        <w:t>二</w:t>
      </w:r>
      <w:r>
        <w:rPr>
          <w:rFonts w:hint="eastAsia" w:ascii="宋体" w:hAnsi="宋体" w:eastAsia="宋体" w:cs="宋体"/>
          <w:b/>
          <w:color w:val="auto"/>
          <w:kern w:val="0"/>
          <w:sz w:val="21"/>
          <w:szCs w:val="21"/>
          <w:highlight w:val="none"/>
          <w:lang w:val="zh-CN"/>
        </w:rPr>
        <w:t>）磋商响应文件的</w:t>
      </w:r>
      <w:r>
        <w:rPr>
          <w:rFonts w:hint="eastAsia" w:ascii="宋体" w:hAnsi="宋体" w:eastAsia="宋体" w:cs="宋体"/>
          <w:b/>
          <w:color w:val="auto"/>
          <w:kern w:val="0"/>
          <w:sz w:val="21"/>
          <w:szCs w:val="21"/>
          <w:highlight w:val="none"/>
          <w:lang w:val="en-US" w:eastAsia="zh-CN"/>
        </w:rPr>
        <w:t>组成</w:t>
      </w:r>
    </w:p>
    <w:p w14:paraId="1C5F2E01">
      <w:pPr>
        <w:spacing w:line="360" w:lineRule="auto"/>
        <w:ind w:firstLine="420" w:firstLineChars="200"/>
        <w:jc w:val="left"/>
        <w:rPr>
          <w:rFonts w:hint="eastAsia" w:ascii="宋体" w:hAnsi="宋体" w:eastAsia="宋体" w:cs="宋体"/>
          <w:sz w:val="21"/>
          <w:szCs w:val="21"/>
          <w:highlight w:val="none"/>
          <w:lang w:val="zh-CN" w:eastAsia="zh-CN"/>
        </w:rPr>
      </w:pPr>
      <w:r>
        <w:rPr>
          <w:rFonts w:hint="eastAsia" w:ascii="宋体" w:hAnsi="宋体" w:eastAsia="宋体" w:cs="宋体"/>
          <w:color w:val="auto"/>
          <w:sz w:val="21"/>
          <w:szCs w:val="21"/>
          <w:highlight w:val="none"/>
        </w:rPr>
        <w:t>供应商应仔细阅读磋商采购文件的所有内容，按磋商采购文件的要求，详细编制磋商响应文件（包含</w:t>
      </w:r>
      <w:r>
        <w:rPr>
          <w:rFonts w:hint="eastAsia" w:ascii="宋体" w:hAnsi="宋体" w:eastAsia="宋体" w:cs="宋体"/>
          <w:color w:val="auto"/>
          <w:sz w:val="21"/>
          <w:szCs w:val="21"/>
          <w:highlight w:val="none"/>
          <w:lang w:eastAsia="zh-CN"/>
        </w:rPr>
        <w:t>电子磋商响应文件</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eastAsia="zh-CN"/>
        </w:rPr>
        <w:t>备份磋商响应文件</w:t>
      </w:r>
      <w:r>
        <w:rPr>
          <w:rFonts w:hint="eastAsia" w:ascii="宋体" w:hAnsi="宋体" w:eastAsia="宋体" w:cs="宋体"/>
          <w:color w:val="auto"/>
          <w:sz w:val="21"/>
          <w:szCs w:val="21"/>
          <w:highlight w:val="none"/>
        </w:rPr>
        <w:t>）。</w:t>
      </w:r>
    </w:p>
    <w:p w14:paraId="425ACB5F">
      <w:pPr>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b w:val="0"/>
          <w:color w:val="auto"/>
          <w:sz w:val="21"/>
          <w:szCs w:val="21"/>
          <w:highlight w:val="none"/>
        </w:rPr>
        <w:t>▲</w:t>
      </w:r>
      <w:r>
        <w:rPr>
          <w:rFonts w:hint="eastAsia" w:ascii="宋体" w:hAnsi="宋体" w:eastAsia="宋体" w:cs="宋体"/>
          <w:b/>
          <w:color w:val="auto"/>
          <w:sz w:val="21"/>
          <w:szCs w:val="21"/>
          <w:highlight w:val="none"/>
        </w:rPr>
        <w:t>1、资格证明内容的组成：</w:t>
      </w:r>
    </w:p>
    <w:p w14:paraId="46F5648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（1）磋商声明书；</w:t>
      </w:r>
    </w:p>
    <w:p w14:paraId="63F5BF3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（2）授权委托书（法定代表人（单位负责人）亲自办理磋商响应事宜的，则无需提交）；</w:t>
      </w:r>
    </w:p>
    <w:p w14:paraId="0BB2132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（3）法人或者其他组织的营业执照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身份证明</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证明文件；</w:t>
      </w:r>
    </w:p>
    <w:p w14:paraId="5122CD8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（4）具有良好的商业信誉和健全的财务会计制度的承诺；</w:t>
      </w:r>
    </w:p>
    <w:p w14:paraId="20377F2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（5）依法缴纳税收和社会保障资金的承诺；</w:t>
      </w:r>
    </w:p>
    <w:p w14:paraId="2D564F5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（6）具备履行合同所必需的设备和专业技术能力的承诺函；</w:t>
      </w:r>
    </w:p>
    <w:p w14:paraId="08068FE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（7）参加政府采购活动前三年内，在经营活动中没有重大违法记录（承诺函）；</w:t>
      </w:r>
    </w:p>
    <w:p w14:paraId="0C4B077D">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en-US" w:eastAsia="zh-CN"/>
        </w:rPr>
        <w:t>中小企业声明函</w:t>
      </w:r>
      <w:r>
        <w:rPr>
          <w:rFonts w:hint="eastAsia" w:ascii="宋体" w:hAnsi="宋体" w:cs="宋体"/>
          <w:color w:val="auto"/>
          <w:sz w:val="21"/>
          <w:szCs w:val="21"/>
          <w:highlight w:val="none"/>
          <w:lang w:val="en-US" w:eastAsia="zh-CN"/>
        </w:rPr>
        <w:t>等中小企业证明材料</w:t>
      </w:r>
      <w:r>
        <w:rPr>
          <w:rFonts w:hint="eastAsia" w:ascii="宋体" w:hAnsi="宋体" w:eastAsia="宋体" w:cs="宋体"/>
          <w:color w:val="auto"/>
          <w:sz w:val="21"/>
          <w:szCs w:val="21"/>
          <w:highlight w:val="none"/>
        </w:rPr>
        <w:t>；</w:t>
      </w:r>
    </w:p>
    <w:p w14:paraId="18AC55BB">
      <w:pPr>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2、商务与技术内容的组成：</w:t>
      </w:r>
    </w:p>
    <w:p w14:paraId="71B55FE8">
      <w:pPr>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评标索引表；</w:t>
      </w:r>
    </w:p>
    <w:p w14:paraId="4B086C20">
      <w:pPr>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）供应商情况介绍</w:t>
      </w:r>
      <w:r>
        <w:rPr>
          <w:rFonts w:hint="eastAsia" w:ascii="宋体" w:hAnsi="宋体" w:eastAsia="宋体" w:cs="宋体"/>
          <w:color w:val="auto"/>
          <w:sz w:val="21"/>
          <w:szCs w:val="21"/>
          <w:highlight w:val="none"/>
          <w:lang w:eastAsia="zh-CN"/>
        </w:rPr>
        <w:t>；</w:t>
      </w:r>
    </w:p>
    <w:p w14:paraId="285B77A2">
      <w:pPr>
        <w:pStyle w:val="6"/>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项目实施人员一览表；</w:t>
      </w:r>
    </w:p>
    <w:p w14:paraId="1AFAF69A">
      <w:pPr>
        <w:pStyle w:val="6"/>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项目负责人资格情况表；</w:t>
      </w:r>
    </w:p>
    <w:p w14:paraId="65C63E12">
      <w:pPr>
        <w:pStyle w:val="6"/>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商务及技术响应表；</w:t>
      </w:r>
    </w:p>
    <w:p w14:paraId="535E19AE">
      <w:pPr>
        <w:pStyle w:val="6"/>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lang w:val="en-US" w:eastAsia="zh-CN"/>
        </w:rPr>
        <w:t>证书一览表</w:t>
      </w:r>
      <w:r>
        <w:rPr>
          <w:rFonts w:hint="eastAsia" w:ascii="宋体" w:hAnsi="宋体" w:eastAsia="宋体" w:cs="宋体"/>
          <w:color w:val="auto"/>
          <w:kern w:val="0"/>
          <w:sz w:val="21"/>
          <w:szCs w:val="21"/>
          <w:highlight w:val="none"/>
        </w:rPr>
        <w:t>；</w:t>
      </w:r>
    </w:p>
    <w:p w14:paraId="7073D950">
      <w:pPr>
        <w:pStyle w:val="6"/>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类似项目实施情况一览表</w:t>
      </w:r>
      <w:r>
        <w:rPr>
          <w:rFonts w:hint="eastAsia" w:ascii="宋体" w:hAnsi="宋体" w:eastAsia="宋体" w:cs="宋体"/>
          <w:color w:val="auto"/>
          <w:kern w:val="0"/>
          <w:sz w:val="21"/>
          <w:szCs w:val="21"/>
          <w:highlight w:val="none"/>
        </w:rPr>
        <w:t>；</w:t>
      </w:r>
    </w:p>
    <w:p w14:paraId="0C9F90FC">
      <w:pPr>
        <w:pStyle w:val="6"/>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）服务描述及承诺：针对本项目的服务措施及承诺（技术服务方案、人员配备、技术培训方案等）</w:t>
      </w:r>
      <w:r>
        <w:rPr>
          <w:rFonts w:hint="eastAsia" w:ascii="宋体" w:hAnsi="宋体" w:eastAsia="宋体" w:cs="宋体"/>
          <w:color w:val="auto"/>
          <w:sz w:val="21"/>
          <w:szCs w:val="21"/>
          <w:highlight w:val="none"/>
          <w:lang w:eastAsia="zh-CN"/>
        </w:rPr>
        <w:t>；</w:t>
      </w:r>
    </w:p>
    <w:p w14:paraId="74C16B20">
      <w:pPr>
        <w:pStyle w:val="6"/>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针对磋商，响应</w:t>
      </w:r>
      <w:r>
        <w:rPr>
          <w:rFonts w:hint="eastAsia" w:ascii="宋体" w:hAnsi="宋体" w:eastAsia="宋体" w:cs="宋体"/>
          <w:color w:val="auto"/>
          <w:sz w:val="21"/>
          <w:szCs w:val="21"/>
          <w:highlight w:val="none"/>
        </w:rPr>
        <w:t>供应商认为</w:t>
      </w:r>
      <w:r>
        <w:rPr>
          <w:rFonts w:hint="eastAsia" w:ascii="宋体" w:hAnsi="宋体" w:eastAsia="宋体" w:cs="宋体"/>
          <w:color w:val="auto"/>
          <w:sz w:val="21"/>
          <w:szCs w:val="21"/>
          <w:highlight w:val="none"/>
          <w:lang w:val="en-US" w:eastAsia="zh-CN"/>
        </w:rPr>
        <w:t>其他</w:t>
      </w:r>
      <w:r>
        <w:rPr>
          <w:rFonts w:hint="eastAsia" w:ascii="宋体" w:hAnsi="宋体" w:eastAsia="宋体" w:cs="宋体"/>
          <w:color w:val="auto"/>
          <w:sz w:val="21"/>
          <w:szCs w:val="21"/>
          <w:highlight w:val="none"/>
        </w:rPr>
        <w:t>需要</w:t>
      </w:r>
      <w:r>
        <w:rPr>
          <w:rFonts w:hint="eastAsia" w:ascii="宋体" w:hAnsi="宋体" w:eastAsia="宋体" w:cs="宋体"/>
          <w:color w:val="auto"/>
          <w:sz w:val="21"/>
          <w:szCs w:val="21"/>
          <w:highlight w:val="none"/>
          <w:lang w:val="en-US" w:eastAsia="zh-CN"/>
        </w:rPr>
        <w:t>说明的</w:t>
      </w:r>
      <w:r>
        <w:rPr>
          <w:rFonts w:hint="eastAsia" w:ascii="宋体" w:hAnsi="宋体" w:eastAsia="宋体" w:cs="宋体"/>
          <w:color w:val="auto"/>
          <w:sz w:val="21"/>
          <w:szCs w:val="21"/>
          <w:highlight w:val="none"/>
        </w:rPr>
        <w:t>（包括可能影响供应商商务与技术内容评分的各类证明材料）。</w:t>
      </w:r>
    </w:p>
    <w:p w14:paraId="5D886197">
      <w:pPr>
        <w:pStyle w:val="6"/>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u w:val="single"/>
        </w:rPr>
        <w:t>注：若</w:t>
      </w:r>
      <w:r>
        <w:rPr>
          <w:rFonts w:hint="eastAsia" w:ascii="宋体" w:hAnsi="宋体" w:eastAsia="宋体" w:cs="宋体"/>
          <w:b/>
          <w:bCs/>
          <w:color w:val="auto"/>
          <w:sz w:val="21"/>
          <w:szCs w:val="21"/>
          <w:highlight w:val="none"/>
          <w:u w:val="single"/>
          <w:lang w:eastAsia="zh-CN"/>
        </w:rPr>
        <w:t>磋商文件</w:t>
      </w:r>
      <w:r>
        <w:rPr>
          <w:rFonts w:hint="eastAsia" w:ascii="宋体" w:hAnsi="宋体" w:eastAsia="宋体" w:cs="宋体"/>
          <w:b/>
          <w:bCs/>
          <w:color w:val="auto"/>
          <w:sz w:val="21"/>
          <w:szCs w:val="21"/>
          <w:highlight w:val="none"/>
          <w:u w:val="single"/>
        </w:rPr>
        <w:t>中有专门标注的某关联点，并要求</w:t>
      </w:r>
      <w:r>
        <w:rPr>
          <w:rFonts w:hint="eastAsia" w:ascii="宋体" w:hAnsi="宋体" w:eastAsia="宋体" w:cs="宋体"/>
          <w:b/>
          <w:bCs/>
          <w:color w:val="auto"/>
          <w:sz w:val="21"/>
          <w:szCs w:val="21"/>
          <w:highlight w:val="none"/>
          <w:u w:val="single"/>
          <w:lang w:eastAsia="zh-CN"/>
        </w:rPr>
        <w:t>供应商</w:t>
      </w:r>
      <w:r>
        <w:rPr>
          <w:rFonts w:hint="eastAsia" w:ascii="宋体" w:hAnsi="宋体" w:eastAsia="宋体" w:cs="宋体"/>
          <w:b/>
          <w:bCs/>
          <w:color w:val="auto"/>
          <w:sz w:val="21"/>
          <w:szCs w:val="21"/>
          <w:highlight w:val="none"/>
          <w:u w:val="single"/>
        </w:rPr>
        <w:t>在</w:t>
      </w:r>
      <w:r>
        <w:rPr>
          <w:rFonts w:hint="eastAsia" w:ascii="宋体" w:hAnsi="宋体" w:eastAsia="宋体" w:cs="宋体"/>
          <w:b/>
          <w:bCs/>
          <w:color w:val="auto"/>
          <w:sz w:val="21"/>
          <w:szCs w:val="21"/>
          <w:highlight w:val="none"/>
          <w:u w:val="single"/>
          <w:lang w:eastAsia="zh-CN"/>
        </w:rPr>
        <w:t>电子投标</w:t>
      </w:r>
      <w:r>
        <w:rPr>
          <w:rFonts w:hint="eastAsia" w:ascii="宋体" w:hAnsi="宋体" w:eastAsia="宋体" w:cs="宋体"/>
          <w:b/>
          <w:bCs/>
          <w:color w:val="auto"/>
          <w:sz w:val="21"/>
          <w:szCs w:val="21"/>
          <w:highlight w:val="none"/>
          <w:u w:val="single"/>
        </w:rPr>
        <w:t>系统中作出</w:t>
      </w:r>
      <w:r>
        <w:rPr>
          <w:rFonts w:hint="eastAsia" w:ascii="宋体" w:hAnsi="宋体" w:eastAsia="宋体" w:cs="宋体"/>
          <w:b/>
          <w:bCs/>
          <w:color w:val="auto"/>
          <w:sz w:val="21"/>
          <w:szCs w:val="21"/>
          <w:highlight w:val="none"/>
          <w:u w:val="single"/>
          <w:lang w:eastAsia="zh-CN"/>
        </w:rPr>
        <w:t>磋商</w:t>
      </w:r>
      <w:r>
        <w:rPr>
          <w:rFonts w:hint="eastAsia" w:ascii="宋体" w:hAnsi="宋体" w:eastAsia="宋体" w:cs="宋体"/>
          <w:b/>
          <w:bCs/>
          <w:color w:val="auto"/>
          <w:sz w:val="21"/>
          <w:szCs w:val="21"/>
          <w:highlight w:val="none"/>
          <w:u w:val="single"/>
        </w:rPr>
        <w:t>响应的，如</w:t>
      </w:r>
      <w:r>
        <w:rPr>
          <w:rFonts w:hint="eastAsia" w:ascii="宋体" w:hAnsi="宋体" w:eastAsia="宋体" w:cs="宋体"/>
          <w:b/>
          <w:bCs/>
          <w:color w:val="auto"/>
          <w:sz w:val="21"/>
          <w:szCs w:val="21"/>
          <w:highlight w:val="none"/>
          <w:u w:val="single"/>
          <w:lang w:eastAsia="zh-CN"/>
        </w:rPr>
        <w:t>供应商</w:t>
      </w:r>
      <w:r>
        <w:rPr>
          <w:rFonts w:hint="eastAsia" w:ascii="宋体" w:hAnsi="宋体" w:eastAsia="宋体" w:cs="宋体"/>
          <w:b/>
          <w:bCs/>
          <w:color w:val="auto"/>
          <w:sz w:val="21"/>
          <w:szCs w:val="21"/>
          <w:highlight w:val="none"/>
          <w:u w:val="single"/>
        </w:rPr>
        <w:t>未对关联点进行响应或者在</w:t>
      </w:r>
      <w:r>
        <w:rPr>
          <w:rFonts w:hint="eastAsia" w:ascii="宋体" w:hAnsi="宋体" w:eastAsia="宋体" w:cs="宋体"/>
          <w:b/>
          <w:bCs/>
          <w:color w:val="auto"/>
          <w:sz w:val="21"/>
          <w:szCs w:val="21"/>
          <w:highlight w:val="none"/>
          <w:u w:val="single"/>
          <w:lang w:eastAsia="zh-CN"/>
        </w:rPr>
        <w:t>响应文件</w:t>
      </w:r>
      <w:r>
        <w:rPr>
          <w:rFonts w:hint="eastAsia" w:ascii="宋体" w:hAnsi="宋体" w:eastAsia="宋体" w:cs="宋体"/>
          <w:b/>
          <w:bCs/>
          <w:color w:val="auto"/>
          <w:sz w:val="21"/>
          <w:szCs w:val="21"/>
          <w:highlight w:val="none"/>
          <w:u w:val="single"/>
        </w:rPr>
        <w:t>其它内容进行描述，造成电子评审不能查询的责任由</w:t>
      </w:r>
      <w:r>
        <w:rPr>
          <w:rFonts w:hint="eastAsia" w:ascii="宋体" w:hAnsi="宋体" w:eastAsia="宋体" w:cs="宋体"/>
          <w:b/>
          <w:bCs/>
          <w:color w:val="auto"/>
          <w:sz w:val="21"/>
          <w:szCs w:val="21"/>
          <w:highlight w:val="none"/>
          <w:u w:val="single"/>
          <w:lang w:eastAsia="zh-CN"/>
        </w:rPr>
        <w:t>供应商</w:t>
      </w:r>
      <w:r>
        <w:rPr>
          <w:rFonts w:hint="eastAsia" w:ascii="宋体" w:hAnsi="宋体" w:eastAsia="宋体" w:cs="宋体"/>
          <w:b/>
          <w:bCs/>
          <w:color w:val="auto"/>
          <w:sz w:val="21"/>
          <w:szCs w:val="21"/>
          <w:highlight w:val="none"/>
          <w:u w:val="single"/>
        </w:rPr>
        <w:t>自行承担。</w:t>
      </w:r>
    </w:p>
    <w:p w14:paraId="094A00A6">
      <w:pPr>
        <w:autoSpaceDE w:val="0"/>
        <w:autoSpaceDN w:val="0"/>
        <w:adjustRightInd w:val="0"/>
        <w:spacing w:line="360" w:lineRule="auto"/>
        <w:ind w:firstLine="472" w:firstLineChars="225"/>
        <w:rPr>
          <w:rFonts w:hint="eastAsia" w:ascii="宋体" w:hAnsi="宋体" w:eastAsia="宋体" w:cs="宋体"/>
          <w:b/>
          <w:color w:val="auto"/>
          <w:kern w:val="0"/>
          <w:sz w:val="21"/>
          <w:szCs w:val="21"/>
          <w:highlight w:val="none"/>
        </w:rPr>
      </w:pPr>
      <w:r>
        <w:rPr>
          <w:rFonts w:hint="eastAsia" w:ascii="宋体" w:hAnsi="宋体" w:eastAsia="宋体" w:cs="宋体"/>
          <w:b w:val="0"/>
          <w:color w:val="auto"/>
          <w:sz w:val="21"/>
          <w:szCs w:val="21"/>
          <w:highlight w:val="none"/>
        </w:rPr>
        <w:t>▲</w:t>
      </w:r>
      <w:r>
        <w:rPr>
          <w:rFonts w:hint="eastAsia" w:ascii="宋体" w:hAnsi="宋体" w:eastAsia="宋体" w:cs="宋体"/>
          <w:b/>
          <w:color w:val="auto"/>
          <w:kern w:val="0"/>
          <w:sz w:val="21"/>
          <w:szCs w:val="21"/>
          <w:highlight w:val="none"/>
        </w:rPr>
        <w:t>3、报价内容的组成</w:t>
      </w:r>
    </w:p>
    <w:p w14:paraId="772090BE">
      <w:pPr>
        <w:pStyle w:val="21"/>
        <w:spacing w:line="360" w:lineRule="auto"/>
        <w:ind w:left="0" w:leftChars="0" w:firstLine="470"/>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（1）报价内容由首次报价一览表</w:t>
      </w:r>
      <w:r>
        <w:rPr>
          <w:rFonts w:hint="eastAsia" w:ascii="宋体" w:hAnsi="宋体" w:eastAsia="宋体" w:cs="宋体"/>
          <w:b w:val="0"/>
          <w:bCs/>
          <w:color w:val="auto"/>
          <w:kern w:val="0"/>
          <w:sz w:val="21"/>
          <w:szCs w:val="21"/>
          <w:highlight w:val="none"/>
          <w:lang w:eastAsia="zh-CN"/>
        </w:rPr>
        <w:t>、</w:t>
      </w:r>
      <w:r>
        <w:rPr>
          <w:rFonts w:hint="eastAsia" w:ascii="宋体" w:hAnsi="宋体" w:eastAsia="宋体" w:cs="宋体"/>
          <w:b w:val="0"/>
          <w:bCs/>
          <w:color w:val="auto"/>
          <w:kern w:val="0"/>
          <w:sz w:val="21"/>
          <w:szCs w:val="21"/>
          <w:highlight w:val="none"/>
          <w:lang w:val="en-US" w:eastAsia="zh-CN"/>
        </w:rPr>
        <w:t>报价明细表（如有）</w:t>
      </w:r>
      <w:r>
        <w:rPr>
          <w:rFonts w:hint="eastAsia" w:ascii="宋体" w:hAnsi="宋体" w:eastAsia="宋体" w:cs="宋体"/>
          <w:b w:val="0"/>
          <w:bCs/>
          <w:color w:val="auto"/>
          <w:kern w:val="0"/>
          <w:sz w:val="21"/>
          <w:szCs w:val="21"/>
          <w:highlight w:val="none"/>
        </w:rPr>
        <w:t>以及磋商供应商认为其他需要说明的内容组成。</w:t>
      </w:r>
    </w:p>
    <w:p w14:paraId="66D35D6D">
      <w:pPr>
        <w:numPr>
          <w:ilvl w:val="0"/>
          <w:numId w:val="0"/>
        </w:numPr>
        <w:autoSpaceDE w:val="0"/>
        <w:autoSpaceDN w:val="0"/>
        <w:adjustRightInd w:val="0"/>
        <w:spacing w:line="360" w:lineRule="auto"/>
        <w:ind w:firstLine="422" w:firstLineChars="200"/>
        <w:rPr>
          <w:rFonts w:hint="eastAsia"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lang w:val="en-US" w:eastAsia="zh-CN"/>
        </w:rPr>
        <w:t>（2）本次评标采用质量优先法，因此价格不列为评审因素。因政采云系统问题，建议供应商在政采云平台最后的磋商报价填写“报价（结算率）”时填写100%。</w:t>
      </w:r>
    </w:p>
    <w:p w14:paraId="3F778F88">
      <w:pPr>
        <w:numPr>
          <w:ilvl w:val="0"/>
          <w:numId w:val="0"/>
        </w:numPr>
        <w:autoSpaceDE w:val="0"/>
        <w:autoSpaceDN w:val="0"/>
        <w:adjustRightInd w:val="0"/>
        <w:spacing w:line="360" w:lineRule="auto"/>
        <w:ind w:firstLine="422" w:firstLineChars="200"/>
        <w:rPr>
          <w:rFonts w:hint="eastAsia" w:ascii="宋体" w:hAnsi="宋体" w:eastAsia="宋体" w:cs="宋体"/>
          <w:b/>
          <w:bCs/>
          <w:color w:val="auto"/>
          <w:kern w:val="0"/>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）磋</w:t>
      </w:r>
      <w:r>
        <w:rPr>
          <w:rFonts w:hint="eastAsia" w:ascii="宋体" w:hAnsi="宋体" w:eastAsia="宋体" w:cs="宋体"/>
          <w:b/>
          <w:bCs/>
          <w:color w:val="auto"/>
          <w:kern w:val="0"/>
          <w:sz w:val="21"/>
          <w:szCs w:val="21"/>
          <w:highlight w:val="none"/>
        </w:rPr>
        <w:t>商响应文件的制作、封装及递交要求</w:t>
      </w:r>
    </w:p>
    <w:p w14:paraId="10CAD15A">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lang w:eastAsia="zh-CN"/>
        </w:rPr>
        <w:t>磋商响应文件</w:t>
      </w:r>
      <w:r>
        <w:rPr>
          <w:rFonts w:hint="eastAsia" w:ascii="宋体" w:hAnsi="宋体" w:eastAsia="宋体" w:cs="宋体"/>
          <w:b/>
          <w:color w:val="auto"/>
          <w:sz w:val="21"/>
          <w:szCs w:val="21"/>
          <w:highlight w:val="none"/>
        </w:rPr>
        <w:t>的签署</w:t>
      </w:r>
    </w:p>
    <w:p w14:paraId="1E6D294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中须加盖</w:t>
      </w: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rPr>
        <w:t>公章部分均采用CA签章，并根据“</w:t>
      </w:r>
      <w:r>
        <w:rPr>
          <w:rFonts w:hint="eastAsia" w:ascii="宋体" w:hAnsi="宋体" w:eastAsia="宋体" w:cs="宋体"/>
          <w:bCs/>
          <w:color w:val="auto"/>
          <w:sz w:val="21"/>
          <w:szCs w:val="21"/>
          <w:highlight w:val="none"/>
          <w:lang w:val="en-US" w:eastAsia="zh-CN"/>
        </w:rPr>
        <w:t>政府采购云平台</w:t>
      </w:r>
      <w:r>
        <w:rPr>
          <w:rFonts w:hint="eastAsia" w:ascii="宋体" w:hAnsi="宋体" w:eastAsia="宋体" w:cs="宋体"/>
          <w:bCs/>
          <w:color w:val="auto"/>
          <w:sz w:val="21"/>
          <w:szCs w:val="21"/>
          <w:highlight w:val="none"/>
        </w:rPr>
        <w:t>供应商项目采购-电子招</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rPr>
        <w:t>操作指南”及本</w:t>
      </w:r>
      <w:r>
        <w:rPr>
          <w:rFonts w:hint="eastAsia" w:ascii="宋体" w:hAnsi="宋体" w:eastAsia="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规定的格式和顺序编制</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并进行关联定位，以便</w:t>
      </w:r>
      <w:r>
        <w:rPr>
          <w:rFonts w:hint="eastAsia" w:ascii="宋体" w:hAnsi="宋体" w:eastAsia="宋体" w:cs="宋体"/>
          <w:bCs/>
          <w:color w:val="auto"/>
          <w:sz w:val="21"/>
          <w:szCs w:val="21"/>
          <w:highlight w:val="none"/>
          <w:lang w:eastAsia="zh-CN"/>
        </w:rPr>
        <w:t>磋商委员会</w:t>
      </w:r>
      <w:r>
        <w:rPr>
          <w:rFonts w:hint="eastAsia" w:ascii="宋体" w:hAnsi="宋体" w:eastAsia="宋体" w:cs="宋体"/>
          <w:bCs/>
          <w:color w:val="auto"/>
          <w:sz w:val="21"/>
          <w:szCs w:val="21"/>
          <w:highlight w:val="none"/>
        </w:rPr>
        <w:t>在评标时，点击评分项可直接定位到该评分项内容。如对</w:t>
      </w:r>
      <w:r>
        <w:rPr>
          <w:rFonts w:hint="eastAsia" w:ascii="宋体" w:hAnsi="宋体" w:eastAsia="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的某项要求，</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未能关联定位提供相应的内容与其对应，则</w:t>
      </w:r>
      <w:r>
        <w:rPr>
          <w:rFonts w:hint="eastAsia" w:ascii="宋体" w:hAnsi="宋体" w:eastAsia="宋体" w:cs="宋体"/>
          <w:bCs/>
          <w:color w:val="auto"/>
          <w:sz w:val="21"/>
          <w:szCs w:val="21"/>
          <w:highlight w:val="none"/>
          <w:lang w:eastAsia="zh-CN"/>
        </w:rPr>
        <w:t>磋商委员会</w:t>
      </w:r>
      <w:r>
        <w:rPr>
          <w:rFonts w:hint="eastAsia" w:ascii="宋体" w:hAnsi="宋体" w:eastAsia="宋体" w:cs="宋体"/>
          <w:bCs/>
          <w:color w:val="auto"/>
          <w:sz w:val="21"/>
          <w:szCs w:val="21"/>
          <w:highlight w:val="none"/>
        </w:rPr>
        <w:t>在评审时如做出对</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不利的评审由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5C1AEC3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如内容不完整、编排混乱导致</w:t>
      </w:r>
      <w:r>
        <w:rPr>
          <w:rFonts w:hint="eastAsia" w:ascii="宋体" w:hAnsi="宋体" w:eastAsia="宋体" w:cs="宋体"/>
          <w:bCs/>
          <w:color w:val="auto"/>
          <w:sz w:val="21"/>
          <w:szCs w:val="21"/>
          <w:highlight w:val="none"/>
          <w:lang w:eastAsia="zh-CN"/>
        </w:rPr>
        <w:t>磋商响应文件</w:t>
      </w:r>
      <w:r>
        <w:rPr>
          <w:rFonts w:hint="eastAsia" w:ascii="宋体" w:hAnsi="宋体" w:eastAsia="宋体" w:cs="宋体"/>
          <w:bCs/>
          <w:color w:val="auto"/>
          <w:sz w:val="21"/>
          <w:szCs w:val="21"/>
          <w:highlight w:val="none"/>
        </w:rPr>
        <w:t>被误读、漏读，或者在按采购文件规定的部位查找不到相关内容的，由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6177E38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温馨提醒：</w:t>
      </w:r>
      <w:r>
        <w:rPr>
          <w:rFonts w:hint="eastAsia" w:ascii="宋体" w:hAnsi="宋体" w:eastAsia="宋体" w:cs="宋体"/>
          <w:color w:val="auto"/>
          <w:sz w:val="21"/>
          <w:szCs w:val="21"/>
          <w:highlight w:val="none"/>
          <w:u w:val="single"/>
        </w:rPr>
        <w:t>CA签章上目前没有</w:t>
      </w:r>
      <w:r>
        <w:rPr>
          <w:rFonts w:hint="eastAsia" w:ascii="宋体" w:hAnsi="宋体" w:eastAsia="宋体" w:cs="宋体"/>
          <w:color w:val="auto"/>
          <w:sz w:val="21"/>
          <w:szCs w:val="21"/>
          <w:highlight w:val="none"/>
          <w:u w:val="single"/>
          <w:lang w:eastAsia="zh-CN"/>
        </w:rPr>
        <w:t>法定代表人</w:t>
      </w:r>
      <w:r>
        <w:rPr>
          <w:rFonts w:hint="eastAsia" w:ascii="宋体" w:hAnsi="宋体" w:eastAsia="宋体" w:cs="宋体"/>
          <w:color w:val="auto"/>
          <w:sz w:val="21"/>
          <w:szCs w:val="21"/>
          <w:highlight w:val="none"/>
          <w:u w:val="single"/>
        </w:rPr>
        <w:t>或授权代表签字信息，需要</w:t>
      </w:r>
      <w:r>
        <w:rPr>
          <w:rFonts w:hint="eastAsia" w:ascii="宋体" w:hAnsi="宋体" w:eastAsia="宋体"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联系浙江杭州汇信科技有限公司等相应公司进行办理，或在</w:t>
      </w:r>
      <w:r>
        <w:rPr>
          <w:rFonts w:hint="eastAsia" w:ascii="宋体" w:hAnsi="宋体" w:eastAsia="宋体" w:cs="宋体"/>
          <w:color w:val="auto"/>
          <w:sz w:val="21"/>
          <w:szCs w:val="21"/>
          <w:highlight w:val="none"/>
          <w:u w:val="single"/>
          <w:lang w:eastAsia="zh-CN"/>
        </w:rPr>
        <w:t>磋商响应文件</w:t>
      </w:r>
      <w:r>
        <w:rPr>
          <w:rFonts w:hint="eastAsia" w:ascii="宋体" w:hAnsi="宋体" w:eastAsia="宋体" w:cs="宋体"/>
          <w:color w:val="auto"/>
          <w:sz w:val="21"/>
          <w:szCs w:val="21"/>
          <w:highlight w:val="none"/>
          <w:u w:val="single"/>
        </w:rPr>
        <w:t>中涉及到签字的位置线下签好字然后扫描或者拍照做成PDF的格式亦可。</w:t>
      </w:r>
    </w:p>
    <w:p w14:paraId="3EB7201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不得涂改，若有修改错漏处，须加盖单位公章或者法定代表人或授权委托人签字或盖章。</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因字迹潦草或表达不清所引起的后果由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负责。</w:t>
      </w:r>
    </w:p>
    <w:p w14:paraId="283F1AF6">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、磋商响应文件的制作要求</w:t>
      </w:r>
    </w:p>
    <w:p w14:paraId="1499395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（1）供应商应按照磋商响应文件组成内容及项目磋商需求制作磋商响应文件，不按</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要求制作磋商响应文件由此产生的责任由磋商供应商自行承担。</w:t>
      </w:r>
    </w:p>
    <w:p w14:paraId="1FC46E0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val="zh-CN"/>
        </w:rPr>
        <w:t>响应文件（包含电子磋商响应文件和备份磋商响应文件）</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其中电子磋商响应文件中所须加盖公章部分均采用CA签章。备份磋商响应文件</w:t>
      </w:r>
      <w:r>
        <w:rPr>
          <w:rFonts w:hint="eastAsia" w:ascii="宋体" w:hAnsi="宋体" w:eastAsia="宋体" w:cs="宋体"/>
          <w:color w:val="auto"/>
          <w:sz w:val="21"/>
          <w:szCs w:val="21"/>
          <w:highlight w:val="none"/>
        </w:rPr>
        <w:t>按</w:t>
      </w:r>
      <w:r>
        <w:rPr>
          <w:rFonts w:hint="eastAsia" w:ascii="宋体" w:hAnsi="宋体" w:eastAsia="宋体" w:cs="宋体"/>
          <w:color w:val="auto"/>
          <w:sz w:val="21"/>
          <w:szCs w:val="21"/>
          <w:highlight w:val="none"/>
          <w:lang w:val="en-US" w:eastAsia="zh-CN"/>
        </w:rPr>
        <w:t>要求密封</w:t>
      </w:r>
      <w:r>
        <w:rPr>
          <w:rFonts w:hint="eastAsia" w:ascii="宋体" w:hAnsi="宋体" w:eastAsia="宋体" w:cs="宋体"/>
          <w:color w:val="auto"/>
          <w:sz w:val="21"/>
          <w:szCs w:val="21"/>
          <w:highlight w:val="none"/>
        </w:rPr>
        <w:t>，否则其响应文件将可能被拒绝。</w:t>
      </w:r>
    </w:p>
    <w:p w14:paraId="32AF5C1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供应商应对所提供的全部资料的真实性承担法律责任，磋商响应文件内容中有要求盖章或签字的地方，必须加盖磋商供应商的公章以及法定代表人或</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的盖章或签字，其中所有证书类文件提供的复印件必须全部加盖单位公章且必须在有效期内的。</w:t>
      </w:r>
    </w:p>
    <w:p w14:paraId="746EF13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（3）磋商响应文件以及磋商供应商与采购组织机构就有关磋商事宜的所有来往函电，均应以中文汉语书写。</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除签字、盖章、专用名称等特殊情形外，以中文汉语以外的文字表述的磋商响应文件视同未提供，如该文件未提供将影响投标有效性的，则视为投标无效。</w:t>
      </w:r>
    </w:p>
    <w:p w14:paraId="711A9696">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（4）磋商计量单位，磋商采购文件已有明确规定的，使用磋商采购文件规定的计量单位；磋商采购文件没有规定的，</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应采用中华人民共和国法定计量单位（货币单位：人民币元），否则视同未响应。</w:t>
      </w:r>
    </w:p>
    <w:p w14:paraId="2F382E0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（5）若磋商供应商不按采购文件的要求提供资格审查材料，其风险由磋商供应商自行承担。</w:t>
      </w:r>
    </w:p>
    <w:p w14:paraId="27DA0B6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（6）与本次磋商无关的内容请不要制作在内，确保磋商响应文件有针对性、简洁明了，同时节约纸张；磋商响应文件统一以A4纸大小双面打印并装订</w:t>
      </w:r>
      <w:r>
        <w:rPr>
          <w:rFonts w:hint="eastAsia" w:ascii="宋体" w:hAnsi="宋体" w:eastAsia="宋体" w:cs="宋体"/>
          <w:color w:val="auto"/>
          <w:sz w:val="21"/>
          <w:szCs w:val="21"/>
          <w:highlight w:val="none"/>
          <w:lang w:eastAsia="zh-CN"/>
        </w:rPr>
        <w:t>。为了评审工作更加优质、高效，磋商响应文件内除客观分证明材料外，主观分响应文件总页数建议不要超过</w:t>
      </w:r>
      <w:r>
        <w:rPr>
          <w:rFonts w:hint="eastAsia" w:ascii="宋体" w:hAnsi="宋体" w:eastAsia="宋体" w:cs="宋体"/>
          <w:color w:val="auto"/>
          <w:sz w:val="21"/>
          <w:szCs w:val="21"/>
          <w:highlight w:val="none"/>
          <w:lang w:val="en-US" w:eastAsia="zh-CN"/>
        </w:rPr>
        <w:t>80</w:t>
      </w:r>
      <w:r>
        <w:rPr>
          <w:rFonts w:hint="eastAsia" w:ascii="宋体" w:hAnsi="宋体" w:eastAsia="宋体" w:cs="宋体"/>
          <w:color w:val="auto"/>
          <w:sz w:val="21"/>
          <w:szCs w:val="21"/>
          <w:highlight w:val="none"/>
          <w:lang w:eastAsia="zh-CN"/>
        </w:rPr>
        <w:t>页。</w:t>
      </w:r>
    </w:p>
    <w:p w14:paraId="2A88C7CD">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、磋商响应文件的封装要求</w:t>
      </w:r>
    </w:p>
    <w:p w14:paraId="40F99A68">
      <w:pPr>
        <w:pStyle w:val="47"/>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文件的正本</w:t>
      </w:r>
      <w:r>
        <w:rPr>
          <w:rFonts w:hint="eastAsia" w:ascii="宋体" w:hAnsi="宋体" w:eastAsia="宋体" w:cs="宋体"/>
          <w:color w:val="auto"/>
          <w:sz w:val="21"/>
          <w:szCs w:val="21"/>
          <w:highlight w:val="none"/>
          <w:lang w:val="zh-CN"/>
        </w:rPr>
        <w:t>封面</w:t>
      </w:r>
      <w:r>
        <w:rPr>
          <w:rFonts w:hint="eastAsia" w:ascii="宋体" w:hAnsi="宋体" w:eastAsia="宋体" w:cs="宋体"/>
          <w:color w:val="auto"/>
          <w:sz w:val="21"/>
          <w:szCs w:val="21"/>
          <w:highlight w:val="none"/>
        </w:rPr>
        <w:t>需注明“正本”字样。</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除报价文件外其余一律不准出现数字报价。如有不同标项，请按标项号分别</w:t>
      </w:r>
      <w:r>
        <w:rPr>
          <w:rFonts w:hint="eastAsia" w:ascii="宋体" w:hAnsi="宋体" w:eastAsia="宋体" w:cs="宋体"/>
          <w:color w:val="auto"/>
          <w:sz w:val="21"/>
          <w:szCs w:val="21"/>
          <w:highlight w:val="none"/>
          <w:lang w:val="en-US" w:eastAsia="zh-CN"/>
        </w:rPr>
        <w:t>编制</w:t>
      </w:r>
      <w:r>
        <w:rPr>
          <w:rFonts w:hint="eastAsia" w:ascii="宋体" w:hAnsi="宋体" w:eastAsia="宋体" w:cs="宋体"/>
          <w:color w:val="auto"/>
          <w:sz w:val="21"/>
          <w:szCs w:val="21"/>
          <w:highlight w:val="none"/>
        </w:rPr>
        <w:t>。</w:t>
      </w:r>
    </w:p>
    <w:p w14:paraId="4C68F65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（2）所有磋商响应资料按</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的组成所列内容及顺序装订成册，并逐页连续标注页码。因磋商响应文件内容不完整、编排混乱导致磋商响应文件被误读、漏读或者查找不到相关内容的责任由供应商自行承担。</w:t>
      </w:r>
    </w:p>
    <w:p w14:paraId="7D63100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 w:val="0"/>
          <w:bCs w:val="0"/>
          <w:color w:val="auto"/>
          <w:sz w:val="21"/>
          <w:szCs w:val="21"/>
          <w:highlight w:val="none"/>
          <w:lang w:val="en-US" w:eastAsia="zh-CN"/>
        </w:rPr>
        <w:t>备份</w:t>
      </w:r>
      <w:r>
        <w:rPr>
          <w:rFonts w:hint="eastAsia" w:ascii="宋体" w:hAnsi="宋体" w:eastAsia="宋体" w:cs="宋体"/>
          <w:color w:val="auto"/>
          <w:sz w:val="21"/>
          <w:szCs w:val="21"/>
          <w:highlight w:val="none"/>
        </w:rPr>
        <w:t>磋商响应文件请在密封袋的封口处应有磋商供应商公章或磋商</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签字。封皮上写明项目编号、标段、</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项目名称、供应商名称，并注明“磋商响应文件名称”、“磋商时启封”字样，未按上述要求密封及加写标记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color w:val="auto"/>
          <w:sz w:val="21"/>
          <w:szCs w:val="21"/>
          <w:highlight w:val="none"/>
        </w:rPr>
        <w:t>，采购组织机构对磋商响应文件的误投和提前启封不负责任。</w:t>
      </w:r>
    </w:p>
    <w:p w14:paraId="0F402C9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（4）项目如分标段，各标段磋商响应文件必须分开编制。</w:t>
      </w:r>
    </w:p>
    <w:p w14:paraId="4CE976A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（5）因密封不严、标记不明而造成失密、拒收、过早启封等情况，采购组织机构概不负责。</w:t>
      </w:r>
    </w:p>
    <w:p w14:paraId="334EF0DC">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、磋商响应文件的递交要求</w:t>
      </w:r>
    </w:p>
    <w:p w14:paraId="23C7CD8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同时还可以提供经政采云平台加密处理的、以介质（U盘）存储的数据电文形式的备份磋商响应文件（不强制要求，未递交备份磋商响应文件的风险由供应商自行承担）。备份磋商响应文件应当在磋商截止时间前送达并按要求密封（备份磋商响应文件在密封袋的封口处应有磋商供应商公章或磋商授权委托代理人签字。封皮上写明项目编号、标段、招标项目名称、供应商名称，并注明“备份磋商响应文件”、“磋商时启封”字样）并建议采用顺丰邮寄（或直接递交）到</w:t>
      </w:r>
      <w:r>
        <w:rPr>
          <w:rFonts w:hint="eastAsia" w:ascii="宋体" w:hAnsi="宋体" w:eastAsia="宋体" w:cs="宋体"/>
          <w:b/>
          <w:bCs/>
          <w:color w:val="auto"/>
          <w:sz w:val="21"/>
          <w:szCs w:val="21"/>
          <w:highlight w:val="none"/>
          <w:lang w:val="en-US" w:eastAsia="zh-CN"/>
        </w:rPr>
        <w:t>台州市椒江区白云街道开元路43-45号二楼；</w:t>
      </w:r>
      <w:r>
        <w:rPr>
          <w:rFonts w:hint="eastAsia" w:ascii="宋体" w:hAnsi="宋体" w:eastAsia="宋体" w:cs="宋体"/>
          <w:b/>
          <w:bCs/>
          <w:color w:val="auto"/>
          <w:sz w:val="21"/>
          <w:szCs w:val="21"/>
          <w:highlight w:val="none"/>
        </w:rPr>
        <w:t>收件人：</w:t>
      </w:r>
      <w:r>
        <w:rPr>
          <w:rFonts w:hint="eastAsia" w:ascii="宋体" w:hAnsi="宋体" w:eastAsia="宋体" w:cs="宋体"/>
          <w:b/>
          <w:bCs/>
          <w:color w:val="auto"/>
          <w:sz w:val="21"/>
          <w:szCs w:val="21"/>
          <w:highlight w:val="none"/>
          <w:lang w:val="en-US" w:eastAsia="zh-CN"/>
        </w:rPr>
        <w:t>陈海东</w:t>
      </w:r>
      <w:r>
        <w:rPr>
          <w:rFonts w:hint="eastAsia" w:ascii="宋体" w:hAnsi="宋体" w:eastAsia="宋体" w:cs="宋体"/>
          <w:b/>
          <w:bCs/>
          <w:color w:val="auto"/>
          <w:sz w:val="21"/>
          <w:szCs w:val="21"/>
          <w:highlight w:val="none"/>
        </w:rPr>
        <w:t>；联系电话：</w:t>
      </w:r>
      <w:r>
        <w:rPr>
          <w:rFonts w:hint="eastAsia" w:ascii="宋体" w:hAnsi="宋体" w:eastAsia="宋体" w:cs="宋体"/>
          <w:b/>
          <w:bCs/>
          <w:color w:val="auto"/>
          <w:sz w:val="21"/>
          <w:szCs w:val="21"/>
          <w:highlight w:val="none"/>
          <w:lang w:val="en-US" w:eastAsia="zh-CN"/>
        </w:rPr>
        <w:t>18806860226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备份磋商响应文件在截止时间后提交、到付或未按要求密封</w:t>
      </w:r>
      <w:r>
        <w:rPr>
          <w:rFonts w:hint="eastAsia" w:ascii="宋体" w:hAnsi="宋体" w:eastAsia="宋体" w:cs="宋体"/>
          <w:color w:val="auto"/>
          <w:sz w:val="21"/>
          <w:szCs w:val="21"/>
          <w:highlight w:val="none"/>
          <w:lang w:eastAsia="zh-Hans"/>
        </w:rPr>
        <w:t>的</w:t>
      </w:r>
      <w:r>
        <w:rPr>
          <w:rFonts w:hint="eastAsia" w:ascii="宋体" w:hAnsi="宋体" w:eastAsia="宋体" w:cs="宋体"/>
          <w:color w:val="auto"/>
          <w:sz w:val="21"/>
          <w:szCs w:val="21"/>
          <w:highlight w:val="none"/>
        </w:rPr>
        <w:t>，采购代理机构将拒绝接收。▲如供应商未在磋商截止时间前完成电子磋商响应文件的传输递交，其备份磋商响应文件也将为无效</w:t>
      </w:r>
      <w:r>
        <w:rPr>
          <w:rFonts w:hint="eastAsia" w:ascii="宋体" w:hAnsi="宋体" w:eastAsia="宋体" w:cs="宋体"/>
          <w:color w:val="auto"/>
          <w:sz w:val="21"/>
          <w:szCs w:val="21"/>
          <w:highlight w:val="none"/>
          <w:lang w:val="en-US" w:eastAsia="zh-CN"/>
        </w:rPr>
        <w:t>备份</w:t>
      </w:r>
      <w:r>
        <w:rPr>
          <w:rFonts w:hint="eastAsia" w:ascii="宋体" w:hAnsi="宋体" w:eastAsia="宋体" w:cs="宋体"/>
          <w:color w:val="auto"/>
          <w:sz w:val="21"/>
          <w:szCs w:val="21"/>
          <w:highlight w:val="none"/>
        </w:rPr>
        <w:t>磋商响应文件。</w:t>
      </w:r>
    </w:p>
    <w:p w14:paraId="7C0A1AB5">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kern w:val="2"/>
          <w:sz w:val="21"/>
          <w:szCs w:val="21"/>
          <w:highlight w:val="none"/>
          <w:lang w:val="en-US" w:eastAsia="zh-CN" w:bidi="ar-SA"/>
        </w:rPr>
        <w:t>电子磋商响应文件的相关说明</w:t>
      </w:r>
    </w:p>
    <w:p w14:paraId="66D2E7D1">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供应商进行电子投标应安装客户端软件，并按照采购文件和电子交易平台的要求编制并加密磋商响应文件。</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SA"/>
        </w:rPr>
        <w:t>供应商未按规定加密的磋商响应文件，电子交易平台将拒收。</w:t>
      </w:r>
    </w:p>
    <w:p w14:paraId="62E95BDD">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SA"/>
        </w:rPr>
        <w:t>磋商截止时间后递交的磋商响应文件，电子交易平台将拒收。</w:t>
      </w:r>
    </w:p>
    <w:p w14:paraId="5A2C704B">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供应商在电子交易平台传输递交磋商响应文件后，还可以在磋商截止时间前提交备份磋商响应文件，若供应商未提交备份磋商响应文件，其后果由供应商自行承担。</w:t>
      </w:r>
    </w:p>
    <w:p w14:paraId="67999F41">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▲供应商仅提交备份磋商响应文件的，投标无效。</w:t>
      </w:r>
    </w:p>
    <w:p w14:paraId="3D835E0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如有特殊情况，采购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机构延长截止时间和开标时间，采购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的权利和义务将受到新的截止时间和开标时间的约束。</w:t>
      </w:r>
    </w:p>
    <w:p w14:paraId="329F871D">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、磋商响应文件的补充、修改和撤回。</w:t>
      </w:r>
    </w:p>
    <w:p w14:paraId="224DEFCB">
      <w:pPr>
        <w:pStyle w:val="59"/>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GB" w:eastAsia="zh-CN" w:bidi="ar-SA"/>
        </w:rPr>
        <w:t>应当在投标截止时间前完成电子</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文件的上传、递交，并可以补充、修改或者撤回</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文件。补充或者修改</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文件的，应当先行撤回原文件，补充、修改后重新上传、递交。投标截止时间前未完成上传、递交的，视为撤回</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文件。投标截止时间后递交的</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文件，“政府采购云平台”将予以拒收。</w:t>
      </w:r>
    </w:p>
    <w:p w14:paraId="090D1B36">
      <w:pPr>
        <w:pStyle w:val="59"/>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GB" w:eastAsia="zh-CN" w:bidi="ar-SA"/>
        </w:rPr>
        <w:t>）投标截止时间后，供应商不得撤回、修改</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w:t>
      </w:r>
    </w:p>
    <w:p w14:paraId="0BD454A4">
      <w:pPr>
        <w:spacing w:line="360" w:lineRule="auto"/>
        <w:ind w:firstLine="420" w:firstLineChars="200"/>
        <w:jc w:val="left"/>
        <w:rPr>
          <w:rFonts w:hint="eastAsia" w:ascii="宋体" w:hAnsi="宋体" w:eastAsia="宋体" w:cs="宋体"/>
          <w:color w:val="auto"/>
          <w:sz w:val="21"/>
          <w:szCs w:val="21"/>
          <w:highlight w:val="none"/>
          <w:lang w:val="en-GB"/>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GB" w:eastAsia="zh-CN" w:bidi="ar-SA"/>
        </w:rPr>
        <w:t>在开标后规定的投标有效期内，</w:t>
      </w:r>
      <w:r>
        <w:rPr>
          <w:rFonts w:hint="eastAsia" w:ascii="宋体" w:hAnsi="宋体" w:eastAsia="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GB" w:eastAsia="zh-CN" w:bidi="ar-SA"/>
        </w:rPr>
        <w:t>不能撤销</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w:t>
      </w:r>
    </w:p>
    <w:p w14:paraId="0D91A7EC">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）磋商响应文件的有效期</w:t>
      </w:r>
    </w:p>
    <w:p w14:paraId="6AF4B30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color w:val="auto"/>
          <w:sz w:val="21"/>
          <w:szCs w:val="21"/>
          <w:highlight w:val="none"/>
        </w:rPr>
        <w:t>1、自磋商响应截止日起90天磋商响应文件应保持有效。有效期不足的磋商响应文件将被拒绝。</w:t>
      </w:r>
    </w:p>
    <w:p w14:paraId="03D0D35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2、在符合相关法律法规规定的情况下，采购人可与磋商供应商协商延长磋商响应文件的有效期，这种要求和答复均以书面形式进行。</w:t>
      </w:r>
    </w:p>
    <w:p w14:paraId="66FCA33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3、磋商供应商可拒绝接受延期要求。同意延长有效期的磋商供应商不能修改磋商响应文件。 </w:t>
      </w:r>
    </w:p>
    <w:p w14:paraId="545F05FA">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成交供应商的磋商响应文件自磋商之日起至合同履行完毕均应保持有效。</w:t>
      </w:r>
    </w:p>
    <w:p w14:paraId="48B287BF">
      <w:pPr>
        <w:tabs>
          <w:tab w:val="left" w:pos="1418"/>
        </w:tabs>
        <w:autoSpaceDE w:val="0"/>
        <w:autoSpaceDN w:val="0"/>
        <w:adjustRightInd w:val="0"/>
        <w:spacing w:line="360" w:lineRule="auto"/>
        <w:ind w:firstLine="318" w:firstLineChars="151"/>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三</w:t>
      </w:r>
      <w:r>
        <w:rPr>
          <w:rFonts w:hint="eastAsia" w:ascii="宋体" w:hAnsi="宋体" w:eastAsia="宋体" w:cs="宋体"/>
          <w:b/>
          <w:color w:val="auto"/>
          <w:kern w:val="0"/>
          <w:sz w:val="21"/>
          <w:szCs w:val="21"/>
          <w:highlight w:val="none"/>
        </w:rPr>
        <w:t>、磋商</w:t>
      </w:r>
    </w:p>
    <w:p w14:paraId="5225DCD5">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 w:val="21"/>
          <w:szCs w:val="21"/>
          <w:highlight w:val="none"/>
        </w:rPr>
        <w:t>（一）</w:t>
      </w:r>
      <w:r>
        <w:rPr>
          <w:rFonts w:hint="eastAsia" w:ascii="宋体" w:hAnsi="宋体" w:eastAsia="宋体" w:cs="宋体"/>
          <w:b/>
          <w:color w:val="auto"/>
          <w:sz w:val="21"/>
          <w:szCs w:val="21"/>
          <w:highlight w:val="none"/>
          <w:lang w:val="en-US" w:eastAsia="zh-CN"/>
        </w:rPr>
        <w:t>磋商</w:t>
      </w:r>
      <w:r>
        <w:rPr>
          <w:rFonts w:hint="eastAsia" w:ascii="宋体" w:hAnsi="宋体" w:eastAsia="宋体" w:cs="宋体"/>
          <w:b/>
          <w:bCs/>
          <w:color w:val="auto"/>
          <w:kern w:val="2"/>
          <w:sz w:val="21"/>
          <w:szCs w:val="21"/>
          <w:highlight w:val="none"/>
          <w:lang w:val="en-US" w:eastAsia="zh-CN" w:bidi="ar-SA"/>
        </w:rPr>
        <w:t>事项：</w:t>
      </w:r>
    </w:p>
    <w:p w14:paraId="7978232B">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采购组织机构按照采购文件规定的时间通过电子交易平台组织磋商、开启响应文件，所有供应商均应当准时在线参加。</w:t>
      </w:r>
    </w:p>
    <w:p w14:paraId="11F82E49">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磋商时，电子交易平台自动提取所有响应文件，提示采购组织机构和供应商按采购文件规定的方式和时间在线解密。</w:t>
      </w:r>
      <w:r>
        <w:rPr>
          <w:rFonts w:hint="eastAsia" w:ascii="宋体" w:hAnsi="宋体" w:eastAsia="宋体" w:cs="宋体"/>
          <w:b/>
          <w:bCs/>
          <w:color w:val="auto"/>
          <w:sz w:val="21"/>
          <w:szCs w:val="21"/>
          <w:highlight w:val="none"/>
        </w:rPr>
        <w:t>给予供应商在线解密的时间为截止</w:t>
      </w:r>
      <w:r>
        <w:rPr>
          <w:rFonts w:hint="eastAsia" w:ascii="宋体" w:hAnsi="宋体" w:eastAsia="宋体" w:cs="宋体"/>
          <w:b/>
          <w:bCs/>
          <w:color w:val="auto"/>
          <w:sz w:val="21"/>
          <w:szCs w:val="21"/>
          <w:highlight w:val="none"/>
          <w:lang w:val="en-US" w:eastAsia="zh-CN"/>
        </w:rPr>
        <w:t>提交</w:t>
      </w:r>
      <w:r>
        <w:rPr>
          <w:rFonts w:hint="eastAsia" w:ascii="宋体" w:hAnsi="宋体" w:eastAsia="宋体" w:cs="宋体"/>
          <w:b/>
          <w:bCs/>
          <w:color w:val="auto"/>
          <w:sz w:val="21"/>
          <w:szCs w:val="21"/>
          <w:highlight w:val="none"/>
        </w:rPr>
        <w:t>磋商</w:t>
      </w:r>
      <w:r>
        <w:rPr>
          <w:rFonts w:hint="eastAsia" w:ascii="宋体" w:hAnsi="宋体" w:eastAsia="宋体" w:cs="宋体"/>
          <w:b/>
          <w:bCs/>
          <w:color w:val="auto"/>
          <w:sz w:val="21"/>
          <w:szCs w:val="21"/>
          <w:highlight w:val="none"/>
          <w:lang w:val="en-US" w:eastAsia="zh-CN"/>
        </w:rPr>
        <w:t>响应文件</w:t>
      </w:r>
      <w:r>
        <w:rPr>
          <w:rFonts w:hint="eastAsia" w:ascii="宋体" w:hAnsi="宋体" w:eastAsia="宋体" w:cs="宋体"/>
          <w:b/>
          <w:bCs/>
          <w:color w:val="auto"/>
          <w:sz w:val="21"/>
          <w:szCs w:val="21"/>
          <w:highlight w:val="none"/>
        </w:rPr>
        <w:t>后30分钟。</w:t>
      </w:r>
    </w:p>
    <w:p w14:paraId="17E87AE5">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▲响应文件未按时解密，供应商提供了备份磋商响应文件的，以备份磋商响应文件作为依据，否则视为响应文件撤回。响应文件已按时解密的，备份磋商响应文件不再拆封。</w:t>
      </w:r>
    </w:p>
    <w:p w14:paraId="4333AF3E">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磋商委员会或磋商小组</w:t>
      </w:r>
    </w:p>
    <w:p w14:paraId="27E64A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磋商委员会或磋商小组（以下简称磋商委员会）成员由政府采购管理部门负责组织，对具备实质性响应的</w:t>
      </w:r>
      <w:r>
        <w:rPr>
          <w:rFonts w:hint="eastAsia" w:ascii="宋体" w:hAnsi="宋体" w:eastAsia="宋体" w:cs="宋体"/>
          <w:b w:val="0"/>
          <w:bCs/>
          <w:color w:val="auto"/>
          <w:sz w:val="21"/>
          <w:szCs w:val="21"/>
          <w:highlight w:val="none"/>
          <w:lang w:val="en-US" w:eastAsia="zh-CN"/>
        </w:rPr>
        <w:t>磋商响应</w:t>
      </w:r>
      <w:r>
        <w:rPr>
          <w:rFonts w:hint="eastAsia" w:ascii="宋体" w:hAnsi="宋体" w:eastAsia="宋体" w:cs="宋体"/>
          <w:b w:val="0"/>
          <w:bCs/>
          <w:color w:val="auto"/>
          <w:sz w:val="21"/>
          <w:szCs w:val="21"/>
          <w:highlight w:val="none"/>
        </w:rPr>
        <w:t>文件进行评估和比较。</w:t>
      </w:r>
      <w:r>
        <w:rPr>
          <w:rFonts w:hint="eastAsia" w:ascii="宋体" w:hAnsi="宋体" w:eastAsia="宋体" w:cs="宋体"/>
          <w:b w:val="0"/>
          <w:bCs/>
          <w:color w:val="auto"/>
          <w:sz w:val="21"/>
          <w:szCs w:val="21"/>
          <w:highlight w:val="none"/>
          <w:lang w:eastAsia="zh-CN"/>
        </w:rPr>
        <w:t>磋商委员会</w:t>
      </w:r>
      <w:r>
        <w:rPr>
          <w:rFonts w:hint="eastAsia" w:ascii="宋体" w:hAnsi="宋体" w:eastAsia="宋体" w:cs="宋体"/>
          <w:b w:val="0"/>
          <w:bCs/>
          <w:color w:val="auto"/>
          <w:sz w:val="21"/>
          <w:szCs w:val="21"/>
          <w:highlight w:val="none"/>
        </w:rPr>
        <w:t xml:space="preserve">由招标人的代表、专家和其他有关方面的代表组成。 </w:t>
      </w:r>
    </w:p>
    <w:p w14:paraId="4D1D63B9">
      <w:pPr>
        <w:autoSpaceDE w:val="0"/>
        <w:autoSpaceDN w:val="0"/>
        <w:adjustRightInd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磋商委员会由采购人代表和评审专家共3人及以上单数组成，其中评审专家人数不得少于磋商小组成员总数的2/3。采购人代表不得以评审专家身份参加本部门或本单位采购项目的评审。采购代理机构人员不得参加本机构代理的采购项目的评审。</w:t>
      </w:r>
    </w:p>
    <w:p w14:paraId="01FF9FBA">
      <w:pPr>
        <w:autoSpaceDE w:val="0"/>
        <w:autoSpaceDN w:val="0"/>
        <w:adjustRightInd w:val="0"/>
        <w:spacing w:line="360" w:lineRule="auto"/>
        <w:ind w:firstLine="422" w:firstLineChars="200"/>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）磋商程序</w:t>
      </w:r>
    </w:p>
    <w:p w14:paraId="7B714BE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1、采购组织机构将在“磋商公告”规定的时间和地点进行磋商，磋商采购会议由采购组织机构工作人员主持，所有供应商均应准时</w:t>
      </w:r>
      <w:r>
        <w:rPr>
          <w:rFonts w:hint="eastAsia" w:ascii="宋体" w:hAnsi="宋体" w:eastAsia="宋体" w:cs="宋体"/>
          <w:color w:val="auto"/>
          <w:sz w:val="21"/>
          <w:szCs w:val="21"/>
          <w:highlight w:val="none"/>
          <w:lang w:val="en-US" w:eastAsia="zh-CN"/>
        </w:rPr>
        <w:t>在线</w:t>
      </w:r>
      <w:r>
        <w:rPr>
          <w:rFonts w:hint="eastAsia" w:ascii="宋体" w:hAnsi="宋体" w:eastAsia="宋体" w:cs="宋体"/>
          <w:color w:val="auto"/>
          <w:sz w:val="21"/>
          <w:szCs w:val="21"/>
          <w:highlight w:val="none"/>
        </w:rPr>
        <w:t>参加磋商采购会议。</w:t>
      </w:r>
    </w:p>
    <w:p w14:paraId="56F08436">
      <w:pPr>
        <w:pStyle w:val="13"/>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主持人宣布磋商</w:t>
      </w:r>
      <w:r>
        <w:rPr>
          <w:rFonts w:hint="eastAsia" w:ascii="宋体" w:hAnsi="宋体" w:eastAsia="宋体" w:cs="宋体"/>
          <w:color w:val="auto"/>
          <w:sz w:val="21"/>
          <w:szCs w:val="21"/>
          <w:highlight w:val="none"/>
          <w:lang w:eastAsia="zh-CN"/>
        </w:rPr>
        <w:t>采购会议开始</w:t>
      </w:r>
      <w:r>
        <w:rPr>
          <w:rFonts w:hint="eastAsia" w:ascii="宋体" w:hAnsi="宋体" w:eastAsia="宋体" w:cs="宋体"/>
          <w:color w:val="auto"/>
          <w:sz w:val="21"/>
          <w:szCs w:val="21"/>
          <w:highlight w:val="none"/>
        </w:rPr>
        <w:t>，介绍磋商现场的人员情况，宣读提交磋商响应文件的供应商名单、磋商纪律、应当回避的情形等注意事项。</w:t>
      </w:r>
    </w:p>
    <w:p w14:paraId="0187E658">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登录政采云平台，用“项目采购-开标评标”功能对电子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文件准备在线解密，在线解密电子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文件时间为开启解密时间起30分钟内。</w:t>
      </w:r>
    </w:p>
    <w:p w14:paraId="428BAD0B">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kern w:val="2"/>
          <w:sz w:val="21"/>
          <w:szCs w:val="21"/>
          <w:highlight w:val="none"/>
          <w:lang w:val="en-US" w:eastAsia="zh-CN" w:bidi="ar-SA"/>
        </w:rPr>
        <w:t>电子磋商响应文件未按时解密，供应商提供了备份磋商响应文件的，以备份磋商响应文件作为依据，否则视为磋商响应文件撤回。电子磋商响应文件已按时解密的，备份磋商响应文件不再拆封。</w:t>
      </w:r>
    </w:p>
    <w:p w14:paraId="187152AD">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、采购组织机构点击【开启标书信息】，进入资格审查及符合性审查环节。</w:t>
      </w:r>
    </w:p>
    <w:p w14:paraId="545CC20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磋商小组必须按照客观、公正、审慎的原则，根据磋商文件规定的评审程序、评审方法和评审标准进行独立评审。▲未实质性响应磋商文件的响应文件按无效响应处理，磋商小组应当告知提交响应文件的供应商。</w:t>
      </w:r>
    </w:p>
    <w:p w14:paraId="64B9881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对响应文件的初审</w:t>
      </w:r>
    </w:p>
    <w:p w14:paraId="2A2284D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A.</w:t>
      </w:r>
      <w:r>
        <w:rPr>
          <w:rFonts w:hint="eastAsia" w:ascii="宋体" w:hAnsi="宋体" w:eastAsia="宋体" w:cs="宋体"/>
          <w:color w:val="auto"/>
          <w:sz w:val="21"/>
          <w:szCs w:val="21"/>
          <w:highlight w:val="none"/>
        </w:rPr>
        <w:t>资格性检查：依据法律法规和磋商文件的规定，对响应文件中的资格条件进行审查，以确定磋商供应商是否具备投标资格。</w:t>
      </w:r>
    </w:p>
    <w:p w14:paraId="1FEDD5C1">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right="0"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B.</w:t>
      </w:r>
      <w:r>
        <w:rPr>
          <w:rFonts w:hint="eastAsia" w:ascii="宋体" w:hAnsi="宋体" w:eastAsia="宋体" w:cs="宋体"/>
          <w:color w:val="auto"/>
          <w:sz w:val="21"/>
          <w:szCs w:val="21"/>
          <w:highlight w:val="none"/>
        </w:rPr>
        <w:t>符合性检查：详细评标之前，磋商小组依据磋商文件的规定，对响应文件是否满足</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的实质性要求进行审查，以确定响应文件是否有效。</w:t>
      </w:r>
    </w:p>
    <w:p w14:paraId="49A022C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、初审合格的供应商进入下一步的磋商活动</w:t>
      </w:r>
      <w:r>
        <w:rPr>
          <w:rFonts w:hint="eastAsia" w:ascii="宋体" w:hAnsi="宋体" w:eastAsia="宋体" w:cs="宋体"/>
          <w:color w:val="auto"/>
          <w:sz w:val="21"/>
          <w:szCs w:val="21"/>
          <w:highlight w:val="none"/>
          <w:lang w:eastAsia="zh-CN"/>
        </w:rPr>
        <w:t>。</w:t>
      </w:r>
    </w:p>
    <w:p w14:paraId="302AEC1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磋商小组所有成员集中与单一供应商分别进行磋商，并给予所有参加磋商的供应商平等的磋商机会。</w:t>
      </w:r>
    </w:p>
    <w:p w14:paraId="6F0E31BA">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179135D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、磋商文件能够详细列明采购标的的技术、服务要求的，磋商结束后，磋商小组将要求所有实质性响应的供应商在规定时间内提交最后报价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最后报价是供应商响应文件的有效组成部分。</w:t>
      </w:r>
    </w:p>
    <w:p w14:paraId="5579631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、经磋商确定最终采购需求和提交最后报价的供应商后，由磋商小组采用</w:t>
      </w:r>
      <w:r>
        <w:rPr>
          <w:rFonts w:hint="eastAsia" w:ascii="宋体" w:hAnsi="宋体" w:eastAsia="宋体" w:cs="宋体"/>
          <w:color w:val="auto"/>
          <w:sz w:val="21"/>
          <w:szCs w:val="21"/>
          <w:highlight w:val="none"/>
          <w:lang w:eastAsia="zh-CN"/>
        </w:rPr>
        <w:t>质量优先法</w:t>
      </w:r>
      <w:r>
        <w:rPr>
          <w:rFonts w:hint="eastAsia" w:ascii="宋体" w:hAnsi="宋体" w:eastAsia="宋体" w:cs="宋体"/>
          <w:color w:val="auto"/>
          <w:sz w:val="21"/>
          <w:szCs w:val="21"/>
          <w:highlight w:val="none"/>
        </w:rPr>
        <w:t>对提交最后报价的供应商的响应文件和最后报价进行综合评分。</w:t>
      </w:r>
    </w:p>
    <w:p w14:paraId="54A0CACF">
      <w:pPr>
        <w:pStyle w:val="13"/>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、磋商小组根据综合评分情况，按照评审得分由高到低顺序确定成交</w:t>
      </w:r>
      <w:r>
        <w:rPr>
          <w:rFonts w:hint="eastAsia" w:ascii="宋体" w:hAnsi="宋体" w:eastAsia="宋体" w:cs="宋体"/>
          <w:color w:val="auto"/>
          <w:sz w:val="21"/>
          <w:szCs w:val="21"/>
          <w:highlight w:val="none"/>
          <w:lang w:val="en-US" w:eastAsia="zh-CN"/>
        </w:rPr>
        <w:t>候选</w:t>
      </w:r>
      <w:r>
        <w:rPr>
          <w:rFonts w:hint="eastAsia" w:ascii="宋体" w:hAnsi="宋体" w:eastAsia="宋体" w:cs="宋体"/>
          <w:color w:val="auto"/>
          <w:sz w:val="21"/>
          <w:szCs w:val="21"/>
          <w:highlight w:val="none"/>
        </w:rPr>
        <w:t>供应商，编写评审报告。</w:t>
      </w:r>
    </w:p>
    <w:p w14:paraId="68140E99">
      <w:pPr>
        <w:pStyle w:val="13"/>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、采购组织机构对磋商小组</w:t>
      </w:r>
      <w:r>
        <w:rPr>
          <w:rFonts w:hint="eastAsia" w:ascii="宋体" w:hAnsi="宋体" w:eastAsia="宋体" w:cs="宋体"/>
          <w:color w:val="auto"/>
          <w:sz w:val="21"/>
          <w:szCs w:val="21"/>
          <w:highlight w:val="none"/>
          <w:lang w:eastAsia="zh-CN"/>
        </w:rPr>
        <w:t>专家成员</w:t>
      </w:r>
      <w:r>
        <w:rPr>
          <w:rFonts w:hint="eastAsia" w:ascii="宋体" w:hAnsi="宋体" w:eastAsia="宋体" w:cs="宋体"/>
          <w:color w:val="auto"/>
          <w:sz w:val="21"/>
          <w:szCs w:val="21"/>
          <w:highlight w:val="none"/>
        </w:rPr>
        <w:t>进行评价；</w:t>
      </w:r>
    </w:p>
    <w:p w14:paraId="4345853E">
      <w:pPr>
        <w:pStyle w:val="13"/>
        <w:keepNext w:val="0"/>
        <w:keepLines w:val="0"/>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主持人宣布磋商结果（含技术得分、最</w:t>
      </w:r>
      <w:r>
        <w:rPr>
          <w:rFonts w:hint="eastAsia" w:ascii="宋体" w:hAnsi="宋体" w:eastAsia="宋体" w:cs="宋体"/>
          <w:color w:val="auto"/>
          <w:sz w:val="21"/>
          <w:szCs w:val="21"/>
          <w:highlight w:val="none"/>
          <w:lang w:eastAsia="zh-CN"/>
        </w:rPr>
        <w:t>后</w:t>
      </w:r>
      <w:r>
        <w:rPr>
          <w:rFonts w:hint="eastAsia" w:ascii="宋体" w:hAnsi="宋体" w:eastAsia="宋体" w:cs="宋体"/>
          <w:color w:val="auto"/>
          <w:sz w:val="21"/>
          <w:szCs w:val="21"/>
          <w:highlight w:val="none"/>
        </w:rPr>
        <w:t>报价、报价得分及总得分），磋商采购会议结束。</w:t>
      </w:r>
    </w:p>
    <w:p w14:paraId="69CED94A">
      <w:pPr>
        <w:pStyle w:val="13"/>
        <w:keepNext w:val="0"/>
        <w:keepLines w:val="0"/>
        <w:pageBreakBefore w:val="0"/>
        <w:numPr>
          <w:ilvl w:val="0"/>
          <w:numId w:val="0"/>
        </w:numPr>
        <w:kinsoku/>
        <w:wordWrap/>
        <w:overflowPunct/>
        <w:topLinePunct w:val="0"/>
        <w:bidi w:val="0"/>
        <w:snapToGrid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2"/>
          <w:sz w:val="21"/>
          <w:szCs w:val="21"/>
          <w:highlight w:val="none"/>
          <w:lang w:val="en-US" w:eastAsia="zh-CN" w:bidi="ar-SA"/>
        </w:rPr>
        <w:t>（四）</w:t>
      </w:r>
      <w:r>
        <w:rPr>
          <w:rFonts w:hint="eastAsia" w:ascii="宋体" w:hAnsi="宋体" w:eastAsia="宋体" w:cs="宋体"/>
          <w:b/>
          <w:color w:val="auto"/>
          <w:sz w:val="21"/>
          <w:szCs w:val="21"/>
          <w:highlight w:val="none"/>
        </w:rPr>
        <w:t>澄清问题的形式</w:t>
      </w:r>
    </w:p>
    <w:p w14:paraId="11C449DD">
      <w:pPr>
        <w:pStyle w:val="13"/>
        <w:keepNext w:val="0"/>
        <w:keepLines w:val="0"/>
        <w:pageBreakBefore w:val="0"/>
        <w:numPr>
          <w:ilvl w:val="0"/>
          <w:numId w:val="0"/>
        </w:numPr>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磋商供应商的澄清、说明或者补正应当采用书面形式，并加盖公章，或者由法定代理人或其授权的代表签字，并不得超出磋商响应文件的范围或者改变磋商响应文件的实质性内容。</w:t>
      </w:r>
    </w:p>
    <w:p w14:paraId="743B2BC2">
      <w:pPr>
        <w:numPr>
          <w:ilvl w:val="0"/>
          <w:numId w:val="0"/>
        </w:numPr>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kern w:val="2"/>
          <w:sz w:val="21"/>
          <w:szCs w:val="21"/>
          <w:highlight w:val="none"/>
          <w:lang w:val="en-US" w:eastAsia="zh-CN" w:bidi="ar-SA"/>
        </w:rPr>
        <w:t>（五）</w:t>
      </w:r>
      <w:r>
        <w:rPr>
          <w:rFonts w:hint="eastAsia" w:ascii="宋体" w:hAnsi="宋体" w:eastAsia="宋体" w:cs="宋体"/>
          <w:b/>
          <w:color w:val="auto"/>
          <w:sz w:val="21"/>
          <w:szCs w:val="21"/>
          <w:highlight w:val="none"/>
        </w:rPr>
        <w:t>错误修正</w:t>
      </w:r>
    </w:p>
    <w:p w14:paraId="1ED2E67C">
      <w:pPr>
        <w:numPr>
          <w:ilvl w:val="0"/>
          <w:numId w:val="0"/>
        </w:numPr>
        <w:snapToGrid w:val="0"/>
        <w:spacing w:line="360" w:lineRule="auto"/>
        <w:ind w:firstLine="420" w:firstLineChars="200"/>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磋商响应文件报价出现前后不一致的，除磋商采购文件另有规定外，按照下列规定修正：</w:t>
      </w:r>
    </w:p>
    <w:p w14:paraId="7295257A">
      <w:pPr>
        <w:pStyle w:val="22"/>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1、磋商响应文件中首次报价一览表内容与磋商响应文件中相应内容不一致的，以首次报价一览表为准；</w:t>
      </w:r>
    </w:p>
    <w:p w14:paraId="7A136BC3">
      <w:pPr>
        <w:pStyle w:val="22"/>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2、大写金额和小写金额不一致的，以大写金额为准；</w:t>
      </w:r>
    </w:p>
    <w:p w14:paraId="32B73022">
      <w:pPr>
        <w:pStyle w:val="22"/>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3、单价金额小数点或者百分比有明显错位的，以首次报价一览表的总价为准，并修改单价；</w:t>
      </w:r>
    </w:p>
    <w:p w14:paraId="740F166A">
      <w:pPr>
        <w:pStyle w:val="22"/>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4、总价金额与按单价汇总金额不一致的，以单价金额计算结果为准。</w:t>
      </w:r>
    </w:p>
    <w:p w14:paraId="6ED781F6">
      <w:pPr>
        <w:pStyle w:val="22"/>
        <w:spacing w:before="0" w:beforeAutospacing="0" w:after="0" w:afterAutospacing="0"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▲同时出现两种以上不一致的，按照前款规定的顺序修正。修正应当采用书面形式，并加盖公章，或者由法定代表人或其授权的代表签字。修正后的报价经磋商供应商确认后产生约束力，磋商供应商不确认的</w:t>
      </w:r>
      <w:r>
        <w:rPr>
          <w:rFonts w:hint="eastAsia" w:ascii="宋体" w:hAnsi="宋体" w:eastAsia="宋体" w:cs="宋体"/>
          <w:color w:val="auto"/>
          <w:sz w:val="21"/>
          <w:szCs w:val="21"/>
          <w:highlight w:val="none"/>
          <w:lang w:val="zh-CN" w:eastAsia="zh-CN"/>
        </w:rPr>
        <w:t>或超过期限未予有效澄清</w:t>
      </w:r>
      <w:r>
        <w:rPr>
          <w:rFonts w:hint="eastAsia" w:ascii="宋体" w:hAnsi="宋体" w:eastAsia="宋体" w:cs="宋体"/>
          <w:color w:val="auto"/>
          <w:sz w:val="21"/>
          <w:szCs w:val="21"/>
          <w:highlight w:val="none"/>
          <w:lang w:val="zh-CN"/>
        </w:rPr>
        <w:t>的</w:t>
      </w:r>
      <w:r>
        <w:rPr>
          <w:rFonts w:hint="eastAsia" w:ascii="宋体" w:hAnsi="宋体" w:eastAsia="宋体" w:cs="宋体"/>
          <w:color w:val="auto"/>
          <w:sz w:val="21"/>
          <w:szCs w:val="21"/>
          <w:highlight w:val="none"/>
        </w:rPr>
        <w:t>，将终止磋商。</w:t>
      </w:r>
    </w:p>
    <w:p w14:paraId="03C3928E">
      <w:pPr>
        <w:pStyle w:val="22"/>
        <w:spacing w:before="0" w:beforeAutospacing="0" w:after="0" w:afterAutospacing="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磋商供应商存在下列情况之一的，响应无效，终止磋商</w:t>
      </w:r>
    </w:p>
    <w:p w14:paraId="516EEA1B">
      <w:pPr>
        <w:spacing w:line="360" w:lineRule="auto"/>
        <w:ind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1、磋商响应文件中的商务与技术内容中的</w:t>
      </w:r>
      <w:r>
        <w:rPr>
          <w:rFonts w:hint="eastAsia" w:ascii="宋体" w:hAnsi="宋体" w:eastAsia="宋体" w:cs="宋体"/>
          <w:color w:val="auto"/>
          <w:sz w:val="21"/>
          <w:szCs w:val="21"/>
          <w:highlight w:val="none"/>
        </w:rPr>
        <w:t>服务</w:t>
      </w:r>
      <w:r>
        <w:rPr>
          <w:rFonts w:hint="eastAsia" w:ascii="宋体" w:hAnsi="宋体" w:eastAsia="宋体" w:cs="宋体"/>
          <w:color w:val="auto"/>
          <w:sz w:val="21"/>
          <w:szCs w:val="21"/>
          <w:highlight w:val="none"/>
          <w:lang w:val="zh-CN"/>
        </w:rPr>
        <w:t>出现重大偏差的；</w:t>
      </w:r>
    </w:p>
    <w:p w14:paraId="38ED413F">
      <w:pPr>
        <w:spacing w:line="360" w:lineRule="auto"/>
        <w:ind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2、不具备磋商采购文件中规定的资格要求的。</w:t>
      </w:r>
    </w:p>
    <w:p w14:paraId="64604AAA">
      <w:pPr>
        <w:spacing w:line="360" w:lineRule="auto"/>
        <w:ind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3、磋商响应文件含有采购人不能接受的附加条件的。</w:t>
      </w:r>
    </w:p>
    <w:p w14:paraId="32EC045F">
      <w:pPr>
        <w:spacing w:line="360" w:lineRule="auto"/>
        <w:ind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4、供应商代表人未能出具身份证明或与法定代表人（单位负责人）授权委托代理人身份不符的；</w:t>
      </w:r>
    </w:p>
    <w:p w14:paraId="04E81661">
      <w:pPr>
        <w:spacing w:line="360" w:lineRule="auto"/>
        <w:ind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5、磋商小组认为供应商的报价明显低于其他通过符合性审查供应商的报价，有可能影响产品质量或者</w:t>
      </w:r>
      <w:r>
        <w:rPr>
          <w:rFonts w:hint="eastAsia" w:ascii="宋体" w:hAnsi="宋体" w:eastAsia="宋体" w:cs="宋体"/>
          <w:color w:val="auto"/>
          <w:sz w:val="21"/>
          <w:szCs w:val="21"/>
          <w:highlight w:val="none"/>
          <w:lang w:val="en-US" w:eastAsia="zh-CN"/>
        </w:rPr>
        <w:t>不能</w:t>
      </w:r>
      <w:r>
        <w:rPr>
          <w:rFonts w:hint="eastAsia" w:ascii="宋体" w:hAnsi="宋体" w:eastAsia="宋体" w:cs="宋体"/>
          <w:color w:val="auto"/>
          <w:sz w:val="21"/>
          <w:szCs w:val="21"/>
          <w:highlight w:val="none"/>
          <w:lang w:val="zh-CN"/>
        </w:rPr>
        <w:t>诚信履约的，应当要求其在评审现场合理的时间内提供书面说明，必要时提交相关证明材料；供应商不能证明其报价合理性的，磋商小组应当与其终止磋商。</w:t>
      </w:r>
    </w:p>
    <w:p w14:paraId="16412F91">
      <w:pPr>
        <w:spacing w:line="360" w:lineRule="auto"/>
        <w:ind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6、报价超过磋商采购文件中规定的预算金额/最高限（</w:t>
      </w:r>
      <w:r>
        <w:rPr>
          <w:rFonts w:hint="eastAsia" w:ascii="宋体" w:hAnsi="宋体" w:eastAsia="宋体" w:cs="宋体"/>
          <w:color w:val="auto"/>
          <w:sz w:val="21"/>
          <w:szCs w:val="21"/>
          <w:highlight w:val="none"/>
          <w:lang w:val="en-US" w:eastAsia="zh-CN"/>
        </w:rPr>
        <w:t>单</w:t>
      </w:r>
      <w:r>
        <w:rPr>
          <w:rFonts w:hint="eastAsia" w:ascii="宋体" w:hAnsi="宋体" w:eastAsia="宋体" w:cs="宋体"/>
          <w:color w:val="auto"/>
          <w:sz w:val="21"/>
          <w:szCs w:val="21"/>
          <w:highlight w:val="none"/>
          <w:lang w:val="zh-CN"/>
        </w:rPr>
        <w:t>）价。</w:t>
      </w:r>
    </w:p>
    <w:p w14:paraId="7CC75022">
      <w:pPr>
        <w:spacing w:line="360" w:lineRule="auto"/>
        <w:ind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7、磋商参数未如实填写，完全复制粘贴磋商采购参数的。</w:t>
      </w:r>
    </w:p>
    <w:p w14:paraId="32D094CE">
      <w:pPr>
        <w:spacing w:line="360" w:lineRule="auto"/>
        <w:ind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8、磋商响应文件提供虚假材料的。</w:t>
      </w:r>
    </w:p>
    <w:p w14:paraId="79317D4D">
      <w:pPr>
        <w:spacing w:line="360" w:lineRule="auto"/>
        <w:ind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9、不同供应商的磋商响应文件由同一单位或者个人编制；</w:t>
      </w:r>
    </w:p>
    <w:p w14:paraId="6AFB3EF0">
      <w:pPr>
        <w:spacing w:line="360" w:lineRule="auto"/>
        <w:ind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10、不同供应商委托同一单位或者个人办理磋商事宜；</w:t>
      </w:r>
    </w:p>
    <w:p w14:paraId="32BBB1C5">
      <w:pPr>
        <w:spacing w:line="360" w:lineRule="auto"/>
        <w:ind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11、不同供应商的磋商响应文件载明的项目管理成员或者联系人员为同一人；</w:t>
      </w:r>
    </w:p>
    <w:p w14:paraId="7FF174EE">
      <w:pPr>
        <w:spacing w:line="360" w:lineRule="auto"/>
        <w:ind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12、不同供应商的磋商响应文件异常一致或者报价呈规律性差异；</w:t>
      </w:r>
    </w:p>
    <w:p w14:paraId="1BBFB91B">
      <w:pPr>
        <w:spacing w:line="360" w:lineRule="auto"/>
        <w:ind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13、不同供应商的磋商响应文件相互混装；</w:t>
      </w:r>
    </w:p>
    <w:p w14:paraId="301F6E6D">
      <w:pPr>
        <w:spacing w:line="360" w:lineRule="auto"/>
        <w:ind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14、不符合法律、法规和磋商采购文件中规定的其他实质性要求的（磋商采购文件中打“▲”内容及被拒绝的条款）。</w:t>
      </w:r>
    </w:p>
    <w:p w14:paraId="466790A1">
      <w:pPr>
        <w:autoSpaceDE w:val="0"/>
        <w:autoSpaceDN w:val="0"/>
        <w:adjustRightInd w:val="0"/>
        <w:spacing w:line="360" w:lineRule="auto"/>
        <w:ind w:firstLine="420" w:firstLineChars="200"/>
        <w:jc w:val="left"/>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15、投标人的电子响应文件无法按时解密且本项目未达到启动备份文件条件的。</w:t>
      </w:r>
    </w:p>
    <w:p w14:paraId="2A10293D">
      <w:pPr>
        <w:autoSpaceDE w:val="0"/>
        <w:autoSpaceDN w:val="0"/>
        <w:adjustRightInd w:val="0"/>
        <w:spacing w:line="360" w:lineRule="auto"/>
        <w:ind w:firstLine="420" w:firstLineChars="200"/>
        <w:jc w:val="left"/>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16、电子磋商响应文件解密失败的，且未在规定时间内提交备份磋商响应文件的；</w:t>
      </w:r>
    </w:p>
    <w:p w14:paraId="137257BA">
      <w:pPr>
        <w:autoSpaceDE w:val="0"/>
        <w:autoSpaceDN w:val="0"/>
        <w:adjustRightInd w:val="0"/>
        <w:spacing w:line="360" w:lineRule="auto"/>
        <w:ind w:firstLine="420" w:firstLineChars="200"/>
        <w:jc w:val="left"/>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17、不同供应商的电子投标（响应）文件上传计算机的网卡MAC地址或硬盘序列号等硬件信息相同且无法合理解释的；</w:t>
      </w:r>
    </w:p>
    <w:p w14:paraId="2EF29FBD">
      <w:pPr>
        <w:autoSpaceDE w:val="0"/>
        <w:autoSpaceDN w:val="0"/>
        <w:adjustRightInd w:val="0"/>
        <w:spacing w:line="360" w:lineRule="auto"/>
        <w:ind w:firstLine="420" w:firstLineChars="200"/>
        <w:jc w:val="left"/>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18、上传的电子投标（响应）文件若出现使用本项目其他投标（响应）供应商的数字证书加密的，或者加盖本项目其他投标（响应）供应商的电子印章的；</w:t>
      </w:r>
    </w:p>
    <w:p w14:paraId="2178BA2D">
      <w:pPr>
        <w:autoSpaceDE w:val="0"/>
        <w:autoSpaceDN w:val="0"/>
        <w:adjustRightInd w:val="0"/>
        <w:spacing w:line="360" w:lineRule="auto"/>
        <w:ind w:firstLine="420" w:firstLineChars="200"/>
        <w:jc w:val="left"/>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19、不同供应商的投标（响应）文件的内容存在3处（含）以上错误一致的；</w:t>
      </w:r>
    </w:p>
    <w:p w14:paraId="3A40662E">
      <w:pPr>
        <w:autoSpaceDE w:val="0"/>
        <w:autoSpaceDN w:val="0"/>
        <w:adjustRightInd w:val="0"/>
        <w:spacing w:line="360" w:lineRule="auto"/>
        <w:ind w:firstLine="420" w:firstLineChars="200"/>
        <w:jc w:val="left"/>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20、不同供应商联系人为同一人或不同联系人的联系电话一致的。</w:t>
      </w:r>
    </w:p>
    <w:p w14:paraId="31B9F830">
      <w:pPr>
        <w:autoSpaceDE w:val="0"/>
        <w:autoSpaceDN w:val="0"/>
        <w:adjustRightInd w:val="0"/>
        <w:spacing w:line="360" w:lineRule="auto"/>
        <w:ind w:firstLine="420" w:firstLineChars="200"/>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rPr>
        <w:t>21、电子磋商响应文件未按规定要求提供电子签章的。</w:t>
      </w:r>
    </w:p>
    <w:p w14:paraId="7B4EEB27">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zh-CN"/>
        </w:rPr>
        <w:t>▲</w:t>
      </w: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lang w:val="en-US" w:eastAsia="zh-CN"/>
        </w:rPr>
        <w:t>七</w:t>
      </w: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rPr>
        <w:t>有下列情况之一的，本次磋商终止。</w:t>
      </w:r>
    </w:p>
    <w:p w14:paraId="462398B1">
      <w:pPr>
        <w:pStyle w:val="22"/>
        <w:spacing w:before="0" w:beforeAutospacing="0" w:after="0" w:afterAutospacing="0" w:line="360" w:lineRule="auto"/>
        <w:ind w:firstLine="525" w:firstLineChars="25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1、出现影响采购公正的违法、违规行为的；</w:t>
      </w:r>
    </w:p>
    <w:p w14:paraId="06F4ADB4">
      <w:pPr>
        <w:pStyle w:val="22"/>
        <w:spacing w:before="0" w:beforeAutospacing="0" w:after="0" w:afterAutospacing="0" w:line="360" w:lineRule="auto"/>
        <w:ind w:firstLine="525" w:firstLineChars="25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2、磋商小组发现磋商文件存在歧义、重大缺陷导致评审工作无法进行，或者磋商文件内容违反国家有关强制性规定的；</w:t>
      </w:r>
    </w:p>
    <w:p w14:paraId="35D20545">
      <w:pPr>
        <w:pStyle w:val="22"/>
        <w:spacing w:before="0" w:beforeAutospacing="0" w:after="0" w:afterAutospacing="0" w:line="360" w:lineRule="auto"/>
        <w:ind w:firstLine="525" w:firstLineChars="25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3、因重大变故，采购任务取消的；</w:t>
      </w:r>
    </w:p>
    <w:p w14:paraId="2055498A">
      <w:pPr>
        <w:pStyle w:val="22"/>
        <w:spacing w:before="0" w:beforeAutospacing="0" w:after="0" w:afterAutospacing="0" w:line="360" w:lineRule="auto"/>
        <w:ind w:firstLine="525" w:firstLineChars="25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4、法律、法规和磋商文件规定的其他导致评审结果无效的。</w:t>
      </w:r>
    </w:p>
    <w:p w14:paraId="23CF7918">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422" w:firstLineChars="200"/>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八</w:t>
      </w:r>
      <w:r>
        <w:rPr>
          <w:rFonts w:hint="eastAsia" w:ascii="宋体" w:hAnsi="宋体" w:eastAsia="宋体" w:cs="宋体"/>
          <w:b/>
          <w:color w:val="auto"/>
          <w:kern w:val="0"/>
          <w:sz w:val="21"/>
          <w:szCs w:val="21"/>
          <w:highlight w:val="none"/>
        </w:rPr>
        <w:t>）磋商原则和方法</w:t>
      </w:r>
    </w:p>
    <w:p w14:paraId="72805485">
      <w:pPr>
        <w:pStyle w:val="13"/>
        <w:snapToGrid w:val="0"/>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0F8B763D">
      <w:pPr>
        <w:pStyle w:val="13"/>
        <w:snapToGrid w:val="0"/>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2、磋商办法。具体磋商内容及评分标准等详见《第三章：评审方法及评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标准》。</w:t>
      </w:r>
    </w:p>
    <w:p w14:paraId="330036D1">
      <w:pPr>
        <w:pStyle w:val="13"/>
        <w:snapToGrid w:val="0"/>
        <w:spacing w:line="360" w:lineRule="auto"/>
        <w:ind w:firstLine="527" w:firstLineChars="25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九</w:t>
      </w:r>
      <w:r>
        <w:rPr>
          <w:rFonts w:hint="eastAsia" w:ascii="宋体" w:hAnsi="宋体" w:eastAsia="宋体" w:cs="宋体"/>
          <w:b/>
          <w:color w:val="auto"/>
          <w:sz w:val="21"/>
          <w:szCs w:val="21"/>
          <w:highlight w:val="none"/>
        </w:rPr>
        <w:t>）评审过程的监控</w:t>
      </w:r>
    </w:p>
    <w:p w14:paraId="5FEBA4E8">
      <w:pPr>
        <w:pStyle w:val="22"/>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本项目评审过程实行全程录音、录像监控，政府采购监管部门视情进行现场监督，供应商在评审过程中所进行的试图影响评审结果的不公正活动，可能导致其被拒绝磋商。</w:t>
      </w:r>
    </w:p>
    <w:p w14:paraId="2C201E13">
      <w:pPr>
        <w:pStyle w:val="22"/>
        <w:spacing w:before="0" w:beforeAutospacing="0" w:after="0" w:afterAutospacing="0" w:line="360" w:lineRule="auto"/>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、磋商结果确定</w:t>
      </w:r>
    </w:p>
    <w:p w14:paraId="331A8C3B">
      <w:pPr>
        <w:pStyle w:val="22"/>
        <w:spacing w:before="0" w:beforeAutospacing="0" w:after="0" w:afterAutospacing="0" w:line="360" w:lineRule="auto"/>
        <w:ind w:firstLine="525" w:firstLineChars="25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51F89E49">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2、发布成交结果公告。采购组织机构应当在成交供应商确定后2个工作日内，在省级以上财政部门指定的政府采购信息发布媒体及相关网站上公告成交结果。</w:t>
      </w:r>
    </w:p>
    <w:p w14:paraId="65FA5DA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3、发出成交通知书。采购组织机构在发布成交结果同时，向成交供应商发出成交通知书。</w:t>
      </w:r>
    </w:p>
    <w:p w14:paraId="16805E2A">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4D66C95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招标代理费：按照中标通知书确定的中标金额，按下附表收费标准</w:t>
      </w:r>
      <w:r>
        <w:rPr>
          <w:rFonts w:hint="eastAsia" w:ascii="宋体" w:hAnsi="宋体" w:eastAsia="宋体" w:cs="宋体"/>
          <w:color w:val="auto"/>
          <w:sz w:val="21"/>
          <w:szCs w:val="21"/>
          <w:highlight w:val="none"/>
          <w:lang w:val="en-US" w:eastAsia="zh-CN"/>
        </w:rPr>
        <w:t>的80%计算</w:t>
      </w:r>
      <w:r>
        <w:rPr>
          <w:rFonts w:hint="eastAsia" w:ascii="宋体" w:hAnsi="宋体" w:eastAsia="宋体" w:cs="宋体"/>
          <w:color w:val="auto"/>
          <w:sz w:val="21"/>
          <w:szCs w:val="21"/>
          <w:highlight w:val="none"/>
        </w:rPr>
        <w:t>，采用差额累进算法向中标单位收取代理服务费。代理服务费结算不足</w:t>
      </w:r>
      <w:r>
        <w:rPr>
          <w:rFonts w:hint="eastAsia" w:ascii="宋体" w:hAnsi="宋体" w:eastAsia="宋体" w:cs="宋体"/>
          <w:color w:val="auto"/>
          <w:sz w:val="21"/>
          <w:szCs w:val="21"/>
          <w:highlight w:val="none"/>
          <w:lang w:val="en-US" w:eastAsia="zh-CN"/>
        </w:rPr>
        <w:t>陆仟</w:t>
      </w:r>
      <w:r>
        <w:rPr>
          <w:rFonts w:hint="eastAsia" w:ascii="宋体" w:hAnsi="宋体" w:eastAsia="宋体" w:cs="宋体"/>
          <w:color w:val="auto"/>
          <w:sz w:val="21"/>
          <w:szCs w:val="21"/>
          <w:highlight w:val="none"/>
        </w:rPr>
        <w:t>元的，按定额</w:t>
      </w:r>
      <w:r>
        <w:rPr>
          <w:rFonts w:hint="eastAsia" w:ascii="宋体" w:hAnsi="宋体" w:eastAsia="宋体" w:cs="宋体"/>
          <w:color w:val="auto"/>
          <w:sz w:val="21"/>
          <w:szCs w:val="21"/>
          <w:highlight w:val="none"/>
          <w:lang w:val="en-US" w:eastAsia="zh-CN"/>
        </w:rPr>
        <w:t>陆仟</w:t>
      </w:r>
      <w:r>
        <w:rPr>
          <w:rFonts w:hint="eastAsia" w:ascii="宋体" w:hAnsi="宋体" w:eastAsia="宋体" w:cs="宋体"/>
          <w:color w:val="auto"/>
          <w:sz w:val="21"/>
          <w:szCs w:val="21"/>
          <w:highlight w:val="none"/>
        </w:rPr>
        <w:t>元收取。该费用中标方须在领取中标通知书时一次性付清。（单位名称：</w:t>
      </w:r>
      <w:r>
        <w:rPr>
          <w:rFonts w:hint="eastAsia" w:ascii="宋体" w:hAnsi="宋体" w:eastAsia="宋体" w:cs="宋体"/>
          <w:color w:val="auto"/>
          <w:sz w:val="21"/>
          <w:szCs w:val="21"/>
          <w:highlight w:val="none"/>
          <w:lang w:val="en-US" w:eastAsia="zh-CN"/>
        </w:rPr>
        <w:t>赢海招标代理（台州）有限公司</w:t>
      </w:r>
      <w:r>
        <w:rPr>
          <w:rFonts w:hint="eastAsia" w:ascii="宋体" w:hAnsi="宋体" w:eastAsia="宋体" w:cs="宋体"/>
          <w:color w:val="auto"/>
          <w:sz w:val="21"/>
          <w:szCs w:val="21"/>
          <w:highlight w:val="none"/>
        </w:rPr>
        <w:t>；人民币账号：</w:t>
      </w:r>
      <w:r>
        <w:rPr>
          <w:rFonts w:hint="eastAsia" w:ascii="宋体" w:hAnsi="宋体" w:eastAsia="宋体" w:cs="宋体"/>
          <w:color w:val="auto"/>
          <w:sz w:val="21"/>
          <w:szCs w:val="21"/>
          <w:highlight w:val="none"/>
          <w:lang w:val="en-US" w:eastAsia="zh-CN"/>
        </w:rPr>
        <w:t>550970156500015</w:t>
      </w:r>
      <w:r>
        <w:rPr>
          <w:rFonts w:hint="eastAsia" w:ascii="宋体" w:hAnsi="宋体" w:eastAsia="宋体" w:cs="宋体"/>
          <w:color w:val="auto"/>
          <w:sz w:val="21"/>
          <w:szCs w:val="21"/>
          <w:highlight w:val="none"/>
        </w:rPr>
        <w:t>；开户行：</w:t>
      </w:r>
      <w:r>
        <w:rPr>
          <w:rFonts w:hint="eastAsia" w:ascii="宋体" w:hAnsi="宋体" w:eastAsia="宋体" w:cs="宋体"/>
          <w:color w:val="auto"/>
          <w:sz w:val="21"/>
          <w:szCs w:val="21"/>
          <w:highlight w:val="none"/>
          <w:lang w:val="en-US" w:eastAsia="zh-CN"/>
        </w:rPr>
        <w:t>台州银行椒江支行</w:t>
      </w:r>
      <w:r>
        <w:rPr>
          <w:rFonts w:hint="eastAsia" w:ascii="宋体" w:hAnsi="宋体" w:eastAsia="宋体" w:cs="宋体"/>
          <w:color w:val="auto"/>
          <w:sz w:val="21"/>
          <w:szCs w:val="21"/>
          <w:highlight w:val="none"/>
        </w:rPr>
        <w:t>）</w:t>
      </w:r>
    </w:p>
    <w:p w14:paraId="7FBD7490">
      <w:pPr>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附表：招标代理服务收费标准</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tblGrid>
      <w:tr w14:paraId="7CD02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2556" w:type="dxa"/>
            <w:noWrap w:val="0"/>
            <w:vAlign w:val="top"/>
          </w:tcPr>
          <w:p w14:paraId="482111A5">
            <w:pPr>
              <w:keepNext w:val="0"/>
              <w:keepLines w:val="0"/>
              <w:pageBreakBefore w:val="0"/>
              <w:kinsoku/>
              <w:wordWrap/>
              <w:overflowPunct/>
              <w:topLinePunct w:val="0"/>
              <w:bidi w:val="0"/>
              <w:spacing w:line="240" w:lineRule="auto"/>
              <w:ind w:firstLine="1470" w:firstLineChars="700"/>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mc:AlternateContent>
                <mc:Choice Requires="wps">
                  <w:drawing>
                    <wp:anchor distT="0" distB="0" distL="114300" distR="114300" simplePos="0" relativeHeight="251661312" behindDoc="0" locked="0" layoutInCell="1" allowOverlap="1">
                      <wp:simplePos x="0" y="0"/>
                      <wp:positionH relativeFrom="column">
                        <wp:posOffset>-59690</wp:posOffset>
                      </wp:positionH>
                      <wp:positionV relativeFrom="paragraph">
                        <wp:posOffset>40005</wp:posOffset>
                      </wp:positionV>
                      <wp:extent cx="1612265" cy="762000"/>
                      <wp:effectExtent l="1905" t="4445" r="5080" b="14605"/>
                      <wp:wrapNone/>
                      <wp:docPr id="6" name="直接连接符 6"/>
                      <wp:cNvGraphicFramePr/>
                      <a:graphic xmlns:a="http://schemas.openxmlformats.org/drawingml/2006/main">
                        <a:graphicData uri="http://schemas.microsoft.com/office/word/2010/wordprocessingShape">
                          <wps:wsp>
                            <wps:cNvCnPr/>
                            <wps:spPr>
                              <a:xfrm flipH="1" flipV="1">
                                <a:off x="999490" y="935355"/>
                                <a:ext cx="1612265" cy="76200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flip:x y;margin-left:-4.7pt;margin-top:3.15pt;height:60pt;width:126.95pt;z-index:251661312;mso-width-relative:page;mso-height-relative:page;" filled="f" stroked="t" coordsize="21600,21600" o:gfxdata="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KugDUAAAACAEAAA8AAAAAAAAAAQAg&#10;AAAAIgAAAGRycy9kb3ducmV2LnhtbFBLAQIUABQAAAAIAIdO4kB37ODwEgIAAAQEAAAOAAAAAAAA&#10;AAEAIAAAACMBAABkcnMvZTJvRG9jLnhtbFBLBQYAAAAABgAGAFkBAACnBQAAAAA=&#10;">
                      <v:fill on="f" focussize="0,0"/>
                      <v:stroke color="#000000" joinstyle="round"/>
                      <v:imagedata o:title=""/>
                      <o:lock v:ext="edit" aspectratio="f"/>
                    </v:line>
                  </w:pict>
                </mc:Fallback>
              </mc:AlternateContent>
            </w:r>
            <w:r>
              <w:rPr>
                <w:rFonts w:hint="eastAsia" w:ascii="宋体" w:hAnsi="宋体" w:eastAsia="宋体" w:cs="宋体"/>
                <w:color w:val="auto"/>
                <w:sz w:val="21"/>
                <w:szCs w:val="21"/>
                <w:highlight w:val="none"/>
              </w:rPr>
              <mc:AlternateContent>
                <mc:Choice Requires="wps">
                  <w:drawing>
                    <wp:anchor distT="0" distB="0" distL="114300" distR="114300" simplePos="0" relativeHeight="251660288" behindDoc="0" locked="0" layoutInCell="1" allowOverlap="1">
                      <wp:simplePos x="0" y="0"/>
                      <wp:positionH relativeFrom="column">
                        <wp:posOffset>645160</wp:posOffset>
                      </wp:positionH>
                      <wp:positionV relativeFrom="paragraph">
                        <wp:posOffset>0</wp:posOffset>
                      </wp:positionV>
                      <wp:extent cx="890905" cy="810260"/>
                      <wp:effectExtent l="3175" t="3810" r="20320" b="5080"/>
                      <wp:wrapNone/>
                      <wp:docPr id="4" name="直接连接符 4"/>
                      <wp:cNvGraphicFramePr/>
                      <a:graphic xmlns:a="http://schemas.openxmlformats.org/drawingml/2006/main">
                        <a:graphicData uri="http://schemas.microsoft.com/office/word/2010/wordprocessingShape">
                          <wps:wsp>
                            <wps:cNvCnPr/>
                            <wps:spPr>
                              <a:xfrm>
                                <a:off x="1812925" y="964565"/>
                                <a:ext cx="890905" cy="81026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50.8pt;margin-top:0pt;height:63.8pt;width:70.15pt;z-index:251660288;mso-width-relative:page;mso-height-relative:page;" filled="f" stroked="t" coordsize="21600,21600" o:gfxdata="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tigR1QAAAAgBAAAPAAAAAAAAAAEAIAAAACIAAABkcnMv&#10;ZG93bnJldi54bWxQSwECFAAUAAAACACHTuJAKEZEiwYCAADwAwAADgAAAAAAAAABACAAAAAkAQAA&#10;ZHJzL2Uyb0RvYy54bWxQSwUGAAAAAAYABgBZAQAAnAUAAAAA&#10;">
                      <v:fill on="f" focussize="0,0"/>
                      <v:stroke color="#000000" joinstyle="round"/>
                      <v:imagedata o:title=""/>
                      <o:lock v:ext="edit" aspectratio="f"/>
                    </v:line>
                  </w:pict>
                </mc:Fallback>
              </mc:AlternateContent>
            </w:r>
            <w:r>
              <w:rPr>
                <w:rFonts w:hint="eastAsia" w:ascii="宋体" w:hAnsi="宋体" w:eastAsia="宋体" w:cs="宋体"/>
                <w:b/>
                <w:color w:val="auto"/>
                <w:sz w:val="21"/>
                <w:szCs w:val="21"/>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5926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color w:val="auto"/>
                <w:sz w:val="21"/>
                <w:szCs w:val="21"/>
                <w:highlight w:val="none"/>
              </w:rPr>
              <w:t>服务</w:t>
            </w:r>
          </w:p>
          <w:p w14:paraId="124CF554">
            <w:pPr>
              <w:keepNext w:val="0"/>
              <w:keepLines w:val="0"/>
              <w:pageBreakBefore w:val="0"/>
              <w:kinsoku/>
              <w:wordWrap/>
              <w:overflowPunct/>
              <w:topLinePunct w:val="0"/>
              <w:bidi w:val="0"/>
              <w:spacing w:line="240" w:lineRule="auto"/>
              <w:ind w:firstLine="1054" w:firstLineChars="50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费　　类型</w:t>
            </w:r>
          </w:p>
          <w:p w14:paraId="2E113027">
            <w:pPr>
              <w:keepNext w:val="0"/>
              <w:keepLines w:val="0"/>
              <w:pageBreakBefore w:val="0"/>
              <w:kinsoku/>
              <w:wordWrap/>
              <w:overflowPunct/>
              <w:topLinePunct w:val="0"/>
              <w:bidi w:val="0"/>
              <w:spacing w:line="240" w:lineRule="auto"/>
              <w:ind w:firstLine="1476" w:firstLineChars="70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率</w:t>
            </w:r>
          </w:p>
          <w:p w14:paraId="12CBC745">
            <w:pPr>
              <w:keepNext w:val="0"/>
              <w:keepLines w:val="0"/>
              <w:pageBreakBefore w:val="0"/>
              <w:kinsoku/>
              <w:wordWrap/>
              <w:overflowPunct/>
              <w:topLinePunct w:val="0"/>
              <w:bidi w:val="0"/>
              <w:spacing w:line="24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中标金额（万元）</w:t>
            </w:r>
          </w:p>
        </w:tc>
        <w:tc>
          <w:tcPr>
            <w:tcW w:w="2067" w:type="dxa"/>
            <w:noWrap w:val="0"/>
            <w:vAlign w:val="center"/>
          </w:tcPr>
          <w:p w14:paraId="750221EA">
            <w:pPr>
              <w:keepNext w:val="0"/>
              <w:keepLines w:val="0"/>
              <w:pageBreakBefore w:val="0"/>
              <w:kinsoku/>
              <w:wordWrap/>
              <w:overflowPunct/>
              <w:topLinePunct w:val="0"/>
              <w:bidi w:val="0"/>
              <w:spacing w:line="24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服务招标</w:t>
            </w:r>
          </w:p>
        </w:tc>
      </w:tr>
      <w:tr w14:paraId="3001F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noWrap w:val="0"/>
            <w:vAlign w:val="top"/>
          </w:tcPr>
          <w:p w14:paraId="32B2CAA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100以下</w:t>
            </w:r>
          </w:p>
        </w:tc>
        <w:tc>
          <w:tcPr>
            <w:tcW w:w="2067" w:type="dxa"/>
            <w:noWrap w:val="0"/>
            <w:vAlign w:val="top"/>
          </w:tcPr>
          <w:p w14:paraId="549D999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r>
      <w:tr w14:paraId="30673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noWrap w:val="0"/>
            <w:vAlign w:val="top"/>
          </w:tcPr>
          <w:p w14:paraId="6F4B292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100-500</w:t>
            </w:r>
          </w:p>
        </w:tc>
        <w:tc>
          <w:tcPr>
            <w:tcW w:w="2067" w:type="dxa"/>
            <w:noWrap w:val="0"/>
            <w:vAlign w:val="top"/>
          </w:tcPr>
          <w:p w14:paraId="5463BEC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r>
      <w:tr w14:paraId="76C23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noWrap w:val="0"/>
            <w:vAlign w:val="top"/>
          </w:tcPr>
          <w:p w14:paraId="6C64B7B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500-1000</w:t>
            </w:r>
          </w:p>
        </w:tc>
        <w:tc>
          <w:tcPr>
            <w:tcW w:w="2067" w:type="dxa"/>
            <w:noWrap w:val="0"/>
            <w:vAlign w:val="top"/>
          </w:tcPr>
          <w:p w14:paraId="0C2B192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0.45%</w:t>
            </w:r>
          </w:p>
        </w:tc>
      </w:tr>
      <w:tr w14:paraId="59F8E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noWrap w:val="0"/>
            <w:vAlign w:val="top"/>
          </w:tcPr>
          <w:p w14:paraId="2E9DFC7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1000-5000</w:t>
            </w:r>
          </w:p>
        </w:tc>
        <w:tc>
          <w:tcPr>
            <w:tcW w:w="2067" w:type="dxa"/>
            <w:noWrap w:val="0"/>
            <w:vAlign w:val="top"/>
          </w:tcPr>
          <w:p w14:paraId="7EF7AD1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0.25%</w:t>
            </w:r>
          </w:p>
        </w:tc>
      </w:tr>
      <w:tr w14:paraId="03409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noWrap w:val="0"/>
            <w:vAlign w:val="top"/>
          </w:tcPr>
          <w:p w14:paraId="04EBBEB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5000-10000</w:t>
            </w:r>
          </w:p>
        </w:tc>
        <w:tc>
          <w:tcPr>
            <w:tcW w:w="2067" w:type="dxa"/>
            <w:noWrap w:val="0"/>
            <w:vAlign w:val="top"/>
          </w:tcPr>
          <w:p w14:paraId="1D19608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0.1%</w:t>
            </w:r>
          </w:p>
        </w:tc>
      </w:tr>
      <w:tr w14:paraId="7C5BD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noWrap w:val="0"/>
            <w:vAlign w:val="top"/>
          </w:tcPr>
          <w:p w14:paraId="5216B564">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10000-100000</w:t>
            </w:r>
          </w:p>
        </w:tc>
        <w:tc>
          <w:tcPr>
            <w:tcW w:w="2067" w:type="dxa"/>
            <w:noWrap w:val="0"/>
            <w:vAlign w:val="top"/>
          </w:tcPr>
          <w:p w14:paraId="78AD67A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0.05%</w:t>
            </w:r>
          </w:p>
        </w:tc>
      </w:tr>
      <w:tr w14:paraId="5735D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556" w:type="dxa"/>
            <w:noWrap w:val="0"/>
            <w:vAlign w:val="top"/>
          </w:tcPr>
          <w:p w14:paraId="5B7F042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100000以上</w:t>
            </w:r>
          </w:p>
        </w:tc>
        <w:tc>
          <w:tcPr>
            <w:tcW w:w="2067" w:type="dxa"/>
            <w:noWrap w:val="0"/>
            <w:vAlign w:val="top"/>
          </w:tcPr>
          <w:p w14:paraId="67BFE68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0.01%</w:t>
            </w:r>
          </w:p>
        </w:tc>
      </w:tr>
    </w:tbl>
    <w:p w14:paraId="4C9BD20F">
      <w:pPr>
        <w:spacing w:line="360" w:lineRule="auto"/>
        <w:ind w:firstLine="420" w:firstLineChars="200"/>
        <w:rPr>
          <w:rFonts w:hint="eastAsia" w:ascii="宋体" w:hAnsi="宋体" w:eastAsia="宋体" w:cs="宋体"/>
          <w:color w:val="auto"/>
          <w:kern w:val="0"/>
          <w:sz w:val="21"/>
          <w:szCs w:val="21"/>
          <w:highlight w:val="none"/>
        </w:rPr>
      </w:pPr>
    </w:p>
    <w:p w14:paraId="2A3DCA53">
      <w:pPr>
        <w:spacing w:line="360" w:lineRule="auto"/>
        <w:ind w:firstLine="422" w:firstLineChars="20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五</w:t>
      </w:r>
      <w:r>
        <w:rPr>
          <w:rFonts w:hint="eastAsia" w:ascii="宋体" w:hAnsi="宋体" w:eastAsia="宋体" w:cs="宋体"/>
          <w:b/>
          <w:color w:val="auto"/>
          <w:kern w:val="0"/>
          <w:sz w:val="21"/>
          <w:szCs w:val="21"/>
          <w:highlight w:val="none"/>
        </w:rPr>
        <w:t>、合同签订及公告</w:t>
      </w:r>
    </w:p>
    <w:p w14:paraId="664E2543">
      <w:pPr>
        <w:pStyle w:val="10"/>
        <w:spacing w:line="360" w:lineRule="auto"/>
        <w:ind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（一）签订合同</w:t>
      </w:r>
    </w:p>
    <w:p w14:paraId="342849E2">
      <w:pPr>
        <w:pStyle w:val="10"/>
        <w:spacing w:line="360" w:lineRule="auto"/>
        <w:ind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1、采购人应当自成交通知书发出之日起30日内，按照磋商采购文件确定的合同文本以及采购标的、规格型号、采购金额、采购数量和服务要求等事项签订政府采购合同。</w:t>
      </w:r>
    </w:p>
    <w:p w14:paraId="09F2F548">
      <w:pPr>
        <w:pStyle w:val="22"/>
        <w:spacing w:before="0" w:beforeAutospacing="0" w:after="0" w:afterAutospacing="0" w:line="360" w:lineRule="auto"/>
        <w:ind w:firstLine="525" w:firstLineChars="25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78287BF8">
      <w:pPr>
        <w:pStyle w:val="2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3、成交供应商无故拖延、拒绝与采购人签订合同的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将取消成交资格。</w:t>
      </w:r>
    </w:p>
    <w:p w14:paraId="351D8F51">
      <w:pPr>
        <w:pStyle w:val="22"/>
        <w:spacing w:before="0" w:beforeAutospacing="0" w:after="0" w:afterAutospacing="0" w:line="360" w:lineRule="auto"/>
        <w:ind w:firstLine="525" w:firstLineChars="25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2CE27492">
      <w:pPr>
        <w:pStyle w:val="22"/>
        <w:spacing w:before="0" w:beforeAutospacing="0" w:after="0" w:afterAutospacing="0" w:line="360" w:lineRule="auto"/>
        <w:ind w:firstLine="525" w:firstLineChars="25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、询问或者质疑事项可能影响成交结果的，采购人应当暂停签订合同，已经签订合同的，应当中止履行合同（成交结果的质疑期为成交结果公告期限届满之日起七个工作日）。</w:t>
      </w:r>
    </w:p>
    <w:p w14:paraId="7B52B2F2">
      <w:pPr>
        <w:spacing w:line="360" w:lineRule="auto"/>
        <w:ind w:firstLine="422" w:firstLineChars="20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（二）合同公告及备案</w:t>
      </w:r>
    </w:p>
    <w:p w14:paraId="3AECAD50">
      <w:pPr>
        <w:pStyle w:val="10"/>
        <w:spacing w:line="360" w:lineRule="auto"/>
        <w:ind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1、采购组织机构应当自政府采购合同签订之日起2个工作日内，在省级以上财政部门指定的政府采购信息发布媒体及相关网站上公告。</w:t>
      </w:r>
    </w:p>
    <w:p w14:paraId="411AA97E">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2、采购组织机构应当自政府采购合同签订之日起7个工作日内，将政府采购合同副本报同级人民政府财政部门备案</w:t>
      </w:r>
      <w:r>
        <w:rPr>
          <w:rFonts w:hint="eastAsia" w:ascii="宋体" w:hAnsi="宋体" w:eastAsia="宋体" w:cs="宋体"/>
          <w:color w:val="auto"/>
          <w:sz w:val="21"/>
          <w:szCs w:val="21"/>
          <w:highlight w:val="none"/>
          <w:lang w:val="zh-CN"/>
        </w:rPr>
        <w:t>以及采购组织机构存档</w:t>
      </w:r>
      <w:r>
        <w:rPr>
          <w:rFonts w:hint="eastAsia" w:ascii="宋体" w:hAnsi="宋体" w:eastAsia="宋体" w:cs="宋体"/>
          <w:color w:val="auto"/>
          <w:sz w:val="21"/>
          <w:szCs w:val="21"/>
          <w:highlight w:val="none"/>
        </w:rPr>
        <w:t>。</w:t>
      </w:r>
    </w:p>
    <w:p w14:paraId="4540B280">
      <w:pPr>
        <w:spacing w:line="360" w:lineRule="auto"/>
        <w:jc w:val="center"/>
        <w:rPr>
          <w:rFonts w:ascii="宋体" w:hAnsi="宋体"/>
          <w:color w:val="auto"/>
          <w:kern w:val="0"/>
          <w:sz w:val="36"/>
          <w:szCs w:val="36"/>
          <w:highlight w:val="none"/>
        </w:rPr>
      </w:pPr>
      <w:r>
        <w:rPr>
          <w:rFonts w:hint="eastAsia" w:ascii="宋体" w:hAnsi="宋体" w:cs="宋体"/>
          <w:color w:val="auto"/>
          <w:sz w:val="24"/>
          <w:highlight w:val="none"/>
          <w:lang w:eastAsia="zh-CN"/>
        </w:rPr>
        <w:br w:type="page"/>
      </w:r>
      <w:bookmarkStart w:id="3" w:name="_Toc7807"/>
      <w:r>
        <w:rPr>
          <w:rFonts w:hint="eastAsia" w:ascii="宋体" w:hAnsi="宋体"/>
          <w:b/>
          <w:color w:val="auto"/>
          <w:sz w:val="36"/>
          <w:szCs w:val="36"/>
          <w:highlight w:val="none"/>
        </w:rPr>
        <w:t>第三章  评审办法及评审标准</w:t>
      </w:r>
      <w:bookmarkEnd w:id="3"/>
    </w:p>
    <w:p w14:paraId="053DEF97">
      <w:pPr>
        <w:keepNext w:val="0"/>
        <w:keepLines w:val="0"/>
        <w:pageBreakBefore w:val="0"/>
        <w:widowControl w:val="0"/>
        <w:kinsoku/>
        <w:wordWrap/>
        <w:overflowPunct/>
        <w:topLinePunct w:val="0"/>
        <w:autoSpaceDE w:val="0"/>
        <w:autoSpaceDN w:val="0"/>
        <w:bidi w:val="0"/>
        <w:snapToGrid/>
        <w:spacing w:line="360" w:lineRule="auto"/>
        <w:ind w:firstLine="420" w:firstLineChars="200"/>
        <w:textAlignment w:val="auto"/>
        <w:rPr>
          <w:rFonts w:hint="eastAsia" w:ascii="宋体" w:hAnsi="宋体" w:eastAsia="宋体" w:cs="宋体"/>
          <w:b/>
          <w:i/>
          <w:color w:val="auto"/>
          <w:kern w:val="0"/>
          <w:sz w:val="21"/>
          <w:szCs w:val="21"/>
          <w:highlight w:val="none"/>
        </w:rPr>
      </w:pPr>
      <w:r>
        <w:rPr>
          <w:rFonts w:hint="eastAsia" w:ascii="宋体" w:hAnsi="宋体" w:eastAsia="宋体" w:cs="宋体"/>
          <w:color w:val="auto"/>
          <w:kern w:val="0"/>
          <w:sz w:val="21"/>
          <w:szCs w:val="21"/>
          <w:highlight w:val="none"/>
        </w:rPr>
        <w:t>一、采购组织机构将组织</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rPr>
        <w:t>，对</w:t>
      </w:r>
      <w:r>
        <w:rPr>
          <w:rFonts w:hint="eastAsia" w:ascii="宋体" w:hAnsi="宋体" w:eastAsia="宋体" w:cs="宋体"/>
          <w:color w:val="auto"/>
          <w:sz w:val="21"/>
          <w:szCs w:val="21"/>
          <w:highlight w:val="none"/>
        </w:rPr>
        <w:t>供应商</w:t>
      </w:r>
      <w:r>
        <w:rPr>
          <w:rFonts w:hint="eastAsia" w:ascii="宋体" w:hAnsi="宋体" w:eastAsia="宋体" w:cs="宋体"/>
          <w:color w:val="auto"/>
          <w:kern w:val="0"/>
          <w:sz w:val="21"/>
          <w:szCs w:val="21"/>
          <w:highlight w:val="none"/>
        </w:rPr>
        <w:t>提供的</w:t>
      </w:r>
      <w:r>
        <w:rPr>
          <w:rFonts w:hint="eastAsia" w:ascii="宋体" w:hAnsi="宋体" w:eastAsia="宋体" w:cs="宋体"/>
          <w:color w:val="auto"/>
          <w:sz w:val="21"/>
          <w:szCs w:val="21"/>
          <w:highlight w:val="none"/>
        </w:rPr>
        <w:t>磋商响应文件</w:t>
      </w:r>
      <w:r>
        <w:rPr>
          <w:rFonts w:hint="eastAsia" w:ascii="宋体" w:hAnsi="宋体" w:eastAsia="宋体" w:cs="宋体"/>
          <w:color w:val="auto"/>
          <w:kern w:val="0"/>
          <w:sz w:val="21"/>
          <w:szCs w:val="21"/>
          <w:highlight w:val="none"/>
        </w:rPr>
        <w:t>进行综合评审。</w:t>
      </w:r>
    </w:p>
    <w:p w14:paraId="2B05B666">
      <w:pPr>
        <w:keepNext w:val="0"/>
        <w:keepLines w:val="0"/>
        <w:pageBreakBefore w:val="0"/>
        <w:widowControl w:val="0"/>
        <w:kinsoku/>
        <w:wordWrap/>
        <w:overflowPunct/>
        <w:topLinePunct w:val="0"/>
        <w:autoSpaceDE w:val="0"/>
        <w:autoSpaceDN w:val="0"/>
        <w:bidi w:val="0"/>
        <w:adjustRightInd w:val="0"/>
        <w:snapToGrid/>
        <w:spacing w:line="360" w:lineRule="auto"/>
        <w:ind w:right="84" w:firstLine="472"/>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二、本次磋商项目的评审方法为</w:t>
      </w:r>
      <w:r>
        <w:rPr>
          <w:rFonts w:hint="eastAsia" w:ascii="宋体" w:hAnsi="宋体" w:eastAsia="宋体" w:cs="宋体"/>
          <w:b/>
          <w:color w:val="auto"/>
          <w:kern w:val="0"/>
          <w:sz w:val="21"/>
          <w:szCs w:val="21"/>
          <w:highlight w:val="none"/>
          <w:lang w:eastAsia="zh-CN"/>
        </w:rPr>
        <w:t>质量优先法</w:t>
      </w:r>
      <w:r>
        <w:rPr>
          <w:rFonts w:hint="eastAsia" w:ascii="宋体" w:hAnsi="宋体" w:eastAsia="宋体" w:cs="宋体"/>
          <w:color w:val="auto"/>
          <w:kern w:val="0"/>
          <w:sz w:val="21"/>
          <w:szCs w:val="21"/>
          <w:highlight w:val="none"/>
        </w:rPr>
        <w:t>，根据财政部第87号令第五十五条规定，执行国家统一定价标准和采用固定价格采购的项目，其价格不列为评审因素。</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政府采购竞争性磋商采购方式管理</w:t>
      </w:r>
      <w:r>
        <w:rPr>
          <w:rFonts w:hint="eastAsia" w:ascii="宋体" w:hAnsi="宋体" w:cs="宋体"/>
          <w:color w:val="auto"/>
          <w:kern w:val="0"/>
          <w:sz w:val="21"/>
          <w:szCs w:val="21"/>
          <w:highlight w:val="none"/>
          <w:lang w:val="en-US" w:eastAsia="zh-CN"/>
        </w:rPr>
        <w:t>暂行</w:t>
      </w:r>
      <w:r>
        <w:rPr>
          <w:rFonts w:hint="eastAsia" w:ascii="宋体" w:hAnsi="宋体" w:eastAsia="宋体" w:cs="宋体"/>
          <w:color w:val="auto"/>
          <w:kern w:val="0"/>
          <w:sz w:val="21"/>
          <w:szCs w:val="21"/>
          <w:highlight w:val="none"/>
        </w:rPr>
        <w:t>办法</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第</w:t>
      </w:r>
      <w:r>
        <w:rPr>
          <w:rFonts w:hint="eastAsia" w:ascii="宋体" w:hAnsi="宋体" w:eastAsia="宋体" w:cs="宋体"/>
          <w:color w:val="auto"/>
          <w:kern w:val="0"/>
          <w:sz w:val="21"/>
          <w:szCs w:val="21"/>
          <w:highlight w:val="none"/>
          <w:lang w:val="en-US" w:eastAsia="zh-CN"/>
        </w:rPr>
        <w:t>二十四</w:t>
      </w:r>
      <w:r>
        <w:rPr>
          <w:rFonts w:hint="eastAsia" w:ascii="宋体" w:hAnsi="宋体" w:eastAsia="宋体" w:cs="宋体"/>
          <w:color w:val="auto"/>
          <w:kern w:val="0"/>
          <w:sz w:val="21"/>
          <w:szCs w:val="21"/>
          <w:highlight w:val="none"/>
        </w:rPr>
        <w:t>条规定符合本办法第三条第三项的规定和执行统一价格标准的项目，其价格不列为评分因素。本项目报价采用的是固定价格，因此价格不列为评审因素。商务</w:t>
      </w:r>
      <w:r>
        <w:rPr>
          <w:rFonts w:hint="eastAsia" w:ascii="宋体" w:hAnsi="宋体" w:eastAsia="宋体" w:cs="宋体"/>
          <w:color w:val="auto"/>
          <w:kern w:val="0"/>
          <w:sz w:val="21"/>
          <w:szCs w:val="21"/>
          <w:highlight w:val="none"/>
          <w:lang w:val="en-US" w:eastAsia="zh-CN"/>
        </w:rPr>
        <w:t>与</w:t>
      </w:r>
      <w:r>
        <w:rPr>
          <w:rFonts w:hint="eastAsia" w:ascii="宋体" w:hAnsi="宋体" w:eastAsia="宋体" w:cs="宋体"/>
          <w:color w:val="auto"/>
          <w:kern w:val="0"/>
          <w:sz w:val="21"/>
          <w:szCs w:val="21"/>
          <w:highlight w:val="none"/>
        </w:rPr>
        <w:t>技术分</w:t>
      </w:r>
      <w:r>
        <w:rPr>
          <w:rFonts w:hint="eastAsia" w:ascii="宋体" w:hAnsi="宋体" w:eastAsia="宋体" w:cs="宋体"/>
          <w:color w:val="auto"/>
          <w:kern w:val="0"/>
          <w:sz w:val="21"/>
          <w:szCs w:val="21"/>
          <w:highlight w:val="none"/>
          <w:lang w:val="en-US" w:eastAsia="zh-CN"/>
        </w:rPr>
        <w:t>90</w:t>
      </w:r>
      <w:r>
        <w:rPr>
          <w:rFonts w:hint="eastAsia" w:ascii="宋体" w:hAnsi="宋体" w:eastAsia="宋体" w:cs="宋体"/>
          <w:color w:val="auto"/>
          <w:kern w:val="0"/>
          <w:sz w:val="21"/>
          <w:szCs w:val="21"/>
          <w:highlight w:val="none"/>
        </w:rPr>
        <w:t>分。</w:t>
      </w:r>
    </w:p>
    <w:p w14:paraId="43219640">
      <w:pPr>
        <w:keepNext w:val="0"/>
        <w:keepLines w:val="0"/>
        <w:pageBreakBefore w:val="0"/>
        <w:widowControl w:val="0"/>
        <w:kinsoku/>
        <w:wordWrap/>
        <w:overflowPunct/>
        <w:topLinePunct w:val="0"/>
        <w:autoSpaceDE w:val="0"/>
        <w:autoSpaceDN w:val="0"/>
        <w:bidi w:val="0"/>
        <w:adjustRightInd w:val="0"/>
        <w:snapToGrid/>
        <w:spacing w:line="360" w:lineRule="auto"/>
        <w:ind w:right="84" w:firstLine="472"/>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（一）商务与技术文件中</w:t>
      </w:r>
      <w:r>
        <w:rPr>
          <w:rFonts w:hint="eastAsia" w:ascii="宋体" w:hAnsi="宋体" w:eastAsia="宋体" w:cs="宋体"/>
          <w:bCs/>
          <w:color w:val="auto"/>
          <w:sz w:val="21"/>
          <w:szCs w:val="21"/>
          <w:highlight w:val="none"/>
        </w:rPr>
        <w:t>评</w:t>
      </w:r>
      <w:r>
        <w:rPr>
          <w:rFonts w:hint="eastAsia" w:ascii="宋体" w:hAnsi="宋体" w:eastAsia="宋体" w:cs="宋体"/>
          <w:bCs/>
          <w:color w:val="auto"/>
          <w:sz w:val="21"/>
          <w:szCs w:val="21"/>
          <w:highlight w:val="none"/>
          <w:lang w:val="zh-CN"/>
        </w:rPr>
        <w:t>分由</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在规定的分值内单独评定打分。</w:t>
      </w:r>
    </w:p>
    <w:p w14:paraId="011230BE">
      <w:pPr>
        <w:keepNext w:val="0"/>
        <w:keepLines w:val="0"/>
        <w:pageBreakBefore w:val="0"/>
        <w:widowControl w:val="0"/>
        <w:kinsoku/>
        <w:wordWrap/>
        <w:overflowPunct/>
        <w:topLinePunct w:val="0"/>
        <w:autoSpaceDE w:val="0"/>
        <w:autoSpaceDN w:val="0"/>
        <w:bidi w:val="0"/>
        <w:adjustRightInd w:val="0"/>
        <w:snapToGrid/>
        <w:spacing w:line="360" w:lineRule="auto"/>
        <w:ind w:right="84" w:firstLine="472"/>
        <w:textAlignment w:val="auto"/>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bCs/>
          <w:color w:val="auto"/>
          <w:sz w:val="21"/>
          <w:szCs w:val="21"/>
          <w:highlight w:val="none"/>
          <w:lang w:val="zh-CN"/>
        </w:rPr>
        <w:t>（二）各磋商供应商商务与技术文件</w:t>
      </w:r>
      <w:r>
        <w:rPr>
          <w:rFonts w:hint="eastAsia" w:ascii="宋体" w:hAnsi="宋体" w:eastAsia="宋体" w:cs="宋体"/>
          <w:color w:val="auto"/>
          <w:kern w:val="0"/>
          <w:sz w:val="21"/>
          <w:szCs w:val="21"/>
          <w:highlight w:val="none"/>
          <w:lang w:val="zh-CN"/>
        </w:rPr>
        <w:t>得分按照</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lang w:val="zh-CN"/>
        </w:rPr>
        <w:t>成</w:t>
      </w:r>
      <w:r>
        <w:rPr>
          <w:rFonts w:hint="eastAsia" w:ascii="宋体" w:hAnsi="宋体" w:eastAsia="宋体" w:cs="宋体"/>
          <w:bCs/>
          <w:color w:val="auto"/>
          <w:sz w:val="21"/>
          <w:szCs w:val="21"/>
          <w:highlight w:val="none"/>
          <w:lang w:val="zh-CN"/>
        </w:rPr>
        <w:t>员的独立评分结果汇总后的算术平均分计算，计算公式为：</w:t>
      </w:r>
    </w:p>
    <w:p w14:paraId="4A716164">
      <w:pPr>
        <w:keepNext w:val="0"/>
        <w:keepLines w:val="0"/>
        <w:pageBreakBefore w:val="0"/>
        <w:widowControl w:val="0"/>
        <w:kinsoku/>
        <w:wordWrap/>
        <w:overflowPunct/>
        <w:topLinePunct w:val="0"/>
        <w:autoSpaceDE w:val="0"/>
        <w:autoSpaceDN w:val="0"/>
        <w:bidi w:val="0"/>
        <w:adjustRightInd w:val="0"/>
        <w:snapToGrid/>
        <w:spacing w:line="360" w:lineRule="auto"/>
        <w:ind w:right="84" w:firstLine="472"/>
        <w:textAlignment w:val="auto"/>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color w:val="auto"/>
          <w:sz w:val="21"/>
          <w:szCs w:val="21"/>
          <w:highlight w:val="none"/>
        </w:rPr>
        <w:t>商务与技术文件得分</w:t>
      </w:r>
      <w:r>
        <w:rPr>
          <w:rFonts w:hint="eastAsia" w:ascii="宋体" w:hAnsi="宋体" w:eastAsia="宋体" w:cs="宋体"/>
          <w:bCs/>
          <w:color w:val="auto"/>
          <w:sz w:val="21"/>
          <w:szCs w:val="21"/>
          <w:highlight w:val="none"/>
          <w:lang w:val="zh-CN"/>
        </w:rPr>
        <w:t>=</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所有成员评分合计数/</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组成人员数。</w:t>
      </w:r>
    </w:p>
    <w:p w14:paraId="345C1071">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zh-CN"/>
        </w:rPr>
        <w:t>（三）</w:t>
      </w:r>
      <w:r>
        <w:rPr>
          <w:rFonts w:hint="eastAsia" w:ascii="宋体" w:hAnsi="宋体" w:eastAsia="宋体" w:cs="宋体"/>
          <w:color w:val="auto"/>
          <w:sz w:val="21"/>
          <w:szCs w:val="21"/>
          <w:highlight w:val="none"/>
          <w:lang w:val="zh-CN"/>
        </w:rPr>
        <w:t>供应商评审总得分=</w:t>
      </w:r>
      <w:r>
        <w:rPr>
          <w:rFonts w:hint="eastAsia" w:ascii="宋体" w:hAnsi="宋体" w:eastAsia="宋体" w:cs="宋体"/>
          <w:color w:val="auto"/>
          <w:sz w:val="21"/>
          <w:szCs w:val="21"/>
          <w:highlight w:val="none"/>
        </w:rPr>
        <w:t>商务与技术文件得分</w:t>
      </w:r>
      <w:r>
        <w:rPr>
          <w:rFonts w:hint="eastAsia" w:ascii="宋体" w:hAnsi="宋体" w:eastAsia="宋体" w:cs="宋体"/>
          <w:color w:val="auto"/>
          <w:sz w:val="21"/>
          <w:szCs w:val="21"/>
          <w:highlight w:val="none"/>
          <w:lang w:val="zh-CN"/>
        </w:rPr>
        <w:t>。</w:t>
      </w:r>
    </w:p>
    <w:p w14:paraId="1910F0EC">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注：得分以系统计算为准，保留2位小数。</w:t>
      </w:r>
    </w:p>
    <w:p w14:paraId="1DDC716F">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三、在最大限度地满足磋商文件实质性要求前提下，</w:t>
      </w:r>
      <w:r>
        <w:rPr>
          <w:rFonts w:hint="eastAsia" w:ascii="宋体" w:hAnsi="宋体" w:eastAsia="宋体" w:cs="宋体"/>
          <w:color w:val="auto"/>
          <w:sz w:val="21"/>
          <w:szCs w:val="21"/>
          <w:highlight w:val="none"/>
        </w:rPr>
        <w:t>磋商小组</w:t>
      </w:r>
      <w:r>
        <w:rPr>
          <w:rFonts w:hint="eastAsia" w:ascii="宋体" w:hAnsi="宋体" w:eastAsia="宋体" w:cs="宋体"/>
          <w:color w:val="auto"/>
          <w:sz w:val="21"/>
          <w:szCs w:val="21"/>
          <w:highlight w:val="none"/>
          <w:lang w:val="zh-CN"/>
        </w:rPr>
        <w:t>按照磋商文件中规定的各项因素进行综合评审后，以评审总得分最高的供应商为成交候选供应商。</w:t>
      </w:r>
    </w:p>
    <w:p w14:paraId="18B6D405">
      <w:pPr>
        <w:keepNext w:val="0"/>
        <w:keepLines w:val="0"/>
        <w:pageBreakBefore w:val="0"/>
        <w:widowControl w:val="0"/>
        <w:kinsoku/>
        <w:wordWrap/>
        <w:overflowPunct/>
        <w:topLinePunct w:val="0"/>
        <w:bidi w:val="0"/>
        <w:snapToGrid/>
        <w:spacing w:line="360" w:lineRule="auto"/>
        <w:ind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四、如</w:t>
      </w:r>
      <w:r>
        <w:rPr>
          <w:rFonts w:hint="eastAsia" w:ascii="宋体" w:hAnsi="宋体" w:eastAsia="宋体" w:cs="宋体"/>
          <w:color w:val="auto"/>
          <w:sz w:val="21"/>
          <w:szCs w:val="21"/>
          <w:highlight w:val="none"/>
          <w:lang w:val="en-US" w:eastAsia="zh-CN"/>
        </w:rPr>
        <w:t>总</w:t>
      </w:r>
      <w:r>
        <w:rPr>
          <w:rFonts w:hint="eastAsia" w:ascii="宋体" w:hAnsi="宋体" w:eastAsia="宋体" w:cs="宋体"/>
          <w:color w:val="auto"/>
          <w:sz w:val="21"/>
          <w:szCs w:val="21"/>
          <w:highlight w:val="none"/>
          <w:lang w:val="zh-CN"/>
        </w:rPr>
        <w:t>得分相同，</w:t>
      </w:r>
      <w:r>
        <w:rPr>
          <w:rFonts w:hint="eastAsia" w:ascii="宋体" w:hAnsi="宋体" w:eastAsia="宋体" w:cs="宋体"/>
          <w:color w:val="auto"/>
          <w:sz w:val="21"/>
          <w:szCs w:val="21"/>
          <w:highlight w:val="none"/>
          <w:lang w:val="en-US" w:eastAsia="zh-CN"/>
        </w:rPr>
        <w:t>则抽签决定</w:t>
      </w:r>
      <w:r>
        <w:rPr>
          <w:rFonts w:hint="eastAsia" w:ascii="宋体" w:hAnsi="宋体" w:eastAsia="宋体" w:cs="宋体"/>
          <w:color w:val="auto"/>
          <w:sz w:val="21"/>
          <w:szCs w:val="21"/>
          <w:highlight w:val="none"/>
          <w:lang w:val="zh-CN"/>
        </w:rPr>
        <w:t>。</w:t>
      </w:r>
    </w:p>
    <w:p w14:paraId="087E7BC2">
      <w:pPr>
        <w:keepNext w:val="0"/>
        <w:keepLines w:val="0"/>
        <w:pageBreakBefore w:val="0"/>
        <w:widowControl w:val="0"/>
        <w:kinsoku/>
        <w:wordWrap/>
        <w:overflowPunct/>
        <w:topLinePunct w:val="0"/>
        <w:autoSpaceDE w:val="0"/>
        <w:autoSpaceDN w:val="0"/>
        <w:bidi w:val="0"/>
        <w:adjustRightInd w:val="0"/>
        <w:snapToGrid/>
        <w:spacing w:line="456" w:lineRule="exact"/>
        <w:ind w:firstLine="420" w:firstLineChars="200"/>
        <w:jc w:val="left"/>
        <w:textAlignment w:val="auto"/>
        <w:rPr>
          <w:rFonts w:hint="eastAsia" w:ascii="宋体" w:hAnsi="宋体"/>
          <w:color w:val="auto"/>
          <w:kern w:val="0"/>
          <w:sz w:val="24"/>
          <w:highlight w:val="none"/>
        </w:rPr>
      </w:pPr>
      <w:r>
        <w:rPr>
          <w:rFonts w:hint="eastAsia" w:ascii="宋体" w:hAnsi="宋体" w:eastAsia="宋体" w:cs="宋体"/>
          <w:color w:val="auto"/>
          <w:kern w:val="0"/>
          <w:sz w:val="21"/>
          <w:szCs w:val="21"/>
          <w:highlight w:val="none"/>
        </w:rPr>
        <w:t>五、本次评分具体分值细化条款如下表：</w:t>
      </w:r>
    </w:p>
    <w:tbl>
      <w:tblPr>
        <w:tblStyle w:val="2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041"/>
        <w:gridCol w:w="6718"/>
        <w:gridCol w:w="740"/>
      </w:tblGrid>
      <w:tr w14:paraId="743E7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47" w:type="dxa"/>
            <w:gridSpan w:val="2"/>
            <w:noWrap w:val="0"/>
            <w:vAlign w:val="center"/>
          </w:tcPr>
          <w:p w14:paraId="7E106C89">
            <w:pPr>
              <w:keepNext w:val="0"/>
              <w:keepLines w:val="0"/>
              <w:pageBreakBefore w:val="0"/>
              <w:kinsoku/>
              <w:wordWrap/>
              <w:overflowPunct/>
              <w:topLinePunct w:val="0"/>
              <w:bidi w:val="0"/>
              <w:spacing w:line="360" w:lineRule="exact"/>
              <w:jc w:val="center"/>
              <w:rPr>
                <w:rFonts w:hint="eastAsia" w:ascii="宋体" w:hAnsi="宋体" w:cs="宋体"/>
                <w:b/>
                <w:bCs/>
                <w:sz w:val="21"/>
                <w:szCs w:val="21"/>
                <w:highlight w:val="none"/>
              </w:rPr>
            </w:pPr>
            <w:bookmarkStart w:id="4" w:name="_Toc9699"/>
            <w:r>
              <w:rPr>
                <w:rFonts w:hint="eastAsia" w:ascii="宋体" w:hAnsi="宋体" w:cs="宋体"/>
                <w:b/>
                <w:bCs/>
                <w:sz w:val="21"/>
                <w:szCs w:val="21"/>
                <w:highlight w:val="none"/>
              </w:rPr>
              <w:t>评分因素</w:t>
            </w:r>
          </w:p>
        </w:tc>
        <w:tc>
          <w:tcPr>
            <w:tcW w:w="6718" w:type="dxa"/>
            <w:noWrap w:val="0"/>
            <w:vAlign w:val="center"/>
          </w:tcPr>
          <w:p w14:paraId="4055366A">
            <w:pPr>
              <w:keepNext w:val="0"/>
              <w:keepLines w:val="0"/>
              <w:pageBreakBefore w:val="0"/>
              <w:kinsoku/>
              <w:wordWrap/>
              <w:overflowPunct/>
              <w:topLinePunct w:val="0"/>
              <w:bidi w:val="0"/>
              <w:spacing w:line="360" w:lineRule="exact"/>
              <w:jc w:val="center"/>
              <w:rPr>
                <w:rFonts w:hint="eastAsia" w:ascii="宋体" w:hAnsi="宋体" w:cs="宋体"/>
                <w:b/>
                <w:bCs/>
                <w:sz w:val="21"/>
                <w:szCs w:val="21"/>
                <w:highlight w:val="none"/>
              </w:rPr>
            </w:pPr>
            <w:r>
              <w:rPr>
                <w:rFonts w:hint="eastAsia" w:ascii="宋体" w:hAnsi="宋体" w:cs="宋体"/>
                <w:b/>
                <w:bCs/>
                <w:sz w:val="21"/>
                <w:szCs w:val="21"/>
                <w:highlight w:val="none"/>
              </w:rPr>
              <w:t>评分标准</w:t>
            </w:r>
          </w:p>
        </w:tc>
        <w:tc>
          <w:tcPr>
            <w:tcW w:w="740" w:type="dxa"/>
            <w:noWrap w:val="0"/>
            <w:vAlign w:val="center"/>
          </w:tcPr>
          <w:p w14:paraId="154AB119">
            <w:pPr>
              <w:keepNext w:val="0"/>
              <w:keepLines w:val="0"/>
              <w:pageBreakBefore w:val="0"/>
              <w:kinsoku/>
              <w:wordWrap/>
              <w:overflowPunct/>
              <w:topLinePunct w:val="0"/>
              <w:bidi w:val="0"/>
              <w:spacing w:line="360" w:lineRule="exact"/>
              <w:jc w:val="center"/>
              <w:rPr>
                <w:rFonts w:hint="eastAsia" w:ascii="宋体" w:hAnsi="宋体" w:cs="宋体"/>
                <w:b/>
                <w:bCs/>
                <w:sz w:val="21"/>
                <w:szCs w:val="21"/>
                <w:highlight w:val="none"/>
              </w:rPr>
            </w:pPr>
            <w:r>
              <w:rPr>
                <w:rFonts w:hint="eastAsia" w:ascii="宋体" w:hAnsi="宋体" w:cs="宋体"/>
                <w:b/>
                <w:bCs/>
                <w:sz w:val="21"/>
                <w:szCs w:val="21"/>
                <w:highlight w:val="none"/>
              </w:rPr>
              <w:t>分值</w:t>
            </w:r>
          </w:p>
        </w:tc>
      </w:tr>
      <w:tr w14:paraId="41F1F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6" w:type="dxa"/>
            <w:vMerge w:val="restart"/>
            <w:noWrap w:val="0"/>
            <w:vAlign w:val="center"/>
          </w:tcPr>
          <w:p w14:paraId="5D3ACCDF">
            <w:pPr>
              <w:keepNext w:val="0"/>
              <w:keepLines w:val="0"/>
              <w:pageBreakBefore w:val="0"/>
              <w:kinsoku/>
              <w:wordWrap/>
              <w:overflowPunct/>
              <w:topLinePunct w:val="0"/>
              <w:bidi w:val="0"/>
              <w:adjustRightInd w:val="0"/>
              <w:spacing w:line="360" w:lineRule="exact"/>
              <w:jc w:val="center"/>
              <w:rPr>
                <w:rFonts w:hint="eastAsia" w:ascii="宋体" w:hAnsi="宋体" w:cs="宋体"/>
                <w:sz w:val="21"/>
                <w:szCs w:val="21"/>
                <w:highlight w:val="none"/>
              </w:rPr>
            </w:pPr>
          </w:p>
          <w:p w14:paraId="2CBD6C18">
            <w:pPr>
              <w:keepNext w:val="0"/>
              <w:keepLines w:val="0"/>
              <w:pageBreakBefore w:val="0"/>
              <w:kinsoku/>
              <w:wordWrap/>
              <w:overflowPunct/>
              <w:topLinePunct w:val="0"/>
              <w:bidi w:val="0"/>
              <w:adjustRightInd w:val="0"/>
              <w:spacing w:line="360" w:lineRule="exact"/>
              <w:jc w:val="center"/>
              <w:rPr>
                <w:rFonts w:hint="eastAsia" w:ascii="宋体" w:hAnsi="宋体" w:cs="宋体"/>
                <w:sz w:val="21"/>
                <w:szCs w:val="21"/>
                <w:highlight w:val="none"/>
              </w:rPr>
            </w:pPr>
          </w:p>
          <w:p w14:paraId="70750E56">
            <w:pPr>
              <w:keepNext w:val="0"/>
              <w:keepLines w:val="0"/>
              <w:pageBreakBefore w:val="0"/>
              <w:kinsoku/>
              <w:wordWrap/>
              <w:overflowPunct/>
              <w:topLinePunct w:val="0"/>
              <w:bidi w:val="0"/>
              <w:adjustRightInd w:val="0"/>
              <w:spacing w:line="360" w:lineRule="exact"/>
              <w:jc w:val="center"/>
              <w:rPr>
                <w:rFonts w:hint="eastAsia" w:ascii="宋体" w:hAnsi="宋体" w:cs="宋体"/>
                <w:sz w:val="21"/>
                <w:szCs w:val="21"/>
                <w:highlight w:val="none"/>
              </w:rPr>
            </w:pPr>
          </w:p>
          <w:p w14:paraId="674BAC1B">
            <w:pPr>
              <w:keepNext w:val="0"/>
              <w:keepLines w:val="0"/>
              <w:pageBreakBefore w:val="0"/>
              <w:kinsoku/>
              <w:wordWrap/>
              <w:overflowPunct/>
              <w:topLinePunct w:val="0"/>
              <w:bidi w:val="0"/>
              <w:adjustRightInd w:val="0"/>
              <w:spacing w:line="360" w:lineRule="exact"/>
              <w:jc w:val="center"/>
              <w:rPr>
                <w:rFonts w:hint="eastAsia" w:ascii="宋体" w:hAnsi="宋体" w:cs="宋体"/>
                <w:sz w:val="21"/>
                <w:szCs w:val="21"/>
                <w:highlight w:val="none"/>
              </w:rPr>
            </w:pPr>
            <w:r>
              <w:rPr>
                <w:rFonts w:hint="eastAsia" w:ascii="宋体" w:hAnsi="宋体" w:cs="宋体"/>
                <w:sz w:val="21"/>
                <w:szCs w:val="21"/>
                <w:highlight w:val="none"/>
              </w:rPr>
              <w:t>商务分（</w:t>
            </w:r>
            <w:r>
              <w:rPr>
                <w:rFonts w:hint="default" w:ascii="宋体" w:hAnsi="宋体" w:cs="宋体"/>
                <w:sz w:val="21"/>
                <w:szCs w:val="21"/>
                <w:highlight w:val="none"/>
                <w:lang w:val="en-US" w:eastAsia="zh-CN"/>
              </w:rPr>
              <w:t>3</w:t>
            </w:r>
            <w:r>
              <w:rPr>
                <w:rFonts w:hint="eastAsia" w:ascii="宋体" w:hAnsi="宋体" w:cs="宋体"/>
                <w:sz w:val="21"/>
                <w:szCs w:val="21"/>
                <w:highlight w:val="none"/>
                <w:lang w:val="en-US" w:eastAsia="zh-CN"/>
              </w:rPr>
              <w:t>1</w:t>
            </w:r>
            <w:r>
              <w:rPr>
                <w:rFonts w:hint="eastAsia" w:ascii="宋体" w:hAnsi="宋体" w:cs="宋体"/>
                <w:sz w:val="21"/>
                <w:szCs w:val="21"/>
                <w:highlight w:val="none"/>
              </w:rPr>
              <w:t>分）</w:t>
            </w:r>
          </w:p>
        </w:tc>
        <w:tc>
          <w:tcPr>
            <w:tcW w:w="1041" w:type="dxa"/>
            <w:noWrap w:val="0"/>
            <w:vAlign w:val="center"/>
          </w:tcPr>
          <w:p w14:paraId="179D2BCA">
            <w:pPr>
              <w:keepNext w:val="0"/>
              <w:keepLines w:val="0"/>
              <w:pageBreakBefore w:val="0"/>
              <w:kinsoku/>
              <w:wordWrap/>
              <w:overflowPunct/>
              <w:topLinePunct w:val="0"/>
              <w:bidi w:val="0"/>
              <w:spacing w:line="360" w:lineRule="exact"/>
              <w:jc w:val="center"/>
              <w:rPr>
                <w:rFonts w:hint="eastAsia" w:ascii="宋体" w:hAnsi="宋体" w:cs="宋体"/>
                <w:sz w:val="21"/>
                <w:szCs w:val="21"/>
                <w:highlight w:val="none"/>
              </w:rPr>
            </w:pPr>
            <w:r>
              <w:rPr>
                <w:rFonts w:hint="eastAsia" w:ascii="宋体" w:hAnsi="宋体" w:cs="宋体"/>
                <w:sz w:val="21"/>
                <w:szCs w:val="21"/>
                <w:highlight w:val="none"/>
              </w:rPr>
              <w:t>企业资质</w:t>
            </w:r>
          </w:p>
        </w:tc>
        <w:tc>
          <w:tcPr>
            <w:tcW w:w="6718" w:type="dxa"/>
            <w:shd w:val="clear" w:color="auto" w:fill="auto"/>
            <w:noWrap w:val="0"/>
            <w:vAlign w:val="center"/>
          </w:tcPr>
          <w:p w14:paraId="399C8E0A">
            <w:pPr>
              <w:spacing w:line="360" w:lineRule="exact"/>
              <w:rPr>
                <w:rFonts w:hint="eastAsia" w:ascii="宋体" w:hAnsi="宋体" w:cs="宋体"/>
                <w:szCs w:val="21"/>
                <w:highlight w:val="none"/>
              </w:rPr>
            </w:pPr>
            <w:r>
              <w:rPr>
                <w:rFonts w:hint="eastAsia" w:ascii="宋体" w:hAnsi="宋体" w:cs="宋体"/>
                <w:szCs w:val="21"/>
                <w:highlight w:val="none"/>
              </w:rPr>
              <w:t>投标人具有有效的质量管理体系认证、职业健康安全管理体系认证、环境管理体系认证、养老服务认证</w:t>
            </w:r>
            <w:r>
              <w:rPr>
                <w:rFonts w:hint="eastAsia" w:ascii="宋体" w:hAnsi="宋体" w:cs="宋体"/>
                <w:szCs w:val="21"/>
                <w:highlight w:val="none"/>
                <w:lang w:val="en-US" w:eastAsia="zh-CN"/>
              </w:rPr>
              <w:t>证书</w:t>
            </w:r>
            <w:r>
              <w:rPr>
                <w:rFonts w:hint="eastAsia" w:ascii="宋体" w:hAnsi="宋体" w:cs="宋体"/>
                <w:szCs w:val="21"/>
                <w:highlight w:val="none"/>
              </w:rPr>
              <w:t>，</w:t>
            </w:r>
            <w:r>
              <w:rPr>
                <w:rFonts w:hint="eastAsia" w:ascii="宋体" w:hAnsi="宋体" w:cs="宋体"/>
                <w:color w:val="000000"/>
                <w:szCs w:val="21"/>
                <w:highlight w:val="none"/>
              </w:rPr>
              <w:t>证书认证范围须为养老相关，</w:t>
            </w:r>
            <w:r>
              <w:rPr>
                <w:rFonts w:hint="eastAsia" w:ascii="宋体" w:hAnsi="宋体" w:cs="宋体"/>
                <w:szCs w:val="21"/>
                <w:highlight w:val="none"/>
              </w:rPr>
              <w:t>每个得1分。</w:t>
            </w:r>
          </w:p>
          <w:p w14:paraId="369ABE09">
            <w:pPr>
              <w:spacing w:line="360" w:lineRule="exact"/>
              <w:rPr>
                <w:rFonts w:hint="eastAsia" w:ascii="宋体" w:hAnsi="宋体" w:cs="宋体"/>
                <w:szCs w:val="21"/>
                <w:highlight w:val="none"/>
              </w:rPr>
            </w:pPr>
            <w:r>
              <w:rPr>
                <w:rFonts w:hint="eastAsia" w:ascii="宋体" w:hAnsi="宋体" w:cs="宋体"/>
                <w:szCs w:val="21"/>
                <w:highlight w:val="none"/>
              </w:rPr>
              <w:t>本项最高得</w:t>
            </w:r>
            <w:r>
              <w:rPr>
                <w:rFonts w:hint="eastAsia" w:ascii="宋体" w:hAnsi="宋体" w:cs="宋体"/>
                <w:szCs w:val="21"/>
                <w:highlight w:val="none"/>
                <w:lang w:val="en-US" w:eastAsia="zh-CN"/>
              </w:rPr>
              <w:t>4</w:t>
            </w:r>
            <w:r>
              <w:rPr>
                <w:rFonts w:hint="eastAsia" w:ascii="宋体" w:hAnsi="宋体" w:cs="宋体"/>
                <w:szCs w:val="21"/>
                <w:highlight w:val="none"/>
              </w:rPr>
              <w:t>分。</w:t>
            </w:r>
          </w:p>
          <w:p w14:paraId="53007F35">
            <w:pPr>
              <w:spacing w:line="360" w:lineRule="exact"/>
              <w:rPr>
                <w:rFonts w:hint="eastAsia" w:ascii="宋体" w:hAnsi="宋体" w:eastAsia="宋体" w:cs="宋体"/>
                <w:kern w:val="2"/>
                <w:sz w:val="21"/>
                <w:szCs w:val="21"/>
                <w:highlight w:val="none"/>
                <w:lang w:val="en-US" w:eastAsia="zh-CN" w:bidi="ar-SA"/>
              </w:rPr>
            </w:pPr>
            <w:r>
              <w:rPr>
                <w:rFonts w:hint="eastAsia" w:ascii="宋体" w:hAnsi="宋体" w:cs="宋体"/>
                <w:b/>
                <w:bCs/>
                <w:szCs w:val="21"/>
                <w:highlight w:val="none"/>
              </w:rPr>
              <w:t>（须提供有效的证书扫描件加盖公章，未提供或不符合要求不得分）</w:t>
            </w:r>
          </w:p>
        </w:tc>
        <w:tc>
          <w:tcPr>
            <w:tcW w:w="740" w:type="dxa"/>
            <w:shd w:val="clear" w:color="auto" w:fill="auto"/>
            <w:noWrap w:val="0"/>
            <w:vAlign w:val="center"/>
          </w:tcPr>
          <w:p w14:paraId="0FAB734F">
            <w:pPr>
              <w:spacing w:line="36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4</w:t>
            </w:r>
          </w:p>
        </w:tc>
      </w:tr>
      <w:tr w14:paraId="0D864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6" w:type="dxa"/>
            <w:vMerge w:val="continue"/>
            <w:noWrap w:val="0"/>
            <w:vAlign w:val="center"/>
          </w:tcPr>
          <w:p w14:paraId="1A1B0392">
            <w:pPr>
              <w:keepNext w:val="0"/>
              <w:keepLines w:val="0"/>
              <w:pageBreakBefore w:val="0"/>
              <w:kinsoku/>
              <w:wordWrap/>
              <w:overflowPunct/>
              <w:topLinePunct w:val="0"/>
              <w:bidi w:val="0"/>
              <w:adjustRightInd w:val="0"/>
              <w:spacing w:line="360" w:lineRule="exact"/>
              <w:jc w:val="center"/>
              <w:rPr>
                <w:rFonts w:hint="eastAsia" w:ascii="宋体" w:hAnsi="宋体" w:cs="宋体"/>
                <w:sz w:val="21"/>
                <w:szCs w:val="21"/>
                <w:highlight w:val="none"/>
              </w:rPr>
            </w:pPr>
          </w:p>
        </w:tc>
        <w:tc>
          <w:tcPr>
            <w:tcW w:w="1041" w:type="dxa"/>
            <w:noWrap w:val="0"/>
            <w:vAlign w:val="center"/>
          </w:tcPr>
          <w:p w14:paraId="441F1213">
            <w:pPr>
              <w:keepNext w:val="0"/>
              <w:keepLines w:val="0"/>
              <w:pageBreakBefore w:val="0"/>
              <w:kinsoku/>
              <w:wordWrap/>
              <w:overflowPunct/>
              <w:topLinePunct w:val="0"/>
              <w:bidi w:val="0"/>
              <w:spacing w:line="360" w:lineRule="exact"/>
              <w:jc w:val="center"/>
              <w:rPr>
                <w:rFonts w:hint="eastAsia" w:ascii="宋体" w:hAnsi="宋体" w:cs="宋体"/>
                <w:sz w:val="21"/>
                <w:szCs w:val="21"/>
                <w:highlight w:val="none"/>
              </w:rPr>
            </w:pPr>
            <w:r>
              <w:rPr>
                <w:rFonts w:hint="eastAsia" w:ascii="宋体" w:hAnsi="宋体" w:cs="宋体"/>
                <w:sz w:val="21"/>
                <w:szCs w:val="21"/>
                <w:highlight w:val="none"/>
              </w:rPr>
              <w:t>企业业绩</w:t>
            </w:r>
          </w:p>
        </w:tc>
        <w:tc>
          <w:tcPr>
            <w:tcW w:w="6718" w:type="dxa"/>
            <w:noWrap w:val="0"/>
            <w:vAlign w:val="center"/>
          </w:tcPr>
          <w:p w14:paraId="7B73DBFE">
            <w:pPr>
              <w:pStyle w:val="9"/>
              <w:keepNext w:val="0"/>
              <w:keepLines w:val="0"/>
              <w:pageBreakBefore w:val="0"/>
              <w:kinsoku/>
              <w:wordWrap/>
              <w:overflowPunct/>
              <w:topLinePunct w:val="0"/>
              <w:bidi w:val="0"/>
              <w:spacing w:after="0" w:line="360" w:lineRule="exact"/>
              <w:rPr>
                <w:rFonts w:hint="eastAsia" w:ascii="宋体" w:hAnsi="宋体" w:cs="宋体"/>
                <w:sz w:val="21"/>
                <w:szCs w:val="21"/>
                <w:highlight w:val="none"/>
              </w:rPr>
            </w:pPr>
            <w:r>
              <w:rPr>
                <w:rFonts w:hint="eastAsia" w:ascii="宋体" w:hAnsi="宋体" w:cs="宋体"/>
                <w:sz w:val="21"/>
                <w:szCs w:val="21"/>
                <w:highlight w:val="none"/>
              </w:rPr>
              <w:t>20</w:t>
            </w:r>
            <w:r>
              <w:rPr>
                <w:rFonts w:hint="eastAsia" w:ascii="宋体" w:hAnsi="宋体" w:cs="宋体"/>
                <w:sz w:val="21"/>
                <w:szCs w:val="21"/>
                <w:highlight w:val="none"/>
                <w:lang w:val="en-US" w:eastAsia="zh-CN"/>
              </w:rPr>
              <w:t>22</w:t>
            </w:r>
            <w:r>
              <w:rPr>
                <w:rFonts w:hint="eastAsia" w:ascii="宋体" w:hAnsi="宋体" w:cs="宋体"/>
                <w:sz w:val="21"/>
                <w:szCs w:val="21"/>
                <w:highlight w:val="none"/>
              </w:rPr>
              <w:t>年1月1日以来（以合同签订日期为准），投标人具有的类似居家养老服务项目的业绩，每提供1个合同得0.5分，最高得</w:t>
            </w:r>
            <w:r>
              <w:rPr>
                <w:rFonts w:hint="eastAsia" w:ascii="宋体" w:hAnsi="宋体" w:cs="宋体"/>
                <w:sz w:val="21"/>
                <w:szCs w:val="21"/>
                <w:highlight w:val="none"/>
                <w:lang w:val="en-US" w:eastAsia="zh-CN"/>
              </w:rPr>
              <w:t>1</w:t>
            </w:r>
            <w:r>
              <w:rPr>
                <w:rFonts w:hint="eastAsia" w:ascii="宋体" w:hAnsi="宋体" w:cs="宋体"/>
                <w:sz w:val="21"/>
                <w:szCs w:val="21"/>
                <w:highlight w:val="none"/>
              </w:rPr>
              <w:t>分。</w:t>
            </w:r>
          </w:p>
          <w:p w14:paraId="4690E002">
            <w:pPr>
              <w:pStyle w:val="9"/>
              <w:keepNext w:val="0"/>
              <w:keepLines w:val="0"/>
              <w:pageBreakBefore w:val="0"/>
              <w:kinsoku/>
              <w:wordWrap/>
              <w:overflowPunct/>
              <w:topLinePunct w:val="0"/>
              <w:bidi w:val="0"/>
              <w:spacing w:after="0" w:line="360" w:lineRule="exact"/>
              <w:rPr>
                <w:rFonts w:hint="eastAsia" w:ascii="宋体" w:hAnsi="宋体" w:cs="宋体"/>
                <w:b/>
                <w:bCs/>
                <w:sz w:val="21"/>
                <w:szCs w:val="21"/>
                <w:highlight w:val="none"/>
              </w:rPr>
            </w:pP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须</w:t>
            </w:r>
            <w:r>
              <w:rPr>
                <w:rFonts w:hint="eastAsia" w:ascii="宋体" w:hAnsi="宋体" w:cs="宋体"/>
                <w:b/>
                <w:bCs/>
                <w:sz w:val="21"/>
                <w:szCs w:val="21"/>
                <w:highlight w:val="none"/>
              </w:rPr>
              <w:t>提供合同扫描件加盖投标单位公章，未提供或不符合要求不得分）</w:t>
            </w:r>
          </w:p>
        </w:tc>
        <w:tc>
          <w:tcPr>
            <w:tcW w:w="740" w:type="dxa"/>
            <w:noWrap w:val="0"/>
            <w:vAlign w:val="center"/>
          </w:tcPr>
          <w:p w14:paraId="6FECD0F4">
            <w:pPr>
              <w:keepNext w:val="0"/>
              <w:keepLines w:val="0"/>
              <w:pageBreakBefore w:val="0"/>
              <w:kinsoku/>
              <w:wordWrap/>
              <w:overflowPunct/>
              <w:topLinePunct w:val="0"/>
              <w:bidi w:val="0"/>
              <w:spacing w:line="36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p>
        </w:tc>
      </w:tr>
      <w:tr w14:paraId="0F532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6" w:type="dxa"/>
            <w:vMerge w:val="continue"/>
            <w:noWrap w:val="0"/>
            <w:vAlign w:val="center"/>
          </w:tcPr>
          <w:p w14:paraId="3A5B324E">
            <w:pPr>
              <w:keepNext w:val="0"/>
              <w:keepLines w:val="0"/>
              <w:pageBreakBefore w:val="0"/>
              <w:kinsoku/>
              <w:wordWrap/>
              <w:overflowPunct/>
              <w:topLinePunct w:val="0"/>
              <w:autoSpaceDE w:val="0"/>
              <w:autoSpaceDN w:val="0"/>
              <w:bidi w:val="0"/>
              <w:adjustRightInd w:val="0"/>
              <w:spacing w:line="360" w:lineRule="exact"/>
              <w:jc w:val="center"/>
              <w:rPr>
                <w:rFonts w:hint="eastAsia" w:ascii="宋体" w:hAnsi="宋体" w:cs="宋体"/>
                <w:sz w:val="21"/>
                <w:szCs w:val="21"/>
                <w:highlight w:val="none"/>
              </w:rPr>
            </w:pPr>
          </w:p>
        </w:tc>
        <w:tc>
          <w:tcPr>
            <w:tcW w:w="1041" w:type="dxa"/>
            <w:shd w:val="clear" w:color="auto" w:fill="auto"/>
            <w:noWrap w:val="0"/>
            <w:vAlign w:val="center"/>
          </w:tcPr>
          <w:p w14:paraId="0A187EBD">
            <w:pPr>
              <w:keepNext w:val="0"/>
              <w:keepLines w:val="0"/>
              <w:pageBreakBefore w:val="0"/>
              <w:kinsoku/>
              <w:wordWrap/>
              <w:overflowPunct/>
              <w:topLinePunct w:val="0"/>
              <w:bidi w:val="0"/>
              <w:spacing w:line="360" w:lineRule="exact"/>
              <w:jc w:val="center"/>
              <w:rPr>
                <w:rFonts w:hint="eastAsia" w:ascii="宋体" w:hAnsi="宋体" w:eastAsia="宋体" w:cs="宋体"/>
                <w:kern w:val="2"/>
                <w:sz w:val="21"/>
                <w:szCs w:val="21"/>
                <w:highlight w:val="none"/>
                <w:lang w:val="zh-CN" w:eastAsia="zh-CN" w:bidi="ar-SA"/>
              </w:rPr>
            </w:pPr>
            <w:r>
              <w:rPr>
                <w:rFonts w:hint="eastAsia" w:ascii="宋体" w:hAnsi="宋体" w:eastAsia="宋体" w:cs="宋体"/>
                <w:sz w:val="21"/>
                <w:szCs w:val="21"/>
                <w:highlight w:val="none"/>
                <w:lang w:val="zh-CN"/>
              </w:rPr>
              <w:t>拟派项目负责人情</w:t>
            </w:r>
            <w:r>
              <w:rPr>
                <w:rFonts w:hint="eastAsia" w:ascii="宋体" w:hAnsi="宋体" w:eastAsia="宋体" w:cs="宋体"/>
                <w:sz w:val="21"/>
                <w:szCs w:val="21"/>
                <w:highlight w:val="none"/>
                <w:lang w:val="en-US" w:eastAsia="zh-CN"/>
              </w:rPr>
              <w:t>况</w:t>
            </w:r>
          </w:p>
        </w:tc>
        <w:tc>
          <w:tcPr>
            <w:tcW w:w="6718" w:type="dxa"/>
            <w:shd w:val="clear" w:color="auto" w:fill="auto"/>
            <w:noWrap w:val="0"/>
            <w:vAlign w:val="center"/>
          </w:tcPr>
          <w:p w14:paraId="5743C0BA">
            <w:pPr>
              <w:spacing w:line="360" w:lineRule="exact"/>
              <w:rPr>
                <w:rFonts w:hint="eastAsia" w:ascii="宋体" w:hAnsi="宋体" w:cs="宋体"/>
                <w:szCs w:val="21"/>
                <w:highlight w:val="none"/>
              </w:rPr>
            </w:pPr>
            <w:r>
              <w:rPr>
                <w:rFonts w:hint="eastAsia" w:ascii="宋体" w:hAnsi="宋体" w:cs="宋体"/>
                <w:szCs w:val="21"/>
                <w:highlight w:val="none"/>
              </w:rPr>
              <w:t>项目负责人具有全日制本科及以上学历和相应学位、三级及以上老年人</w:t>
            </w:r>
            <w:r>
              <w:rPr>
                <w:rFonts w:hint="eastAsia" w:ascii="宋体" w:hAnsi="宋体" w:cs="宋体"/>
                <w:szCs w:val="21"/>
                <w:highlight w:val="none"/>
                <w:lang w:val="en-US" w:eastAsia="zh-CN"/>
              </w:rPr>
              <w:t>能力</w:t>
            </w:r>
            <w:r>
              <w:rPr>
                <w:rFonts w:hint="eastAsia" w:ascii="宋体" w:hAnsi="宋体" w:cs="宋体"/>
                <w:szCs w:val="21"/>
                <w:highlight w:val="none"/>
              </w:rPr>
              <w:t>评估师证书、三级及以上养老护理员证书、三级及以上健康管理师证书、三年及以上养老服务运营管理经验，每提供一份得1分，此项最高得5分。</w:t>
            </w:r>
          </w:p>
          <w:p w14:paraId="4C9B1D5C">
            <w:pPr>
              <w:keepNext w:val="0"/>
              <w:keepLines w:val="0"/>
              <w:pageBreakBefore w:val="0"/>
              <w:kinsoku/>
              <w:wordWrap/>
              <w:overflowPunct/>
              <w:topLinePunct w:val="0"/>
              <w:bidi w:val="0"/>
              <w:spacing w:line="360" w:lineRule="exact"/>
              <w:rPr>
                <w:rFonts w:hint="eastAsia" w:ascii="宋体" w:hAnsi="宋体" w:eastAsia="宋体" w:cs="宋体"/>
                <w:kern w:val="2"/>
                <w:sz w:val="21"/>
                <w:szCs w:val="21"/>
                <w:highlight w:val="none"/>
                <w:lang w:val="en-US" w:eastAsia="zh-CN" w:bidi="ar-SA"/>
              </w:rPr>
            </w:pPr>
            <w:r>
              <w:rPr>
                <w:rFonts w:hint="eastAsia" w:ascii="宋体" w:hAnsi="宋体" w:cs="宋体"/>
                <w:b/>
                <w:bCs/>
                <w:szCs w:val="21"/>
                <w:highlight w:val="none"/>
              </w:rPr>
              <w:t>（须提供毕业证书扫描件、相关其他证书扫描件、服务单位开具的相关经验证明及业绩合同扫描件并加盖供应商公章；同时</w:t>
            </w:r>
            <w:r>
              <w:rPr>
                <w:rFonts w:hint="eastAsia" w:ascii="宋体" w:hAnsi="宋体" w:cs="宋体"/>
                <w:b/>
                <w:bCs/>
                <w:szCs w:val="21"/>
                <w:highlight w:val="none"/>
                <w:lang w:val="zh-CN"/>
              </w:rPr>
              <w:t>提供项目负责人</w:t>
            </w:r>
            <w:r>
              <w:rPr>
                <w:rFonts w:hint="eastAsia" w:ascii="宋体" w:hAnsi="宋体" w:cs="宋体"/>
                <w:b/>
                <w:bCs/>
                <w:szCs w:val="21"/>
                <w:highlight w:val="none"/>
              </w:rPr>
              <w:t>在本单位</w:t>
            </w:r>
            <w:r>
              <w:rPr>
                <w:rFonts w:hint="eastAsia" w:ascii="宋体" w:hAnsi="宋体" w:eastAsia="宋体" w:cs="宋体"/>
                <w:b/>
                <w:bCs/>
                <w:sz w:val="21"/>
                <w:szCs w:val="21"/>
                <w:highlight w:val="none"/>
                <w:lang w:eastAsia="zh-CN"/>
              </w:rPr>
              <w:t>近</w:t>
            </w:r>
            <w:r>
              <w:rPr>
                <w:rFonts w:hint="eastAsia" w:ascii="宋体" w:hAnsi="宋体" w:eastAsia="宋体" w:cs="宋体"/>
                <w:b/>
                <w:bCs/>
                <w:sz w:val="21"/>
                <w:szCs w:val="21"/>
                <w:highlight w:val="none"/>
                <w:lang w:val="en-US" w:eastAsia="zh-CN"/>
              </w:rPr>
              <w:t>3</w:t>
            </w:r>
            <w:r>
              <w:rPr>
                <w:rFonts w:hint="eastAsia" w:ascii="宋体" w:hAnsi="宋体" w:eastAsia="宋体" w:cs="宋体"/>
                <w:b/>
                <w:bCs/>
                <w:sz w:val="21"/>
                <w:szCs w:val="21"/>
                <w:highlight w:val="none"/>
                <w:lang w:eastAsia="zh-CN"/>
              </w:rPr>
              <w:t>个月</w:t>
            </w:r>
            <w:r>
              <w:rPr>
                <w:rFonts w:hint="eastAsia" w:ascii="宋体" w:hAnsi="宋体" w:cs="宋体"/>
                <w:b/>
                <w:bCs/>
                <w:sz w:val="21"/>
                <w:szCs w:val="21"/>
                <w:highlight w:val="none"/>
                <w:lang w:val="en-US" w:eastAsia="zh-CN"/>
              </w:rPr>
              <w:t>内任意一月</w:t>
            </w:r>
            <w:r>
              <w:rPr>
                <w:rFonts w:hint="eastAsia" w:ascii="宋体" w:hAnsi="宋体" w:cs="宋体"/>
                <w:b/>
                <w:bCs/>
                <w:szCs w:val="21"/>
                <w:highlight w:val="none"/>
              </w:rPr>
              <w:t>社保缴纳证明并加盖供应商公章，无社保证明不得分</w:t>
            </w:r>
            <w:r>
              <w:rPr>
                <w:rFonts w:hint="eastAsia" w:ascii="宋体" w:hAnsi="宋体" w:cs="宋体"/>
                <w:b/>
                <w:bCs/>
                <w:szCs w:val="21"/>
                <w:highlight w:val="none"/>
                <w:lang w:val="zh-CN"/>
              </w:rPr>
              <w:t>）</w:t>
            </w:r>
          </w:p>
        </w:tc>
        <w:tc>
          <w:tcPr>
            <w:tcW w:w="740" w:type="dxa"/>
            <w:shd w:val="clear" w:color="auto" w:fill="auto"/>
            <w:noWrap w:val="0"/>
            <w:vAlign w:val="center"/>
          </w:tcPr>
          <w:p w14:paraId="61144B16">
            <w:pPr>
              <w:keepNext w:val="0"/>
              <w:keepLines w:val="0"/>
              <w:pageBreakBefore w:val="0"/>
              <w:kinsoku/>
              <w:wordWrap/>
              <w:overflowPunct/>
              <w:topLinePunct w:val="0"/>
              <w:bidi w:val="0"/>
              <w:spacing w:line="360" w:lineRule="exact"/>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5</w:t>
            </w:r>
          </w:p>
        </w:tc>
      </w:tr>
      <w:tr w14:paraId="554AA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6" w:type="dxa"/>
            <w:vMerge w:val="continue"/>
            <w:noWrap w:val="0"/>
            <w:vAlign w:val="center"/>
          </w:tcPr>
          <w:p w14:paraId="703BF03F">
            <w:pPr>
              <w:keepNext w:val="0"/>
              <w:keepLines w:val="0"/>
              <w:pageBreakBefore w:val="0"/>
              <w:kinsoku/>
              <w:wordWrap/>
              <w:overflowPunct/>
              <w:topLinePunct w:val="0"/>
              <w:autoSpaceDE w:val="0"/>
              <w:autoSpaceDN w:val="0"/>
              <w:bidi w:val="0"/>
              <w:adjustRightInd w:val="0"/>
              <w:spacing w:line="360" w:lineRule="exact"/>
              <w:jc w:val="center"/>
              <w:rPr>
                <w:rFonts w:hint="eastAsia" w:ascii="宋体" w:hAnsi="宋体" w:cs="宋体"/>
                <w:sz w:val="21"/>
                <w:szCs w:val="21"/>
                <w:highlight w:val="none"/>
              </w:rPr>
            </w:pPr>
          </w:p>
        </w:tc>
        <w:tc>
          <w:tcPr>
            <w:tcW w:w="1041" w:type="dxa"/>
            <w:vMerge w:val="restart"/>
            <w:shd w:val="clear" w:color="auto" w:fill="auto"/>
            <w:noWrap w:val="0"/>
            <w:vAlign w:val="center"/>
          </w:tcPr>
          <w:p w14:paraId="21C9BC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项目团队</w:t>
            </w:r>
          </w:p>
          <w:p w14:paraId="43E971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eastAsia="zh-CN"/>
              </w:rPr>
              <w:t>（</w:t>
            </w:r>
            <w:r>
              <w:rPr>
                <w:rFonts w:hint="eastAsia" w:ascii="宋体" w:hAnsi="宋体" w:cs="宋体"/>
                <w:szCs w:val="21"/>
                <w:highlight w:val="none"/>
              </w:rPr>
              <w:t>人员不重复累计，同一成员仅计算一次</w:t>
            </w:r>
            <w:r>
              <w:rPr>
                <w:rFonts w:hint="eastAsia" w:ascii="宋体" w:hAnsi="宋体" w:cs="宋体"/>
                <w:szCs w:val="21"/>
                <w:highlight w:val="none"/>
                <w:lang w:eastAsia="zh-CN"/>
              </w:rPr>
              <w:t>）</w:t>
            </w:r>
          </w:p>
        </w:tc>
        <w:tc>
          <w:tcPr>
            <w:tcW w:w="6718" w:type="dxa"/>
            <w:shd w:val="clear" w:color="auto" w:fill="auto"/>
            <w:noWrap w:val="0"/>
            <w:vAlign w:val="center"/>
          </w:tcPr>
          <w:p w14:paraId="1C736A75">
            <w:pPr>
              <w:spacing w:line="360" w:lineRule="exact"/>
              <w:rPr>
                <w:rFonts w:hint="eastAsia" w:ascii="宋体" w:hAnsi="宋体" w:cs="宋体"/>
                <w:szCs w:val="21"/>
                <w:highlight w:val="none"/>
                <w:lang w:val="zh-CN"/>
              </w:rPr>
            </w:pPr>
            <w:r>
              <w:rPr>
                <w:rFonts w:hint="eastAsia" w:ascii="宋体" w:hAnsi="宋体" w:cs="宋体"/>
                <w:szCs w:val="21"/>
                <w:highlight w:val="none"/>
                <w:lang w:val="zh-CN"/>
              </w:rPr>
              <w:t>除项目负责人外，项目</w:t>
            </w:r>
            <w:r>
              <w:rPr>
                <w:rFonts w:hint="eastAsia" w:ascii="宋体" w:hAnsi="宋体" w:cs="宋体"/>
                <w:szCs w:val="21"/>
                <w:highlight w:val="none"/>
              </w:rPr>
              <w:t>团队</w:t>
            </w:r>
            <w:r>
              <w:rPr>
                <w:rFonts w:hint="eastAsia" w:ascii="宋体" w:hAnsi="宋体" w:cs="宋体"/>
                <w:szCs w:val="21"/>
                <w:highlight w:val="none"/>
                <w:lang w:val="zh-CN"/>
              </w:rPr>
              <w:t>配备：</w:t>
            </w:r>
          </w:p>
          <w:p w14:paraId="12C7B9A3">
            <w:pPr>
              <w:spacing w:line="360" w:lineRule="exact"/>
              <w:rPr>
                <w:rFonts w:hint="eastAsia" w:ascii="宋体" w:hAnsi="宋体" w:cs="宋体"/>
                <w:szCs w:val="21"/>
                <w:highlight w:val="none"/>
                <w:lang w:val="zh-CN"/>
              </w:rPr>
            </w:pPr>
            <w:r>
              <w:rPr>
                <w:rFonts w:hint="eastAsia" w:ascii="宋体" w:hAnsi="宋体" w:cs="宋体"/>
                <w:szCs w:val="21"/>
                <w:highlight w:val="none"/>
              </w:rPr>
              <w:t>1.健康管理师</w:t>
            </w:r>
            <w:r>
              <w:rPr>
                <w:rFonts w:hint="eastAsia" w:ascii="宋体" w:hAnsi="宋体" w:cs="宋体"/>
                <w:szCs w:val="21"/>
                <w:highlight w:val="none"/>
                <w:lang w:val="zh-CN"/>
              </w:rPr>
              <w:t>，</w:t>
            </w:r>
            <w:r>
              <w:rPr>
                <w:rFonts w:hint="eastAsia" w:ascii="宋体" w:hAnsi="宋体" w:cs="宋体"/>
                <w:szCs w:val="21"/>
                <w:highlight w:val="none"/>
              </w:rPr>
              <w:t>每1人得0.5分</w:t>
            </w:r>
            <w:r>
              <w:rPr>
                <w:rFonts w:hint="eastAsia" w:ascii="宋体" w:hAnsi="宋体" w:cs="宋体"/>
                <w:szCs w:val="21"/>
                <w:highlight w:val="none"/>
                <w:lang w:val="zh-CN"/>
              </w:rPr>
              <w:t>，最高得1分；</w:t>
            </w:r>
          </w:p>
          <w:p w14:paraId="353C084A">
            <w:pPr>
              <w:spacing w:line="360" w:lineRule="exact"/>
              <w:rPr>
                <w:rFonts w:hint="eastAsia" w:ascii="宋体" w:hAnsi="宋体" w:cs="宋体"/>
                <w:szCs w:val="21"/>
                <w:highlight w:val="none"/>
                <w:lang w:val="zh-CN"/>
              </w:rPr>
            </w:pPr>
            <w:r>
              <w:rPr>
                <w:rFonts w:hint="eastAsia" w:ascii="宋体" w:hAnsi="宋体" w:cs="宋体"/>
                <w:szCs w:val="21"/>
                <w:highlight w:val="none"/>
                <w:lang w:val="zh-CN"/>
              </w:rPr>
              <w:t>2.四级及以上养老护理员，每1人得1分，最高得6分；</w:t>
            </w:r>
          </w:p>
          <w:p w14:paraId="5B16DDBE">
            <w:pPr>
              <w:spacing w:line="360" w:lineRule="exact"/>
              <w:rPr>
                <w:rFonts w:hint="eastAsia" w:ascii="宋体" w:hAnsi="宋体" w:cs="宋体"/>
                <w:szCs w:val="21"/>
                <w:highlight w:val="none"/>
                <w:lang w:val="zh-CN"/>
              </w:rPr>
            </w:pPr>
            <w:r>
              <w:rPr>
                <w:rFonts w:hint="eastAsia" w:ascii="宋体" w:hAnsi="宋体" w:cs="宋体"/>
                <w:szCs w:val="21"/>
                <w:highlight w:val="none"/>
                <w:lang w:val="zh-CN"/>
              </w:rPr>
              <w:t>3.</w:t>
            </w:r>
            <w:r>
              <w:rPr>
                <w:rFonts w:hint="eastAsia" w:ascii="宋体" w:hAnsi="宋体" w:cs="宋体"/>
                <w:szCs w:val="21"/>
                <w:highlight w:val="none"/>
                <w:lang w:val="en-US" w:eastAsia="zh-CN"/>
              </w:rPr>
              <w:t>助理级及以上</w:t>
            </w:r>
            <w:r>
              <w:rPr>
                <w:rFonts w:hint="eastAsia" w:ascii="宋体" w:hAnsi="宋体" w:cs="宋体"/>
                <w:szCs w:val="21"/>
                <w:highlight w:val="none"/>
                <w:lang w:val="zh-CN"/>
              </w:rPr>
              <w:t>社会工作师，每1人得0.5分，最高得</w:t>
            </w:r>
            <w:r>
              <w:rPr>
                <w:rFonts w:hint="eastAsia" w:ascii="宋体" w:hAnsi="宋体" w:cs="宋体"/>
                <w:szCs w:val="21"/>
                <w:highlight w:val="none"/>
                <w:lang w:val="en-US" w:eastAsia="zh-CN"/>
              </w:rPr>
              <w:t>2</w:t>
            </w:r>
            <w:r>
              <w:rPr>
                <w:rFonts w:hint="eastAsia" w:ascii="宋体" w:hAnsi="宋体" w:cs="宋体"/>
                <w:szCs w:val="21"/>
                <w:highlight w:val="none"/>
                <w:lang w:val="zh-CN"/>
              </w:rPr>
              <w:t>分；</w:t>
            </w:r>
          </w:p>
          <w:p w14:paraId="643A01CD">
            <w:pPr>
              <w:spacing w:line="360" w:lineRule="exact"/>
              <w:rPr>
                <w:rFonts w:hint="eastAsia" w:ascii="宋体" w:hAnsi="宋体" w:cs="宋体"/>
                <w:szCs w:val="21"/>
                <w:highlight w:val="none"/>
                <w:lang w:val="zh-CN"/>
              </w:rPr>
            </w:pPr>
            <w:r>
              <w:rPr>
                <w:rFonts w:hint="eastAsia" w:ascii="宋体" w:hAnsi="宋体" w:cs="宋体"/>
                <w:szCs w:val="21"/>
                <w:highlight w:val="none"/>
                <w:lang w:val="en-US" w:eastAsia="zh-CN"/>
              </w:rPr>
              <w:t>4</w:t>
            </w:r>
            <w:r>
              <w:rPr>
                <w:rFonts w:hint="eastAsia" w:ascii="宋体" w:hAnsi="宋体" w:cs="宋体"/>
                <w:szCs w:val="21"/>
                <w:highlight w:val="none"/>
                <w:lang w:val="zh-CN"/>
              </w:rPr>
              <w:t>.公共营养师，每1人得0.5分，最高得1分；</w:t>
            </w:r>
          </w:p>
          <w:p w14:paraId="2063FCCD">
            <w:pPr>
              <w:spacing w:line="360" w:lineRule="exact"/>
              <w:rPr>
                <w:rFonts w:hint="eastAsia" w:ascii="宋体" w:hAnsi="宋体" w:cs="宋体"/>
                <w:szCs w:val="21"/>
                <w:highlight w:val="none"/>
                <w:lang w:val="zh-CN"/>
              </w:rPr>
            </w:pPr>
            <w:r>
              <w:rPr>
                <w:rFonts w:hint="eastAsia" w:ascii="宋体" w:hAnsi="宋体" w:cs="宋体"/>
                <w:szCs w:val="21"/>
                <w:highlight w:val="none"/>
                <w:lang w:val="en-US" w:eastAsia="zh-CN"/>
              </w:rPr>
              <w:t>5</w:t>
            </w:r>
            <w:r>
              <w:rPr>
                <w:rFonts w:hint="eastAsia" w:ascii="宋体" w:hAnsi="宋体" w:cs="宋体"/>
                <w:szCs w:val="21"/>
                <w:highlight w:val="none"/>
                <w:lang w:val="zh-CN"/>
              </w:rPr>
              <w:t>.</w:t>
            </w:r>
            <w:r>
              <w:rPr>
                <w:rFonts w:hint="eastAsia" w:ascii="宋体" w:hAnsi="宋体" w:cs="宋体"/>
                <w:szCs w:val="21"/>
                <w:highlight w:val="none"/>
                <w:lang w:val="en-US" w:eastAsia="zh-CN"/>
              </w:rPr>
              <w:t>康复治疗师</w:t>
            </w:r>
            <w:r>
              <w:rPr>
                <w:rFonts w:hint="eastAsia" w:ascii="宋体" w:hAnsi="宋体" w:cs="宋体"/>
                <w:szCs w:val="21"/>
                <w:highlight w:val="none"/>
                <w:lang w:val="zh-CN"/>
              </w:rPr>
              <w:t>，每1人得0.5分，最高得1分；</w:t>
            </w:r>
          </w:p>
          <w:p w14:paraId="492821A3">
            <w:pPr>
              <w:spacing w:line="360" w:lineRule="exact"/>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备注：①</w:t>
            </w:r>
            <w:r>
              <w:rPr>
                <w:rFonts w:hint="eastAsia" w:ascii="宋体" w:hAnsi="宋体" w:cs="宋体"/>
                <w:szCs w:val="21"/>
                <w:highlight w:val="none"/>
              </w:rPr>
              <w:t>人员不重复累计，同一成员仅计算一次</w:t>
            </w:r>
            <w:r>
              <w:rPr>
                <w:rFonts w:hint="eastAsia" w:ascii="宋体" w:hAnsi="宋体" w:cs="宋体"/>
                <w:szCs w:val="21"/>
                <w:highlight w:val="none"/>
                <w:lang w:eastAsia="zh-CN"/>
              </w:rPr>
              <w:t>；</w:t>
            </w:r>
          </w:p>
          <w:p w14:paraId="5BAFCCA9">
            <w:pPr>
              <w:spacing w:line="360" w:lineRule="exact"/>
              <w:rPr>
                <w:rFonts w:hint="eastAsia" w:ascii="宋体" w:hAnsi="宋体" w:eastAsia="宋体" w:cs="宋体"/>
                <w:szCs w:val="21"/>
                <w:highlight w:val="none"/>
                <w:lang w:eastAsia="zh-CN"/>
              </w:rPr>
            </w:pPr>
            <w:r>
              <w:rPr>
                <w:rFonts w:hint="eastAsia" w:ascii="宋体" w:hAnsi="宋体" w:cs="宋体"/>
                <w:szCs w:val="21"/>
                <w:highlight w:val="none"/>
                <w:lang w:val="en-US" w:eastAsia="zh-CN"/>
              </w:rPr>
              <w:t>②</w:t>
            </w:r>
            <w:r>
              <w:rPr>
                <w:rFonts w:ascii="宋体" w:hAnsi="宋体" w:cs="宋体"/>
                <w:szCs w:val="21"/>
                <w:highlight w:val="none"/>
              </w:rPr>
              <w:t xml:space="preserve"> 同一成员持有多类证书时，按可获得的最高单项分值计分</w:t>
            </w:r>
            <w:r>
              <w:rPr>
                <w:rFonts w:hint="eastAsia" w:ascii="宋体" w:hAnsi="宋体" w:cs="宋体"/>
                <w:szCs w:val="21"/>
                <w:highlight w:val="none"/>
                <w:lang w:eastAsia="zh-CN"/>
              </w:rPr>
              <w:t>；</w:t>
            </w:r>
          </w:p>
          <w:p w14:paraId="1DE64D3B">
            <w:pPr>
              <w:spacing w:line="360" w:lineRule="exact"/>
              <w:rPr>
                <w:rFonts w:hint="eastAsia" w:ascii="宋体" w:hAnsi="宋体" w:cs="宋体"/>
                <w:szCs w:val="21"/>
                <w:highlight w:val="none"/>
              </w:rPr>
            </w:pPr>
            <w:r>
              <w:rPr>
                <w:rFonts w:hint="eastAsia" w:ascii="宋体" w:hAnsi="宋体" w:cs="宋体"/>
                <w:szCs w:val="21"/>
                <w:highlight w:val="none"/>
                <w:lang w:val="en-US" w:eastAsia="zh-CN"/>
              </w:rPr>
              <w:t>③</w:t>
            </w:r>
            <w:r>
              <w:rPr>
                <w:rFonts w:hint="eastAsia" w:ascii="宋体" w:hAnsi="宋体" w:cs="宋体"/>
                <w:szCs w:val="21"/>
                <w:highlight w:val="none"/>
              </w:rPr>
              <w:t>本项最高得1</w:t>
            </w:r>
            <w:r>
              <w:rPr>
                <w:rFonts w:hint="eastAsia" w:ascii="宋体" w:hAnsi="宋体" w:cs="宋体"/>
                <w:szCs w:val="21"/>
                <w:highlight w:val="none"/>
                <w:lang w:val="en-US" w:eastAsia="zh-CN"/>
              </w:rPr>
              <w:t>1</w:t>
            </w:r>
            <w:r>
              <w:rPr>
                <w:rFonts w:hint="eastAsia" w:ascii="宋体" w:hAnsi="宋体" w:cs="宋体"/>
                <w:szCs w:val="21"/>
                <w:highlight w:val="none"/>
              </w:rPr>
              <w:t>分。</w:t>
            </w:r>
          </w:p>
          <w:p w14:paraId="56EDCF93">
            <w:pPr>
              <w:keepNext w:val="0"/>
              <w:keepLines w:val="0"/>
              <w:pageBreakBefore w:val="0"/>
              <w:kinsoku/>
              <w:wordWrap/>
              <w:overflowPunct/>
              <w:topLinePunct w:val="0"/>
              <w:bidi w:val="0"/>
              <w:spacing w:line="360" w:lineRule="exact"/>
              <w:rPr>
                <w:rFonts w:hint="eastAsia" w:ascii="宋体" w:hAnsi="宋体" w:eastAsia="宋体" w:cs="宋体"/>
                <w:kern w:val="2"/>
                <w:sz w:val="21"/>
                <w:szCs w:val="21"/>
                <w:highlight w:val="none"/>
                <w:lang w:val="en-US" w:eastAsia="zh-CN" w:bidi="ar-SA"/>
              </w:rPr>
            </w:pPr>
            <w:r>
              <w:rPr>
                <w:rFonts w:hint="eastAsia" w:ascii="宋体" w:hAnsi="宋体" w:cs="宋体"/>
                <w:b/>
                <w:bCs/>
                <w:szCs w:val="21"/>
                <w:highlight w:val="none"/>
              </w:rPr>
              <w:t>（须提供本项涉及的人员</w:t>
            </w:r>
            <w:r>
              <w:rPr>
                <w:rFonts w:hint="eastAsia" w:ascii="宋体" w:hAnsi="宋体" w:cs="宋体"/>
                <w:b/>
                <w:bCs/>
                <w:sz w:val="21"/>
                <w:szCs w:val="21"/>
                <w:highlight w:val="none"/>
                <w:lang w:eastAsia="zh-CN"/>
              </w:rPr>
              <w:t>（</w:t>
            </w:r>
            <w:r>
              <w:rPr>
                <w:rFonts w:hint="eastAsia" w:ascii="宋体" w:hAnsi="宋体" w:cs="宋体"/>
                <w:b/>
                <w:bCs/>
                <w:sz w:val="21"/>
                <w:szCs w:val="21"/>
                <w:highlight w:val="none"/>
                <w:lang w:val="en-US" w:eastAsia="zh-CN"/>
              </w:rPr>
              <w:t>相关</w:t>
            </w:r>
            <w:r>
              <w:rPr>
                <w:rFonts w:hint="eastAsia" w:ascii="宋体" w:hAnsi="宋体" w:eastAsia="宋体" w:cs="宋体"/>
                <w:b/>
                <w:bCs/>
                <w:sz w:val="21"/>
                <w:szCs w:val="21"/>
                <w:highlight w:val="none"/>
                <w:lang w:eastAsia="zh-CN"/>
              </w:rPr>
              <w:t>证书</w:t>
            </w:r>
            <w:r>
              <w:rPr>
                <w:rFonts w:hint="eastAsia" w:ascii="宋体" w:hAnsi="宋体" w:eastAsia="宋体" w:cs="宋体"/>
                <w:b/>
                <w:bCs/>
                <w:sz w:val="21"/>
                <w:szCs w:val="21"/>
                <w:highlight w:val="none"/>
                <w:lang w:val="en-US" w:eastAsia="zh-CN"/>
              </w:rPr>
              <w:t>扫描件</w:t>
            </w:r>
            <w:r>
              <w:rPr>
                <w:rFonts w:hint="eastAsia" w:ascii="宋体" w:hAnsi="宋体" w:cs="宋体"/>
                <w:b/>
                <w:bCs/>
                <w:sz w:val="21"/>
                <w:szCs w:val="21"/>
                <w:highlight w:val="none"/>
                <w:lang w:val="en-US" w:eastAsia="zh-CN"/>
              </w:rPr>
              <w:t>或</w:t>
            </w:r>
            <w:r>
              <w:rPr>
                <w:rFonts w:hint="eastAsia" w:ascii="宋体" w:hAnsi="宋体" w:eastAsia="宋体" w:cs="宋体"/>
                <w:b/>
                <w:bCs/>
                <w:sz w:val="21"/>
                <w:szCs w:val="21"/>
                <w:highlight w:val="none"/>
                <w:lang w:val="en-US" w:eastAsia="zh-CN"/>
              </w:rPr>
              <w:t>政府部门网站查询截图</w:t>
            </w:r>
            <w:r>
              <w:rPr>
                <w:rFonts w:hint="eastAsia" w:ascii="宋体" w:hAnsi="宋体" w:cs="宋体"/>
                <w:b/>
                <w:bCs/>
                <w:sz w:val="21"/>
                <w:szCs w:val="21"/>
                <w:highlight w:val="none"/>
                <w:lang w:val="en-US" w:eastAsia="zh-CN"/>
              </w:rPr>
              <w:t>）</w:t>
            </w:r>
            <w:r>
              <w:rPr>
                <w:rFonts w:hint="eastAsia" w:ascii="宋体" w:hAnsi="宋体" w:cs="宋体"/>
                <w:b/>
                <w:bCs/>
                <w:szCs w:val="21"/>
                <w:highlight w:val="none"/>
              </w:rPr>
              <w:t>、在本单位</w:t>
            </w:r>
            <w:r>
              <w:rPr>
                <w:rFonts w:hint="eastAsia" w:ascii="宋体" w:hAnsi="宋体" w:eastAsia="宋体" w:cs="宋体"/>
                <w:b/>
                <w:bCs/>
                <w:sz w:val="21"/>
                <w:szCs w:val="21"/>
                <w:highlight w:val="none"/>
                <w:lang w:eastAsia="zh-CN"/>
              </w:rPr>
              <w:t>近</w:t>
            </w:r>
            <w:r>
              <w:rPr>
                <w:rFonts w:hint="eastAsia" w:ascii="宋体" w:hAnsi="宋体" w:eastAsia="宋体" w:cs="宋体"/>
                <w:b/>
                <w:bCs/>
                <w:sz w:val="21"/>
                <w:szCs w:val="21"/>
                <w:highlight w:val="none"/>
                <w:lang w:val="en-US" w:eastAsia="zh-CN"/>
              </w:rPr>
              <w:t>3</w:t>
            </w:r>
            <w:r>
              <w:rPr>
                <w:rFonts w:hint="eastAsia" w:ascii="宋体" w:hAnsi="宋体" w:eastAsia="宋体" w:cs="宋体"/>
                <w:b/>
                <w:bCs/>
                <w:sz w:val="21"/>
                <w:szCs w:val="21"/>
                <w:highlight w:val="none"/>
                <w:lang w:eastAsia="zh-CN"/>
              </w:rPr>
              <w:t>个月</w:t>
            </w:r>
            <w:r>
              <w:rPr>
                <w:rFonts w:hint="eastAsia" w:ascii="宋体" w:hAnsi="宋体" w:cs="宋体"/>
                <w:b/>
                <w:bCs/>
                <w:sz w:val="21"/>
                <w:szCs w:val="21"/>
                <w:highlight w:val="none"/>
                <w:lang w:val="en-US" w:eastAsia="zh-CN"/>
              </w:rPr>
              <w:t>内任意一月</w:t>
            </w:r>
            <w:r>
              <w:rPr>
                <w:rFonts w:hint="eastAsia" w:ascii="宋体" w:hAnsi="宋体" w:cs="宋体"/>
                <w:b/>
                <w:bCs/>
                <w:szCs w:val="21"/>
                <w:highlight w:val="none"/>
              </w:rPr>
              <w:t>的社保缴纳证明，均加盖供应商公章，缺一不得分，不符合要求不得分。）</w:t>
            </w:r>
          </w:p>
        </w:tc>
        <w:tc>
          <w:tcPr>
            <w:tcW w:w="740" w:type="dxa"/>
            <w:shd w:val="clear" w:color="auto" w:fill="auto"/>
            <w:noWrap w:val="0"/>
            <w:vAlign w:val="center"/>
          </w:tcPr>
          <w:p w14:paraId="0B43E25E">
            <w:pPr>
              <w:keepNext w:val="0"/>
              <w:keepLines w:val="0"/>
              <w:pageBreakBefore w:val="0"/>
              <w:kinsoku/>
              <w:wordWrap/>
              <w:overflowPunct/>
              <w:topLinePunct w:val="0"/>
              <w:bidi w:val="0"/>
              <w:adjustRightInd w:val="0"/>
              <w:snapToGrid w:val="0"/>
              <w:spacing w:line="36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1</w:t>
            </w:r>
          </w:p>
        </w:tc>
      </w:tr>
      <w:tr w14:paraId="21E86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6" w:type="dxa"/>
            <w:vMerge w:val="continue"/>
            <w:noWrap w:val="0"/>
            <w:vAlign w:val="center"/>
          </w:tcPr>
          <w:p w14:paraId="422E5FDE">
            <w:pPr>
              <w:keepNext w:val="0"/>
              <w:keepLines w:val="0"/>
              <w:pageBreakBefore w:val="0"/>
              <w:kinsoku/>
              <w:wordWrap/>
              <w:overflowPunct/>
              <w:topLinePunct w:val="0"/>
              <w:autoSpaceDE w:val="0"/>
              <w:autoSpaceDN w:val="0"/>
              <w:bidi w:val="0"/>
              <w:adjustRightInd w:val="0"/>
              <w:spacing w:line="360" w:lineRule="exact"/>
              <w:jc w:val="center"/>
              <w:rPr>
                <w:rFonts w:hint="eastAsia" w:ascii="宋体" w:hAnsi="宋体" w:cs="宋体"/>
                <w:sz w:val="21"/>
                <w:szCs w:val="21"/>
                <w:highlight w:val="none"/>
              </w:rPr>
            </w:pPr>
          </w:p>
        </w:tc>
        <w:tc>
          <w:tcPr>
            <w:tcW w:w="1041" w:type="dxa"/>
            <w:vMerge w:val="continue"/>
            <w:noWrap w:val="0"/>
            <w:vAlign w:val="center"/>
          </w:tcPr>
          <w:p w14:paraId="60747390">
            <w:pPr>
              <w:keepNext w:val="0"/>
              <w:keepLines w:val="0"/>
              <w:pageBreakBefore w:val="0"/>
              <w:kinsoku/>
              <w:wordWrap/>
              <w:overflowPunct/>
              <w:topLinePunct w:val="0"/>
              <w:bidi w:val="0"/>
              <w:spacing w:line="360" w:lineRule="exact"/>
              <w:jc w:val="center"/>
              <w:rPr>
                <w:rFonts w:hint="eastAsia" w:ascii="宋体" w:hAnsi="宋体" w:eastAsia="宋体" w:cs="宋体"/>
                <w:sz w:val="21"/>
                <w:szCs w:val="21"/>
                <w:highlight w:val="none"/>
                <w:lang w:val="zh-CN"/>
              </w:rPr>
            </w:pPr>
          </w:p>
        </w:tc>
        <w:tc>
          <w:tcPr>
            <w:tcW w:w="6718" w:type="dxa"/>
            <w:noWrap w:val="0"/>
            <w:vAlign w:val="center"/>
          </w:tcPr>
          <w:p w14:paraId="31752426">
            <w:pPr>
              <w:keepNext w:val="0"/>
              <w:keepLines w:val="0"/>
              <w:pageBreakBefore w:val="0"/>
              <w:kinsoku/>
              <w:wordWrap/>
              <w:overflowPunct/>
              <w:topLinePunct w:val="0"/>
              <w:bidi w:val="0"/>
              <w:spacing w:line="360" w:lineRule="exact"/>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除项目负责人外，项目</w:t>
            </w:r>
            <w:r>
              <w:rPr>
                <w:rFonts w:hint="eastAsia" w:ascii="宋体" w:hAnsi="宋体" w:eastAsia="宋体" w:cs="宋体"/>
                <w:sz w:val="21"/>
                <w:szCs w:val="21"/>
                <w:highlight w:val="none"/>
                <w:lang w:val="en-US" w:eastAsia="zh-CN"/>
              </w:rPr>
              <w:t>团队</w:t>
            </w:r>
            <w:r>
              <w:rPr>
                <w:rFonts w:hint="eastAsia" w:ascii="宋体" w:hAnsi="宋体" w:eastAsia="宋体" w:cs="宋体"/>
                <w:sz w:val="21"/>
                <w:szCs w:val="21"/>
                <w:highlight w:val="none"/>
                <w:lang w:val="zh-CN" w:eastAsia="zh-CN"/>
              </w:rPr>
              <w:t>配备：</w:t>
            </w:r>
          </w:p>
          <w:p w14:paraId="5AE88670">
            <w:pPr>
              <w:keepNext w:val="0"/>
              <w:keepLines w:val="0"/>
              <w:pageBreakBefore w:val="0"/>
              <w:numPr>
                <w:ilvl w:val="0"/>
                <w:numId w:val="0"/>
              </w:numPr>
              <w:kinsoku/>
              <w:wordWrap/>
              <w:overflowPunct/>
              <w:topLinePunct w:val="0"/>
              <w:bidi w:val="0"/>
              <w:spacing w:line="360" w:lineRule="exact"/>
              <w:rPr>
                <w:rFonts w:hint="eastAsia" w:ascii="宋体" w:hAnsi="宋体" w:eastAsia="宋体" w:cs="宋体"/>
                <w:sz w:val="21"/>
                <w:szCs w:val="21"/>
                <w:highlight w:val="none"/>
                <w:lang w:val="en-US" w:eastAsia="zh-CN"/>
              </w:rPr>
            </w:pPr>
            <w:r>
              <w:rPr>
                <w:rFonts w:hint="eastAsia" w:ascii="宋体" w:hAnsi="宋体" w:eastAsia="宋体" w:cs="宋体"/>
                <w:kern w:val="2"/>
                <w:sz w:val="21"/>
                <w:szCs w:val="21"/>
                <w:highlight w:val="none"/>
                <w:lang w:val="en-US" w:eastAsia="zh-CN" w:bidi="ar-SA"/>
              </w:rPr>
              <w:t>1.</w:t>
            </w:r>
            <w:r>
              <w:rPr>
                <w:rFonts w:hint="eastAsia" w:ascii="宋体" w:hAnsi="宋体" w:eastAsia="宋体" w:cs="宋体"/>
                <w:sz w:val="21"/>
                <w:szCs w:val="21"/>
                <w:highlight w:val="none"/>
                <w:lang w:val="en-US" w:eastAsia="zh-CN"/>
              </w:rPr>
              <w:t>心理咨询师，每1人得0.5分，最高得1分；</w:t>
            </w:r>
          </w:p>
          <w:p w14:paraId="6020482E">
            <w:pPr>
              <w:spacing w:line="360" w:lineRule="exact"/>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家政服务员，每1人得</w:t>
            </w:r>
            <w:r>
              <w:rPr>
                <w:rFonts w:hint="eastAsia" w:ascii="宋体" w:hAnsi="宋体" w:cs="宋体"/>
                <w:sz w:val="21"/>
                <w:szCs w:val="21"/>
                <w:highlight w:val="none"/>
                <w:lang w:val="en-US" w:eastAsia="zh-CN"/>
              </w:rPr>
              <w:t>0.5</w:t>
            </w:r>
            <w:r>
              <w:rPr>
                <w:rFonts w:hint="eastAsia" w:ascii="宋体" w:hAnsi="宋体" w:eastAsia="宋体" w:cs="宋体"/>
                <w:sz w:val="21"/>
                <w:szCs w:val="21"/>
                <w:highlight w:val="none"/>
                <w:lang w:val="en-US" w:eastAsia="zh-CN"/>
              </w:rPr>
              <w:t>分，最高</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分。</w:t>
            </w:r>
          </w:p>
          <w:p w14:paraId="5FCA24AB">
            <w:pPr>
              <w:spacing w:line="360" w:lineRule="exact"/>
              <w:rPr>
                <w:rFonts w:hint="eastAsia" w:ascii="宋体" w:hAnsi="宋体" w:cs="宋体"/>
                <w:szCs w:val="21"/>
                <w:highlight w:val="none"/>
                <w:lang w:val="en-US" w:eastAsia="zh-CN"/>
              </w:rPr>
            </w:pPr>
            <w:r>
              <w:rPr>
                <w:rFonts w:hint="eastAsia" w:ascii="宋体" w:hAnsi="宋体" w:cs="宋体"/>
                <w:szCs w:val="21"/>
                <w:highlight w:val="none"/>
                <w:lang w:val="en-US" w:eastAsia="zh-CN"/>
              </w:rPr>
              <w:t>备注：①</w:t>
            </w:r>
            <w:r>
              <w:rPr>
                <w:rFonts w:hint="eastAsia" w:ascii="宋体" w:hAnsi="宋体" w:cs="宋体"/>
                <w:szCs w:val="21"/>
                <w:highlight w:val="none"/>
              </w:rPr>
              <w:t>人员不重复累计，同一成员仅计算一次</w:t>
            </w:r>
            <w:r>
              <w:rPr>
                <w:rFonts w:hint="eastAsia" w:ascii="宋体" w:hAnsi="宋体" w:cs="宋体"/>
                <w:szCs w:val="21"/>
                <w:highlight w:val="none"/>
                <w:lang w:eastAsia="zh-CN"/>
              </w:rPr>
              <w:t>；</w:t>
            </w:r>
          </w:p>
          <w:p w14:paraId="2294FE68">
            <w:pPr>
              <w:spacing w:line="360" w:lineRule="exact"/>
              <w:rPr>
                <w:rFonts w:hint="eastAsia" w:ascii="宋体" w:hAnsi="宋体" w:eastAsia="宋体" w:cs="宋体"/>
                <w:szCs w:val="21"/>
                <w:highlight w:val="none"/>
                <w:lang w:eastAsia="zh-CN"/>
              </w:rPr>
            </w:pPr>
            <w:r>
              <w:rPr>
                <w:rFonts w:hint="eastAsia" w:ascii="宋体" w:hAnsi="宋体" w:cs="宋体"/>
                <w:szCs w:val="21"/>
                <w:highlight w:val="none"/>
                <w:lang w:val="en-US" w:eastAsia="zh-CN"/>
              </w:rPr>
              <w:t>②</w:t>
            </w:r>
            <w:r>
              <w:rPr>
                <w:rFonts w:hint="eastAsia" w:ascii="宋体" w:hAnsi="宋体" w:cs="宋体"/>
                <w:szCs w:val="21"/>
                <w:highlight w:val="none"/>
              </w:rPr>
              <w:t xml:space="preserve"> </w:t>
            </w:r>
            <w:r>
              <w:rPr>
                <w:rFonts w:ascii="宋体" w:hAnsi="宋体" w:cs="宋体"/>
                <w:szCs w:val="21"/>
                <w:highlight w:val="none"/>
              </w:rPr>
              <w:t>同一成员持有多类证书时，按可获得的最高单项分值计分</w:t>
            </w:r>
            <w:r>
              <w:rPr>
                <w:rFonts w:hint="eastAsia" w:ascii="宋体" w:hAnsi="宋体" w:cs="宋体"/>
                <w:szCs w:val="21"/>
                <w:highlight w:val="none"/>
                <w:lang w:eastAsia="zh-CN"/>
              </w:rPr>
              <w:t>；</w:t>
            </w:r>
          </w:p>
          <w:p w14:paraId="51F98300">
            <w:pPr>
              <w:spacing w:line="360" w:lineRule="exact"/>
              <w:rPr>
                <w:rFonts w:hint="eastAsia" w:ascii="宋体" w:hAnsi="宋体" w:eastAsia="宋体" w:cs="宋体"/>
                <w:szCs w:val="21"/>
                <w:highlight w:val="none"/>
                <w:lang w:eastAsia="zh-CN"/>
              </w:rPr>
            </w:pPr>
            <w:r>
              <w:rPr>
                <w:rFonts w:hint="eastAsia" w:ascii="宋体" w:hAnsi="宋体" w:cs="宋体"/>
                <w:szCs w:val="21"/>
                <w:highlight w:val="none"/>
                <w:lang w:val="en-US" w:eastAsia="zh-CN"/>
              </w:rPr>
              <w:t>③</w:t>
            </w:r>
            <w:r>
              <w:rPr>
                <w:rFonts w:ascii="宋体" w:hAnsi="宋体" w:cs="宋体"/>
                <w:szCs w:val="21"/>
                <w:highlight w:val="none"/>
              </w:rPr>
              <w:t xml:space="preserve"> </w:t>
            </w:r>
            <w:r>
              <w:rPr>
                <w:rFonts w:hint="eastAsia" w:ascii="宋体" w:hAnsi="宋体" w:cs="宋体"/>
                <w:szCs w:val="21"/>
                <w:highlight w:val="none"/>
              </w:rPr>
              <w:t>本项最高得</w:t>
            </w:r>
            <w:r>
              <w:rPr>
                <w:rFonts w:hint="eastAsia" w:ascii="宋体" w:hAnsi="宋体" w:cs="宋体"/>
                <w:szCs w:val="21"/>
                <w:highlight w:val="none"/>
                <w:lang w:val="en-US" w:eastAsia="zh-CN"/>
              </w:rPr>
              <w:t>3</w:t>
            </w:r>
            <w:r>
              <w:rPr>
                <w:rFonts w:hint="eastAsia" w:ascii="宋体" w:hAnsi="宋体" w:cs="宋体"/>
                <w:szCs w:val="21"/>
                <w:highlight w:val="none"/>
              </w:rPr>
              <w:t>分</w:t>
            </w:r>
            <w:r>
              <w:rPr>
                <w:rFonts w:hint="eastAsia" w:ascii="宋体" w:hAnsi="宋体" w:cs="宋体"/>
                <w:szCs w:val="21"/>
                <w:highlight w:val="none"/>
                <w:lang w:eastAsia="zh-CN"/>
              </w:rPr>
              <w:t>。</w:t>
            </w:r>
          </w:p>
          <w:p w14:paraId="523BED41">
            <w:pPr>
              <w:keepNext w:val="0"/>
              <w:keepLines w:val="0"/>
              <w:pageBreakBefore w:val="0"/>
              <w:kinsoku/>
              <w:wordWrap/>
              <w:overflowPunct/>
              <w:topLinePunct w:val="0"/>
              <w:bidi w:val="0"/>
              <w:spacing w:line="360" w:lineRule="exact"/>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（须</w:t>
            </w:r>
            <w:r>
              <w:rPr>
                <w:rFonts w:hint="eastAsia" w:ascii="宋体" w:hAnsi="宋体" w:eastAsia="宋体" w:cs="宋体"/>
                <w:b/>
                <w:bCs/>
                <w:sz w:val="21"/>
                <w:szCs w:val="21"/>
                <w:highlight w:val="none"/>
                <w:lang w:eastAsia="zh-CN"/>
              </w:rPr>
              <w:t>提供本项涉及的人员</w:t>
            </w:r>
            <w:r>
              <w:rPr>
                <w:rFonts w:hint="eastAsia" w:ascii="宋体" w:hAnsi="宋体" w:cs="宋体"/>
                <w:b/>
                <w:bCs/>
                <w:sz w:val="21"/>
                <w:szCs w:val="21"/>
                <w:highlight w:val="none"/>
                <w:lang w:val="en-US" w:eastAsia="zh-CN"/>
              </w:rPr>
              <w:t>健康证扫描件、</w:t>
            </w:r>
            <w:r>
              <w:rPr>
                <w:rFonts w:hint="eastAsia" w:ascii="宋体" w:hAnsi="宋体" w:eastAsia="宋体" w:cs="宋体"/>
                <w:b/>
                <w:bCs/>
                <w:sz w:val="21"/>
                <w:szCs w:val="21"/>
                <w:highlight w:val="none"/>
                <w:lang w:val="en-US" w:eastAsia="zh-CN"/>
              </w:rPr>
              <w:t>在本单位</w:t>
            </w:r>
            <w:r>
              <w:rPr>
                <w:rFonts w:hint="eastAsia" w:ascii="宋体" w:hAnsi="宋体" w:eastAsia="宋体" w:cs="宋体"/>
                <w:b/>
                <w:bCs/>
                <w:sz w:val="21"/>
                <w:szCs w:val="21"/>
                <w:highlight w:val="none"/>
                <w:lang w:eastAsia="zh-CN"/>
              </w:rPr>
              <w:t>近</w:t>
            </w:r>
            <w:r>
              <w:rPr>
                <w:rFonts w:hint="eastAsia" w:ascii="宋体" w:hAnsi="宋体" w:eastAsia="宋体" w:cs="宋体"/>
                <w:b/>
                <w:bCs/>
                <w:sz w:val="21"/>
                <w:szCs w:val="21"/>
                <w:highlight w:val="none"/>
                <w:lang w:val="en-US" w:eastAsia="zh-CN"/>
              </w:rPr>
              <w:t>3</w:t>
            </w:r>
            <w:r>
              <w:rPr>
                <w:rFonts w:hint="eastAsia" w:ascii="宋体" w:hAnsi="宋体" w:eastAsia="宋体" w:cs="宋体"/>
                <w:b/>
                <w:bCs/>
                <w:sz w:val="21"/>
                <w:szCs w:val="21"/>
                <w:highlight w:val="none"/>
                <w:lang w:eastAsia="zh-CN"/>
              </w:rPr>
              <w:t>个月</w:t>
            </w:r>
            <w:r>
              <w:rPr>
                <w:rFonts w:hint="eastAsia" w:ascii="宋体" w:hAnsi="宋体" w:cs="宋体"/>
                <w:b/>
                <w:bCs/>
                <w:sz w:val="21"/>
                <w:szCs w:val="21"/>
                <w:highlight w:val="none"/>
                <w:lang w:val="en-US" w:eastAsia="zh-CN"/>
              </w:rPr>
              <w:t>内任意一月</w:t>
            </w:r>
            <w:r>
              <w:rPr>
                <w:rFonts w:hint="eastAsia" w:ascii="宋体" w:hAnsi="宋体" w:eastAsia="宋体" w:cs="宋体"/>
                <w:b/>
                <w:bCs/>
                <w:sz w:val="21"/>
                <w:szCs w:val="21"/>
                <w:highlight w:val="none"/>
                <w:lang w:eastAsia="zh-CN"/>
              </w:rPr>
              <w:t>的社保</w:t>
            </w:r>
            <w:r>
              <w:rPr>
                <w:rFonts w:hint="eastAsia" w:ascii="宋体" w:hAnsi="宋体" w:eastAsia="宋体" w:cs="宋体"/>
                <w:b/>
                <w:bCs/>
                <w:sz w:val="21"/>
                <w:szCs w:val="21"/>
                <w:highlight w:val="none"/>
                <w:lang w:val="en-US" w:eastAsia="zh-CN"/>
              </w:rPr>
              <w:t>缴纳</w:t>
            </w:r>
            <w:r>
              <w:rPr>
                <w:rFonts w:hint="eastAsia" w:ascii="宋体" w:hAnsi="宋体" w:eastAsia="宋体" w:cs="宋体"/>
                <w:b/>
                <w:bCs/>
                <w:sz w:val="21"/>
                <w:szCs w:val="21"/>
                <w:highlight w:val="none"/>
                <w:lang w:eastAsia="zh-CN"/>
              </w:rPr>
              <w:t>证明，</w:t>
            </w:r>
            <w:r>
              <w:rPr>
                <w:rFonts w:hint="eastAsia" w:ascii="宋体" w:hAnsi="宋体" w:eastAsia="宋体" w:cs="宋体"/>
                <w:b/>
                <w:bCs/>
                <w:sz w:val="21"/>
                <w:szCs w:val="21"/>
                <w:highlight w:val="none"/>
                <w:lang w:val="en-US" w:eastAsia="zh-CN"/>
              </w:rPr>
              <w:t>均加盖供应商公章，缺一</w:t>
            </w:r>
            <w:r>
              <w:rPr>
                <w:rFonts w:hint="eastAsia" w:ascii="宋体" w:hAnsi="宋体" w:eastAsia="宋体" w:cs="宋体"/>
                <w:b/>
                <w:bCs/>
                <w:sz w:val="21"/>
                <w:szCs w:val="21"/>
                <w:highlight w:val="none"/>
                <w:lang w:eastAsia="zh-CN"/>
              </w:rPr>
              <w:t>不得</w:t>
            </w:r>
            <w:r>
              <w:rPr>
                <w:rFonts w:hint="eastAsia" w:ascii="宋体" w:hAnsi="宋体" w:eastAsia="宋体" w:cs="宋体"/>
                <w:b/>
                <w:bCs/>
                <w:sz w:val="21"/>
                <w:szCs w:val="21"/>
                <w:highlight w:val="none"/>
                <w:lang w:val="en-US" w:eastAsia="zh-CN"/>
              </w:rPr>
              <w:t>分，不符合要求不得分</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w:t>
            </w:r>
          </w:p>
        </w:tc>
        <w:tc>
          <w:tcPr>
            <w:tcW w:w="740" w:type="dxa"/>
            <w:noWrap w:val="0"/>
            <w:vAlign w:val="center"/>
          </w:tcPr>
          <w:p w14:paraId="59FB2081">
            <w:pPr>
              <w:keepNext w:val="0"/>
              <w:keepLines w:val="0"/>
              <w:pageBreakBefore w:val="0"/>
              <w:kinsoku/>
              <w:wordWrap/>
              <w:overflowPunct/>
              <w:topLinePunct w:val="0"/>
              <w:bidi w:val="0"/>
              <w:spacing w:line="36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w:t>
            </w:r>
          </w:p>
        </w:tc>
      </w:tr>
      <w:tr w14:paraId="5690E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1106" w:type="dxa"/>
            <w:vMerge w:val="continue"/>
            <w:noWrap w:val="0"/>
            <w:vAlign w:val="center"/>
          </w:tcPr>
          <w:p w14:paraId="599D80CE">
            <w:pPr>
              <w:keepNext w:val="0"/>
              <w:keepLines w:val="0"/>
              <w:pageBreakBefore w:val="0"/>
              <w:kinsoku/>
              <w:wordWrap/>
              <w:overflowPunct/>
              <w:topLinePunct w:val="0"/>
              <w:bidi w:val="0"/>
              <w:spacing w:line="360" w:lineRule="exact"/>
              <w:jc w:val="center"/>
              <w:rPr>
                <w:rFonts w:hint="eastAsia" w:ascii="宋体" w:hAnsi="宋体" w:cs="宋体"/>
                <w:sz w:val="21"/>
                <w:szCs w:val="21"/>
                <w:highlight w:val="none"/>
              </w:rPr>
            </w:pPr>
          </w:p>
        </w:tc>
        <w:tc>
          <w:tcPr>
            <w:tcW w:w="1041" w:type="dxa"/>
            <w:shd w:val="clear" w:color="auto" w:fill="auto"/>
            <w:noWrap w:val="0"/>
            <w:vAlign w:val="center"/>
          </w:tcPr>
          <w:p w14:paraId="6444D4A4">
            <w:pPr>
              <w:widowControl/>
              <w:spacing w:line="36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bCs/>
                <w:szCs w:val="21"/>
                <w:highlight w:val="none"/>
              </w:rPr>
              <w:t>拟投入的主要设备</w:t>
            </w:r>
          </w:p>
        </w:tc>
        <w:tc>
          <w:tcPr>
            <w:tcW w:w="6718" w:type="dxa"/>
            <w:shd w:val="clear" w:color="auto" w:fill="auto"/>
            <w:noWrap w:val="0"/>
            <w:vAlign w:val="center"/>
          </w:tcPr>
          <w:p w14:paraId="736A3EB0">
            <w:pPr>
              <w:spacing w:line="360" w:lineRule="exact"/>
              <w:rPr>
                <w:rFonts w:hint="eastAsia" w:ascii="宋体" w:hAnsi="宋体" w:cs="宋体"/>
                <w:bCs/>
                <w:szCs w:val="21"/>
                <w:highlight w:val="none"/>
              </w:rPr>
            </w:pPr>
            <w:r>
              <w:rPr>
                <w:rFonts w:hint="eastAsia" w:ascii="宋体" w:hAnsi="宋体" w:cs="宋体"/>
                <w:bCs/>
                <w:szCs w:val="21"/>
                <w:highlight w:val="none"/>
              </w:rPr>
              <w:t>根据投标人针对本项目拟投入主要设备、工具的数量是否充足、合理等情况进行判定评分：</w:t>
            </w:r>
          </w:p>
          <w:p w14:paraId="6D0E030E">
            <w:pPr>
              <w:tabs>
                <w:tab w:val="left" w:pos="312"/>
              </w:tabs>
              <w:spacing w:line="360" w:lineRule="exact"/>
              <w:rPr>
                <w:rFonts w:hint="eastAsia" w:ascii="宋体" w:hAnsi="宋体" w:cs="宋体"/>
                <w:bCs/>
                <w:szCs w:val="21"/>
                <w:highlight w:val="none"/>
              </w:rPr>
            </w:pPr>
            <w:r>
              <w:rPr>
                <w:rFonts w:hint="eastAsia" w:ascii="宋体" w:hAnsi="宋体" w:cs="宋体"/>
                <w:bCs/>
                <w:szCs w:val="21"/>
                <w:highlight w:val="none"/>
              </w:rPr>
              <w:t>1.配备医疗陪送车，每一辆得</w:t>
            </w:r>
            <w:r>
              <w:rPr>
                <w:rFonts w:hint="eastAsia" w:ascii="宋体" w:hAnsi="宋体" w:cs="宋体"/>
                <w:bCs/>
                <w:szCs w:val="21"/>
                <w:highlight w:val="none"/>
                <w:lang w:val="en-US" w:eastAsia="zh-CN"/>
              </w:rPr>
              <w:t>1</w:t>
            </w:r>
            <w:r>
              <w:rPr>
                <w:rFonts w:hint="eastAsia" w:ascii="宋体" w:hAnsi="宋体" w:cs="宋体"/>
                <w:bCs/>
                <w:szCs w:val="21"/>
                <w:highlight w:val="none"/>
              </w:rPr>
              <w:t>分，最高得</w:t>
            </w:r>
            <w:r>
              <w:rPr>
                <w:rFonts w:hint="eastAsia" w:ascii="宋体" w:hAnsi="宋体" w:cs="宋体"/>
                <w:bCs/>
                <w:szCs w:val="21"/>
                <w:highlight w:val="none"/>
                <w:lang w:val="en-US" w:eastAsia="zh-CN"/>
              </w:rPr>
              <w:t>1</w:t>
            </w:r>
            <w:r>
              <w:rPr>
                <w:rFonts w:hint="eastAsia" w:ascii="宋体" w:hAnsi="宋体" w:cs="宋体"/>
                <w:bCs/>
                <w:szCs w:val="21"/>
                <w:highlight w:val="none"/>
              </w:rPr>
              <w:t>分；</w:t>
            </w:r>
          </w:p>
          <w:p w14:paraId="391BD85E">
            <w:pPr>
              <w:tabs>
                <w:tab w:val="left" w:pos="312"/>
              </w:tabs>
              <w:spacing w:line="360" w:lineRule="exact"/>
              <w:rPr>
                <w:rFonts w:hint="eastAsia" w:ascii="宋体" w:hAnsi="宋体" w:cs="宋体"/>
                <w:bCs/>
                <w:szCs w:val="21"/>
                <w:highlight w:val="none"/>
              </w:rPr>
            </w:pPr>
            <w:r>
              <w:rPr>
                <w:rFonts w:hint="eastAsia" w:ascii="宋体" w:hAnsi="宋体" w:cs="宋体"/>
                <w:bCs/>
                <w:szCs w:val="21"/>
                <w:highlight w:val="none"/>
                <w:lang w:val="en-US" w:eastAsia="zh-CN"/>
              </w:rPr>
              <w:t>2</w:t>
            </w:r>
            <w:r>
              <w:rPr>
                <w:rFonts w:hint="eastAsia" w:ascii="宋体" w:hAnsi="宋体" w:cs="宋体"/>
                <w:bCs/>
                <w:szCs w:val="21"/>
                <w:highlight w:val="none"/>
              </w:rPr>
              <w:t>.配备</w:t>
            </w:r>
            <w:r>
              <w:rPr>
                <w:rFonts w:hint="eastAsia" w:ascii="宋体" w:hAnsi="宋体" w:cs="宋体"/>
                <w:bCs/>
                <w:szCs w:val="21"/>
                <w:highlight w:val="none"/>
                <w:lang w:val="en-US" w:eastAsia="zh-CN"/>
              </w:rPr>
              <w:t>护理、</w:t>
            </w:r>
            <w:r>
              <w:rPr>
                <w:rFonts w:hint="eastAsia" w:ascii="宋体" w:hAnsi="宋体" w:cs="宋体"/>
                <w:bCs/>
                <w:szCs w:val="21"/>
                <w:highlight w:val="none"/>
              </w:rPr>
              <w:t>康复辅助</w:t>
            </w:r>
            <w:r>
              <w:rPr>
                <w:rFonts w:hint="eastAsia" w:ascii="宋体" w:hAnsi="宋体" w:cs="宋体"/>
                <w:bCs/>
                <w:szCs w:val="21"/>
                <w:highlight w:val="none"/>
                <w:lang w:val="en-US" w:eastAsia="zh-CN"/>
              </w:rPr>
              <w:t>类</w:t>
            </w:r>
            <w:r>
              <w:rPr>
                <w:rFonts w:hint="eastAsia" w:ascii="宋体" w:hAnsi="宋体" w:cs="宋体"/>
                <w:bCs/>
                <w:szCs w:val="21"/>
                <w:highlight w:val="none"/>
              </w:rPr>
              <w:t>器具，每一</w:t>
            </w:r>
            <w:r>
              <w:rPr>
                <w:rFonts w:hint="eastAsia" w:ascii="宋体" w:hAnsi="宋体" w:cs="宋体"/>
                <w:bCs/>
                <w:szCs w:val="21"/>
                <w:highlight w:val="none"/>
                <w:lang w:val="en-US" w:eastAsia="zh-CN"/>
              </w:rPr>
              <w:t>种</w:t>
            </w:r>
            <w:r>
              <w:rPr>
                <w:rFonts w:hint="eastAsia" w:ascii="宋体" w:hAnsi="宋体" w:cs="宋体"/>
                <w:bCs/>
                <w:szCs w:val="21"/>
                <w:highlight w:val="none"/>
              </w:rPr>
              <w:t>类得0.5分，最高得分</w:t>
            </w:r>
            <w:r>
              <w:rPr>
                <w:rFonts w:hint="eastAsia" w:ascii="宋体" w:hAnsi="宋体" w:cs="宋体"/>
                <w:bCs/>
                <w:szCs w:val="21"/>
                <w:highlight w:val="none"/>
                <w:lang w:val="en-US" w:eastAsia="zh-CN"/>
              </w:rPr>
              <w:t>6</w:t>
            </w:r>
            <w:r>
              <w:rPr>
                <w:rFonts w:hint="eastAsia" w:ascii="宋体" w:hAnsi="宋体" w:cs="宋体"/>
                <w:bCs/>
                <w:szCs w:val="21"/>
                <w:highlight w:val="none"/>
              </w:rPr>
              <w:t>分；</w:t>
            </w:r>
          </w:p>
          <w:p w14:paraId="118CEDE6">
            <w:pPr>
              <w:spacing w:line="360" w:lineRule="exact"/>
              <w:rPr>
                <w:rFonts w:hint="eastAsia" w:ascii="宋体" w:hAnsi="宋体" w:cs="宋体"/>
                <w:b/>
                <w:szCs w:val="21"/>
                <w:highlight w:val="none"/>
              </w:rPr>
            </w:pPr>
            <w:r>
              <w:rPr>
                <w:rFonts w:hint="eastAsia" w:ascii="宋体" w:hAnsi="宋体" w:cs="宋体"/>
                <w:bCs/>
                <w:szCs w:val="21"/>
                <w:highlight w:val="none"/>
              </w:rPr>
              <w:t>本项最高得分</w:t>
            </w:r>
            <w:r>
              <w:rPr>
                <w:rFonts w:hint="eastAsia" w:ascii="宋体" w:hAnsi="宋体" w:cs="宋体"/>
                <w:bCs/>
                <w:szCs w:val="21"/>
                <w:highlight w:val="none"/>
                <w:lang w:val="en-US" w:eastAsia="zh-CN"/>
              </w:rPr>
              <w:t>7</w:t>
            </w:r>
            <w:r>
              <w:rPr>
                <w:rFonts w:hint="eastAsia" w:ascii="宋体" w:hAnsi="宋体" w:cs="宋体"/>
                <w:bCs/>
                <w:szCs w:val="21"/>
                <w:highlight w:val="none"/>
              </w:rPr>
              <w:t>分</w:t>
            </w:r>
          </w:p>
          <w:p w14:paraId="43B2DE37">
            <w:pPr>
              <w:spacing w:line="360" w:lineRule="exact"/>
              <w:rPr>
                <w:rFonts w:hint="eastAsia" w:ascii="宋体" w:hAnsi="宋体" w:cs="宋体"/>
                <w:b/>
                <w:szCs w:val="21"/>
                <w:highlight w:val="none"/>
                <w:lang w:val="en-US" w:eastAsia="zh-CN"/>
              </w:rPr>
            </w:pPr>
            <w:r>
              <w:rPr>
                <w:rFonts w:hint="eastAsia" w:ascii="宋体" w:hAnsi="宋体" w:cs="宋体"/>
                <w:b/>
                <w:szCs w:val="21"/>
                <w:highlight w:val="none"/>
                <w:lang w:val="en-US" w:eastAsia="zh-CN"/>
              </w:rPr>
              <w:t>（医疗陪送车辆须为投标单位名下自有的轿车、商务车等可安全接送老人就医的车辆，并提供行驶证（需体现车辆所有人名称）及车辆登记证书、车辆年检合格证等证明材料扫描件，加盖投标单位公章）</w:t>
            </w:r>
          </w:p>
          <w:p w14:paraId="33BD2FB4">
            <w:pPr>
              <w:spacing w:line="360" w:lineRule="exact"/>
              <w:rPr>
                <w:rFonts w:hint="eastAsia" w:ascii="宋体" w:hAnsi="宋体" w:eastAsia="宋体" w:cs="宋体"/>
                <w:b/>
                <w:kern w:val="2"/>
                <w:sz w:val="21"/>
                <w:szCs w:val="21"/>
                <w:highlight w:val="none"/>
                <w:lang w:val="en-US" w:eastAsia="zh-CN" w:bidi="ar-SA"/>
              </w:rPr>
            </w:pPr>
            <w:r>
              <w:rPr>
                <w:rFonts w:hint="eastAsia" w:ascii="宋体" w:hAnsi="宋体" w:cs="宋体"/>
                <w:b/>
                <w:szCs w:val="21"/>
                <w:highlight w:val="none"/>
                <w:lang w:eastAsia="zh-CN"/>
              </w:rPr>
              <w:t>（</w:t>
            </w:r>
            <w:r>
              <w:rPr>
                <w:rFonts w:hint="eastAsia" w:ascii="宋体" w:hAnsi="宋体" w:cs="宋体"/>
                <w:b/>
                <w:szCs w:val="21"/>
                <w:highlight w:val="none"/>
                <w:lang w:val="en-US" w:eastAsia="zh-CN"/>
              </w:rPr>
              <w:t>护理、康复辅助器具按功能可分以下几类：力量训练设备、理疗设备、辅助移动器械、生活辅助器械、康复评定器械、智能设备、健康监测器械等，</w:t>
            </w:r>
            <w:r>
              <w:rPr>
                <w:rFonts w:hint="eastAsia" w:ascii="宋体" w:hAnsi="宋体" w:eastAsia="宋体" w:cs="宋体"/>
                <w:b/>
                <w:i w:val="0"/>
                <w:iCs w:val="0"/>
                <w:caps w:val="0"/>
                <w:spacing w:val="0"/>
                <w:sz w:val="21"/>
                <w:szCs w:val="21"/>
                <w:highlight w:val="none"/>
                <w:shd w:val="clear"/>
              </w:rPr>
              <w:t>同一功能类别下不同</w:t>
            </w:r>
            <w:r>
              <w:rPr>
                <w:rFonts w:hint="eastAsia" w:ascii="宋体" w:hAnsi="宋体" w:cs="宋体"/>
                <w:b/>
                <w:i w:val="0"/>
                <w:iCs w:val="0"/>
                <w:caps w:val="0"/>
                <w:spacing w:val="0"/>
                <w:sz w:val="21"/>
                <w:szCs w:val="21"/>
                <w:highlight w:val="none"/>
                <w:shd w:val="clear"/>
                <w:lang w:val="en-US" w:eastAsia="zh-CN"/>
              </w:rPr>
              <w:t>种类</w:t>
            </w:r>
            <w:r>
              <w:rPr>
                <w:rFonts w:hint="eastAsia" w:ascii="宋体" w:hAnsi="宋体" w:eastAsia="宋体" w:cs="宋体"/>
                <w:b/>
                <w:i w:val="0"/>
                <w:iCs w:val="0"/>
                <w:caps w:val="0"/>
                <w:spacing w:val="0"/>
                <w:sz w:val="21"/>
                <w:szCs w:val="21"/>
                <w:highlight w:val="none"/>
                <w:shd w:val="clear"/>
              </w:rPr>
              <w:t>的设备可累计计分</w:t>
            </w:r>
            <w:r>
              <w:rPr>
                <w:rFonts w:hint="eastAsia" w:ascii="宋体" w:hAnsi="宋体" w:cs="宋体"/>
                <w:b/>
                <w:i w:val="0"/>
                <w:iCs w:val="0"/>
                <w:caps w:val="0"/>
                <w:spacing w:val="0"/>
                <w:sz w:val="21"/>
                <w:szCs w:val="21"/>
                <w:highlight w:val="none"/>
                <w:shd w:val="clear"/>
                <w:lang w:eastAsia="zh-CN"/>
              </w:rPr>
              <w:t>，</w:t>
            </w:r>
            <w:r>
              <w:rPr>
                <w:rFonts w:hint="eastAsia" w:ascii="宋体" w:hAnsi="宋体" w:cs="宋体"/>
                <w:b/>
                <w:szCs w:val="21"/>
                <w:highlight w:val="none"/>
              </w:rPr>
              <w:t>需提供本项涉及的物资采购合同扫描件并加盖投标单位公章，未提供或不符合要求不得分</w:t>
            </w:r>
            <w:r>
              <w:rPr>
                <w:rFonts w:hint="eastAsia" w:ascii="宋体" w:hAnsi="宋体" w:cs="宋体"/>
                <w:b/>
                <w:szCs w:val="21"/>
                <w:highlight w:val="none"/>
                <w:lang w:eastAsia="zh-CN"/>
              </w:rPr>
              <w:t>）</w:t>
            </w:r>
          </w:p>
        </w:tc>
        <w:tc>
          <w:tcPr>
            <w:tcW w:w="740" w:type="dxa"/>
            <w:shd w:val="clear" w:color="auto" w:fill="auto"/>
            <w:noWrap w:val="0"/>
            <w:vAlign w:val="center"/>
          </w:tcPr>
          <w:p w14:paraId="065FE8CA">
            <w:pPr>
              <w:adjustRightInd w:val="0"/>
              <w:snapToGrid w:val="0"/>
              <w:spacing w:line="36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7</w:t>
            </w:r>
          </w:p>
        </w:tc>
      </w:tr>
      <w:tr w14:paraId="742F2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6" w:type="dxa"/>
            <w:vMerge w:val="restart"/>
            <w:noWrap w:val="0"/>
            <w:vAlign w:val="center"/>
          </w:tcPr>
          <w:p w14:paraId="55780E03">
            <w:pPr>
              <w:pStyle w:val="9"/>
              <w:keepNext w:val="0"/>
              <w:keepLines w:val="0"/>
              <w:pageBreakBefore w:val="0"/>
              <w:kinsoku/>
              <w:wordWrap/>
              <w:overflowPunct/>
              <w:topLinePunct w:val="0"/>
              <w:bidi w:val="0"/>
              <w:spacing w:after="0" w:line="360" w:lineRule="exact"/>
              <w:jc w:val="center"/>
              <w:rPr>
                <w:rFonts w:hint="eastAsia" w:ascii="宋体" w:hAnsi="宋体" w:cs="宋体"/>
                <w:sz w:val="21"/>
                <w:szCs w:val="21"/>
                <w:highlight w:val="none"/>
              </w:rPr>
            </w:pPr>
            <w:r>
              <w:rPr>
                <w:rFonts w:hint="eastAsia" w:ascii="宋体" w:hAnsi="宋体" w:cs="宋体"/>
                <w:sz w:val="21"/>
                <w:szCs w:val="21"/>
                <w:highlight w:val="none"/>
              </w:rPr>
              <w:t>技术分（</w:t>
            </w:r>
            <w:r>
              <w:rPr>
                <w:rFonts w:hint="eastAsia" w:ascii="宋体" w:hAnsi="宋体" w:cs="宋体"/>
                <w:sz w:val="21"/>
                <w:szCs w:val="21"/>
                <w:highlight w:val="none"/>
                <w:lang w:val="en-US" w:eastAsia="zh-CN"/>
              </w:rPr>
              <w:t>59</w:t>
            </w:r>
            <w:r>
              <w:rPr>
                <w:rFonts w:hint="eastAsia" w:ascii="宋体" w:hAnsi="宋体" w:cs="宋体"/>
                <w:sz w:val="21"/>
                <w:szCs w:val="21"/>
                <w:highlight w:val="none"/>
              </w:rPr>
              <w:t>分）</w:t>
            </w:r>
          </w:p>
        </w:tc>
        <w:tc>
          <w:tcPr>
            <w:tcW w:w="1041" w:type="dxa"/>
            <w:noWrap w:val="0"/>
            <w:vAlign w:val="center"/>
          </w:tcPr>
          <w:p w14:paraId="2F71D123">
            <w:pPr>
              <w:adjustRightInd w:val="0"/>
              <w:snapToGrid w:val="0"/>
              <w:spacing w:line="36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szCs w:val="21"/>
                <w:highlight w:val="none"/>
              </w:rPr>
              <w:t>现状分析</w:t>
            </w:r>
          </w:p>
        </w:tc>
        <w:tc>
          <w:tcPr>
            <w:tcW w:w="6718" w:type="dxa"/>
            <w:noWrap w:val="0"/>
            <w:vAlign w:val="center"/>
          </w:tcPr>
          <w:p w14:paraId="10E1C7B0">
            <w:pPr>
              <w:spacing w:line="360" w:lineRule="exact"/>
              <w:rPr>
                <w:rFonts w:hint="eastAsia" w:ascii="宋体" w:hAnsi="宋体" w:cs="宋体"/>
                <w:szCs w:val="21"/>
                <w:highlight w:val="none"/>
              </w:rPr>
            </w:pPr>
            <w:r>
              <w:rPr>
                <w:rFonts w:hint="eastAsia" w:ascii="宋体" w:hAnsi="宋体" w:cs="宋体"/>
                <w:szCs w:val="21"/>
                <w:highlight w:val="none"/>
              </w:rPr>
              <w:t>投标人对椒江区前所街道老人的生活环境现状、</w:t>
            </w:r>
            <w:r>
              <w:rPr>
                <w:rFonts w:hint="eastAsia" w:ascii="宋体" w:hAnsi="宋体" w:cs="宋体"/>
                <w:color w:val="000000"/>
                <w:szCs w:val="21"/>
                <w:highlight w:val="none"/>
              </w:rPr>
              <w:t>老年人居家养老需求分析、</w:t>
            </w:r>
            <w:r>
              <w:rPr>
                <w:rFonts w:hint="eastAsia" w:ascii="宋体" w:hAnsi="宋体" w:cs="宋体"/>
                <w:szCs w:val="21"/>
                <w:highlight w:val="none"/>
              </w:rPr>
              <w:t>存在的问题和项目的重点、难点进行调查分析，是否调研充分，并提出相关的建议，进行评定：</w:t>
            </w:r>
          </w:p>
          <w:p w14:paraId="7A2996A5">
            <w:pPr>
              <w:spacing w:line="360" w:lineRule="exact"/>
              <w:rPr>
                <w:rFonts w:hint="eastAsia" w:ascii="宋体" w:hAnsi="宋体" w:cs="宋体"/>
                <w:szCs w:val="21"/>
                <w:highlight w:val="none"/>
              </w:rPr>
            </w:pPr>
            <w:r>
              <w:rPr>
                <w:rFonts w:hint="eastAsia" w:ascii="宋体" w:hAnsi="宋体" w:cs="宋体"/>
                <w:szCs w:val="21"/>
                <w:highlight w:val="none"/>
              </w:rPr>
              <w:t>对现状情况了解透彻，调研充分，内容合理符合实际的得8分；</w:t>
            </w:r>
          </w:p>
          <w:p w14:paraId="12779915">
            <w:pPr>
              <w:spacing w:line="360" w:lineRule="exact"/>
              <w:rPr>
                <w:rFonts w:hint="eastAsia" w:ascii="宋体" w:hAnsi="宋体" w:cs="宋体"/>
                <w:szCs w:val="21"/>
                <w:highlight w:val="none"/>
              </w:rPr>
            </w:pPr>
            <w:r>
              <w:rPr>
                <w:rFonts w:hint="eastAsia" w:ascii="宋体" w:hAnsi="宋体" w:cs="宋体"/>
                <w:szCs w:val="21"/>
                <w:highlight w:val="none"/>
              </w:rPr>
              <w:t>对现状情况了解基本透彻，调研基本充分，内容较合理符合实际的得6分；</w:t>
            </w:r>
          </w:p>
          <w:p w14:paraId="20B0C809">
            <w:pPr>
              <w:spacing w:line="360" w:lineRule="exact"/>
              <w:rPr>
                <w:rFonts w:hint="eastAsia" w:ascii="宋体" w:hAnsi="宋体" w:cs="宋体"/>
                <w:szCs w:val="21"/>
                <w:highlight w:val="none"/>
              </w:rPr>
            </w:pPr>
            <w:r>
              <w:rPr>
                <w:rFonts w:hint="eastAsia" w:ascii="宋体" w:hAnsi="宋体" w:cs="宋体"/>
                <w:szCs w:val="21"/>
                <w:highlight w:val="none"/>
              </w:rPr>
              <w:t>对现状情况了解模糊，调研不足，内容基本符合实际的得4分；</w:t>
            </w:r>
          </w:p>
          <w:p w14:paraId="0587E327">
            <w:pPr>
              <w:spacing w:line="360" w:lineRule="exact"/>
              <w:rPr>
                <w:rFonts w:hint="eastAsia" w:ascii="宋体" w:hAnsi="宋体" w:cs="宋体"/>
                <w:szCs w:val="21"/>
                <w:highlight w:val="none"/>
              </w:rPr>
            </w:pPr>
            <w:r>
              <w:rPr>
                <w:rFonts w:hint="eastAsia" w:ascii="宋体" w:hAnsi="宋体" w:cs="宋体"/>
                <w:szCs w:val="21"/>
                <w:highlight w:val="none"/>
              </w:rPr>
              <w:t>缺乏实质性内容，偏离实际的得2分；</w:t>
            </w:r>
          </w:p>
          <w:p w14:paraId="53C1E712">
            <w:pPr>
              <w:spacing w:line="360" w:lineRule="exact"/>
              <w:rPr>
                <w:rFonts w:hint="eastAsia" w:ascii="宋体" w:hAnsi="宋体" w:eastAsia="宋体" w:cs="宋体"/>
                <w:color w:val="auto"/>
                <w:kern w:val="0"/>
                <w:sz w:val="21"/>
                <w:szCs w:val="21"/>
                <w:highlight w:val="none"/>
                <w:lang w:val="en-US" w:eastAsia="zh-CN" w:bidi="ar-SA"/>
              </w:rPr>
            </w:pPr>
            <w:r>
              <w:rPr>
                <w:rFonts w:hint="eastAsia" w:ascii="宋体" w:hAnsi="宋体" w:cs="宋体"/>
                <w:szCs w:val="21"/>
                <w:highlight w:val="none"/>
              </w:rPr>
              <w:t>未提及此项不得分。</w:t>
            </w:r>
          </w:p>
        </w:tc>
        <w:tc>
          <w:tcPr>
            <w:tcW w:w="740" w:type="dxa"/>
            <w:noWrap w:val="0"/>
            <w:vAlign w:val="center"/>
          </w:tcPr>
          <w:p w14:paraId="3B6BC653">
            <w:pPr>
              <w:adjustRightInd w:val="0"/>
              <w:snapToGrid w:val="0"/>
              <w:spacing w:line="36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szCs w:val="21"/>
                <w:highlight w:val="none"/>
              </w:rPr>
              <w:t>8</w:t>
            </w:r>
          </w:p>
        </w:tc>
      </w:tr>
      <w:tr w14:paraId="75A5B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106" w:type="dxa"/>
            <w:vMerge w:val="continue"/>
            <w:shd w:val="clear" w:color="auto" w:fill="auto"/>
            <w:noWrap w:val="0"/>
            <w:vAlign w:val="center"/>
          </w:tcPr>
          <w:p w14:paraId="6E516969">
            <w:pPr>
              <w:pStyle w:val="9"/>
              <w:keepNext w:val="0"/>
              <w:keepLines w:val="0"/>
              <w:pageBreakBefore w:val="0"/>
              <w:kinsoku/>
              <w:wordWrap/>
              <w:overflowPunct/>
              <w:topLinePunct w:val="0"/>
              <w:bidi w:val="0"/>
              <w:spacing w:after="0" w:line="360" w:lineRule="exact"/>
              <w:jc w:val="center"/>
              <w:rPr>
                <w:rFonts w:hint="eastAsia" w:ascii="宋体" w:hAnsi="宋体" w:cs="宋体"/>
                <w:sz w:val="21"/>
                <w:szCs w:val="21"/>
                <w:highlight w:val="none"/>
              </w:rPr>
            </w:pPr>
          </w:p>
        </w:tc>
        <w:tc>
          <w:tcPr>
            <w:tcW w:w="1041" w:type="dxa"/>
            <w:shd w:val="clear" w:color="000000" w:fill="FFFFFF"/>
            <w:noWrap w:val="0"/>
            <w:vAlign w:val="center"/>
          </w:tcPr>
          <w:p w14:paraId="46669380">
            <w:pPr>
              <w:adjustRightInd w:val="0"/>
              <w:snapToGrid w:val="0"/>
              <w:spacing w:line="36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操作可行性</w:t>
            </w:r>
          </w:p>
        </w:tc>
        <w:tc>
          <w:tcPr>
            <w:tcW w:w="6718" w:type="dxa"/>
            <w:shd w:val="clear" w:color="000000" w:fill="FFFFFF"/>
            <w:noWrap w:val="0"/>
            <w:vAlign w:val="center"/>
          </w:tcPr>
          <w:p w14:paraId="798B85F7">
            <w:pPr>
              <w:spacing w:line="360" w:lineRule="exact"/>
              <w:rPr>
                <w:rFonts w:hint="eastAsia" w:ascii="宋体" w:hAnsi="宋体" w:cs="宋体"/>
                <w:szCs w:val="21"/>
                <w:highlight w:val="none"/>
              </w:rPr>
            </w:pPr>
            <w:r>
              <w:rPr>
                <w:rFonts w:hint="eastAsia" w:ascii="宋体" w:hAnsi="宋体" w:cs="宋体"/>
                <w:szCs w:val="21"/>
                <w:highlight w:val="none"/>
              </w:rPr>
              <w:t>根据投标人是否了解项目实施地区情况，具备社区基础和群众基础，提供的围绕服务中心及照料中心运营管理、配送餐体系建立的服务方案进行评定：</w:t>
            </w:r>
          </w:p>
          <w:p w14:paraId="7C9209F2">
            <w:pPr>
              <w:spacing w:line="360" w:lineRule="exact"/>
              <w:rPr>
                <w:rFonts w:hint="eastAsia" w:ascii="宋体" w:hAnsi="宋体" w:cs="宋体"/>
                <w:szCs w:val="21"/>
                <w:highlight w:val="none"/>
              </w:rPr>
            </w:pPr>
            <w:r>
              <w:rPr>
                <w:rFonts w:hint="eastAsia" w:ascii="宋体" w:hAnsi="宋体" w:cs="宋体"/>
                <w:szCs w:val="21"/>
                <w:highlight w:val="none"/>
              </w:rPr>
              <w:t>围绕服务中心及照料中心运营管理、配送餐体系建立的服务要求，对各项任务进行分解细化、分工明确计划合理，实施方案针对性强、符合实际、可操作性强的得8分；</w:t>
            </w:r>
          </w:p>
          <w:p w14:paraId="6BE97B72">
            <w:pPr>
              <w:spacing w:line="360" w:lineRule="exact"/>
              <w:rPr>
                <w:rFonts w:hint="eastAsia" w:ascii="宋体" w:hAnsi="宋体" w:cs="宋体"/>
                <w:szCs w:val="21"/>
                <w:highlight w:val="none"/>
              </w:rPr>
            </w:pPr>
            <w:r>
              <w:rPr>
                <w:rFonts w:hint="eastAsia" w:ascii="宋体" w:hAnsi="宋体" w:cs="宋体"/>
                <w:szCs w:val="21"/>
                <w:highlight w:val="none"/>
              </w:rPr>
              <w:t>任务分解较细化、分工较明确、实施方案针对性较强的得6分；</w:t>
            </w:r>
          </w:p>
          <w:p w14:paraId="20BDA025">
            <w:pPr>
              <w:spacing w:line="360" w:lineRule="exact"/>
              <w:rPr>
                <w:rFonts w:hint="eastAsia" w:ascii="宋体" w:hAnsi="宋体" w:cs="宋体"/>
                <w:szCs w:val="21"/>
                <w:highlight w:val="none"/>
              </w:rPr>
            </w:pPr>
            <w:r>
              <w:rPr>
                <w:rFonts w:hint="eastAsia" w:ascii="宋体" w:hAnsi="宋体" w:cs="宋体"/>
                <w:szCs w:val="21"/>
                <w:highlight w:val="none"/>
              </w:rPr>
              <w:t>方案较合理、基本可行的得4分；</w:t>
            </w:r>
          </w:p>
          <w:p w14:paraId="18140DF2">
            <w:pPr>
              <w:spacing w:line="360" w:lineRule="exact"/>
              <w:rPr>
                <w:rFonts w:hint="eastAsia" w:ascii="宋体" w:hAnsi="宋体" w:cs="宋体"/>
                <w:szCs w:val="21"/>
                <w:highlight w:val="none"/>
              </w:rPr>
            </w:pPr>
            <w:r>
              <w:rPr>
                <w:rFonts w:hint="eastAsia" w:ascii="宋体" w:hAnsi="宋体" w:cs="宋体"/>
                <w:szCs w:val="21"/>
                <w:highlight w:val="none"/>
              </w:rPr>
              <w:t>方案合理性、可行性较差的得2分；</w:t>
            </w:r>
          </w:p>
          <w:p w14:paraId="6E46A976">
            <w:pPr>
              <w:spacing w:line="360" w:lineRule="exact"/>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未提及此项不得分。</w:t>
            </w:r>
          </w:p>
        </w:tc>
        <w:tc>
          <w:tcPr>
            <w:tcW w:w="740" w:type="dxa"/>
            <w:noWrap w:val="0"/>
            <w:vAlign w:val="center"/>
          </w:tcPr>
          <w:p w14:paraId="5AC176AC">
            <w:pPr>
              <w:adjustRightInd w:val="0"/>
              <w:snapToGrid w:val="0"/>
              <w:spacing w:line="360" w:lineRule="exact"/>
              <w:jc w:val="center"/>
              <w:rPr>
                <w:rFonts w:hint="default" w:ascii="宋体" w:hAnsi="宋体" w:eastAsia="宋体" w:cs="宋体"/>
                <w:kern w:val="2"/>
                <w:sz w:val="21"/>
                <w:szCs w:val="21"/>
                <w:highlight w:val="none"/>
                <w:lang w:val="en-US" w:eastAsia="zh-CN" w:bidi="ar-SA"/>
              </w:rPr>
            </w:pPr>
            <w:r>
              <w:rPr>
                <w:rFonts w:hint="eastAsia" w:ascii="宋体" w:hAnsi="宋体" w:cs="宋体"/>
                <w:szCs w:val="21"/>
                <w:highlight w:val="none"/>
              </w:rPr>
              <w:t>8</w:t>
            </w:r>
          </w:p>
        </w:tc>
      </w:tr>
      <w:tr w14:paraId="47DEF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1106" w:type="dxa"/>
            <w:vMerge w:val="continue"/>
            <w:shd w:val="clear" w:color="auto" w:fill="auto"/>
            <w:noWrap w:val="0"/>
            <w:vAlign w:val="center"/>
          </w:tcPr>
          <w:p w14:paraId="1885F301">
            <w:pPr>
              <w:pStyle w:val="24"/>
              <w:keepNext w:val="0"/>
              <w:keepLines w:val="0"/>
              <w:pageBreakBefore w:val="0"/>
              <w:kinsoku/>
              <w:wordWrap/>
              <w:overflowPunct/>
              <w:topLinePunct w:val="0"/>
              <w:bidi w:val="0"/>
              <w:spacing w:after="0" w:line="360" w:lineRule="exact"/>
              <w:ind w:firstLine="0" w:firstLineChars="0"/>
              <w:jc w:val="center"/>
              <w:rPr>
                <w:rFonts w:hint="eastAsia" w:ascii="宋体" w:hAnsi="宋体" w:cs="宋体"/>
                <w:sz w:val="21"/>
                <w:szCs w:val="21"/>
                <w:highlight w:val="none"/>
              </w:rPr>
            </w:pPr>
          </w:p>
        </w:tc>
        <w:tc>
          <w:tcPr>
            <w:tcW w:w="1041" w:type="dxa"/>
            <w:shd w:val="clear" w:color="000000" w:fill="FFFFFF"/>
            <w:noWrap w:val="0"/>
            <w:vAlign w:val="center"/>
          </w:tcPr>
          <w:p w14:paraId="017B9B4B">
            <w:pPr>
              <w:adjustRightInd w:val="0"/>
              <w:snapToGrid w:val="0"/>
              <w:spacing w:line="36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服务过程监管方案</w:t>
            </w:r>
          </w:p>
        </w:tc>
        <w:tc>
          <w:tcPr>
            <w:tcW w:w="6718" w:type="dxa"/>
            <w:shd w:val="clear" w:color="000000" w:fill="FFFFFF"/>
            <w:noWrap w:val="0"/>
            <w:vAlign w:val="center"/>
          </w:tcPr>
          <w:p w14:paraId="5C005BB4">
            <w:pPr>
              <w:spacing w:line="360" w:lineRule="exact"/>
              <w:rPr>
                <w:rFonts w:hint="eastAsia" w:ascii="宋体" w:hAnsi="宋体" w:cs="宋体"/>
                <w:szCs w:val="21"/>
                <w:highlight w:val="none"/>
              </w:rPr>
            </w:pPr>
            <w:r>
              <w:rPr>
                <w:rFonts w:hint="eastAsia" w:ascii="宋体" w:hAnsi="宋体" w:cs="宋体"/>
                <w:szCs w:val="21"/>
                <w:highlight w:val="none"/>
              </w:rPr>
              <w:t>根据投标人提供的服务方案线上线下融合度进行评定：</w:t>
            </w:r>
          </w:p>
          <w:p w14:paraId="3016621B">
            <w:pPr>
              <w:spacing w:line="360" w:lineRule="exact"/>
              <w:rPr>
                <w:rFonts w:hint="eastAsia" w:ascii="宋体" w:hAnsi="宋体" w:cs="宋体"/>
                <w:szCs w:val="21"/>
                <w:highlight w:val="none"/>
              </w:rPr>
            </w:pPr>
            <w:r>
              <w:rPr>
                <w:rFonts w:hint="eastAsia" w:ascii="宋体" w:hAnsi="宋体" w:cs="宋体"/>
                <w:szCs w:val="21"/>
                <w:highlight w:val="none"/>
              </w:rPr>
              <w:t>线上线下融合度高，线下精准服务解决老年人实际需求，线上实现有效实时监管的得</w:t>
            </w:r>
            <w:r>
              <w:rPr>
                <w:rFonts w:hint="eastAsia" w:ascii="宋体" w:hAnsi="宋体" w:cs="宋体"/>
                <w:szCs w:val="21"/>
                <w:highlight w:val="none"/>
                <w:lang w:val="en-US" w:eastAsia="zh-CN"/>
              </w:rPr>
              <w:t>5</w:t>
            </w:r>
            <w:r>
              <w:rPr>
                <w:rFonts w:hint="eastAsia" w:ascii="宋体" w:hAnsi="宋体" w:cs="宋体"/>
                <w:szCs w:val="21"/>
                <w:highlight w:val="none"/>
              </w:rPr>
              <w:t>分；</w:t>
            </w:r>
          </w:p>
          <w:p w14:paraId="215A2AED">
            <w:pPr>
              <w:spacing w:line="360" w:lineRule="exact"/>
              <w:rPr>
                <w:rFonts w:hint="eastAsia" w:ascii="宋体" w:hAnsi="宋体" w:cs="宋体"/>
                <w:szCs w:val="21"/>
                <w:highlight w:val="none"/>
              </w:rPr>
            </w:pPr>
            <w:r>
              <w:rPr>
                <w:rFonts w:hint="eastAsia" w:ascii="宋体" w:hAnsi="宋体" w:cs="宋体"/>
                <w:szCs w:val="21"/>
                <w:highlight w:val="none"/>
              </w:rPr>
              <w:t>线上线下融合度较高的得</w:t>
            </w:r>
            <w:r>
              <w:rPr>
                <w:rFonts w:hint="eastAsia" w:ascii="宋体" w:hAnsi="宋体" w:cs="宋体"/>
                <w:szCs w:val="21"/>
                <w:highlight w:val="none"/>
                <w:lang w:val="en-US" w:eastAsia="zh-CN"/>
              </w:rPr>
              <w:t>4</w:t>
            </w:r>
            <w:r>
              <w:rPr>
                <w:rFonts w:hint="eastAsia" w:ascii="宋体" w:hAnsi="宋体" w:cs="宋体"/>
                <w:szCs w:val="21"/>
                <w:highlight w:val="none"/>
              </w:rPr>
              <w:t>分；</w:t>
            </w:r>
          </w:p>
          <w:p w14:paraId="2E086F36">
            <w:pPr>
              <w:spacing w:line="360" w:lineRule="exact"/>
              <w:rPr>
                <w:rFonts w:hint="eastAsia" w:ascii="宋体" w:hAnsi="宋体" w:cs="宋体"/>
                <w:szCs w:val="21"/>
                <w:highlight w:val="none"/>
              </w:rPr>
            </w:pPr>
            <w:r>
              <w:rPr>
                <w:rFonts w:hint="eastAsia" w:ascii="宋体" w:hAnsi="宋体" w:cs="宋体"/>
                <w:szCs w:val="21"/>
                <w:highlight w:val="none"/>
              </w:rPr>
              <w:t>线上线下融合度一般的得</w:t>
            </w:r>
            <w:r>
              <w:rPr>
                <w:rFonts w:hint="eastAsia" w:ascii="宋体" w:hAnsi="宋体" w:cs="宋体"/>
                <w:szCs w:val="21"/>
                <w:highlight w:val="none"/>
                <w:lang w:val="en-US" w:eastAsia="zh-CN"/>
              </w:rPr>
              <w:t>3</w:t>
            </w:r>
            <w:r>
              <w:rPr>
                <w:rFonts w:hint="eastAsia" w:ascii="宋体" w:hAnsi="宋体" w:cs="宋体"/>
                <w:szCs w:val="21"/>
                <w:highlight w:val="none"/>
              </w:rPr>
              <w:t>分；</w:t>
            </w:r>
          </w:p>
          <w:p w14:paraId="32ACF0B1">
            <w:pPr>
              <w:spacing w:line="360" w:lineRule="exact"/>
              <w:rPr>
                <w:rFonts w:hint="eastAsia" w:ascii="宋体" w:hAnsi="宋体" w:cs="宋体"/>
                <w:szCs w:val="21"/>
                <w:highlight w:val="none"/>
              </w:rPr>
            </w:pPr>
            <w:r>
              <w:rPr>
                <w:rFonts w:hint="eastAsia" w:ascii="宋体" w:hAnsi="宋体" w:cs="宋体"/>
                <w:szCs w:val="21"/>
                <w:highlight w:val="none"/>
              </w:rPr>
              <w:t>线上线下融合度有所欠缺的得</w:t>
            </w:r>
            <w:r>
              <w:rPr>
                <w:rFonts w:hint="eastAsia" w:ascii="宋体" w:hAnsi="宋体" w:cs="宋体"/>
                <w:szCs w:val="21"/>
                <w:highlight w:val="none"/>
                <w:lang w:val="en-US" w:eastAsia="zh-CN"/>
              </w:rPr>
              <w:t>2</w:t>
            </w:r>
            <w:r>
              <w:rPr>
                <w:rFonts w:hint="eastAsia" w:ascii="宋体" w:hAnsi="宋体" w:cs="宋体"/>
                <w:szCs w:val="21"/>
                <w:highlight w:val="none"/>
              </w:rPr>
              <w:t>分；</w:t>
            </w:r>
          </w:p>
          <w:p w14:paraId="1FA3D860">
            <w:pPr>
              <w:spacing w:line="360" w:lineRule="exact"/>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未提及此项不得分。</w:t>
            </w:r>
          </w:p>
        </w:tc>
        <w:tc>
          <w:tcPr>
            <w:tcW w:w="740" w:type="dxa"/>
            <w:noWrap w:val="0"/>
            <w:vAlign w:val="center"/>
          </w:tcPr>
          <w:p w14:paraId="78ADBD1B">
            <w:pPr>
              <w:adjustRightInd w:val="0"/>
              <w:snapToGrid w:val="0"/>
              <w:spacing w:line="36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5</w:t>
            </w:r>
          </w:p>
        </w:tc>
      </w:tr>
      <w:tr w14:paraId="3BD69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6" w:type="dxa"/>
            <w:vMerge w:val="continue"/>
            <w:noWrap w:val="0"/>
            <w:vAlign w:val="center"/>
          </w:tcPr>
          <w:p w14:paraId="21FFBFC5">
            <w:pPr>
              <w:pStyle w:val="24"/>
              <w:keepNext w:val="0"/>
              <w:keepLines w:val="0"/>
              <w:pageBreakBefore w:val="0"/>
              <w:kinsoku/>
              <w:wordWrap/>
              <w:overflowPunct/>
              <w:topLinePunct w:val="0"/>
              <w:bidi w:val="0"/>
              <w:spacing w:after="0" w:line="360" w:lineRule="exact"/>
              <w:ind w:firstLine="0" w:firstLineChars="0"/>
              <w:jc w:val="center"/>
              <w:rPr>
                <w:rFonts w:hint="eastAsia" w:ascii="宋体" w:hAnsi="宋体" w:cs="宋体"/>
                <w:sz w:val="21"/>
                <w:szCs w:val="21"/>
                <w:highlight w:val="none"/>
              </w:rPr>
            </w:pPr>
          </w:p>
        </w:tc>
        <w:tc>
          <w:tcPr>
            <w:tcW w:w="1041" w:type="dxa"/>
            <w:shd w:val="clear" w:color="auto" w:fill="auto"/>
            <w:noWrap w:val="0"/>
            <w:vAlign w:val="center"/>
          </w:tcPr>
          <w:p w14:paraId="6DA60D44">
            <w:pPr>
              <w:adjustRightInd w:val="0"/>
              <w:snapToGrid w:val="0"/>
              <w:spacing w:line="36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质量保障措施</w:t>
            </w:r>
          </w:p>
        </w:tc>
        <w:tc>
          <w:tcPr>
            <w:tcW w:w="6718" w:type="dxa"/>
            <w:shd w:val="clear" w:color="auto" w:fill="auto"/>
            <w:noWrap w:val="0"/>
            <w:vAlign w:val="center"/>
          </w:tcPr>
          <w:p w14:paraId="1659D2D9">
            <w:pPr>
              <w:spacing w:line="360" w:lineRule="exact"/>
              <w:rPr>
                <w:rFonts w:hint="eastAsia" w:ascii="宋体" w:hAnsi="宋体" w:cs="宋体"/>
                <w:szCs w:val="21"/>
                <w:highlight w:val="none"/>
              </w:rPr>
            </w:pPr>
            <w:r>
              <w:rPr>
                <w:rFonts w:hint="eastAsia" w:ascii="宋体" w:hAnsi="宋体" w:cs="宋体"/>
                <w:szCs w:val="21"/>
                <w:highlight w:val="none"/>
              </w:rPr>
              <w:t>根据供应商提供完整的服务质量保障措施及服务承诺进行评定：</w:t>
            </w:r>
          </w:p>
          <w:p w14:paraId="3122228B">
            <w:pPr>
              <w:spacing w:line="360" w:lineRule="exact"/>
              <w:rPr>
                <w:rFonts w:hint="eastAsia" w:ascii="宋体" w:hAnsi="宋体" w:cs="宋体"/>
                <w:szCs w:val="21"/>
                <w:highlight w:val="none"/>
              </w:rPr>
            </w:pPr>
            <w:r>
              <w:rPr>
                <w:rFonts w:hint="eastAsia" w:ascii="宋体" w:hAnsi="宋体" w:cs="宋体"/>
                <w:szCs w:val="21"/>
                <w:highlight w:val="none"/>
              </w:rPr>
              <w:t>质量保障措施</w:t>
            </w:r>
            <w:r>
              <w:rPr>
                <w:rFonts w:hint="eastAsia" w:ascii="宋体" w:hAnsi="宋体" w:cs="宋体"/>
                <w:szCs w:val="21"/>
                <w:highlight w:val="none"/>
                <w:lang w:val="zh-CN"/>
              </w:rPr>
              <w:t>切实可行，</w:t>
            </w:r>
            <w:r>
              <w:rPr>
                <w:rFonts w:hint="eastAsia" w:ascii="宋体" w:hAnsi="宋体" w:cs="宋体"/>
                <w:szCs w:val="21"/>
                <w:highlight w:val="none"/>
              </w:rPr>
              <w:t>内容合理的</w:t>
            </w:r>
            <w:r>
              <w:rPr>
                <w:rFonts w:hint="eastAsia" w:ascii="宋体" w:hAnsi="宋体" w:cs="宋体"/>
                <w:szCs w:val="21"/>
                <w:highlight w:val="none"/>
                <w:lang w:val="zh-CN"/>
              </w:rPr>
              <w:t>得</w:t>
            </w:r>
            <w:r>
              <w:rPr>
                <w:rFonts w:hint="eastAsia" w:ascii="宋体" w:hAnsi="宋体" w:cs="宋体"/>
                <w:szCs w:val="21"/>
                <w:highlight w:val="none"/>
                <w:lang w:val="en-US" w:eastAsia="zh-CN"/>
              </w:rPr>
              <w:t>5</w:t>
            </w:r>
            <w:r>
              <w:rPr>
                <w:rFonts w:hint="eastAsia" w:ascii="宋体" w:hAnsi="宋体" w:cs="宋体"/>
                <w:szCs w:val="21"/>
                <w:highlight w:val="none"/>
              </w:rPr>
              <w:t>分；</w:t>
            </w:r>
          </w:p>
          <w:p w14:paraId="317F40AE">
            <w:pPr>
              <w:spacing w:line="360" w:lineRule="exact"/>
              <w:rPr>
                <w:rFonts w:hint="eastAsia" w:ascii="宋体" w:hAnsi="宋体" w:cs="宋体"/>
                <w:szCs w:val="21"/>
                <w:highlight w:val="none"/>
              </w:rPr>
            </w:pPr>
            <w:r>
              <w:rPr>
                <w:rFonts w:hint="eastAsia" w:ascii="宋体" w:hAnsi="宋体" w:cs="宋体"/>
                <w:szCs w:val="21"/>
                <w:highlight w:val="none"/>
              </w:rPr>
              <w:t>质量保障措施较简单但基本可行得</w:t>
            </w:r>
            <w:r>
              <w:rPr>
                <w:rFonts w:hint="eastAsia" w:ascii="宋体" w:hAnsi="宋体" w:cs="宋体"/>
                <w:szCs w:val="21"/>
                <w:highlight w:val="none"/>
                <w:lang w:val="en-US" w:eastAsia="zh-CN"/>
              </w:rPr>
              <w:t>4</w:t>
            </w:r>
            <w:r>
              <w:rPr>
                <w:rFonts w:hint="eastAsia" w:ascii="宋体" w:hAnsi="宋体" w:cs="宋体"/>
                <w:szCs w:val="21"/>
                <w:highlight w:val="none"/>
              </w:rPr>
              <w:t>分；</w:t>
            </w:r>
          </w:p>
          <w:p w14:paraId="29B647EC">
            <w:pPr>
              <w:spacing w:line="360" w:lineRule="exact"/>
              <w:rPr>
                <w:rFonts w:hint="eastAsia" w:ascii="宋体" w:hAnsi="宋体" w:cs="宋体"/>
                <w:szCs w:val="21"/>
                <w:highlight w:val="none"/>
              </w:rPr>
            </w:pPr>
            <w:r>
              <w:rPr>
                <w:rFonts w:hint="eastAsia" w:ascii="宋体" w:hAnsi="宋体" w:cs="宋体"/>
                <w:szCs w:val="21"/>
                <w:highlight w:val="none"/>
              </w:rPr>
              <w:t>质量保障措施简单，可操作性不强得</w:t>
            </w:r>
            <w:r>
              <w:rPr>
                <w:rFonts w:hint="eastAsia" w:ascii="宋体" w:hAnsi="宋体" w:cs="宋体"/>
                <w:szCs w:val="21"/>
                <w:highlight w:val="none"/>
                <w:lang w:val="en-US" w:eastAsia="zh-CN"/>
              </w:rPr>
              <w:t>3</w:t>
            </w:r>
            <w:r>
              <w:rPr>
                <w:rFonts w:hint="eastAsia" w:ascii="宋体" w:hAnsi="宋体" w:cs="宋体"/>
                <w:szCs w:val="21"/>
                <w:highlight w:val="none"/>
              </w:rPr>
              <w:t>分；</w:t>
            </w:r>
          </w:p>
          <w:p w14:paraId="3A8250CC">
            <w:pPr>
              <w:spacing w:line="360" w:lineRule="exact"/>
              <w:rPr>
                <w:rFonts w:hint="eastAsia" w:ascii="宋体" w:hAnsi="宋体" w:cs="宋体"/>
                <w:szCs w:val="21"/>
                <w:highlight w:val="none"/>
              </w:rPr>
            </w:pPr>
            <w:r>
              <w:rPr>
                <w:rFonts w:hint="eastAsia" w:ascii="宋体" w:hAnsi="宋体" w:cs="宋体"/>
                <w:szCs w:val="21"/>
                <w:highlight w:val="none"/>
              </w:rPr>
              <w:t>质量保障措施一般，可操作性较差得</w:t>
            </w:r>
            <w:r>
              <w:rPr>
                <w:rFonts w:hint="eastAsia" w:ascii="宋体" w:hAnsi="宋体" w:cs="宋体"/>
                <w:szCs w:val="21"/>
                <w:highlight w:val="none"/>
                <w:lang w:val="en-US" w:eastAsia="zh-CN"/>
              </w:rPr>
              <w:t>2</w:t>
            </w:r>
            <w:r>
              <w:rPr>
                <w:rFonts w:hint="eastAsia" w:ascii="宋体" w:hAnsi="宋体" w:cs="宋体"/>
                <w:szCs w:val="21"/>
                <w:highlight w:val="none"/>
              </w:rPr>
              <w:t>分；</w:t>
            </w:r>
          </w:p>
          <w:p w14:paraId="582EA805">
            <w:pPr>
              <w:spacing w:line="360" w:lineRule="exact"/>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未提及此项不得分。</w:t>
            </w:r>
          </w:p>
        </w:tc>
        <w:tc>
          <w:tcPr>
            <w:tcW w:w="740" w:type="dxa"/>
            <w:shd w:val="clear" w:color="auto" w:fill="auto"/>
            <w:noWrap w:val="0"/>
            <w:vAlign w:val="center"/>
          </w:tcPr>
          <w:p w14:paraId="1617873D">
            <w:pPr>
              <w:widowControl/>
              <w:spacing w:line="360" w:lineRule="exact"/>
              <w:jc w:val="center"/>
              <w:rPr>
                <w:rFonts w:hint="default" w:ascii="宋体" w:hAnsi="宋体" w:eastAsia="宋体" w:cs="宋体"/>
                <w:kern w:val="2"/>
                <w:sz w:val="21"/>
                <w:szCs w:val="21"/>
                <w:highlight w:val="none"/>
                <w:lang w:val="en-US" w:eastAsia="zh-CN" w:bidi="ar-SA"/>
              </w:rPr>
            </w:pPr>
            <w:r>
              <w:rPr>
                <w:rFonts w:hint="eastAsia" w:ascii="宋体" w:hAnsi="宋体" w:cs="宋体"/>
                <w:kern w:val="0"/>
                <w:szCs w:val="21"/>
                <w:highlight w:val="none"/>
                <w:lang w:val="en-US" w:eastAsia="zh-CN"/>
              </w:rPr>
              <w:t>5</w:t>
            </w:r>
          </w:p>
        </w:tc>
      </w:tr>
      <w:tr w14:paraId="0655A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06" w:type="dxa"/>
            <w:vMerge w:val="continue"/>
            <w:noWrap w:val="0"/>
            <w:vAlign w:val="center"/>
          </w:tcPr>
          <w:p w14:paraId="0FFD46F8">
            <w:pPr>
              <w:pStyle w:val="24"/>
              <w:keepNext w:val="0"/>
              <w:keepLines w:val="0"/>
              <w:pageBreakBefore w:val="0"/>
              <w:kinsoku/>
              <w:wordWrap/>
              <w:overflowPunct/>
              <w:topLinePunct w:val="0"/>
              <w:bidi w:val="0"/>
              <w:spacing w:after="0" w:line="360" w:lineRule="exact"/>
              <w:ind w:firstLine="0" w:firstLineChars="0"/>
              <w:jc w:val="center"/>
              <w:rPr>
                <w:rFonts w:hint="eastAsia" w:ascii="宋体" w:hAnsi="宋体" w:cs="宋体"/>
                <w:sz w:val="21"/>
                <w:szCs w:val="21"/>
                <w:highlight w:val="none"/>
              </w:rPr>
            </w:pPr>
          </w:p>
        </w:tc>
        <w:tc>
          <w:tcPr>
            <w:tcW w:w="1041" w:type="dxa"/>
            <w:shd w:val="clear" w:color="auto" w:fill="auto"/>
            <w:noWrap w:val="0"/>
            <w:vAlign w:val="center"/>
          </w:tcPr>
          <w:p w14:paraId="159B0BFC">
            <w:pPr>
              <w:adjustRightInd w:val="0"/>
              <w:snapToGrid w:val="0"/>
              <w:spacing w:line="36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应急预案</w:t>
            </w:r>
          </w:p>
        </w:tc>
        <w:tc>
          <w:tcPr>
            <w:tcW w:w="6718" w:type="dxa"/>
            <w:shd w:val="clear" w:color="auto" w:fill="auto"/>
            <w:noWrap w:val="0"/>
            <w:vAlign w:val="center"/>
          </w:tcPr>
          <w:p w14:paraId="5EF52BB5">
            <w:pPr>
              <w:spacing w:line="360" w:lineRule="exact"/>
              <w:rPr>
                <w:rFonts w:hint="eastAsia" w:ascii="宋体" w:hAnsi="宋体" w:cs="宋体"/>
                <w:szCs w:val="21"/>
                <w:highlight w:val="none"/>
              </w:rPr>
            </w:pPr>
            <w:r>
              <w:rPr>
                <w:rFonts w:hint="eastAsia" w:ascii="宋体" w:hAnsi="宋体" w:cs="宋体"/>
                <w:szCs w:val="21"/>
                <w:highlight w:val="none"/>
              </w:rPr>
              <w:t>针对上门服务过程中可能遇到的突发事件（如老人跌倒、噎食、突发疾病、自然灾害、突发公共卫生事件等情况）制定应急预案，针对异常情况的处理方案，根据方案是否有效、是否有针对性进行评定：</w:t>
            </w:r>
          </w:p>
          <w:p w14:paraId="19F9ACDA">
            <w:pPr>
              <w:spacing w:line="360" w:lineRule="exact"/>
              <w:rPr>
                <w:rFonts w:hint="eastAsia" w:ascii="宋体" w:hAnsi="宋体" w:cs="宋体"/>
                <w:szCs w:val="21"/>
                <w:highlight w:val="none"/>
              </w:rPr>
            </w:pPr>
            <w:r>
              <w:rPr>
                <w:rFonts w:hint="eastAsia" w:ascii="宋体" w:hAnsi="宋体" w:cs="宋体"/>
                <w:szCs w:val="21"/>
                <w:highlight w:val="none"/>
              </w:rPr>
              <w:t>方案科学有效，针对性强的得4分；</w:t>
            </w:r>
          </w:p>
          <w:p w14:paraId="72EFAA7C">
            <w:pPr>
              <w:spacing w:line="360" w:lineRule="exact"/>
              <w:rPr>
                <w:rFonts w:hint="eastAsia" w:ascii="宋体" w:hAnsi="宋体" w:cs="宋体"/>
                <w:szCs w:val="21"/>
                <w:highlight w:val="none"/>
              </w:rPr>
            </w:pPr>
            <w:r>
              <w:rPr>
                <w:rFonts w:hint="eastAsia" w:ascii="宋体" w:hAnsi="宋体" w:cs="宋体"/>
                <w:szCs w:val="21"/>
                <w:highlight w:val="none"/>
              </w:rPr>
              <w:t>方案较科学有效，比较有针对性的得3分；</w:t>
            </w:r>
          </w:p>
          <w:p w14:paraId="22669F17">
            <w:pPr>
              <w:spacing w:line="360" w:lineRule="exact"/>
              <w:rPr>
                <w:rFonts w:hint="eastAsia" w:ascii="宋体" w:hAnsi="宋体" w:cs="宋体"/>
                <w:szCs w:val="21"/>
                <w:highlight w:val="none"/>
              </w:rPr>
            </w:pPr>
            <w:r>
              <w:rPr>
                <w:rFonts w:hint="eastAsia" w:ascii="宋体" w:hAnsi="宋体" w:cs="宋体"/>
                <w:szCs w:val="21"/>
                <w:highlight w:val="none"/>
              </w:rPr>
              <w:t>方案科学有效性、针对性一般的得2分；</w:t>
            </w:r>
          </w:p>
          <w:p w14:paraId="51DDB8FC">
            <w:pPr>
              <w:spacing w:line="360" w:lineRule="exact"/>
              <w:rPr>
                <w:rFonts w:hint="eastAsia" w:ascii="宋体" w:hAnsi="宋体" w:cs="宋体"/>
                <w:szCs w:val="21"/>
                <w:highlight w:val="none"/>
              </w:rPr>
            </w:pPr>
            <w:r>
              <w:rPr>
                <w:rFonts w:hint="eastAsia" w:ascii="宋体" w:hAnsi="宋体" w:cs="宋体"/>
                <w:szCs w:val="21"/>
                <w:highlight w:val="none"/>
              </w:rPr>
              <w:t>方案不够科学，针对性较差的得1分；</w:t>
            </w:r>
          </w:p>
          <w:p w14:paraId="0F01C4AA">
            <w:pPr>
              <w:spacing w:line="360" w:lineRule="exact"/>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未提及此项不得分。</w:t>
            </w:r>
          </w:p>
        </w:tc>
        <w:tc>
          <w:tcPr>
            <w:tcW w:w="740" w:type="dxa"/>
            <w:shd w:val="clear" w:color="auto" w:fill="auto"/>
            <w:noWrap w:val="0"/>
            <w:vAlign w:val="center"/>
          </w:tcPr>
          <w:p w14:paraId="5411D256">
            <w:pPr>
              <w:widowControl/>
              <w:spacing w:line="360" w:lineRule="exact"/>
              <w:jc w:val="center"/>
              <w:rPr>
                <w:rFonts w:hint="default" w:ascii="宋体" w:hAnsi="宋体" w:eastAsia="宋体" w:cs="宋体"/>
                <w:kern w:val="0"/>
                <w:sz w:val="21"/>
                <w:szCs w:val="21"/>
                <w:highlight w:val="none"/>
                <w:lang w:val="en-US" w:eastAsia="zh-CN" w:bidi="ar-SA"/>
              </w:rPr>
            </w:pPr>
            <w:r>
              <w:rPr>
                <w:rFonts w:hint="eastAsia" w:ascii="宋体" w:hAnsi="宋体" w:cs="宋体"/>
                <w:kern w:val="0"/>
                <w:szCs w:val="21"/>
                <w:highlight w:val="none"/>
              </w:rPr>
              <w:t>4</w:t>
            </w:r>
          </w:p>
        </w:tc>
      </w:tr>
      <w:tr w14:paraId="129AF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06" w:type="dxa"/>
            <w:vMerge w:val="continue"/>
            <w:noWrap w:val="0"/>
            <w:vAlign w:val="center"/>
          </w:tcPr>
          <w:p w14:paraId="68C1157D">
            <w:pPr>
              <w:pStyle w:val="24"/>
              <w:keepNext w:val="0"/>
              <w:keepLines w:val="0"/>
              <w:pageBreakBefore w:val="0"/>
              <w:kinsoku/>
              <w:wordWrap/>
              <w:overflowPunct/>
              <w:topLinePunct w:val="0"/>
              <w:bidi w:val="0"/>
              <w:spacing w:after="0" w:line="360" w:lineRule="exact"/>
              <w:ind w:firstLine="0" w:firstLineChars="0"/>
              <w:jc w:val="center"/>
              <w:rPr>
                <w:rFonts w:hint="eastAsia" w:ascii="宋体" w:hAnsi="宋体" w:cs="宋体"/>
                <w:sz w:val="21"/>
                <w:szCs w:val="21"/>
                <w:highlight w:val="none"/>
              </w:rPr>
            </w:pPr>
          </w:p>
        </w:tc>
        <w:tc>
          <w:tcPr>
            <w:tcW w:w="1041" w:type="dxa"/>
            <w:shd w:val="clear" w:color="auto" w:fill="auto"/>
            <w:noWrap w:val="0"/>
            <w:vAlign w:val="center"/>
          </w:tcPr>
          <w:p w14:paraId="5D519246">
            <w:pPr>
              <w:adjustRightInd w:val="0"/>
              <w:snapToGrid w:val="0"/>
              <w:spacing w:line="36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管理制度</w:t>
            </w:r>
          </w:p>
        </w:tc>
        <w:tc>
          <w:tcPr>
            <w:tcW w:w="6718" w:type="dxa"/>
            <w:shd w:val="clear" w:color="auto" w:fill="auto"/>
            <w:noWrap w:val="0"/>
            <w:vAlign w:val="center"/>
          </w:tcPr>
          <w:p w14:paraId="1B5BFD03">
            <w:pPr>
              <w:spacing w:line="360" w:lineRule="exact"/>
              <w:rPr>
                <w:rFonts w:hint="eastAsia" w:ascii="宋体" w:hAnsi="宋体" w:cs="宋体"/>
                <w:szCs w:val="21"/>
                <w:highlight w:val="none"/>
              </w:rPr>
            </w:pPr>
            <w:r>
              <w:rPr>
                <w:rFonts w:hint="eastAsia" w:ascii="宋体" w:hAnsi="宋体" w:cs="宋体"/>
                <w:szCs w:val="21"/>
                <w:highlight w:val="none"/>
              </w:rPr>
              <w:t>根据供应商提供的各项管理制度（包括但不限于供应商人员管理、考核、激励制度；机构安全、运营和财务等规章制度；服务质量内部管理制度和内部检查及监督机制；服务对象档案管理制度（比如提供针对本项目的基本档案目录、相关常规性表格样表等，如健康档案、签到表、服务记录表、实物领用清单、项目决算表、小结总结、满意度调查等））进行评定：</w:t>
            </w:r>
          </w:p>
          <w:p w14:paraId="50587029">
            <w:pPr>
              <w:spacing w:line="360" w:lineRule="exact"/>
              <w:rPr>
                <w:rFonts w:hint="eastAsia" w:ascii="宋体" w:hAnsi="宋体" w:cs="宋体"/>
                <w:szCs w:val="21"/>
                <w:highlight w:val="none"/>
              </w:rPr>
            </w:pPr>
            <w:r>
              <w:rPr>
                <w:rFonts w:hint="eastAsia" w:ascii="宋体" w:hAnsi="宋体" w:cs="宋体"/>
                <w:szCs w:val="21"/>
                <w:highlight w:val="none"/>
              </w:rPr>
              <w:t>制度全面完善、科学合理的得4分；</w:t>
            </w:r>
          </w:p>
          <w:p w14:paraId="6B82AF72">
            <w:pPr>
              <w:spacing w:line="360" w:lineRule="exact"/>
              <w:rPr>
                <w:rFonts w:hint="eastAsia" w:ascii="宋体" w:hAnsi="宋体" w:cs="宋体"/>
                <w:szCs w:val="21"/>
                <w:highlight w:val="none"/>
              </w:rPr>
            </w:pPr>
            <w:r>
              <w:rPr>
                <w:rFonts w:hint="eastAsia" w:ascii="宋体" w:hAnsi="宋体" w:cs="宋体"/>
                <w:szCs w:val="21"/>
                <w:highlight w:val="none"/>
              </w:rPr>
              <w:t>制度较全面完善、科学合理的得3分；</w:t>
            </w:r>
          </w:p>
          <w:p w14:paraId="113BBECF">
            <w:pPr>
              <w:spacing w:line="360" w:lineRule="exact"/>
              <w:rPr>
                <w:rFonts w:hint="eastAsia" w:ascii="宋体" w:hAnsi="宋体" w:cs="宋体"/>
                <w:szCs w:val="21"/>
                <w:highlight w:val="none"/>
              </w:rPr>
            </w:pPr>
            <w:r>
              <w:rPr>
                <w:rFonts w:hint="eastAsia" w:ascii="宋体" w:hAnsi="宋体" w:cs="宋体"/>
                <w:szCs w:val="21"/>
                <w:highlight w:val="none"/>
              </w:rPr>
              <w:t>制度基本完善、科学合理性一般的得2分；</w:t>
            </w:r>
          </w:p>
          <w:p w14:paraId="246B4115">
            <w:pPr>
              <w:spacing w:line="360" w:lineRule="exact"/>
              <w:rPr>
                <w:rFonts w:hint="eastAsia" w:ascii="宋体" w:hAnsi="宋体" w:cs="宋体"/>
                <w:szCs w:val="21"/>
                <w:highlight w:val="none"/>
              </w:rPr>
            </w:pPr>
            <w:r>
              <w:rPr>
                <w:rFonts w:hint="eastAsia" w:ascii="宋体" w:hAnsi="宋体" w:cs="宋体"/>
                <w:szCs w:val="21"/>
                <w:highlight w:val="none"/>
              </w:rPr>
              <w:t>制度不够全面、合理的得1分；</w:t>
            </w:r>
          </w:p>
          <w:p w14:paraId="03E99816">
            <w:pPr>
              <w:spacing w:line="360" w:lineRule="exact"/>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未提及此项不得分。</w:t>
            </w:r>
          </w:p>
        </w:tc>
        <w:tc>
          <w:tcPr>
            <w:tcW w:w="740" w:type="dxa"/>
            <w:shd w:val="clear" w:color="auto" w:fill="auto"/>
            <w:noWrap w:val="0"/>
            <w:vAlign w:val="center"/>
          </w:tcPr>
          <w:p w14:paraId="698A08DA">
            <w:pPr>
              <w:widowControl/>
              <w:spacing w:line="360" w:lineRule="exact"/>
              <w:jc w:val="center"/>
              <w:rPr>
                <w:rFonts w:hint="default" w:ascii="宋体" w:hAnsi="宋体" w:eastAsia="宋体" w:cs="宋体"/>
                <w:kern w:val="0"/>
                <w:sz w:val="21"/>
                <w:szCs w:val="21"/>
                <w:highlight w:val="none"/>
                <w:lang w:val="en-US" w:eastAsia="zh-CN" w:bidi="ar-SA"/>
              </w:rPr>
            </w:pPr>
            <w:r>
              <w:rPr>
                <w:rFonts w:hint="eastAsia" w:ascii="宋体" w:hAnsi="宋体" w:cs="宋体"/>
                <w:kern w:val="0"/>
                <w:szCs w:val="21"/>
                <w:highlight w:val="none"/>
              </w:rPr>
              <w:t>4</w:t>
            </w:r>
          </w:p>
        </w:tc>
      </w:tr>
      <w:tr w14:paraId="3FF1F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06" w:type="dxa"/>
            <w:vMerge w:val="continue"/>
            <w:noWrap w:val="0"/>
            <w:vAlign w:val="center"/>
          </w:tcPr>
          <w:p w14:paraId="7765DC53">
            <w:pPr>
              <w:pStyle w:val="24"/>
              <w:keepNext w:val="0"/>
              <w:keepLines w:val="0"/>
              <w:pageBreakBefore w:val="0"/>
              <w:kinsoku/>
              <w:wordWrap/>
              <w:overflowPunct/>
              <w:topLinePunct w:val="0"/>
              <w:bidi w:val="0"/>
              <w:spacing w:after="0" w:line="360" w:lineRule="exact"/>
              <w:ind w:firstLine="0" w:firstLineChars="0"/>
              <w:jc w:val="center"/>
              <w:rPr>
                <w:rFonts w:hint="eastAsia" w:ascii="宋体" w:hAnsi="宋体" w:cs="宋体"/>
                <w:sz w:val="21"/>
                <w:szCs w:val="21"/>
                <w:highlight w:val="none"/>
              </w:rPr>
            </w:pPr>
          </w:p>
        </w:tc>
        <w:tc>
          <w:tcPr>
            <w:tcW w:w="1041" w:type="dxa"/>
            <w:shd w:val="clear" w:color="auto" w:fill="auto"/>
            <w:noWrap w:val="0"/>
            <w:vAlign w:val="center"/>
          </w:tcPr>
          <w:p w14:paraId="1CB454FF">
            <w:pPr>
              <w:adjustRightInd w:val="0"/>
              <w:snapToGrid w:val="0"/>
              <w:spacing w:line="36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技术支撑</w:t>
            </w:r>
          </w:p>
        </w:tc>
        <w:tc>
          <w:tcPr>
            <w:tcW w:w="6718" w:type="dxa"/>
            <w:shd w:val="clear" w:color="auto" w:fill="auto"/>
            <w:noWrap w:val="0"/>
            <w:vAlign w:val="center"/>
          </w:tcPr>
          <w:p w14:paraId="34292C7A">
            <w:pPr>
              <w:spacing w:line="360" w:lineRule="exact"/>
              <w:rPr>
                <w:rFonts w:hint="eastAsia" w:ascii="宋体" w:hAnsi="宋体" w:cs="宋体"/>
                <w:szCs w:val="21"/>
                <w:highlight w:val="none"/>
              </w:rPr>
            </w:pPr>
            <w:r>
              <w:rPr>
                <w:rFonts w:hint="eastAsia" w:ascii="宋体" w:hAnsi="宋体" w:cs="宋体"/>
                <w:szCs w:val="21"/>
                <w:highlight w:val="none"/>
              </w:rPr>
              <w:t>供应商是否具有自主运营平台含线上线下协调服务和老人数据驾驶舱等，专业管理工具、服务平台及APP等技术支撑：</w:t>
            </w:r>
          </w:p>
          <w:p w14:paraId="27B84663">
            <w:pPr>
              <w:spacing w:line="360" w:lineRule="exact"/>
              <w:rPr>
                <w:rFonts w:hint="eastAsia" w:ascii="宋体" w:hAnsi="宋体" w:cs="宋体"/>
                <w:szCs w:val="21"/>
                <w:highlight w:val="none"/>
              </w:rPr>
            </w:pPr>
            <w:r>
              <w:rPr>
                <w:rFonts w:hint="eastAsia" w:ascii="宋体" w:hAnsi="宋体" w:cs="宋体"/>
                <w:szCs w:val="21"/>
                <w:highlight w:val="none"/>
              </w:rPr>
              <w:t>具有技术支撑，能力强、配备齐全的得</w:t>
            </w:r>
            <w:r>
              <w:rPr>
                <w:rFonts w:hint="eastAsia" w:ascii="宋体" w:hAnsi="宋体" w:cs="宋体"/>
                <w:szCs w:val="21"/>
                <w:highlight w:val="none"/>
                <w:lang w:val="en-US" w:eastAsia="zh-CN"/>
              </w:rPr>
              <w:t>5</w:t>
            </w:r>
            <w:r>
              <w:rPr>
                <w:rFonts w:hint="eastAsia" w:ascii="宋体" w:hAnsi="宋体" w:cs="宋体"/>
                <w:szCs w:val="21"/>
                <w:highlight w:val="none"/>
              </w:rPr>
              <w:t>分；</w:t>
            </w:r>
          </w:p>
          <w:p w14:paraId="57F852BE">
            <w:pPr>
              <w:spacing w:line="360" w:lineRule="exact"/>
              <w:rPr>
                <w:rFonts w:hint="eastAsia" w:ascii="宋体" w:hAnsi="宋体" w:cs="宋体"/>
                <w:szCs w:val="21"/>
                <w:highlight w:val="none"/>
              </w:rPr>
            </w:pPr>
            <w:r>
              <w:rPr>
                <w:rFonts w:hint="eastAsia" w:ascii="宋体" w:hAnsi="宋体" w:cs="宋体"/>
                <w:szCs w:val="21"/>
                <w:highlight w:val="none"/>
              </w:rPr>
              <w:t>技术支撑性较强，能力较强、配备较齐全的得</w:t>
            </w:r>
            <w:r>
              <w:rPr>
                <w:rFonts w:hint="eastAsia" w:ascii="宋体" w:hAnsi="宋体" w:cs="宋体"/>
                <w:szCs w:val="21"/>
                <w:highlight w:val="none"/>
                <w:lang w:val="en-US" w:eastAsia="zh-CN"/>
              </w:rPr>
              <w:t>4</w:t>
            </w:r>
            <w:r>
              <w:rPr>
                <w:rFonts w:hint="eastAsia" w:ascii="宋体" w:hAnsi="宋体" w:cs="宋体"/>
                <w:szCs w:val="21"/>
                <w:highlight w:val="none"/>
              </w:rPr>
              <w:t>分；</w:t>
            </w:r>
          </w:p>
          <w:p w14:paraId="2D4F32EF">
            <w:pPr>
              <w:spacing w:line="360" w:lineRule="exact"/>
              <w:rPr>
                <w:rFonts w:hint="eastAsia" w:ascii="宋体" w:hAnsi="宋体" w:cs="宋体"/>
                <w:szCs w:val="21"/>
                <w:highlight w:val="none"/>
              </w:rPr>
            </w:pPr>
            <w:r>
              <w:rPr>
                <w:rFonts w:hint="eastAsia" w:ascii="宋体" w:hAnsi="宋体" w:cs="宋体"/>
                <w:szCs w:val="21"/>
                <w:highlight w:val="none"/>
              </w:rPr>
              <w:t>技术支撑性一般，能力一般、配备基本齐全的得</w:t>
            </w:r>
            <w:r>
              <w:rPr>
                <w:rFonts w:hint="eastAsia" w:ascii="宋体" w:hAnsi="宋体" w:cs="宋体"/>
                <w:szCs w:val="21"/>
                <w:highlight w:val="none"/>
                <w:lang w:val="en-US" w:eastAsia="zh-CN"/>
              </w:rPr>
              <w:t>3</w:t>
            </w:r>
            <w:r>
              <w:rPr>
                <w:rFonts w:hint="eastAsia" w:ascii="宋体" w:hAnsi="宋体" w:cs="宋体"/>
                <w:szCs w:val="21"/>
                <w:highlight w:val="none"/>
              </w:rPr>
              <w:t>分；</w:t>
            </w:r>
          </w:p>
          <w:p w14:paraId="09B8FB86">
            <w:pPr>
              <w:spacing w:line="360" w:lineRule="exact"/>
              <w:rPr>
                <w:rFonts w:hint="eastAsia" w:ascii="宋体" w:hAnsi="宋体" w:cs="宋体"/>
                <w:szCs w:val="21"/>
                <w:highlight w:val="none"/>
              </w:rPr>
            </w:pPr>
            <w:r>
              <w:rPr>
                <w:rFonts w:hint="eastAsia" w:ascii="宋体" w:hAnsi="宋体" w:cs="宋体"/>
                <w:szCs w:val="21"/>
                <w:highlight w:val="none"/>
              </w:rPr>
              <w:t>配备不齐全、能力差，缺乏技术支撑的得</w:t>
            </w:r>
            <w:r>
              <w:rPr>
                <w:rFonts w:hint="eastAsia" w:ascii="宋体" w:hAnsi="宋体" w:cs="宋体"/>
                <w:szCs w:val="21"/>
                <w:highlight w:val="none"/>
                <w:lang w:val="en-US" w:eastAsia="zh-CN"/>
              </w:rPr>
              <w:t>2</w:t>
            </w:r>
            <w:r>
              <w:rPr>
                <w:rFonts w:hint="eastAsia" w:ascii="宋体" w:hAnsi="宋体" w:cs="宋体"/>
                <w:szCs w:val="21"/>
                <w:highlight w:val="none"/>
              </w:rPr>
              <w:t>分；</w:t>
            </w:r>
          </w:p>
          <w:p w14:paraId="70EF2638">
            <w:pPr>
              <w:spacing w:line="360" w:lineRule="exact"/>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未提及此项不得分。</w:t>
            </w:r>
          </w:p>
        </w:tc>
        <w:tc>
          <w:tcPr>
            <w:tcW w:w="740" w:type="dxa"/>
            <w:shd w:val="clear" w:color="auto" w:fill="auto"/>
            <w:noWrap w:val="0"/>
            <w:vAlign w:val="center"/>
          </w:tcPr>
          <w:p w14:paraId="07C0B510">
            <w:pPr>
              <w:widowControl/>
              <w:spacing w:line="360" w:lineRule="exact"/>
              <w:jc w:val="center"/>
              <w:rPr>
                <w:rFonts w:hint="eastAsia" w:ascii="宋体" w:hAnsi="宋体" w:eastAsia="宋体" w:cs="宋体"/>
                <w:kern w:val="0"/>
                <w:sz w:val="21"/>
                <w:szCs w:val="21"/>
                <w:highlight w:val="none"/>
                <w:lang w:val="en-US" w:eastAsia="zh-CN" w:bidi="ar-SA"/>
              </w:rPr>
            </w:pPr>
            <w:r>
              <w:rPr>
                <w:rFonts w:hint="eastAsia" w:ascii="宋体" w:hAnsi="宋体" w:cs="宋体"/>
                <w:kern w:val="0"/>
                <w:szCs w:val="21"/>
                <w:highlight w:val="none"/>
                <w:lang w:val="en-US" w:eastAsia="zh-CN"/>
              </w:rPr>
              <w:t>5</w:t>
            </w:r>
          </w:p>
        </w:tc>
      </w:tr>
      <w:tr w14:paraId="6CF79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06" w:type="dxa"/>
            <w:vMerge w:val="continue"/>
            <w:noWrap w:val="0"/>
            <w:vAlign w:val="center"/>
          </w:tcPr>
          <w:p w14:paraId="77B0653B">
            <w:pPr>
              <w:pStyle w:val="24"/>
              <w:keepNext w:val="0"/>
              <w:keepLines w:val="0"/>
              <w:pageBreakBefore w:val="0"/>
              <w:kinsoku/>
              <w:wordWrap/>
              <w:overflowPunct/>
              <w:topLinePunct w:val="0"/>
              <w:bidi w:val="0"/>
              <w:spacing w:after="0" w:line="360" w:lineRule="exact"/>
              <w:ind w:firstLine="0" w:firstLineChars="0"/>
              <w:jc w:val="center"/>
              <w:rPr>
                <w:rFonts w:hint="eastAsia" w:ascii="宋体" w:hAnsi="宋体" w:cs="宋体"/>
                <w:sz w:val="21"/>
                <w:szCs w:val="21"/>
                <w:highlight w:val="none"/>
              </w:rPr>
            </w:pPr>
          </w:p>
        </w:tc>
        <w:tc>
          <w:tcPr>
            <w:tcW w:w="1041" w:type="dxa"/>
            <w:shd w:val="clear" w:color="auto" w:fill="auto"/>
            <w:noWrap w:val="0"/>
            <w:vAlign w:val="center"/>
          </w:tcPr>
          <w:p w14:paraId="3F5C9CEB">
            <w:pPr>
              <w:adjustRightInd w:val="0"/>
              <w:snapToGrid w:val="0"/>
              <w:spacing w:line="36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培训计划</w:t>
            </w:r>
          </w:p>
        </w:tc>
        <w:tc>
          <w:tcPr>
            <w:tcW w:w="6718" w:type="dxa"/>
            <w:shd w:val="clear" w:color="auto" w:fill="auto"/>
            <w:noWrap w:val="0"/>
            <w:vAlign w:val="center"/>
          </w:tcPr>
          <w:p w14:paraId="4645469C">
            <w:pPr>
              <w:spacing w:line="360" w:lineRule="exact"/>
              <w:rPr>
                <w:rFonts w:hint="eastAsia" w:ascii="宋体" w:hAnsi="宋体" w:cs="宋体"/>
                <w:szCs w:val="21"/>
                <w:highlight w:val="none"/>
                <w:lang w:val="zh-CN"/>
              </w:rPr>
            </w:pPr>
            <w:r>
              <w:rPr>
                <w:rFonts w:hint="eastAsia" w:ascii="宋体" w:hAnsi="宋体" w:cs="宋体"/>
                <w:szCs w:val="21"/>
                <w:highlight w:val="none"/>
                <w:lang w:val="zh-CN"/>
              </w:rPr>
              <w:t>供应商针对本项目的人员</w:t>
            </w:r>
            <w:r>
              <w:rPr>
                <w:rFonts w:hint="eastAsia" w:ascii="宋体" w:hAnsi="宋体" w:cs="宋体"/>
                <w:szCs w:val="21"/>
                <w:highlight w:val="none"/>
              </w:rPr>
              <w:t>上岗前</w:t>
            </w:r>
            <w:r>
              <w:rPr>
                <w:rFonts w:hint="eastAsia" w:ascii="宋体" w:hAnsi="宋体" w:cs="宋体"/>
                <w:szCs w:val="21"/>
                <w:highlight w:val="none"/>
                <w:lang w:val="zh-CN"/>
              </w:rPr>
              <w:t>培训计划、培训内容、培训目标，由评委进行</w:t>
            </w:r>
            <w:r>
              <w:rPr>
                <w:rFonts w:hint="eastAsia" w:ascii="宋体" w:hAnsi="宋体" w:cs="宋体"/>
                <w:szCs w:val="21"/>
                <w:highlight w:val="none"/>
              </w:rPr>
              <w:t>评定：</w:t>
            </w:r>
          </w:p>
          <w:p w14:paraId="314CBFCA">
            <w:pPr>
              <w:spacing w:line="360" w:lineRule="exact"/>
              <w:rPr>
                <w:rFonts w:hint="eastAsia" w:ascii="宋体" w:hAnsi="宋体" w:cs="宋体"/>
                <w:szCs w:val="21"/>
                <w:highlight w:val="none"/>
              </w:rPr>
            </w:pPr>
            <w:r>
              <w:rPr>
                <w:rFonts w:hint="eastAsia" w:ascii="宋体" w:hAnsi="宋体" w:cs="宋体"/>
                <w:szCs w:val="21"/>
                <w:highlight w:val="none"/>
                <w:lang w:val="zh-CN"/>
              </w:rPr>
              <w:t>培训计划设置合理针对性</w:t>
            </w:r>
            <w:r>
              <w:rPr>
                <w:rFonts w:hint="eastAsia" w:ascii="宋体" w:hAnsi="宋体" w:cs="宋体"/>
                <w:szCs w:val="21"/>
                <w:highlight w:val="none"/>
              </w:rPr>
              <w:t>较强的</w:t>
            </w:r>
            <w:r>
              <w:rPr>
                <w:rFonts w:hint="eastAsia" w:ascii="宋体" w:hAnsi="宋体" w:cs="宋体"/>
                <w:szCs w:val="21"/>
                <w:highlight w:val="none"/>
                <w:lang w:val="zh-CN"/>
              </w:rPr>
              <w:t>得</w:t>
            </w:r>
            <w:r>
              <w:rPr>
                <w:rFonts w:hint="eastAsia" w:ascii="宋体" w:hAnsi="宋体" w:cs="宋体"/>
                <w:szCs w:val="21"/>
                <w:highlight w:val="none"/>
              </w:rPr>
              <w:t>4分；</w:t>
            </w:r>
          </w:p>
          <w:p w14:paraId="2C2DC866">
            <w:pPr>
              <w:spacing w:line="360" w:lineRule="exact"/>
              <w:rPr>
                <w:rFonts w:hint="eastAsia" w:ascii="宋体" w:hAnsi="宋体" w:cs="宋体"/>
                <w:szCs w:val="21"/>
                <w:highlight w:val="none"/>
              </w:rPr>
            </w:pPr>
            <w:r>
              <w:rPr>
                <w:rFonts w:hint="eastAsia" w:ascii="宋体" w:hAnsi="宋体" w:cs="宋体"/>
                <w:szCs w:val="21"/>
                <w:highlight w:val="none"/>
                <w:lang w:val="zh-CN"/>
              </w:rPr>
              <w:t>培训计划设置合理</w:t>
            </w:r>
            <w:r>
              <w:rPr>
                <w:rFonts w:hint="eastAsia" w:ascii="宋体" w:hAnsi="宋体" w:cs="宋体"/>
                <w:szCs w:val="21"/>
                <w:highlight w:val="none"/>
              </w:rPr>
              <w:t>比较有</w:t>
            </w:r>
            <w:r>
              <w:rPr>
                <w:rFonts w:hint="eastAsia" w:ascii="宋体" w:hAnsi="宋体" w:cs="宋体"/>
                <w:szCs w:val="21"/>
                <w:highlight w:val="none"/>
                <w:lang w:val="zh-CN"/>
              </w:rPr>
              <w:t>针对性</w:t>
            </w:r>
            <w:r>
              <w:rPr>
                <w:rFonts w:hint="eastAsia" w:ascii="宋体" w:hAnsi="宋体" w:cs="宋体"/>
                <w:szCs w:val="21"/>
                <w:highlight w:val="none"/>
              </w:rPr>
              <w:t>的</w:t>
            </w:r>
            <w:r>
              <w:rPr>
                <w:rFonts w:hint="eastAsia" w:ascii="宋体" w:hAnsi="宋体" w:cs="宋体"/>
                <w:szCs w:val="21"/>
                <w:highlight w:val="none"/>
                <w:lang w:val="zh-CN"/>
              </w:rPr>
              <w:t>得</w:t>
            </w:r>
            <w:r>
              <w:rPr>
                <w:rFonts w:hint="eastAsia" w:ascii="宋体" w:hAnsi="宋体" w:cs="宋体"/>
                <w:szCs w:val="21"/>
                <w:highlight w:val="none"/>
              </w:rPr>
              <w:t>3分；</w:t>
            </w:r>
          </w:p>
          <w:p w14:paraId="1481D7FF">
            <w:pPr>
              <w:spacing w:line="360" w:lineRule="exact"/>
              <w:rPr>
                <w:rFonts w:hint="eastAsia" w:ascii="宋体" w:hAnsi="宋体" w:cs="宋体"/>
                <w:szCs w:val="21"/>
                <w:highlight w:val="none"/>
              </w:rPr>
            </w:pPr>
            <w:r>
              <w:rPr>
                <w:rFonts w:hint="eastAsia" w:ascii="宋体" w:hAnsi="宋体" w:cs="宋体"/>
                <w:szCs w:val="21"/>
                <w:highlight w:val="none"/>
              </w:rPr>
              <w:t>培训计划设置基本可满足项目需求，针对性一般的</w:t>
            </w:r>
            <w:r>
              <w:rPr>
                <w:rFonts w:hint="eastAsia" w:ascii="宋体" w:hAnsi="宋体" w:cs="宋体"/>
                <w:szCs w:val="21"/>
                <w:highlight w:val="none"/>
                <w:lang w:val="zh-CN"/>
              </w:rPr>
              <w:t>得</w:t>
            </w:r>
            <w:r>
              <w:rPr>
                <w:rFonts w:hint="eastAsia" w:ascii="宋体" w:hAnsi="宋体" w:cs="宋体"/>
                <w:szCs w:val="21"/>
                <w:highlight w:val="none"/>
              </w:rPr>
              <w:t>2分；</w:t>
            </w:r>
          </w:p>
          <w:p w14:paraId="4CAA2898">
            <w:pPr>
              <w:spacing w:line="360" w:lineRule="exact"/>
              <w:rPr>
                <w:rFonts w:hint="eastAsia" w:ascii="宋体" w:hAnsi="宋体" w:cs="宋体"/>
                <w:szCs w:val="21"/>
                <w:highlight w:val="none"/>
              </w:rPr>
            </w:pPr>
            <w:r>
              <w:rPr>
                <w:rFonts w:hint="eastAsia" w:ascii="宋体" w:hAnsi="宋体" w:cs="宋体"/>
                <w:szCs w:val="21"/>
                <w:highlight w:val="none"/>
              </w:rPr>
              <w:t>培训计划较难满足项目需求得1分；</w:t>
            </w:r>
          </w:p>
          <w:p w14:paraId="78E6F866">
            <w:pPr>
              <w:spacing w:line="360" w:lineRule="exact"/>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未提及此项不得分。</w:t>
            </w:r>
          </w:p>
        </w:tc>
        <w:tc>
          <w:tcPr>
            <w:tcW w:w="740" w:type="dxa"/>
            <w:shd w:val="clear" w:color="auto" w:fill="auto"/>
            <w:noWrap w:val="0"/>
            <w:vAlign w:val="center"/>
          </w:tcPr>
          <w:p w14:paraId="65336550">
            <w:pPr>
              <w:widowControl/>
              <w:spacing w:line="360" w:lineRule="exact"/>
              <w:jc w:val="center"/>
              <w:rPr>
                <w:rFonts w:hint="default" w:ascii="宋体" w:hAnsi="宋体" w:eastAsia="宋体" w:cs="宋体"/>
                <w:kern w:val="0"/>
                <w:sz w:val="21"/>
                <w:szCs w:val="21"/>
                <w:highlight w:val="none"/>
                <w:lang w:val="en-US" w:eastAsia="zh-CN" w:bidi="ar-SA"/>
              </w:rPr>
            </w:pPr>
            <w:r>
              <w:rPr>
                <w:rFonts w:hint="eastAsia" w:ascii="宋体" w:hAnsi="宋体" w:cs="宋体"/>
                <w:kern w:val="0"/>
                <w:szCs w:val="21"/>
                <w:highlight w:val="none"/>
              </w:rPr>
              <w:t>4</w:t>
            </w:r>
          </w:p>
        </w:tc>
      </w:tr>
      <w:tr w14:paraId="64847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06" w:type="dxa"/>
            <w:vMerge w:val="continue"/>
            <w:noWrap w:val="0"/>
            <w:vAlign w:val="center"/>
          </w:tcPr>
          <w:p w14:paraId="5AE02FE5">
            <w:pPr>
              <w:pStyle w:val="24"/>
              <w:keepNext w:val="0"/>
              <w:keepLines w:val="0"/>
              <w:pageBreakBefore w:val="0"/>
              <w:kinsoku/>
              <w:wordWrap/>
              <w:overflowPunct/>
              <w:topLinePunct w:val="0"/>
              <w:bidi w:val="0"/>
              <w:spacing w:after="0" w:line="360" w:lineRule="exact"/>
              <w:ind w:firstLine="0" w:firstLineChars="0"/>
              <w:jc w:val="center"/>
              <w:rPr>
                <w:rFonts w:hint="eastAsia" w:ascii="宋体" w:hAnsi="宋体" w:cs="宋体"/>
                <w:sz w:val="21"/>
                <w:szCs w:val="21"/>
                <w:highlight w:val="none"/>
              </w:rPr>
            </w:pPr>
          </w:p>
        </w:tc>
        <w:tc>
          <w:tcPr>
            <w:tcW w:w="1041" w:type="dxa"/>
            <w:shd w:val="clear" w:color="auto" w:fill="auto"/>
            <w:noWrap w:val="0"/>
            <w:vAlign w:val="center"/>
          </w:tcPr>
          <w:p w14:paraId="5D354BA2">
            <w:pPr>
              <w:widowControl/>
              <w:spacing w:line="360" w:lineRule="exact"/>
              <w:jc w:val="center"/>
              <w:rPr>
                <w:rFonts w:hint="eastAsia" w:ascii="宋体" w:hAnsi="宋体" w:eastAsia="宋体" w:cs="宋体"/>
                <w:kern w:val="0"/>
                <w:sz w:val="21"/>
                <w:szCs w:val="21"/>
                <w:highlight w:val="none"/>
                <w:lang w:val="en-US" w:eastAsia="zh-CN" w:bidi="ar-SA"/>
              </w:rPr>
            </w:pPr>
            <w:r>
              <w:rPr>
                <w:rFonts w:hint="eastAsia" w:ascii="宋体" w:hAnsi="宋体" w:cs="宋体"/>
                <w:kern w:val="0"/>
                <w:szCs w:val="21"/>
                <w:highlight w:val="none"/>
              </w:rPr>
              <w:t>专业优势</w:t>
            </w:r>
          </w:p>
        </w:tc>
        <w:tc>
          <w:tcPr>
            <w:tcW w:w="6718" w:type="dxa"/>
            <w:shd w:val="clear" w:color="auto" w:fill="auto"/>
            <w:noWrap w:val="0"/>
            <w:vAlign w:val="center"/>
          </w:tcPr>
          <w:p w14:paraId="54494DAD">
            <w:pPr>
              <w:keepNext w:val="0"/>
              <w:keepLines w:val="0"/>
              <w:pageBreakBefore w:val="0"/>
              <w:widowControl w:val="0"/>
              <w:kinsoku/>
              <w:wordWrap/>
              <w:overflowPunct/>
              <w:topLinePunct w:val="0"/>
              <w:bidi w:val="0"/>
              <w:adjustRightInd/>
              <w:snapToGrid/>
              <w:spacing w:line="240" w:lineRule="auto"/>
              <w:ind w:left="0" w:leftChars="0" w:right="0" w:rightChars="0"/>
              <w:jc w:val="left"/>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eastAsia="zh-CN"/>
              </w:rPr>
              <w:t>供应商</w:t>
            </w:r>
            <w:r>
              <w:rPr>
                <w:rFonts w:hint="eastAsia" w:ascii="宋体" w:hAnsi="宋体" w:eastAsia="宋体" w:cs="宋体"/>
                <w:sz w:val="21"/>
                <w:szCs w:val="21"/>
                <w:highlight w:val="none"/>
                <w:vertAlign w:val="baseline"/>
              </w:rPr>
              <w:t>在本项目涉及领域内的优势</w:t>
            </w:r>
            <w:r>
              <w:rPr>
                <w:rFonts w:hint="eastAsia" w:ascii="宋体" w:hAnsi="宋体" w:eastAsia="宋体" w:cs="宋体"/>
                <w:sz w:val="21"/>
                <w:szCs w:val="21"/>
                <w:highlight w:val="none"/>
                <w:vertAlign w:val="baseline"/>
                <w:lang w:eastAsia="zh-CN"/>
              </w:rPr>
              <w:t>（</w:t>
            </w:r>
            <w:r>
              <w:rPr>
                <w:rFonts w:hint="eastAsia" w:ascii="宋体" w:hAnsi="宋体" w:cs="宋体"/>
                <w:sz w:val="21"/>
                <w:szCs w:val="21"/>
                <w:highlight w:val="none"/>
                <w:vertAlign w:val="baseline"/>
                <w:lang w:val="en-US" w:eastAsia="zh-CN"/>
              </w:rPr>
              <w:t>包含但不限于</w:t>
            </w:r>
            <w:r>
              <w:rPr>
                <w:rFonts w:hint="eastAsia" w:ascii="宋体" w:hAnsi="宋体" w:eastAsia="宋体" w:cs="宋体"/>
                <w:sz w:val="21"/>
                <w:szCs w:val="21"/>
                <w:highlight w:val="none"/>
                <w:vertAlign w:val="baseline"/>
                <w:lang w:val="en-US" w:eastAsia="zh-CN"/>
              </w:rPr>
              <w:t>老年文化建设</w:t>
            </w:r>
            <w:r>
              <w:rPr>
                <w:rFonts w:hint="eastAsia" w:ascii="宋体" w:hAnsi="宋体" w:eastAsia="宋体" w:cs="宋体"/>
                <w:sz w:val="21"/>
                <w:szCs w:val="21"/>
                <w:highlight w:val="none"/>
                <w:vertAlign w:val="baseline"/>
              </w:rPr>
              <w:t>、医养结合经验</w:t>
            </w:r>
            <w:r>
              <w:rPr>
                <w:rFonts w:hint="eastAsia" w:ascii="宋体" w:hAnsi="宋体" w:cs="宋体"/>
                <w:sz w:val="21"/>
                <w:szCs w:val="21"/>
                <w:highlight w:val="none"/>
                <w:vertAlign w:val="baseline"/>
                <w:lang w:eastAsia="zh-CN"/>
              </w:rPr>
              <w:t>、</w:t>
            </w:r>
            <w:r>
              <w:rPr>
                <w:rFonts w:hint="eastAsia" w:ascii="宋体" w:hAnsi="宋体" w:cs="宋体"/>
                <w:sz w:val="21"/>
                <w:szCs w:val="21"/>
                <w:highlight w:val="none"/>
                <w:vertAlign w:val="baseline"/>
                <w:lang w:val="en-US" w:eastAsia="zh-CN"/>
              </w:rPr>
              <w:t>社会资源对接</w:t>
            </w:r>
            <w:r>
              <w:rPr>
                <w:rFonts w:hint="eastAsia" w:ascii="宋体" w:hAnsi="宋体" w:eastAsia="宋体" w:cs="宋体"/>
                <w:sz w:val="21"/>
                <w:szCs w:val="21"/>
                <w:highlight w:val="none"/>
                <w:vertAlign w:val="baseline"/>
              </w:rPr>
              <w:t>等</w:t>
            </w:r>
            <w:r>
              <w:rPr>
                <w:rFonts w:hint="eastAsia" w:ascii="宋体" w:hAnsi="宋体" w:eastAsia="宋体" w:cs="宋体"/>
                <w:sz w:val="21"/>
                <w:szCs w:val="21"/>
                <w:highlight w:val="none"/>
                <w:vertAlign w:val="baseline"/>
                <w:lang w:eastAsia="zh-CN"/>
              </w:rPr>
              <w:t>）</w:t>
            </w:r>
            <w:r>
              <w:rPr>
                <w:rFonts w:hint="eastAsia" w:ascii="宋体" w:hAnsi="宋体" w:eastAsia="宋体" w:cs="宋体"/>
                <w:sz w:val="21"/>
                <w:szCs w:val="21"/>
                <w:highlight w:val="none"/>
                <w:vertAlign w:val="baseline"/>
                <w:lang w:val="en-US" w:eastAsia="zh-CN"/>
              </w:rPr>
              <w:t>：</w:t>
            </w:r>
          </w:p>
          <w:p w14:paraId="783E2B99">
            <w:pPr>
              <w:keepNext w:val="0"/>
              <w:keepLines w:val="0"/>
              <w:pageBreakBefore w:val="0"/>
              <w:widowControl w:val="0"/>
              <w:kinsoku/>
              <w:wordWrap/>
              <w:overflowPunct/>
              <w:topLinePunct w:val="0"/>
              <w:bidi w:val="0"/>
              <w:adjustRightInd/>
              <w:snapToGrid/>
              <w:spacing w:line="240" w:lineRule="auto"/>
              <w:ind w:left="0" w:leftChars="0" w:right="0" w:right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内容描述详细、完善、合理的</w:t>
            </w:r>
            <w:r>
              <w:rPr>
                <w:rFonts w:hint="eastAsia" w:ascii="宋体" w:hAnsi="宋体" w:eastAsia="宋体" w:cs="宋体"/>
                <w:sz w:val="21"/>
                <w:szCs w:val="21"/>
                <w:highlight w:val="none"/>
                <w:vertAlign w:val="baseline"/>
                <w:lang w:val="en-US" w:eastAsia="zh-CN"/>
              </w:rPr>
              <w:t>得</w:t>
            </w:r>
            <w:r>
              <w:rPr>
                <w:rFonts w:hint="default" w:ascii="宋体" w:hAnsi="宋体" w:eastAsia="宋体" w:cs="宋体"/>
                <w:sz w:val="21"/>
                <w:szCs w:val="21"/>
                <w:highlight w:val="none"/>
                <w:vertAlign w:val="baseline"/>
                <w:lang w:val="en-US" w:eastAsia="zh-CN"/>
              </w:rPr>
              <w:t>8</w:t>
            </w:r>
            <w:r>
              <w:rPr>
                <w:rFonts w:hint="eastAsia" w:ascii="宋体" w:hAnsi="宋体" w:eastAsia="宋体" w:cs="宋体"/>
                <w:sz w:val="21"/>
                <w:szCs w:val="21"/>
                <w:highlight w:val="none"/>
                <w:vertAlign w:val="baseline"/>
              </w:rPr>
              <w:t>分</w:t>
            </w:r>
            <w:r>
              <w:rPr>
                <w:rFonts w:hint="eastAsia" w:ascii="宋体" w:hAnsi="宋体" w:eastAsia="宋体" w:cs="宋体"/>
                <w:sz w:val="21"/>
                <w:szCs w:val="21"/>
                <w:highlight w:val="none"/>
              </w:rPr>
              <w:t>；</w:t>
            </w:r>
          </w:p>
          <w:p w14:paraId="053EF0C1">
            <w:pPr>
              <w:keepNext w:val="0"/>
              <w:keepLines w:val="0"/>
              <w:pageBreakBefore w:val="0"/>
              <w:widowControl w:val="0"/>
              <w:kinsoku/>
              <w:wordWrap/>
              <w:overflowPunct/>
              <w:topLinePunct w:val="0"/>
              <w:bidi w:val="0"/>
              <w:adjustRightInd/>
              <w:snapToGrid/>
              <w:spacing w:line="240" w:lineRule="auto"/>
              <w:ind w:left="0" w:leftChars="0" w:right="0" w:right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内容描述简洁、基本合理的</w:t>
            </w:r>
            <w:r>
              <w:rPr>
                <w:rFonts w:hint="default" w:ascii="宋体" w:hAnsi="宋体" w:eastAsia="宋体" w:cs="宋体"/>
                <w:sz w:val="21"/>
                <w:szCs w:val="21"/>
                <w:highlight w:val="none"/>
                <w:vertAlign w:val="baseline"/>
                <w:lang w:val="en-US" w:eastAsia="zh-CN"/>
              </w:rPr>
              <w:t>6</w:t>
            </w:r>
            <w:r>
              <w:rPr>
                <w:rFonts w:hint="eastAsia" w:ascii="宋体" w:hAnsi="宋体" w:eastAsia="宋体" w:cs="宋体"/>
                <w:sz w:val="21"/>
                <w:szCs w:val="21"/>
                <w:highlight w:val="none"/>
                <w:vertAlign w:val="baseline"/>
              </w:rPr>
              <w:t>分</w:t>
            </w:r>
            <w:r>
              <w:rPr>
                <w:rFonts w:hint="eastAsia" w:ascii="宋体" w:hAnsi="宋体" w:eastAsia="宋体" w:cs="宋体"/>
                <w:sz w:val="21"/>
                <w:szCs w:val="21"/>
                <w:highlight w:val="none"/>
              </w:rPr>
              <w:t>；</w:t>
            </w:r>
          </w:p>
          <w:p w14:paraId="08B600BC">
            <w:pPr>
              <w:keepNext w:val="0"/>
              <w:keepLines w:val="0"/>
              <w:pageBreakBefore w:val="0"/>
              <w:kinsoku/>
              <w:wordWrap/>
              <w:overflowPunct/>
              <w:topLinePunct w:val="0"/>
              <w:bidi w:val="0"/>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未提供相关内容或描述有缺陷、不完善的得</w:t>
            </w:r>
            <w:r>
              <w:rPr>
                <w:rFonts w:hint="default" w:ascii="宋体" w:hAnsi="宋体" w:eastAsia="宋体" w:cs="宋体"/>
                <w:sz w:val="21"/>
                <w:szCs w:val="21"/>
                <w:highlight w:val="none"/>
                <w:vertAlign w:val="baseline"/>
                <w:lang w:val="en-US" w:eastAsia="zh-CN"/>
              </w:rPr>
              <w:t>4</w:t>
            </w:r>
            <w:r>
              <w:rPr>
                <w:rFonts w:hint="eastAsia" w:ascii="宋体" w:hAnsi="宋体" w:eastAsia="宋体" w:cs="宋体"/>
                <w:sz w:val="21"/>
                <w:szCs w:val="21"/>
                <w:highlight w:val="none"/>
                <w:vertAlign w:val="baseline"/>
              </w:rPr>
              <w:t>分</w:t>
            </w:r>
            <w:r>
              <w:rPr>
                <w:rFonts w:hint="eastAsia" w:ascii="宋体" w:hAnsi="宋体" w:eastAsia="宋体" w:cs="宋体"/>
                <w:sz w:val="21"/>
                <w:szCs w:val="21"/>
                <w:highlight w:val="none"/>
              </w:rPr>
              <w:t>。</w:t>
            </w:r>
          </w:p>
          <w:p w14:paraId="08A75C40">
            <w:pPr>
              <w:keepNext w:val="0"/>
              <w:keepLines w:val="0"/>
              <w:pageBreakBefore w:val="0"/>
              <w:kinsoku/>
              <w:wordWrap/>
              <w:overflowPunct/>
              <w:topLinePunct w:val="0"/>
              <w:bidi w:val="0"/>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缺乏实质性内容，偏离实际的得</w:t>
            </w:r>
            <w:r>
              <w:rPr>
                <w:rFonts w:hint="default" w:ascii="宋体" w:hAnsi="宋体" w:eastAsia="宋体" w:cs="宋体"/>
                <w:sz w:val="21"/>
                <w:szCs w:val="21"/>
                <w:highlight w:val="none"/>
                <w:lang w:val="en-US" w:eastAsia="zh-CN"/>
              </w:rPr>
              <w:t>2</w:t>
            </w:r>
            <w:r>
              <w:rPr>
                <w:rFonts w:hint="eastAsia" w:ascii="宋体" w:hAnsi="宋体" w:eastAsia="宋体" w:cs="宋体"/>
                <w:sz w:val="21"/>
                <w:szCs w:val="21"/>
                <w:highlight w:val="none"/>
                <w:lang w:val="en-US" w:eastAsia="zh-CN"/>
              </w:rPr>
              <w:t>分；</w:t>
            </w:r>
          </w:p>
          <w:p w14:paraId="09A2295B">
            <w:pPr>
              <w:spacing w:line="36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未提及此项不得分。</w:t>
            </w:r>
            <w:r>
              <w:rPr>
                <w:rFonts w:hint="eastAsia" w:ascii="宋体" w:hAnsi="宋体" w:eastAsia="宋体" w:cs="宋体"/>
                <w:sz w:val="21"/>
                <w:szCs w:val="21"/>
                <w:highlight w:val="none"/>
                <w:vertAlign w:val="baseline"/>
                <w:lang w:val="en-US" w:eastAsia="zh-CN"/>
              </w:rPr>
              <w:t xml:space="preserve"> </w:t>
            </w:r>
          </w:p>
        </w:tc>
        <w:tc>
          <w:tcPr>
            <w:tcW w:w="740" w:type="dxa"/>
            <w:shd w:val="clear" w:color="auto" w:fill="auto"/>
            <w:noWrap w:val="0"/>
            <w:vAlign w:val="center"/>
          </w:tcPr>
          <w:p w14:paraId="291995B3">
            <w:pPr>
              <w:widowControl/>
              <w:spacing w:line="360" w:lineRule="exact"/>
              <w:jc w:val="center"/>
              <w:rPr>
                <w:rFonts w:hint="eastAsia" w:ascii="宋体" w:hAnsi="宋体" w:eastAsia="宋体" w:cs="宋体"/>
                <w:kern w:val="0"/>
                <w:sz w:val="21"/>
                <w:szCs w:val="21"/>
                <w:highlight w:val="none"/>
                <w:lang w:val="en-US" w:eastAsia="zh-CN" w:bidi="ar-SA"/>
              </w:rPr>
            </w:pPr>
            <w:r>
              <w:rPr>
                <w:rFonts w:hint="eastAsia" w:ascii="宋体" w:hAnsi="宋体" w:cs="宋体"/>
                <w:kern w:val="0"/>
                <w:szCs w:val="21"/>
                <w:highlight w:val="none"/>
                <w:lang w:val="en-US" w:eastAsia="zh-CN"/>
              </w:rPr>
              <w:t>8</w:t>
            </w:r>
          </w:p>
        </w:tc>
      </w:tr>
      <w:tr w14:paraId="10992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06" w:type="dxa"/>
            <w:vMerge w:val="continue"/>
            <w:noWrap w:val="0"/>
            <w:vAlign w:val="center"/>
          </w:tcPr>
          <w:p w14:paraId="1918523A">
            <w:pPr>
              <w:pStyle w:val="24"/>
              <w:keepNext w:val="0"/>
              <w:keepLines w:val="0"/>
              <w:pageBreakBefore w:val="0"/>
              <w:kinsoku/>
              <w:wordWrap/>
              <w:overflowPunct/>
              <w:topLinePunct w:val="0"/>
              <w:bidi w:val="0"/>
              <w:spacing w:after="0" w:line="360" w:lineRule="exact"/>
              <w:ind w:firstLine="0" w:firstLineChars="0"/>
              <w:jc w:val="center"/>
              <w:rPr>
                <w:rFonts w:hint="eastAsia" w:ascii="宋体" w:hAnsi="宋体" w:cs="宋体"/>
                <w:sz w:val="21"/>
                <w:szCs w:val="21"/>
                <w:highlight w:val="none"/>
              </w:rPr>
            </w:pPr>
          </w:p>
        </w:tc>
        <w:tc>
          <w:tcPr>
            <w:tcW w:w="1041" w:type="dxa"/>
            <w:shd w:val="clear" w:color="auto" w:fill="auto"/>
            <w:noWrap w:val="0"/>
            <w:vAlign w:val="center"/>
          </w:tcPr>
          <w:p w14:paraId="4D54C7DC">
            <w:pPr>
              <w:widowControl/>
              <w:spacing w:line="360" w:lineRule="exact"/>
              <w:jc w:val="center"/>
              <w:rPr>
                <w:rFonts w:hint="eastAsia" w:ascii="宋体" w:hAnsi="宋体" w:eastAsia="宋体" w:cs="宋体"/>
                <w:kern w:val="0"/>
                <w:sz w:val="21"/>
                <w:szCs w:val="21"/>
                <w:highlight w:val="none"/>
                <w:lang w:val="en-US" w:eastAsia="zh-CN" w:bidi="ar-SA"/>
              </w:rPr>
            </w:pPr>
            <w:r>
              <w:rPr>
                <w:rFonts w:hint="eastAsia" w:ascii="宋体" w:hAnsi="宋体" w:cs="宋体"/>
                <w:kern w:val="0"/>
                <w:szCs w:val="21"/>
                <w:highlight w:val="none"/>
              </w:rPr>
              <w:t>其他特色增值服务</w:t>
            </w:r>
          </w:p>
        </w:tc>
        <w:tc>
          <w:tcPr>
            <w:tcW w:w="6718" w:type="dxa"/>
            <w:shd w:val="clear" w:color="auto" w:fill="auto"/>
            <w:noWrap w:val="0"/>
            <w:vAlign w:val="center"/>
          </w:tcPr>
          <w:p w14:paraId="1808D327">
            <w:pPr>
              <w:spacing w:line="360" w:lineRule="exact"/>
              <w:rPr>
                <w:rFonts w:hint="eastAsia" w:ascii="宋体" w:hAnsi="宋体" w:cs="宋体"/>
                <w:szCs w:val="21"/>
                <w:highlight w:val="none"/>
              </w:rPr>
            </w:pPr>
            <w:r>
              <w:rPr>
                <w:rFonts w:hint="eastAsia" w:ascii="宋体" w:hAnsi="宋体" w:cs="宋体"/>
                <w:szCs w:val="21"/>
                <w:highlight w:val="none"/>
              </w:rPr>
              <w:t>供应商根据老人不同的需求及服务团队的特色，承诺提供的其他个性化、专业化和优化服务内容，根据服务内容的特色、亮点进行评定：</w:t>
            </w:r>
          </w:p>
          <w:p w14:paraId="2508E388">
            <w:pPr>
              <w:spacing w:line="360" w:lineRule="exact"/>
              <w:rPr>
                <w:rFonts w:hint="eastAsia" w:ascii="宋体" w:hAnsi="宋体" w:cs="宋体"/>
                <w:szCs w:val="21"/>
                <w:highlight w:val="none"/>
              </w:rPr>
            </w:pPr>
            <w:r>
              <w:rPr>
                <w:rFonts w:hint="eastAsia" w:ascii="宋体" w:hAnsi="宋体" w:cs="宋体"/>
                <w:szCs w:val="21"/>
                <w:highlight w:val="none"/>
              </w:rPr>
              <w:t>（承诺内容须量化，服务期满提供相应佐证）</w:t>
            </w:r>
          </w:p>
          <w:p w14:paraId="072C1370">
            <w:pPr>
              <w:spacing w:line="360" w:lineRule="exact"/>
              <w:rPr>
                <w:rFonts w:hint="eastAsia" w:ascii="宋体" w:hAnsi="宋体" w:cs="宋体"/>
                <w:szCs w:val="21"/>
                <w:highlight w:val="none"/>
              </w:rPr>
            </w:pPr>
            <w:r>
              <w:rPr>
                <w:rFonts w:hint="eastAsia" w:ascii="宋体" w:hAnsi="宋体" w:cs="宋体"/>
                <w:szCs w:val="21"/>
                <w:highlight w:val="none"/>
              </w:rPr>
              <w:t>服务内容</w:t>
            </w:r>
            <w:r>
              <w:rPr>
                <w:rFonts w:hint="eastAsia" w:ascii="宋体" w:hAnsi="宋体" w:cs="宋体"/>
                <w:szCs w:val="21"/>
                <w:highlight w:val="none"/>
                <w:lang w:val="zh-CN"/>
              </w:rPr>
              <w:t>有</w:t>
            </w:r>
            <w:r>
              <w:rPr>
                <w:rFonts w:hint="eastAsia" w:ascii="宋体" w:hAnsi="宋体" w:cs="宋体"/>
                <w:szCs w:val="21"/>
                <w:highlight w:val="none"/>
              </w:rPr>
              <w:t>特色、专业、有针对性，适宜老年人需求的</w:t>
            </w:r>
            <w:r>
              <w:rPr>
                <w:rFonts w:hint="eastAsia" w:ascii="宋体" w:hAnsi="宋体" w:cs="宋体"/>
                <w:szCs w:val="21"/>
                <w:highlight w:val="none"/>
                <w:lang w:val="zh-CN"/>
              </w:rPr>
              <w:t>得</w:t>
            </w:r>
            <w:r>
              <w:rPr>
                <w:rFonts w:hint="eastAsia" w:ascii="宋体" w:hAnsi="宋体" w:cs="宋体"/>
                <w:szCs w:val="21"/>
                <w:highlight w:val="none"/>
              </w:rPr>
              <w:t>8分；</w:t>
            </w:r>
          </w:p>
          <w:p w14:paraId="280F29C4">
            <w:pPr>
              <w:spacing w:line="360" w:lineRule="exact"/>
              <w:rPr>
                <w:rFonts w:hint="eastAsia" w:ascii="宋体" w:hAnsi="宋体" w:cs="宋体"/>
                <w:szCs w:val="21"/>
                <w:highlight w:val="none"/>
              </w:rPr>
            </w:pPr>
            <w:r>
              <w:rPr>
                <w:rFonts w:hint="eastAsia" w:ascii="宋体" w:hAnsi="宋体" w:cs="宋体"/>
                <w:szCs w:val="21"/>
                <w:highlight w:val="none"/>
              </w:rPr>
              <w:t>服务内容特色、专业、针对性一般，基本适宜老年人需求的得6分；</w:t>
            </w:r>
          </w:p>
          <w:p w14:paraId="59F0C3BF">
            <w:pPr>
              <w:spacing w:line="360" w:lineRule="exact"/>
              <w:rPr>
                <w:rFonts w:hint="eastAsia" w:ascii="宋体" w:hAnsi="宋体" w:cs="宋体"/>
                <w:szCs w:val="21"/>
                <w:highlight w:val="none"/>
              </w:rPr>
            </w:pPr>
            <w:r>
              <w:rPr>
                <w:rFonts w:hint="eastAsia" w:ascii="宋体" w:hAnsi="宋体" w:cs="宋体"/>
                <w:szCs w:val="21"/>
                <w:highlight w:val="none"/>
              </w:rPr>
              <w:t>服务内容有一定亮点的得4分；</w:t>
            </w:r>
          </w:p>
          <w:p w14:paraId="6E1AB05F">
            <w:pPr>
              <w:spacing w:line="360" w:lineRule="exact"/>
              <w:rPr>
                <w:rFonts w:hint="eastAsia" w:ascii="宋体" w:hAnsi="宋体" w:cs="宋体"/>
                <w:szCs w:val="21"/>
                <w:highlight w:val="none"/>
              </w:rPr>
            </w:pPr>
            <w:r>
              <w:rPr>
                <w:rFonts w:hint="eastAsia" w:ascii="宋体" w:hAnsi="宋体" w:cs="宋体"/>
                <w:szCs w:val="21"/>
                <w:highlight w:val="none"/>
              </w:rPr>
              <w:t>服务内容缺乏特色有待改进的得2分；</w:t>
            </w:r>
          </w:p>
          <w:p w14:paraId="66403334">
            <w:pPr>
              <w:spacing w:line="360" w:lineRule="exact"/>
              <w:rPr>
                <w:rFonts w:hint="eastAsia" w:ascii="宋体" w:hAnsi="宋体" w:cs="宋体"/>
                <w:szCs w:val="21"/>
                <w:highlight w:val="none"/>
              </w:rPr>
            </w:pPr>
            <w:r>
              <w:rPr>
                <w:rFonts w:hint="eastAsia" w:ascii="宋体" w:hAnsi="宋体" w:cs="宋体"/>
                <w:szCs w:val="21"/>
                <w:highlight w:val="none"/>
              </w:rPr>
              <w:t>未提及此项不得分。</w:t>
            </w:r>
          </w:p>
          <w:p w14:paraId="45B14500">
            <w:pPr>
              <w:spacing w:line="360" w:lineRule="exact"/>
              <w:rPr>
                <w:rFonts w:hint="eastAsia" w:ascii="宋体" w:hAnsi="宋体" w:eastAsia="宋体" w:cs="宋体"/>
                <w:kern w:val="2"/>
                <w:sz w:val="21"/>
                <w:szCs w:val="21"/>
                <w:highlight w:val="none"/>
                <w:lang w:val="en-US" w:eastAsia="zh-CN" w:bidi="ar-SA"/>
              </w:rPr>
            </w:pPr>
            <w:r>
              <w:rPr>
                <w:rFonts w:hint="eastAsia" w:ascii="宋体" w:hAnsi="宋体" w:cs="宋体"/>
                <w:b/>
                <w:bCs/>
                <w:szCs w:val="21"/>
                <w:highlight w:val="none"/>
              </w:rPr>
              <w:t>注：采购人将根据成交供应商承诺的增值服务内容进行履约考核，各供应商承诺的增值服务须切合自身实际，若无法按承诺的增值服务内容履约则按合同违约处理。</w:t>
            </w:r>
          </w:p>
        </w:tc>
        <w:tc>
          <w:tcPr>
            <w:tcW w:w="740" w:type="dxa"/>
            <w:shd w:val="clear" w:color="auto" w:fill="auto"/>
            <w:noWrap w:val="0"/>
            <w:vAlign w:val="center"/>
          </w:tcPr>
          <w:p w14:paraId="7DEEA25A">
            <w:pPr>
              <w:widowControl/>
              <w:spacing w:line="360" w:lineRule="exact"/>
              <w:jc w:val="center"/>
              <w:rPr>
                <w:rFonts w:hint="default" w:ascii="宋体" w:hAnsi="宋体" w:eastAsia="宋体" w:cs="宋体"/>
                <w:kern w:val="0"/>
                <w:sz w:val="21"/>
                <w:szCs w:val="21"/>
                <w:highlight w:val="none"/>
                <w:lang w:val="en-US" w:eastAsia="zh-CN" w:bidi="ar-SA"/>
              </w:rPr>
            </w:pPr>
            <w:r>
              <w:rPr>
                <w:rFonts w:hint="eastAsia" w:ascii="宋体" w:hAnsi="宋体" w:cs="宋体"/>
                <w:kern w:val="0"/>
                <w:szCs w:val="21"/>
                <w:highlight w:val="none"/>
              </w:rPr>
              <w:t>8</w:t>
            </w:r>
          </w:p>
        </w:tc>
      </w:tr>
    </w:tbl>
    <w:p w14:paraId="65A9AC1B">
      <w:pPr>
        <w:pStyle w:val="5"/>
        <w:jc w:val="center"/>
        <w:rPr>
          <w:rFonts w:hint="eastAsia" w:ascii="宋体" w:hAnsi="宋体"/>
          <w:b w:val="0"/>
          <w:color w:val="auto"/>
          <w:sz w:val="36"/>
          <w:szCs w:val="36"/>
          <w:highlight w:val="none"/>
        </w:rPr>
      </w:pPr>
      <w:r>
        <w:rPr>
          <w:rFonts w:hint="eastAsia"/>
          <w:color w:val="auto"/>
          <w:highlight w:val="none"/>
        </w:rPr>
        <w:br w:type="page"/>
      </w:r>
      <w:r>
        <w:rPr>
          <w:rFonts w:hint="eastAsia" w:ascii="宋体" w:hAnsi="宋体"/>
          <w:b/>
          <w:bCs/>
          <w:color w:val="auto"/>
          <w:sz w:val="36"/>
          <w:szCs w:val="36"/>
          <w:highlight w:val="none"/>
        </w:rPr>
        <w:t>第四章  项目需求</w:t>
      </w:r>
      <w:bookmarkEnd w:id="4"/>
    </w:p>
    <w:p w14:paraId="5ACDD8F8">
      <w:pPr>
        <w:keepNext w:val="0"/>
        <w:keepLines w:val="0"/>
        <w:pageBreakBefore w:val="0"/>
        <w:widowControl w:val="0"/>
        <w:tabs>
          <w:tab w:val="left" w:pos="8280"/>
        </w:tabs>
        <w:kinsoku/>
        <w:wordWrap/>
        <w:overflowPunct/>
        <w:topLinePunct w:val="0"/>
        <w:autoSpaceDE w:val="0"/>
        <w:autoSpaceDN w:val="0"/>
        <w:bidi w:val="0"/>
        <w:adjustRightInd w:val="0"/>
        <w:snapToGrid w:val="0"/>
        <w:spacing w:line="450" w:lineRule="exact"/>
        <w:ind w:right="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1"/>
          <w:szCs w:val="21"/>
          <w:highlight w:val="none"/>
        </w:rPr>
        <w:t>▲</w:t>
      </w:r>
      <w:r>
        <w:rPr>
          <w:rFonts w:hint="eastAsia" w:ascii="宋体" w:hAnsi="宋体" w:eastAsia="宋体" w:cs="宋体"/>
          <w:b/>
          <w:color w:val="auto"/>
          <w:sz w:val="24"/>
          <w:highlight w:val="none"/>
        </w:rPr>
        <w:t>一、项目一览表</w:t>
      </w:r>
    </w:p>
    <w:tbl>
      <w:tblPr>
        <w:tblStyle w:val="26"/>
        <w:tblW w:w="10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2554"/>
        <w:gridCol w:w="1650"/>
        <w:gridCol w:w="874"/>
        <w:gridCol w:w="4391"/>
      </w:tblGrid>
      <w:tr w14:paraId="65E02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910" w:type="dxa"/>
            <w:noWrap w:val="0"/>
            <w:vAlign w:val="center"/>
          </w:tcPr>
          <w:p w14:paraId="744D8014">
            <w:pPr>
              <w:keepNext w:val="0"/>
              <w:keepLines w:val="0"/>
              <w:pageBreakBefore w:val="0"/>
              <w:widowControl w:val="0"/>
              <w:tabs>
                <w:tab w:val="left" w:pos="8280"/>
              </w:tabs>
              <w:kinsoku/>
              <w:wordWrap/>
              <w:overflowPunct/>
              <w:topLinePunct w:val="0"/>
              <w:autoSpaceDE w:val="0"/>
              <w:autoSpaceDN w:val="0"/>
              <w:bidi w:val="0"/>
              <w:adjustRightInd w:val="0"/>
              <w:snapToGrid/>
              <w:spacing w:line="420" w:lineRule="exact"/>
              <w:ind w:right="25" w:rightChars="0"/>
              <w:jc w:val="center"/>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标项</w:t>
            </w:r>
          </w:p>
        </w:tc>
        <w:tc>
          <w:tcPr>
            <w:tcW w:w="2554" w:type="dxa"/>
            <w:noWrap w:val="0"/>
            <w:vAlign w:val="center"/>
          </w:tcPr>
          <w:p w14:paraId="75A76B56">
            <w:pPr>
              <w:keepNext w:val="0"/>
              <w:keepLines w:val="0"/>
              <w:pageBreakBefore w:val="0"/>
              <w:widowControl w:val="0"/>
              <w:tabs>
                <w:tab w:val="left" w:pos="8280"/>
              </w:tabs>
              <w:kinsoku/>
              <w:wordWrap/>
              <w:overflowPunct/>
              <w:topLinePunct w:val="0"/>
              <w:autoSpaceDE w:val="0"/>
              <w:autoSpaceDN w:val="0"/>
              <w:bidi w:val="0"/>
              <w:adjustRightInd w:val="0"/>
              <w:snapToGrid/>
              <w:spacing w:line="420" w:lineRule="exact"/>
              <w:ind w:right="25" w:rightChars="0"/>
              <w:jc w:val="center"/>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项目名称</w:t>
            </w:r>
          </w:p>
        </w:tc>
        <w:tc>
          <w:tcPr>
            <w:tcW w:w="1650" w:type="dxa"/>
            <w:noWrap w:val="0"/>
            <w:vAlign w:val="center"/>
          </w:tcPr>
          <w:p w14:paraId="2AAAE5B7">
            <w:pPr>
              <w:keepNext w:val="0"/>
              <w:keepLines w:val="0"/>
              <w:pageBreakBefore w:val="0"/>
              <w:widowControl w:val="0"/>
              <w:tabs>
                <w:tab w:val="left" w:pos="8280"/>
              </w:tabs>
              <w:kinsoku/>
              <w:wordWrap/>
              <w:overflowPunct/>
              <w:topLinePunct w:val="0"/>
              <w:autoSpaceDE w:val="0"/>
              <w:autoSpaceDN w:val="0"/>
              <w:bidi w:val="0"/>
              <w:adjustRightInd w:val="0"/>
              <w:snapToGrid/>
              <w:spacing w:line="420" w:lineRule="exact"/>
              <w:ind w:right="25" w:rightChars="0"/>
              <w:jc w:val="center"/>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总预算价</w:t>
            </w:r>
          </w:p>
        </w:tc>
        <w:tc>
          <w:tcPr>
            <w:tcW w:w="874" w:type="dxa"/>
            <w:noWrap w:val="0"/>
            <w:vAlign w:val="center"/>
          </w:tcPr>
          <w:p w14:paraId="51E0DDFB">
            <w:pPr>
              <w:keepNext w:val="0"/>
              <w:keepLines w:val="0"/>
              <w:pageBreakBefore w:val="0"/>
              <w:widowControl w:val="0"/>
              <w:tabs>
                <w:tab w:val="left" w:pos="8280"/>
              </w:tabs>
              <w:kinsoku/>
              <w:wordWrap/>
              <w:overflowPunct/>
              <w:topLinePunct w:val="0"/>
              <w:autoSpaceDE w:val="0"/>
              <w:autoSpaceDN w:val="0"/>
              <w:bidi w:val="0"/>
              <w:adjustRightInd w:val="0"/>
              <w:snapToGrid/>
              <w:spacing w:line="420" w:lineRule="exact"/>
              <w:ind w:right="25" w:rightChars="0"/>
              <w:jc w:val="center"/>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数量</w:t>
            </w:r>
          </w:p>
        </w:tc>
        <w:tc>
          <w:tcPr>
            <w:tcW w:w="4391" w:type="dxa"/>
            <w:noWrap w:val="0"/>
            <w:vAlign w:val="center"/>
          </w:tcPr>
          <w:p w14:paraId="16C09831">
            <w:pPr>
              <w:keepNext w:val="0"/>
              <w:keepLines w:val="0"/>
              <w:pageBreakBefore w:val="0"/>
              <w:widowControl w:val="0"/>
              <w:tabs>
                <w:tab w:val="left" w:pos="8280"/>
              </w:tabs>
              <w:kinsoku/>
              <w:wordWrap/>
              <w:overflowPunct/>
              <w:topLinePunct w:val="0"/>
              <w:autoSpaceDE w:val="0"/>
              <w:autoSpaceDN w:val="0"/>
              <w:bidi w:val="0"/>
              <w:adjustRightInd w:val="0"/>
              <w:snapToGrid/>
              <w:spacing w:line="420" w:lineRule="exact"/>
              <w:ind w:right="25" w:rightChars="0"/>
              <w:jc w:val="center"/>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招标需求</w:t>
            </w:r>
          </w:p>
        </w:tc>
      </w:tr>
      <w:tr w14:paraId="7E6D0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jc w:val="center"/>
        </w:trPr>
        <w:tc>
          <w:tcPr>
            <w:tcW w:w="910" w:type="dxa"/>
            <w:noWrap w:val="0"/>
            <w:vAlign w:val="center"/>
          </w:tcPr>
          <w:p w14:paraId="662BC789">
            <w:pPr>
              <w:keepNext w:val="0"/>
              <w:keepLines w:val="0"/>
              <w:pageBreakBefore w:val="0"/>
              <w:widowControl w:val="0"/>
              <w:kinsoku/>
              <w:wordWrap/>
              <w:overflowPunct/>
              <w:topLinePunct w:val="0"/>
              <w:bidi w:val="0"/>
              <w:snapToGrid/>
              <w:spacing w:line="42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一</w:t>
            </w:r>
          </w:p>
        </w:tc>
        <w:tc>
          <w:tcPr>
            <w:tcW w:w="2554" w:type="dxa"/>
            <w:noWrap w:val="0"/>
            <w:vAlign w:val="center"/>
          </w:tcPr>
          <w:p w14:paraId="288FBD06">
            <w:pPr>
              <w:keepNext w:val="0"/>
              <w:keepLines w:val="0"/>
              <w:pageBreakBefore w:val="0"/>
              <w:widowControl w:val="0"/>
              <w:kinsoku/>
              <w:wordWrap/>
              <w:overflowPunct/>
              <w:topLinePunct w:val="0"/>
              <w:bidi w:val="0"/>
              <w:snapToGrid/>
              <w:spacing w:line="420" w:lineRule="exact"/>
              <w:jc w:val="center"/>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2025年椒江区前所街道居家养老服务采购项目</w:t>
            </w:r>
          </w:p>
        </w:tc>
        <w:tc>
          <w:tcPr>
            <w:tcW w:w="1650" w:type="dxa"/>
            <w:noWrap w:val="0"/>
            <w:vAlign w:val="center"/>
          </w:tcPr>
          <w:p w14:paraId="0E0FC255">
            <w:pPr>
              <w:keepNext w:val="0"/>
              <w:keepLines w:val="0"/>
              <w:pageBreakBefore w:val="0"/>
              <w:widowControl w:val="0"/>
              <w:kinsoku/>
              <w:wordWrap/>
              <w:overflowPunct/>
              <w:topLinePunct w:val="0"/>
              <w:bidi w:val="0"/>
              <w:snapToGrid/>
              <w:spacing w:line="42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1481520元/年</w:t>
            </w:r>
          </w:p>
        </w:tc>
        <w:tc>
          <w:tcPr>
            <w:tcW w:w="874" w:type="dxa"/>
            <w:noWrap w:val="0"/>
            <w:vAlign w:val="center"/>
          </w:tcPr>
          <w:p w14:paraId="3BBDB24D">
            <w:pPr>
              <w:keepNext w:val="0"/>
              <w:keepLines w:val="0"/>
              <w:pageBreakBefore w:val="0"/>
              <w:widowControl w:val="0"/>
              <w:kinsoku/>
              <w:wordWrap/>
              <w:overflowPunct/>
              <w:topLinePunct w:val="0"/>
              <w:bidi w:val="0"/>
              <w:snapToGrid/>
              <w:spacing w:line="42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4391" w:type="dxa"/>
            <w:noWrap w:val="0"/>
            <w:vAlign w:val="center"/>
          </w:tcPr>
          <w:p w14:paraId="3A041164">
            <w:pPr>
              <w:keepNext w:val="0"/>
              <w:keepLines w:val="0"/>
              <w:pageBreakBefore w:val="0"/>
              <w:widowControl w:val="0"/>
              <w:kinsoku/>
              <w:wordWrap/>
              <w:overflowPunct/>
              <w:topLinePunct w:val="0"/>
              <w:bidi w:val="0"/>
              <w:snapToGrid/>
              <w:spacing w:line="420" w:lineRule="exact"/>
              <w:jc w:val="left"/>
              <w:textAlignment w:val="auto"/>
              <w:rPr>
                <w:rFonts w:hint="eastAsia" w:ascii="宋体" w:hAnsi="宋体" w:cs="宋体"/>
                <w:bCs/>
                <w:sz w:val="24"/>
                <w:szCs w:val="24"/>
                <w:highlight w:val="none"/>
                <w:lang w:val="en-US" w:eastAsia="zh-CN"/>
              </w:rPr>
            </w:pPr>
            <w:r>
              <w:rPr>
                <w:rFonts w:hint="eastAsia" w:ascii="宋体" w:hAnsi="宋体" w:cs="宋体"/>
                <w:bCs/>
                <w:sz w:val="24"/>
                <w:szCs w:val="24"/>
                <w:highlight w:val="none"/>
                <w:lang w:val="en-US" w:eastAsia="zh-CN"/>
              </w:rPr>
              <w:t>本项目包含：</w:t>
            </w:r>
          </w:p>
          <w:p w14:paraId="77349D5B">
            <w:pPr>
              <w:keepNext w:val="0"/>
              <w:keepLines w:val="0"/>
              <w:pageBreakBefore w:val="0"/>
              <w:widowControl w:val="0"/>
              <w:numPr>
                <w:ilvl w:val="0"/>
                <w:numId w:val="0"/>
              </w:numPr>
              <w:kinsoku/>
              <w:wordWrap/>
              <w:overflowPunct/>
              <w:topLinePunct w:val="0"/>
              <w:bidi w:val="0"/>
              <w:snapToGrid/>
              <w:spacing w:line="42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居家养老服务（照料）中心托管运营服务</w:t>
            </w:r>
            <w:r>
              <w:rPr>
                <w:rFonts w:hint="eastAsia" w:ascii="宋体" w:hAnsi="宋体" w:cs="宋体"/>
                <w:bCs/>
                <w:sz w:val="24"/>
                <w:szCs w:val="24"/>
                <w:highlight w:val="none"/>
                <w:lang w:val="en-US" w:eastAsia="zh-CN"/>
              </w:rPr>
              <w:t>99万元/年（1</w:t>
            </w:r>
            <w:r>
              <w:rPr>
                <w:rFonts w:hint="eastAsia" w:ascii="宋体" w:hAnsi="宋体" w:eastAsia="宋体" w:cs="宋体"/>
                <w:bCs/>
                <w:sz w:val="24"/>
                <w:szCs w:val="24"/>
                <w:highlight w:val="none"/>
              </w:rPr>
              <w:t>家</w:t>
            </w:r>
            <w:r>
              <w:rPr>
                <w:rFonts w:hint="eastAsia" w:ascii="宋体" w:hAnsi="宋体" w:eastAsia="宋体" w:cs="宋体"/>
                <w:bCs/>
                <w:sz w:val="24"/>
                <w:szCs w:val="24"/>
                <w:highlight w:val="none"/>
                <w:lang w:val="en-US" w:eastAsia="zh-CN"/>
              </w:rPr>
              <w:t>街道级</w:t>
            </w:r>
            <w:r>
              <w:rPr>
                <w:rFonts w:hint="eastAsia" w:ascii="宋体" w:hAnsi="宋体" w:eastAsia="宋体" w:cs="宋体"/>
                <w:bCs/>
                <w:sz w:val="24"/>
                <w:szCs w:val="24"/>
                <w:highlight w:val="none"/>
              </w:rPr>
              <w:t>居家养老服务中心</w:t>
            </w:r>
            <w:r>
              <w:rPr>
                <w:rFonts w:hint="eastAsia" w:ascii="宋体" w:hAnsi="宋体" w:eastAsia="宋体" w:cs="宋体"/>
                <w:bCs/>
                <w:sz w:val="24"/>
                <w:szCs w:val="24"/>
                <w:highlight w:val="none"/>
                <w:lang w:val="en-US" w:eastAsia="zh-CN"/>
              </w:rPr>
              <w:t>及</w:t>
            </w:r>
            <w:r>
              <w:rPr>
                <w:rFonts w:hint="eastAsia" w:ascii="宋体" w:hAnsi="宋体" w:cs="宋体"/>
                <w:bCs/>
                <w:sz w:val="24"/>
                <w:szCs w:val="24"/>
                <w:highlight w:val="none"/>
                <w:lang w:val="en-US" w:eastAsia="zh-CN"/>
              </w:rPr>
              <w:t>28</w:t>
            </w:r>
            <w:r>
              <w:rPr>
                <w:rFonts w:hint="eastAsia" w:ascii="宋体" w:hAnsi="宋体" w:eastAsia="宋体" w:cs="宋体"/>
                <w:bCs/>
                <w:sz w:val="24"/>
                <w:szCs w:val="24"/>
                <w:highlight w:val="none"/>
              </w:rPr>
              <w:t>家</w:t>
            </w:r>
            <w:r>
              <w:rPr>
                <w:rFonts w:hint="eastAsia" w:ascii="宋体" w:hAnsi="宋体" w:cs="宋体"/>
                <w:bCs/>
                <w:sz w:val="24"/>
                <w:szCs w:val="24"/>
                <w:highlight w:val="none"/>
                <w:lang w:eastAsia="zh-CN"/>
              </w:rPr>
              <w:t>城乡社区（村）居家养</w:t>
            </w:r>
            <w:r>
              <w:rPr>
                <w:rFonts w:hint="eastAsia" w:ascii="宋体" w:hAnsi="宋体" w:eastAsia="宋体" w:cs="宋体"/>
                <w:bCs/>
                <w:color w:val="000000"/>
                <w:sz w:val="24"/>
                <w:szCs w:val="24"/>
                <w:highlight w:val="none"/>
                <w:shd w:val="clear" w:color="auto" w:fill="FFFFFF"/>
                <w:lang w:val="en-US" w:eastAsia="zh-CN"/>
              </w:rPr>
              <w:t>老服务</w:t>
            </w:r>
            <w:r>
              <w:rPr>
                <w:rFonts w:hint="eastAsia" w:ascii="宋体" w:hAnsi="宋体" w:eastAsia="宋体" w:cs="宋体"/>
                <w:color w:val="000000"/>
                <w:sz w:val="24"/>
                <w:szCs w:val="24"/>
                <w:highlight w:val="none"/>
              </w:rPr>
              <w:t>照料中心</w:t>
            </w:r>
            <w:r>
              <w:rPr>
                <w:rFonts w:hint="eastAsia" w:ascii="宋体" w:hAnsi="宋体" w:cs="宋体"/>
                <w:color w:val="000000"/>
                <w:sz w:val="24"/>
                <w:szCs w:val="24"/>
                <w:highlight w:val="none"/>
                <w:lang w:eastAsia="zh-CN"/>
              </w:rPr>
              <w:t>）；</w:t>
            </w:r>
          </w:p>
          <w:p w14:paraId="7E95DC3F">
            <w:pPr>
              <w:keepNext w:val="0"/>
              <w:keepLines w:val="0"/>
              <w:pageBreakBefore w:val="0"/>
              <w:widowControl w:val="0"/>
              <w:numPr>
                <w:ilvl w:val="0"/>
                <w:numId w:val="0"/>
              </w:numPr>
              <w:kinsoku/>
              <w:wordWrap/>
              <w:overflowPunct/>
              <w:topLinePunct w:val="0"/>
              <w:bidi w:val="0"/>
              <w:snapToGrid/>
              <w:spacing w:line="420" w:lineRule="exact"/>
              <w:ind w:leftChars="0"/>
              <w:jc w:val="left"/>
              <w:textAlignment w:val="auto"/>
              <w:rPr>
                <w:rFonts w:hint="eastAsia" w:ascii="宋体" w:hAnsi="宋体" w:cs="宋体"/>
                <w:bCs/>
                <w:sz w:val="24"/>
                <w:szCs w:val="24"/>
                <w:highlight w:val="none"/>
                <w:lang w:val="en-US" w:eastAsia="zh-CN"/>
              </w:rPr>
            </w:pPr>
            <w:r>
              <w:rPr>
                <w:rFonts w:hint="eastAsia" w:ascii="宋体" w:hAnsi="宋体" w:cs="宋体"/>
                <w:bCs/>
                <w:sz w:val="24"/>
                <w:szCs w:val="24"/>
                <w:highlight w:val="none"/>
                <w:lang w:val="en-US" w:eastAsia="zh-CN"/>
              </w:rPr>
              <w:t>2、</w:t>
            </w:r>
            <w:r>
              <w:rPr>
                <w:rFonts w:hint="eastAsia" w:ascii="宋体" w:hAnsi="宋体" w:eastAsia="宋体" w:cs="宋体"/>
                <w:bCs/>
                <w:sz w:val="24"/>
                <w:szCs w:val="24"/>
                <w:highlight w:val="none"/>
                <w:lang w:val="en-US" w:eastAsia="zh-CN"/>
              </w:rPr>
              <w:t>居家养老上门服务</w:t>
            </w:r>
            <w:r>
              <w:rPr>
                <w:rFonts w:hint="eastAsia" w:ascii="宋体" w:hAnsi="宋体" w:cs="宋体"/>
                <w:bCs/>
                <w:sz w:val="24"/>
                <w:szCs w:val="24"/>
                <w:highlight w:val="none"/>
                <w:lang w:val="en-US" w:eastAsia="zh-CN"/>
              </w:rPr>
              <w:t>491520元/年（服务补贴320520元/年，护理补贴171000元/年）；</w:t>
            </w:r>
          </w:p>
          <w:p w14:paraId="627AD9D6">
            <w:pPr>
              <w:keepNext w:val="0"/>
              <w:keepLines w:val="0"/>
              <w:pageBreakBefore w:val="0"/>
              <w:widowControl w:val="0"/>
              <w:numPr>
                <w:ilvl w:val="0"/>
                <w:numId w:val="0"/>
              </w:numPr>
              <w:kinsoku/>
              <w:wordWrap/>
              <w:overflowPunct/>
              <w:topLinePunct w:val="0"/>
              <w:bidi w:val="0"/>
              <w:snapToGrid/>
              <w:spacing w:line="420" w:lineRule="exact"/>
              <w:ind w:lef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eastAsia="zh-CN"/>
              </w:rPr>
              <w:t>详见</w:t>
            </w:r>
            <w:r>
              <w:rPr>
                <w:rFonts w:hint="eastAsia" w:ascii="宋体" w:hAnsi="宋体" w:eastAsia="宋体" w:cs="宋体"/>
                <w:sz w:val="24"/>
                <w:szCs w:val="24"/>
                <w:highlight w:val="none"/>
                <w:lang w:val="en-US" w:eastAsia="zh-CN"/>
              </w:rPr>
              <w:t>项目需求。</w:t>
            </w:r>
          </w:p>
        </w:tc>
      </w:tr>
    </w:tbl>
    <w:p w14:paraId="6D83C8EE">
      <w:pPr>
        <w:pStyle w:val="9"/>
        <w:keepNext w:val="0"/>
        <w:keepLines w:val="0"/>
        <w:pageBreakBefore w:val="0"/>
        <w:kinsoku/>
        <w:wordWrap/>
        <w:overflowPunct/>
        <w:topLinePunct w:val="0"/>
        <w:bidi w:val="0"/>
        <w:snapToGrid/>
        <w:spacing w:after="0" w:line="420" w:lineRule="exact"/>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sz w:val="24"/>
          <w:szCs w:val="24"/>
          <w:highlight w:val="none"/>
          <w:lang w:val="en-US" w:eastAsia="zh-CN"/>
        </w:rPr>
        <w:t>服务期</w:t>
      </w:r>
      <w:r>
        <w:rPr>
          <w:rFonts w:hint="eastAsia" w:ascii="宋体" w:hAnsi="宋体" w:cs="宋体"/>
          <w:b/>
          <w:sz w:val="24"/>
          <w:szCs w:val="24"/>
          <w:highlight w:val="none"/>
          <w:lang w:val="en-US" w:eastAsia="zh-CN"/>
        </w:rPr>
        <w:t>：</w:t>
      </w:r>
      <w:r>
        <w:rPr>
          <w:rFonts w:hint="eastAsia" w:ascii="宋体" w:hAnsi="宋体" w:cs="宋体"/>
          <w:b w:val="0"/>
          <w:bCs/>
          <w:sz w:val="24"/>
          <w:szCs w:val="24"/>
          <w:highlight w:val="none"/>
          <w:lang w:val="en-US" w:eastAsia="zh-CN"/>
        </w:rPr>
        <w:t>三年（采用1+1+1模式），合同一年一签。在签约合同服务期满一个月前，采购人将视中标人在合同服务期内的工作表现，且项目内容和资金符合采购预算安排或要求，可将合同承包期续签1年，最多续签2次，如采购人决定不再续签，不视为违约。（若该年度服务期限未满，项目采购金额累计达到预算价时，采购人有权提前终止）</w:t>
      </w:r>
    </w:p>
    <w:p w14:paraId="2E414716">
      <w:pPr>
        <w:pStyle w:val="9"/>
        <w:keepNext w:val="0"/>
        <w:keepLines w:val="0"/>
        <w:pageBreakBefore w:val="0"/>
        <w:kinsoku/>
        <w:wordWrap/>
        <w:overflowPunct/>
        <w:topLinePunct w:val="0"/>
        <w:bidi w:val="0"/>
        <w:snapToGrid/>
        <w:spacing w:after="0" w:line="420" w:lineRule="exact"/>
        <w:ind w:firstLine="482" w:firstLineChars="200"/>
        <w:textAlignment w:val="auto"/>
        <w:rPr>
          <w:rFonts w:hint="default"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rPr>
        <w:t>注：</w:t>
      </w:r>
      <w:r>
        <w:rPr>
          <w:rFonts w:hint="eastAsia" w:ascii="宋体" w:hAnsi="宋体" w:cs="宋体"/>
          <w:bCs/>
          <w:sz w:val="24"/>
          <w:szCs w:val="24"/>
          <w:highlight w:val="none"/>
          <w:lang w:val="en-US" w:eastAsia="zh-CN"/>
        </w:rPr>
        <w:t>1、根据《台州市人民政府办公室关于印发推进全市基本养老服务体系建设实施方案的通知》（台政办发</w:t>
      </w:r>
      <w:r>
        <w:rPr>
          <w:rFonts w:hint="eastAsia" w:ascii="宋体" w:hAnsi="宋体" w:eastAsia="宋体" w:cs="宋体"/>
          <w:sz w:val="24"/>
          <w:szCs w:val="24"/>
          <w:highlight w:val="none"/>
          <w:lang w:val="en-US" w:eastAsia="zh-CN"/>
        </w:rPr>
        <w:t>〔2023〕29号）、</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台州市椒江区人民政府办公室关于贯彻落实</w:t>
      </w:r>
      <w:r>
        <w:rPr>
          <w:rFonts w:hint="eastAsia" w:ascii="宋体" w:hAnsi="宋体" w:cs="宋体"/>
          <w:sz w:val="24"/>
          <w:szCs w:val="24"/>
          <w:highlight w:val="none"/>
          <w:lang w:val="en-US" w:eastAsia="zh-CN"/>
        </w:rPr>
        <w:t>&lt;</w:t>
      </w:r>
      <w:r>
        <w:rPr>
          <w:rFonts w:hint="eastAsia" w:ascii="宋体" w:hAnsi="宋体" w:eastAsia="宋体" w:cs="宋体"/>
          <w:sz w:val="24"/>
          <w:szCs w:val="24"/>
          <w:highlight w:val="none"/>
          <w:lang w:val="en-US" w:eastAsia="zh-CN"/>
        </w:rPr>
        <w:t>台州市居家养老服务条例</w:t>
      </w:r>
      <w:r>
        <w:rPr>
          <w:rFonts w:hint="eastAsia" w:ascii="宋体" w:hAnsi="宋体" w:cs="宋体"/>
          <w:sz w:val="24"/>
          <w:szCs w:val="24"/>
          <w:highlight w:val="none"/>
          <w:lang w:val="en-US" w:eastAsia="zh-CN"/>
        </w:rPr>
        <w:t>&gt;</w:t>
      </w:r>
      <w:r>
        <w:rPr>
          <w:rFonts w:hint="eastAsia" w:ascii="宋体" w:hAnsi="宋体" w:eastAsia="宋体" w:cs="宋体"/>
          <w:sz w:val="24"/>
          <w:szCs w:val="24"/>
          <w:highlight w:val="none"/>
          <w:lang w:val="en-US" w:eastAsia="zh-CN"/>
        </w:rPr>
        <w:t>的实施意见</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（椒政办发〔2023〕88号）规定</w:t>
      </w:r>
      <w:r>
        <w:rPr>
          <w:rFonts w:hint="eastAsia" w:ascii="宋体" w:hAnsi="宋体" w:eastAsia="宋体" w:cs="宋体"/>
          <w:b w:val="0"/>
          <w:bCs/>
          <w:sz w:val="24"/>
          <w:szCs w:val="24"/>
          <w:highlight w:val="none"/>
          <w:lang w:val="en-US" w:eastAsia="zh-CN"/>
        </w:rPr>
        <w:t>。</w:t>
      </w:r>
      <w:r>
        <w:rPr>
          <w:rFonts w:hint="eastAsia" w:ascii="宋体" w:hAnsi="宋体" w:eastAsia="宋体" w:cs="宋体"/>
          <w:sz w:val="24"/>
          <w:szCs w:val="24"/>
          <w:highlight w:val="none"/>
          <w:lang w:val="en-US" w:eastAsia="zh-CN"/>
        </w:rPr>
        <w:t>本项目</w:t>
      </w:r>
      <w:r>
        <w:rPr>
          <w:rFonts w:hint="eastAsia" w:ascii="宋体" w:hAnsi="宋体" w:eastAsia="宋体" w:cs="宋体"/>
          <w:b w:val="0"/>
          <w:bCs/>
          <w:sz w:val="24"/>
          <w:szCs w:val="24"/>
          <w:highlight w:val="none"/>
          <w:lang w:val="en-US" w:eastAsia="zh-CN"/>
        </w:rPr>
        <w:t>街道级居家养老服务中心：15万元/家/年；城乡社区（村）居家养老服务照料中心：3万元/家/年（其中15000元用于照料中心活动组织及运营保障，15000元用于助配餐配送费补贴），</w:t>
      </w:r>
      <w:r>
        <w:rPr>
          <w:rFonts w:hint="eastAsia" w:ascii="宋体" w:hAnsi="宋体" w:eastAsia="宋体" w:cs="宋体"/>
          <w:color w:val="auto"/>
          <w:sz w:val="24"/>
          <w:szCs w:val="24"/>
          <w:highlight w:val="none"/>
          <w:lang w:val="en-US" w:eastAsia="zh-CN"/>
        </w:rPr>
        <w:t>此两项价格为固定价格，供应商无需再进行报价</w:t>
      </w:r>
      <w:r>
        <w:rPr>
          <w:rFonts w:hint="eastAsia" w:ascii="宋体" w:hAnsi="宋体" w:eastAsia="宋体" w:cs="宋体"/>
          <w:b w:val="0"/>
          <w:bCs/>
          <w:sz w:val="24"/>
          <w:szCs w:val="24"/>
          <w:highlight w:val="none"/>
          <w:lang w:val="en-US" w:eastAsia="zh-CN"/>
        </w:rPr>
        <w:t>。在合同服务期内，城乡社区（村）居家养老服务照料中心托管运营数量可根据采购人需求适当增减。助配餐配送费补贴按实结算，超出15000元/家/年部分由中标人自行承担</w:t>
      </w:r>
      <w:r>
        <w:rPr>
          <w:rFonts w:hint="eastAsia" w:ascii="宋体" w:hAnsi="宋体" w:cs="宋体"/>
          <w:b w:val="0"/>
          <w:bCs/>
          <w:sz w:val="24"/>
          <w:szCs w:val="24"/>
          <w:highlight w:val="none"/>
          <w:lang w:val="en-US" w:eastAsia="zh-CN"/>
        </w:rPr>
        <w:t>，各</w:t>
      </w:r>
      <w:r>
        <w:rPr>
          <w:rFonts w:hint="eastAsia" w:ascii="宋体" w:hAnsi="宋体" w:eastAsia="宋体" w:cs="宋体"/>
          <w:b w:val="0"/>
          <w:bCs/>
          <w:sz w:val="24"/>
          <w:szCs w:val="24"/>
          <w:highlight w:val="none"/>
          <w:lang w:val="en-US" w:eastAsia="zh-CN"/>
        </w:rPr>
        <w:t>城乡社区（村）居家养老服务照料中心</w:t>
      </w:r>
      <w:r>
        <w:rPr>
          <w:rFonts w:hint="eastAsia" w:ascii="宋体" w:hAnsi="宋体" w:cs="宋体"/>
          <w:b w:val="0"/>
          <w:bCs/>
          <w:sz w:val="24"/>
          <w:szCs w:val="24"/>
          <w:highlight w:val="none"/>
          <w:lang w:val="en-US" w:eastAsia="zh-CN"/>
        </w:rPr>
        <w:t>的</w:t>
      </w:r>
      <w:r>
        <w:rPr>
          <w:rFonts w:hint="eastAsia" w:ascii="宋体" w:hAnsi="宋体" w:eastAsia="宋体" w:cs="宋体"/>
          <w:b w:val="0"/>
          <w:bCs/>
          <w:sz w:val="24"/>
          <w:szCs w:val="24"/>
          <w:highlight w:val="none"/>
          <w:lang w:val="en-US" w:eastAsia="zh-CN"/>
        </w:rPr>
        <w:t>配送费补贴</w:t>
      </w:r>
      <w:r>
        <w:rPr>
          <w:rFonts w:hint="eastAsia" w:ascii="宋体" w:hAnsi="宋体" w:cs="宋体"/>
          <w:b w:val="0"/>
          <w:bCs/>
          <w:sz w:val="24"/>
          <w:szCs w:val="24"/>
          <w:highlight w:val="none"/>
          <w:lang w:val="en-US" w:eastAsia="zh-CN"/>
        </w:rPr>
        <w:t>总额供全街道统筹使用</w:t>
      </w:r>
      <w:r>
        <w:rPr>
          <w:rFonts w:hint="eastAsia" w:ascii="宋体" w:hAnsi="宋体" w:eastAsia="宋体" w:cs="宋体"/>
          <w:b w:val="0"/>
          <w:bCs/>
          <w:sz w:val="24"/>
          <w:szCs w:val="24"/>
          <w:highlight w:val="none"/>
          <w:lang w:val="en-US" w:eastAsia="zh-CN"/>
        </w:rPr>
        <w:t>。</w:t>
      </w:r>
    </w:p>
    <w:p w14:paraId="783B72BA">
      <w:pPr>
        <w:pStyle w:val="9"/>
        <w:keepNext w:val="0"/>
        <w:keepLines w:val="0"/>
        <w:pageBreakBefore w:val="0"/>
        <w:kinsoku/>
        <w:wordWrap/>
        <w:overflowPunct/>
        <w:topLinePunct w:val="0"/>
        <w:bidi w:val="0"/>
        <w:snapToGrid/>
        <w:spacing w:after="0" w:line="420" w:lineRule="exact"/>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2、居家养老上门服务为固定统一价格，</w:t>
      </w:r>
      <w:r>
        <w:rPr>
          <w:rFonts w:hint="eastAsia" w:ascii="宋体" w:hAnsi="宋体" w:eastAsia="宋体" w:cs="宋体"/>
          <w:color w:val="auto"/>
          <w:sz w:val="24"/>
          <w:szCs w:val="24"/>
          <w:highlight w:val="none"/>
          <w:lang w:val="en-US" w:eastAsia="zh-CN"/>
        </w:rPr>
        <w:t>供应商无需再进行报价，</w:t>
      </w:r>
      <w:r>
        <w:rPr>
          <w:rFonts w:hint="eastAsia" w:ascii="宋体" w:hAnsi="宋体" w:eastAsia="宋体" w:cs="宋体"/>
          <w:color w:val="000000"/>
          <w:sz w:val="24"/>
          <w:szCs w:val="24"/>
          <w:highlight w:val="none"/>
        </w:rPr>
        <w:t>按实结算</w:t>
      </w:r>
      <w:r>
        <w:rPr>
          <w:rFonts w:hint="eastAsia" w:ascii="宋体" w:hAnsi="宋体" w:eastAsia="宋体" w:cs="宋体"/>
          <w:color w:val="000000"/>
          <w:sz w:val="24"/>
          <w:szCs w:val="24"/>
          <w:highlight w:val="none"/>
          <w:lang w:eastAsia="zh-CN"/>
        </w:rPr>
        <w:t>，</w:t>
      </w:r>
      <w:r>
        <w:rPr>
          <w:rFonts w:hint="eastAsia" w:ascii="宋体" w:hAnsi="宋体" w:cs="宋体"/>
          <w:color w:val="000000"/>
          <w:sz w:val="24"/>
          <w:szCs w:val="24"/>
          <w:highlight w:val="none"/>
          <w:lang w:eastAsia="zh-CN"/>
        </w:rPr>
        <w:t>如超出财政补贴标准，费用由中标人自行承担</w:t>
      </w:r>
      <w:r>
        <w:rPr>
          <w:rFonts w:hint="eastAsia" w:ascii="宋体" w:hAnsi="宋体" w:eastAsia="宋体" w:cs="宋体"/>
          <w:color w:val="000000"/>
          <w:sz w:val="24"/>
          <w:szCs w:val="24"/>
          <w:highlight w:val="none"/>
          <w:lang w:eastAsia="zh-CN"/>
        </w:rPr>
        <w:t>。</w:t>
      </w:r>
    </w:p>
    <w:p w14:paraId="3597D3A1">
      <w:pPr>
        <w:keepNext w:val="0"/>
        <w:keepLines w:val="0"/>
        <w:pageBreakBefore w:val="0"/>
        <w:kinsoku/>
        <w:wordWrap/>
        <w:overflowPunct/>
        <w:topLinePunct w:val="0"/>
        <w:bidi w:val="0"/>
        <w:snapToGrid/>
        <w:spacing w:line="420" w:lineRule="exac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二、项目背景：</w:t>
      </w:r>
    </w:p>
    <w:p w14:paraId="45D811A3">
      <w:pPr>
        <w:pStyle w:val="56"/>
        <w:keepNext w:val="0"/>
        <w:keepLines w:val="0"/>
        <w:pageBreakBefore w:val="0"/>
        <w:widowControl/>
        <w:kinsoku/>
        <w:wordWrap/>
        <w:overflowPunct/>
        <w:topLinePunct w:val="0"/>
        <w:bidi w:val="0"/>
        <w:snapToGrid/>
        <w:spacing w:line="420" w:lineRule="exact"/>
        <w:ind w:firstLine="480" w:firstLineChars="200"/>
        <w:jc w:val="both"/>
        <w:textAlignment w:val="auto"/>
        <w:rPr>
          <w:rFonts w:hint="eastAsia" w:ascii="宋体" w:hAnsi="宋体" w:eastAsia="宋体" w:cs="宋体"/>
          <w:color w:val="000000"/>
          <w:kern w:val="2"/>
          <w:sz w:val="24"/>
          <w:szCs w:val="24"/>
          <w:highlight w:val="none"/>
          <w:lang w:eastAsia="zh-CN"/>
        </w:rPr>
      </w:pPr>
      <w:r>
        <w:rPr>
          <w:rFonts w:hint="eastAsia" w:ascii="宋体" w:hAnsi="宋体" w:eastAsia="宋体" w:cs="宋体"/>
          <w:color w:val="000000"/>
          <w:kern w:val="2"/>
          <w:sz w:val="24"/>
          <w:szCs w:val="24"/>
          <w:highlight w:val="none"/>
        </w:rPr>
        <w:t>立项依据</w:t>
      </w:r>
      <w:r>
        <w:rPr>
          <w:rFonts w:hint="eastAsia" w:ascii="宋体" w:hAnsi="宋体" w:eastAsia="宋体" w:cs="宋体"/>
          <w:color w:val="000000"/>
          <w:kern w:val="2"/>
          <w:sz w:val="24"/>
          <w:szCs w:val="24"/>
          <w:highlight w:val="none"/>
          <w:lang w:eastAsia="zh-CN"/>
        </w:rPr>
        <w:t>：</w:t>
      </w:r>
    </w:p>
    <w:p w14:paraId="37CC7A8C">
      <w:pPr>
        <w:pStyle w:val="56"/>
        <w:widowControl/>
        <w:spacing w:line="420" w:lineRule="exact"/>
        <w:ind w:firstLine="480" w:firstLineChars="200"/>
        <w:rPr>
          <w:rFonts w:ascii="宋体" w:hAnsi="宋体" w:cs="宋体"/>
          <w:color w:val="000000"/>
          <w:highlight w:val="none"/>
          <w:shd w:val="clear" w:color="auto" w:fill="FFFFFF"/>
        </w:rPr>
      </w:pPr>
      <w:r>
        <w:rPr>
          <w:rFonts w:hint="eastAsia" w:ascii="宋体" w:hAnsi="宋体" w:cs="宋体"/>
          <w:color w:val="000000"/>
          <w:highlight w:val="none"/>
        </w:rPr>
        <w:t>（1）</w:t>
      </w:r>
      <w:r>
        <w:rPr>
          <w:rFonts w:hint="eastAsia" w:ascii="宋体" w:hAnsi="宋体" w:cs="宋体"/>
          <w:color w:val="000000"/>
          <w:highlight w:val="none"/>
          <w:lang w:eastAsia="zh-CN"/>
        </w:rPr>
        <w:t>《</w:t>
      </w:r>
      <w:r>
        <w:rPr>
          <w:rFonts w:hint="eastAsia" w:ascii="宋体" w:hAnsi="宋体" w:cs="宋体"/>
          <w:color w:val="000000"/>
          <w:highlight w:val="none"/>
        </w:rPr>
        <w:t>台州市人民政府办公室关于贯彻落实</w:t>
      </w:r>
      <w:r>
        <w:rPr>
          <w:rFonts w:hint="eastAsia" w:ascii="宋体" w:hAnsi="宋体" w:cs="宋体"/>
          <w:color w:val="000000"/>
          <w:highlight w:val="none"/>
          <w:lang w:val="en-US" w:eastAsia="zh-CN"/>
        </w:rPr>
        <w:t>&lt;</w:t>
      </w:r>
      <w:r>
        <w:rPr>
          <w:rFonts w:hint="eastAsia" w:ascii="宋体" w:hAnsi="宋体" w:cs="宋体"/>
          <w:color w:val="000000"/>
          <w:highlight w:val="none"/>
        </w:rPr>
        <w:t>台州市居家养老服务条例</w:t>
      </w:r>
      <w:r>
        <w:rPr>
          <w:rFonts w:hint="eastAsia" w:ascii="宋体" w:hAnsi="宋体" w:cs="宋体"/>
          <w:color w:val="000000"/>
          <w:highlight w:val="none"/>
          <w:lang w:val="en-US" w:eastAsia="zh-CN"/>
        </w:rPr>
        <w:t>&gt;</w:t>
      </w:r>
      <w:r>
        <w:rPr>
          <w:rFonts w:hint="eastAsia" w:ascii="宋体" w:hAnsi="宋体" w:cs="宋体"/>
          <w:color w:val="000000"/>
          <w:highlight w:val="none"/>
        </w:rPr>
        <w:t>的实施意见</w:t>
      </w:r>
      <w:r>
        <w:rPr>
          <w:rFonts w:hint="eastAsia" w:ascii="宋体" w:hAnsi="宋体" w:cs="宋体"/>
          <w:color w:val="000000"/>
          <w:highlight w:val="none"/>
          <w:lang w:eastAsia="zh-CN"/>
        </w:rPr>
        <w:t>》</w:t>
      </w:r>
      <w:r>
        <w:rPr>
          <w:rFonts w:hint="eastAsia" w:ascii="宋体" w:hAnsi="宋体" w:cs="宋体"/>
          <w:highlight w:val="none"/>
        </w:rPr>
        <w:t>（台政办发〔2022〕54号）；</w:t>
      </w:r>
    </w:p>
    <w:p w14:paraId="1B7BC778">
      <w:pPr>
        <w:pStyle w:val="56"/>
        <w:widowControl/>
        <w:spacing w:line="420" w:lineRule="exact"/>
        <w:ind w:firstLine="480" w:firstLineChars="200"/>
        <w:rPr>
          <w:rFonts w:ascii="宋体" w:hAnsi="宋体" w:cs="宋体"/>
          <w:color w:val="000000"/>
          <w:highlight w:val="none"/>
          <w:shd w:val="clear" w:color="auto" w:fill="FFFFFF"/>
        </w:rPr>
      </w:pPr>
      <w:r>
        <w:rPr>
          <w:rFonts w:hint="eastAsia" w:ascii="宋体" w:hAnsi="宋体" w:cs="宋体"/>
          <w:color w:val="000000"/>
          <w:highlight w:val="none"/>
          <w:shd w:val="clear" w:color="auto" w:fill="FFFFFF"/>
        </w:rPr>
        <w:t>（2）</w:t>
      </w:r>
      <w:r>
        <w:rPr>
          <w:rFonts w:hint="eastAsia" w:ascii="宋体" w:hAnsi="宋体" w:cs="宋体"/>
          <w:color w:val="000000"/>
          <w:highlight w:val="none"/>
          <w:lang w:eastAsia="zh-CN"/>
        </w:rPr>
        <w:t>《</w:t>
      </w:r>
      <w:r>
        <w:rPr>
          <w:rFonts w:hint="eastAsia" w:ascii="宋体" w:hAnsi="宋体" w:cs="宋体"/>
          <w:highlight w:val="none"/>
        </w:rPr>
        <w:t>台州市椒江区人民政府办公室关于贯彻落实</w:t>
      </w:r>
      <w:r>
        <w:rPr>
          <w:rFonts w:hint="eastAsia" w:ascii="宋体" w:hAnsi="宋体" w:cs="宋体"/>
          <w:color w:val="000000"/>
          <w:highlight w:val="none"/>
          <w:lang w:val="en-US" w:eastAsia="zh-CN"/>
        </w:rPr>
        <w:t>&lt;</w:t>
      </w:r>
      <w:r>
        <w:rPr>
          <w:rFonts w:hint="eastAsia" w:ascii="宋体" w:hAnsi="宋体" w:cs="宋体"/>
          <w:highlight w:val="none"/>
        </w:rPr>
        <w:t>台州市居家养老服务条例</w:t>
      </w:r>
      <w:r>
        <w:rPr>
          <w:rFonts w:hint="eastAsia" w:ascii="宋体" w:hAnsi="宋体" w:cs="宋体"/>
          <w:color w:val="000000"/>
          <w:highlight w:val="none"/>
          <w:lang w:val="en-US" w:eastAsia="zh-CN"/>
        </w:rPr>
        <w:t>&gt;</w:t>
      </w:r>
      <w:r>
        <w:rPr>
          <w:rFonts w:hint="eastAsia" w:ascii="宋体" w:hAnsi="宋体" w:cs="宋体"/>
          <w:highlight w:val="none"/>
        </w:rPr>
        <w:t>的实施意见</w:t>
      </w:r>
      <w:r>
        <w:rPr>
          <w:rFonts w:hint="eastAsia" w:ascii="宋体" w:hAnsi="宋体" w:cs="宋体"/>
          <w:color w:val="000000"/>
          <w:highlight w:val="none"/>
          <w:lang w:eastAsia="zh-CN"/>
        </w:rPr>
        <w:t>》</w:t>
      </w:r>
      <w:r>
        <w:rPr>
          <w:rFonts w:hint="eastAsia" w:ascii="宋体" w:hAnsi="宋体" w:cs="宋体"/>
          <w:highlight w:val="none"/>
        </w:rPr>
        <w:t>（椒政办发〔2023〕88号）；</w:t>
      </w:r>
    </w:p>
    <w:p w14:paraId="6ACC5AF0">
      <w:pPr>
        <w:pStyle w:val="56"/>
        <w:spacing w:line="420" w:lineRule="exact"/>
        <w:ind w:firstLine="480" w:firstLineChars="200"/>
        <w:rPr>
          <w:rFonts w:hint="eastAsia" w:ascii="宋体" w:hAnsi="宋体" w:cs="宋体"/>
          <w:color w:val="000000"/>
          <w:highlight w:val="none"/>
          <w:shd w:val="clear" w:color="auto" w:fill="FFFFFF"/>
        </w:rPr>
      </w:pPr>
      <w:r>
        <w:rPr>
          <w:rFonts w:hint="eastAsia" w:ascii="宋体" w:hAnsi="宋体" w:cs="宋体"/>
          <w:color w:val="000000"/>
          <w:highlight w:val="none"/>
          <w:shd w:val="clear" w:color="auto" w:fill="FFFFFF"/>
        </w:rPr>
        <w:t>（3）</w:t>
      </w:r>
      <w:r>
        <w:rPr>
          <w:rFonts w:hint="eastAsia" w:ascii="宋体" w:hAnsi="宋体" w:cs="宋体"/>
          <w:color w:val="000000"/>
          <w:highlight w:val="none"/>
          <w:lang w:eastAsia="zh-CN"/>
        </w:rPr>
        <w:t>《</w:t>
      </w:r>
      <w:r>
        <w:rPr>
          <w:rFonts w:hint="eastAsia" w:ascii="宋体" w:hAnsi="宋体" w:cs="宋体"/>
          <w:highlight w:val="none"/>
        </w:rPr>
        <w:t>浙江省民政厅、浙江省财政厅</w:t>
      </w:r>
      <w:r>
        <w:rPr>
          <w:rFonts w:hint="eastAsia" w:ascii="宋体" w:hAnsi="宋体" w:cs="宋体"/>
          <w:color w:val="000000"/>
          <w:highlight w:val="none"/>
          <w:lang w:val="en-US" w:eastAsia="zh-CN"/>
        </w:rPr>
        <w:t>&lt;</w:t>
      </w:r>
      <w:r>
        <w:rPr>
          <w:rFonts w:hint="eastAsia" w:ascii="宋体" w:hAnsi="宋体" w:cs="宋体"/>
          <w:highlight w:val="none"/>
        </w:rPr>
        <w:t>关于健全困难老年人补贴制度</w:t>
      </w:r>
      <w:r>
        <w:rPr>
          <w:rFonts w:hint="eastAsia" w:ascii="宋体" w:hAnsi="宋体" w:cs="宋体"/>
          <w:color w:val="000000"/>
          <w:highlight w:val="none"/>
          <w:lang w:val="en-US" w:eastAsia="zh-CN"/>
        </w:rPr>
        <w:t>&gt;</w:t>
      </w:r>
      <w:r>
        <w:rPr>
          <w:rFonts w:hint="eastAsia" w:ascii="宋体" w:hAnsi="宋体" w:cs="宋体"/>
          <w:highlight w:val="none"/>
        </w:rPr>
        <w:t>的通知</w:t>
      </w:r>
      <w:r>
        <w:rPr>
          <w:rFonts w:hint="eastAsia" w:ascii="宋体" w:hAnsi="宋体" w:cs="宋体"/>
          <w:color w:val="000000"/>
          <w:highlight w:val="none"/>
          <w:lang w:eastAsia="zh-CN"/>
        </w:rPr>
        <w:t>》</w:t>
      </w:r>
      <w:r>
        <w:rPr>
          <w:rFonts w:hint="eastAsia" w:ascii="宋体" w:hAnsi="宋体" w:cs="宋体"/>
          <w:highlight w:val="none"/>
        </w:rPr>
        <w:t>（浙民养〔2024〕85号）；</w:t>
      </w:r>
    </w:p>
    <w:p w14:paraId="5D4C5A59">
      <w:pPr>
        <w:pStyle w:val="56"/>
        <w:widowControl/>
        <w:spacing w:line="420" w:lineRule="exact"/>
        <w:ind w:firstLine="480" w:firstLineChars="200"/>
        <w:rPr>
          <w:rFonts w:hint="eastAsia" w:ascii="宋体" w:hAnsi="宋体" w:cs="宋体"/>
          <w:highlight w:val="none"/>
        </w:rPr>
      </w:pPr>
      <w:r>
        <w:rPr>
          <w:rFonts w:hint="eastAsia" w:ascii="宋体" w:hAnsi="宋体" w:cs="宋体"/>
          <w:highlight w:val="none"/>
        </w:rPr>
        <w:t>（4）</w:t>
      </w:r>
      <w:r>
        <w:rPr>
          <w:rFonts w:hint="eastAsia" w:ascii="宋体" w:hAnsi="宋体" w:cs="宋体"/>
          <w:color w:val="000000"/>
          <w:highlight w:val="none"/>
          <w:lang w:eastAsia="zh-CN"/>
        </w:rPr>
        <w:t>《</w:t>
      </w:r>
      <w:r>
        <w:rPr>
          <w:rFonts w:hint="eastAsia" w:ascii="宋体" w:hAnsi="宋体" w:cs="宋体"/>
          <w:highlight w:val="none"/>
        </w:rPr>
        <w:t>浙江省民政厅等5部门关于印发</w:t>
      </w:r>
      <w:r>
        <w:rPr>
          <w:rFonts w:hint="eastAsia" w:ascii="宋体" w:hAnsi="宋体" w:cs="宋体"/>
          <w:color w:val="000000"/>
          <w:highlight w:val="none"/>
          <w:lang w:val="en-US" w:eastAsia="zh-CN"/>
        </w:rPr>
        <w:t>&lt;</w:t>
      </w:r>
      <w:r>
        <w:rPr>
          <w:rFonts w:hint="eastAsia" w:ascii="宋体" w:hAnsi="宋体" w:cs="宋体"/>
          <w:highlight w:val="none"/>
        </w:rPr>
        <w:t>养老服务“爱心卡”实施方案</w:t>
      </w:r>
      <w:r>
        <w:rPr>
          <w:rFonts w:hint="eastAsia" w:ascii="宋体" w:hAnsi="宋体" w:cs="宋体"/>
          <w:color w:val="000000"/>
          <w:highlight w:val="none"/>
          <w:lang w:val="en-US" w:eastAsia="zh-CN"/>
        </w:rPr>
        <w:t>&gt;</w:t>
      </w:r>
      <w:r>
        <w:rPr>
          <w:rFonts w:hint="eastAsia" w:ascii="宋体" w:hAnsi="宋体" w:cs="宋体"/>
          <w:highlight w:val="none"/>
        </w:rPr>
        <w:t>的通知</w:t>
      </w:r>
      <w:r>
        <w:rPr>
          <w:rFonts w:hint="eastAsia" w:ascii="宋体" w:hAnsi="宋体" w:cs="宋体"/>
          <w:color w:val="000000"/>
          <w:highlight w:val="none"/>
          <w:lang w:eastAsia="zh-CN"/>
        </w:rPr>
        <w:t>》</w:t>
      </w:r>
      <w:r>
        <w:rPr>
          <w:rFonts w:hint="eastAsia" w:ascii="宋体" w:hAnsi="宋体" w:cs="宋体"/>
          <w:highlight w:val="none"/>
        </w:rPr>
        <w:t>（浙民养〔2024〕87号）；</w:t>
      </w:r>
    </w:p>
    <w:p w14:paraId="0CBF1CA9">
      <w:pPr>
        <w:pStyle w:val="56"/>
        <w:keepNext w:val="0"/>
        <w:keepLines w:val="0"/>
        <w:pageBreakBefore w:val="0"/>
        <w:widowControl/>
        <w:kinsoku/>
        <w:wordWrap/>
        <w:overflowPunct/>
        <w:topLinePunct w:val="0"/>
        <w:bidi w:val="0"/>
        <w:snapToGrid/>
        <w:spacing w:line="420" w:lineRule="exact"/>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cs="宋体"/>
          <w:sz w:val="24"/>
          <w:highlight w:val="none"/>
        </w:rPr>
        <w:t>（5）</w:t>
      </w:r>
      <w:r>
        <w:rPr>
          <w:rFonts w:hint="eastAsia" w:ascii="宋体" w:hAnsi="宋体" w:cs="宋体"/>
          <w:color w:val="000000"/>
          <w:highlight w:val="none"/>
          <w:lang w:eastAsia="zh-CN"/>
        </w:rPr>
        <w:t>《</w:t>
      </w:r>
      <w:r>
        <w:rPr>
          <w:rFonts w:hint="eastAsia" w:ascii="宋体" w:hAnsi="宋体" w:cs="宋体"/>
          <w:sz w:val="24"/>
          <w:highlight w:val="none"/>
        </w:rPr>
        <w:t>台州市椒江区民政局、台州市椒江区财政局关于</w:t>
      </w:r>
      <w:r>
        <w:rPr>
          <w:rFonts w:hint="eastAsia" w:ascii="宋体" w:hAnsi="宋体" w:cs="宋体"/>
          <w:color w:val="000000"/>
          <w:highlight w:val="none"/>
          <w:lang w:val="en-US" w:eastAsia="zh-CN"/>
        </w:rPr>
        <w:t>&lt;</w:t>
      </w:r>
      <w:r>
        <w:rPr>
          <w:rFonts w:hint="eastAsia" w:ascii="宋体" w:hAnsi="宋体" w:cs="宋体"/>
          <w:sz w:val="24"/>
          <w:highlight w:val="none"/>
        </w:rPr>
        <w:t>健全困难老年人补贴制度</w:t>
      </w:r>
      <w:r>
        <w:rPr>
          <w:rFonts w:hint="eastAsia" w:ascii="宋体" w:hAnsi="宋体" w:cs="宋体"/>
          <w:color w:val="000000"/>
          <w:highlight w:val="none"/>
          <w:lang w:val="en-US" w:eastAsia="zh-CN"/>
        </w:rPr>
        <w:t>&gt;</w:t>
      </w:r>
      <w:r>
        <w:rPr>
          <w:rFonts w:hint="eastAsia" w:ascii="宋体" w:hAnsi="宋体" w:cs="宋体"/>
          <w:sz w:val="24"/>
          <w:highlight w:val="none"/>
        </w:rPr>
        <w:t>的通知</w:t>
      </w:r>
      <w:r>
        <w:rPr>
          <w:rFonts w:hint="eastAsia" w:ascii="宋体" w:hAnsi="宋体" w:cs="宋体"/>
          <w:color w:val="000000"/>
          <w:highlight w:val="none"/>
          <w:lang w:eastAsia="zh-CN"/>
        </w:rPr>
        <w:t>》</w:t>
      </w:r>
      <w:r>
        <w:rPr>
          <w:rFonts w:hint="eastAsia" w:ascii="宋体" w:hAnsi="宋体" w:cs="宋体"/>
          <w:sz w:val="24"/>
          <w:highlight w:val="none"/>
        </w:rPr>
        <w:t>（椒民政〔2024〕46号）。</w:t>
      </w:r>
    </w:p>
    <w:p w14:paraId="07BE8D95">
      <w:pPr>
        <w:keepNext w:val="0"/>
        <w:keepLines w:val="0"/>
        <w:pageBreakBefore w:val="0"/>
        <w:shd w:val="clear" w:color="auto" w:fill="auto"/>
        <w:kinsoku/>
        <w:wordWrap/>
        <w:overflowPunct/>
        <w:topLinePunct w:val="0"/>
        <w:bidi w:val="0"/>
        <w:snapToGrid/>
        <w:spacing w:line="420" w:lineRule="exact"/>
        <w:ind w:firstLine="480" w:firstLineChars="200"/>
        <w:textAlignment w:val="auto"/>
        <w:rPr>
          <w:rFonts w:hint="eastAsia" w:ascii="宋体" w:hAnsi="宋体" w:eastAsia="宋体" w:cs="宋体"/>
          <w:color w:val="000000"/>
          <w:sz w:val="24"/>
          <w:szCs w:val="24"/>
          <w:highlight w:val="none"/>
          <w:lang w:val="en-US"/>
        </w:rPr>
      </w:pPr>
      <w:r>
        <w:rPr>
          <w:rFonts w:hint="eastAsia" w:ascii="宋体" w:hAnsi="宋体" w:eastAsia="宋体" w:cs="宋体"/>
          <w:b w:val="0"/>
          <w:bCs w:val="0"/>
          <w:color w:val="000000"/>
          <w:sz w:val="24"/>
          <w:szCs w:val="24"/>
          <w:highlight w:val="none"/>
        </w:rPr>
        <w:t>注：</w:t>
      </w:r>
      <w:r>
        <w:rPr>
          <w:rFonts w:hint="eastAsia" w:ascii="宋体" w:hAnsi="宋体" w:eastAsia="宋体" w:cs="宋体"/>
          <w:color w:val="000000"/>
          <w:sz w:val="24"/>
          <w:szCs w:val="24"/>
          <w:highlight w:val="none"/>
          <w:lang w:val="en-US" w:eastAsia="zh-CN"/>
        </w:rPr>
        <w:t>如遇国家、省、市、区出台相关政策性调整时，按最新政策执行，采购人可根据需要和成交供应商终止该项目合同。</w:t>
      </w:r>
    </w:p>
    <w:p w14:paraId="295805AC">
      <w:pPr>
        <w:keepNext w:val="0"/>
        <w:keepLines w:val="0"/>
        <w:pageBreakBefore w:val="0"/>
        <w:shd w:val="clear" w:color="auto" w:fill="auto"/>
        <w:kinsoku/>
        <w:wordWrap/>
        <w:overflowPunct/>
        <w:topLinePunct w:val="0"/>
        <w:bidi w:val="0"/>
        <w:snapToGrid/>
        <w:spacing w:line="420" w:lineRule="exact"/>
        <w:textAlignment w:val="auto"/>
        <w:rPr>
          <w:rFonts w:hint="eastAsia" w:ascii="宋体" w:hAnsi="宋体" w:eastAsia="宋体" w:cs="宋体"/>
          <w:b/>
          <w:bCs/>
          <w:color w:val="000000"/>
          <w:sz w:val="24"/>
          <w:szCs w:val="24"/>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000000"/>
          <w:sz w:val="24"/>
          <w:szCs w:val="24"/>
          <w:highlight w:val="none"/>
          <w:lang w:val="en-US" w:eastAsia="zh-CN"/>
        </w:rPr>
        <w:t>三</w:t>
      </w:r>
      <w:r>
        <w:rPr>
          <w:rFonts w:hint="eastAsia" w:ascii="宋体" w:hAnsi="宋体" w:eastAsia="宋体" w:cs="宋体"/>
          <w:b/>
          <w:bCs/>
          <w:color w:val="000000"/>
          <w:sz w:val="24"/>
          <w:szCs w:val="24"/>
          <w:highlight w:val="none"/>
        </w:rPr>
        <w:t>、服务要求</w:t>
      </w:r>
    </w:p>
    <w:p w14:paraId="1456DB51">
      <w:pPr>
        <w:pStyle w:val="56"/>
        <w:keepNext w:val="0"/>
        <w:keepLines w:val="0"/>
        <w:pageBreakBefore w:val="0"/>
        <w:widowControl/>
        <w:kinsoku/>
        <w:wordWrap/>
        <w:overflowPunct/>
        <w:topLinePunct w:val="0"/>
        <w:bidi w:val="0"/>
        <w:snapToGrid/>
        <w:spacing w:line="420" w:lineRule="exact"/>
        <w:ind w:firstLine="480" w:firstLineChars="200"/>
        <w:jc w:val="both"/>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1</w:t>
      </w:r>
      <w:r>
        <w:rPr>
          <w:rFonts w:hint="eastAsia" w:ascii="宋体" w:hAnsi="宋体" w:eastAsia="宋体" w:cs="宋体"/>
          <w:color w:val="000000"/>
          <w:kern w:val="2"/>
          <w:sz w:val="24"/>
          <w:szCs w:val="24"/>
          <w:highlight w:val="none"/>
          <w:lang w:eastAsia="zh-CN"/>
        </w:rPr>
        <w:t>、成交供应商</w:t>
      </w:r>
      <w:r>
        <w:rPr>
          <w:rFonts w:hint="eastAsia" w:ascii="宋体" w:hAnsi="宋体" w:eastAsia="宋体" w:cs="宋体"/>
          <w:color w:val="000000"/>
          <w:kern w:val="2"/>
          <w:sz w:val="24"/>
          <w:szCs w:val="24"/>
          <w:highlight w:val="none"/>
        </w:rPr>
        <w:t>须按照采购人要求将所有服务项目实时、准确录入采购人指定的平台。</w:t>
      </w:r>
    </w:p>
    <w:p w14:paraId="45EFE40D">
      <w:pPr>
        <w:pStyle w:val="56"/>
        <w:keepNext w:val="0"/>
        <w:keepLines w:val="0"/>
        <w:pageBreakBefore w:val="0"/>
        <w:widowControl/>
        <w:kinsoku/>
        <w:wordWrap/>
        <w:overflowPunct/>
        <w:topLinePunct w:val="0"/>
        <w:bidi w:val="0"/>
        <w:snapToGrid/>
        <w:spacing w:line="420" w:lineRule="exact"/>
        <w:ind w:firstLine="480" w:firstLineChars="200"/>
        <w:jc w:val="both"/>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rPr>
        <w:t>2</w:t>
      </w:r>
      <w:r>
        <w:rPr>
          <w:rFonts w:hint="eastAsia" w:ascii="宋体" w:hAnsi="宋体" w:eastAsia="宋体" w:cs="宋体"/>
          <w:color w:val="000000"/>
          <w:kern w:val="2"/>
          <w:sz w:val="24"/>
          <w:szCs w:val="24"/>
          <w:highlight w:val="none"/>
          <w:lang w:eastAsia="zh-CN"/>
        </w:rPr>
        <w:t>、成交供应商</w:t>
      </w:r>
      <w:r>
        <w:rPr>
          <w:rFonts w:hint="eastAsia" w:ascii="宋体" w:hAnsi="宋体" w:eastAsia="宋体" w:cs="宋体"/>
          <w:color w:val="000000"/>
          <w:kern w:val="2"/>
          <w:sz w:val="24"/>
          <w:szCs w:val="24"/>
          <w:highlight w:val="none"/>
        </w:rPr>
        <w:t>应按照建立的制度及标准完成日常工作</w:t>
      </w:r>
      <w:r>
        <w:rPr>
          <w:rFonts w:hint="eastAsia" w:ascii="宋体" w:hAnsi="宋体" w:cs="宋体"/>
          <w:color w:val="000000"/>
          <w:kern w:val="2"/>
          <w:sz w:val="24"/>
          <w:szCs w:val="24"/>
          <w:highlight w:val="none"/>
          <w:lang w:eastAsia="zh-CN"/>
        </w:rPr>
        <w:t>，</w:t>
      </w:r>
      <w:r>
        <w:rPr>
          <w:rFonts w:hint="eastAsia" w:ascii="宋体" w:hAnsi="宋体" w:eastAsia="宋体" w:cs="宋体"/>
          <w:color w:val="000000"/>
          <w:kern w:val="2"/>
          <w:sz w:val="24"/>
          <w:szCs w:val="24"/>
          <w:highlight w:val="none"/>
        </w:rPr>
        <w:t>并编写服务记录等工作台账。</w:t>
      </w:r>
    </w:p>
    <w:p w14:paraId="32CC666C">
      <w:pPr>
        <w:pStyle w:val="56"/>
        <w:keepNext w:val="0"/>
        <w:keepLines w:val="0"/>
        <w:pageBreakBefore w:val="0"/>
        <w:widowControl/>
        <w:kinsoku/>
        <w:wordWrap/>
        <w:overflowPunct/>
        <w:topLinePunct w:val="0"/>
        <w:bidi w:val="0"/>
        <w:snapToGrid/>
        <w:spacing w:line="420" w:lineRule="exact"/>
        <w:ind w:firstLine="480" w:firstLineChars="200"/>
        <w:jc w:val="both"/>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rPr>
        <w:t>3</w:t>
      </w:r>
      <w:r>
        <w:rPr>
          <w:rFonts w:hint="eastAsia" w:ascii="宋体" w:hAnsi="宋体" w:eastAsia="宋体" w:cs="宋体"/>
          <w:color w:val="000000"/>
          <w:kern w:val="2"/>
          <w:sz w:val="24"/>
          <w:szCs w:val="24"/>
          <w:highlight w:val="none"/>
          <w:lang w:eastAsia="zh-CN"/>
        </w:rPr>
        <w:t>、成交供应商</w:t>
      </w:r>
      <w:r>
        <w:rPr>
          <w:rFonts w:hint="eastAsia" w:ascii="宋体" w:hAnsi="宋体" w:eastAsia="宋体" w:cs="宋体"/>
          <w:color w:val="000000"/>
          <w:kern w:val="2"/>
          <w:sz w:val="24"/>
          <w:szCs w:val="24"/>
          <w:highlight w:val="none"/>
        </w:rPr>
        <w:t>对服务对象的服务需求应定期进行调查、评估。及时调整、更新、拓展服务项目，提高服务运营的可行性和可持续性。</w:t>
      </w:r>
    </w:p>
    <w:p w14:paraId="047878DC">
      <w:pPr>
        <w:pStyle w:val="56"/>
        <w:keepNext w:val="0"/>
        <w:keepLines w:val="0"/>
        <w:pageBreakBefore w:val="0"/>
        <w:widowControl/>
        <w:kinsoku/>
        <w:wordWrap/>
        <w:overflowPunct/>
        <w:topLinePunct w:val="0"/>
        <w:bidi w:val="0"/>
        <w:snapToGrid/>
        <w:spacing w:line="420" w:lineRule="exact"/>
        <w:ind w:firstLine="480" w:firstLineChars="200"/>
        <w:jc w:val="both"/>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rPr>
        <w:t>4</w:t>
      </w:r>
      <w:r>
        <w:rPr>
          <w:rFonts w:hint="eastAsia" w:ascii="宋体" w:hAnsi="宋体" w:eastAsia="宋体" w:cs="宋体"/>
          <w:color w:val="000000"/>
          <w:kern w:val="2"/>
          <w:sz w:val="24"/>
          <w:szCs w:val="24"/>
          <w:highlight w:val="none"/>
          <w:lang w:eastAsia="zh-CN"/>
        </w:rPr>
        <w:t>、成交供应商</w:t>
      </w:r>
      <w:r>
        <w:rPr>
          <w:rFonts w:hint="eastAsia" w:ascii="宋体" w:hAnsi="宋体" w:eastAsia="宋体" w:cs="宋体"/>
          <w:color w:val="000000"/>
          <w:kern w:val="2"/>
          <w:sz w:val="24"/>
          <w:szCs w:val="24"/>
          <w:highlight w:val="none"/>
        </w:rPr>
        <w:t>应建立服务团队的内部检查和监督机制。在开展日常工作的同时，定期开展服务满意度调查，满意度应保持在80%以上</w:t>
      </w:r>
      <w:r>
        <w:rPr>
          <w:rFonts w:hint="eastAsia" w:ascii="宋体" w:hAnsi="宋体" w:cs="宋体"/>
          <w:color w:val="000000"/>
          <w:kern w:val="2"/>
          <w:sz w:val="24"/>
          <w:szCs w:val="24"/>
          <w:highlight w:val="none"/>
          <w:lang w:eastAsia="zh-CN"/>
        </w:rPr>
        <w:t>，</w:t>
      </w:r>
      <w:r>
        <w:rPr>
          <w:rFonts w:hint="eastAsia" w:ascii="宋体" w:hAnsi="宋体" w:eastAsia="宋体" w:cs="宋体"/>
          <w:color w:val="000000"/>
          <w:kern w:val="2"/>
          <w:sz w:val="24"/>
          <w:szCs w:val="24"/>
          <w:highlight w:val="none"/>
        </w:rPr>
        <w:t>并根据满意度调查的结果进行研究分析，持续改进服务质量</w:t>
      </w:r>
      <w:r>
        <w:rPr>
          <w:rFonts w:hint="eastAsia" w:ascii="宋体" w:hAnsi="宋体" w:cs="宋体"/>
          <w:color w:val="000000"/>
          <w:kern w:val="2"/>
          <w:sz w:val="24"/>
          <w:szCs w:val="24"/>
          <w:highlight w:val="none"/>
          <w:lang w:eastAsia="zh-CN"/>
        </w:rPr>
        <w:t>，</w:t>
      </w:r>
      <w:r>
        <w:rPr>
          <w:rFonts w:hint="eastAsia" w:ascii="宋体" w:hAnsi="宋体" w:eastAsia="宋体" w:cs="宋体"/>
          <w:color w:val="000000"/>
          <w:kern w:val="2"/>
          <w:sz w:val="24"/>
          <w:szCs w:val="24"/>
          <w:highlight w:val="none"/>
        </w:rPr>
        <w:t>投诉解决率应达到100%。</w:t>
      </w:r>
    </w:p>
    <w:p w14:paraId="15737A4F">
      <w:pPr>
        <w:keepNext w:val="0"/>
        <w:keepLines w:val="0"/>
        <w:pageBreakBefore w:val="0"/>
        <w:shd w:val="clear" w:color="auto" w:fill="auto"/>
        <w:kinsoku/>
        <w:wordWrap/>
        <w:overflowPunct/>
        <w:topLinePunct w:val="0"/>
        <w:bidi w:val="0"/>
        <w:snapToGrid/>
        <w:spacing w:line="420" w:lineRule="exact"/>
        <w:ind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cs="宋体"/>
          <w:b w:val="0"/>
          <w:bCs w:val="0"/>
          <w:color w:val="000000"/>
          <w:sz w:val="24"/>
          <w:szCs w:val="24"/>
          <w:highlight w:val="none"/>
          <w:lang w:val="en-US" w:eastAsia="zh-CN"/>
        </w:rPr>
        <w:t>5</w:t>
      </w:r>
      <w:r>
        <w:rPr>
          <w:rFonts w:hint="eastAsia" w:ascii="宋体" w:hAnsi="宋体" w:eastAsia="宋体" w:cs="宋体"/>
          <w:b w:val="0"/>
          <w:bCs w:val="0"/>
          <w:color w:val="000000"/>
          <w:sz w:val="24"/>
          <w:szCs w:val="24"/>
          <w:highlight w:val="none"/>
          <w:lang w:eastAsia="zh-CN"/>
        </w:rPr>
        <w:t>、成交供应商</w:t>
      </w:r>
      <w:r>
        <w:rPr>
          <w:rFonts w:hint="eastAsia" w:ascii="宋体" w:hAnsi="宋体" w:eastAsia="宋体" w:cs="宋体"/>
          <w:b w:val="0"/>
          <w:bCs w:val="0"/>
          <w:color w:val="000000"/>
          <w:sz w:val="24"/>
          <w:szCs w:val="24"/>
          <w:highlight w:val="none"/>
        </w:rPr>
        <w:t>应建立完善的财务管理制度。</w:t>
      </w:r>
    </w:p>
    <w:p w14:paraId="41AB807B">
      <w:pPr>
        <w:pStyle w:val="56"/>
        <w:keepNext w:val="0"/>
        <w:keepLines w:val="0"/>
        <w:pageBreakBefore w:val="0"/>
        <w:widowControl/>
        <w:kinsoku/>
        <w:wordWrap/>
        <w:overflowPunct/>
        <w:topLinePunct w:val="0"/>
        <w:bidi w:val="0"/>
        <w:snapToGrid/>
        <w:spacing w:line="420" w:lineRule="exact"/>
        <w:ind w:firstLine="480" w:firstLineChars="200"/>
        <w:jc w:val="both"/>
        <w:textAlignment w:val="auto"/>
        <w:rPr>
          <w:rFonts w:hint="eastAsia" w:ascii="宋体" w:hAnsi="宋体" w:eastAsia="宋体" w:cs="宋体"/>
          <w:color w:val="000000"/>
          <w:kern w:val="2"/>
          <w:sz w:val="24"/>
          <w:szCs w:val="24"/>
          <w:highlight w:val="none"/>
        </w:rPr>
      </w:pPr>
      <w:r>
        <w:rPr>
          <w:rFonts w:hint="eastAsia" w:ascii="宋体" w:hAnsi="宋体" w:cs="宋体"/>
          <w:b w:val="0"/>
          <w:bCs w:val="0"/>
          <w:color w:val="000000"/>
          <w:sz w:val="24"/>
          <w:szCs w:val="24"/>
          <w:highlight w:val="none"/>
          <w:lang w:val="en-US" w:eastAsia="zh-CN"/>
        </w:rPr>
        <w:t>6</w:t>
      </w:r>
      <w:r>
        <w:rPr>
          <w:rFonts w:hint="eastAsia" w:ascii="宋体" w:hAnsi="宋体" w:eastAsia="宋体" w:cs="宋体"/>
          <w:b w:val="0"/>
          <w:bCs w:val="0"/>
          <w:color w:val="000000"/>
          <w:sz w:val="24"/>
          <w:szCs w:val="24"/>
          <w:highlight w:val="none"/>
          <w:lang w:eastAsia="zh-CN"/>
        </w:rPr>
        <w:t>、成交供应商</w:t>
      </w:r>
      <w:r>
        <w:rPr>
          <w:rFonts w:hint="eastAsia" w:ascii="宋体" w:hAnsi="宋体" w:eastAsia="宋体" w:cs="宋体"/>
          <w:b w:val="0"/>
          <w:bCs w:val="0"/>
          <w:color w:val="000000"/>
          <w:sz w:val="24"/>
          <w:szCs w:val="24"/>
          <w:highlight w:val="none"/>
        </w:rPr>
        <w:t>应向服务对象说明上门服务的内容、服务要求、服务价格。并将服务内容、服务要</w:t>
      </w:r>
      <w:r>
        <w:rPr>
          <w:rFonts w:hint="eastAsia" w:ascii="宋体" w:hAnsi="宋体" w:eastAsia="宋体" w:cs="宋体"/>
          <w:b w:val="0"/>
          <w:bCs w:val="0"/>
          <w:color w:val="000000"/>
          <w:sz w:val="24"/>
          <w:szCs w:val="24"/>
          <w:highlight w:val="none"/>
          <w:u w:val="none"/>
        </w:rPr>
        <w:t>求、服务价格</w:t>
      </w:r>
      <w:r>
        <w:rPr>
          <w:rFonts w:hint="eastAsia" w:ascii="宋体" w:hAnsi="宋体" w:eastAsia="宋体" w:cs="宋体"/>
          <w:b w:val="0"/>
          <w:bCs w:val="0"/>
          <w:color w:val="000000"/>
          <w:sz w:val="24"/>
          <w:szCs w:val="24"/>
          <w:highlight w:val="none"/>
          <w:u w:val="none"/>
          <w:lang w:val="en-US" w:eastAsia="zh-CN"/>
        </w:rPr>
        <w:t>制作成手册发放给服务对象</w:t>
      </w:r>
      <w:r>
        <w:rPr>
          <w:rFonts w:hint="eastAsia" w:ascii="宋体" w:hAnsi="宋体" w:eastAsia="宋体" w:cs="宋体"/>
          <w:b w:val="0"/>
          <w:bCs w:val="0"/>
          <w:color w:val="000000"/>
          <w:sz w:val="24"/>
          <w:szCs w:val="24"/>
          <w:highlight w:val="none"/>
          <w:u w:val="none"/>
        </w:rPr>
        <w:t>，</w:t>
      </w:r>
      <w:r>
        <w:rPr>
          <w:rFonts w:hint="eastAsia" w:ascii="宋体" w:hAnsi="宋体" w:eastAsia="宋体" w:cs="宋体"/>
          <w:b w:val="0"/>
          <w:bCs w:val="0"/>
          <w:color w:val="000000"/>
          <w:sz w:val="24"/>
          <w:szCs w:val="24"/>
          <w:highlight w:val="none"/>
          <w:u w:val="none"/>
          <w:lang w:val="en-US" w:eastAsia="zh-CN"/>
        </w:rPr>
        <w:t>手册</w:t>
      </w:r>
      <w:r>
        <w:rPr>
          <w:rFonts w:hint="eastAsia" w:ascii="宋体" w:hAnsi="宋体" w:eastAsia="宋体" w:cs="宋体"/>
          <w:b w:val="0"/>
          <w:bCs w:val="0"/>
          <w:color w:val="000000"/>
          <w:sz w:val="24"/>
          <w:szCs w:val="24"/>
          <w:highlight w:val="none"/>
          <w:u w:val="none"/>
        </w:rPr>
        <w:t>须注明服务人员的联系电话及</w:t>
      </w:r>
      <w:r>
        <w:rPr>
          <w:rFonts w:hint="eastAsia" w:ascii="宋体" w:hAnsi="宋体" w:eastAsia="宋体" w:cs="宋体"/>
          <w:b w:val="0"/>
          <w:bCs w:val="0"/>
          <w:color w:val="000000"/>
          <w:sz w:val="24"/>
          <w:szCs w:val="24"/>
          <w:highlight w:val="none"/>
          <w:u w:val="none"/>
          <w:lang w:eastAsia="zh-CN"/>
        </w:rPr>
        <w:t>成交供应商</w:t>
      </w:r>
      <w:r>
        <w:rPr>
          <w:rFonts w:hint="eastAsia" w:ascii="宋体" w:hAnsi="宋体" w:eastAsia="宋体" w:cs="宋体"/>
          <w:b w:val="0"/>
          <w:bCs w:val="0"/>
          <w:color w:val="000000"/>
          <w:sz w:val="24"/>
          <w:szCs w:val="24"/>
          <w:highlight w:val="none"/>
          <w:u w:val="none"/>
        </w:rPr>
        <w:t>接收投诉的联</w:t>
      </w:r>
      <w:r>
        <w:rPr>
          <w:rFonts w:hint="eastAsia" w:ascii="宋体" w:hAnsi="宋体" w:eastAsia="宋体" w:cs="宋体"/>
          <w:b w:val="0"/>
          <w:bCs w:val="0"/>
          <w:color w:val="000000"/>
          <w:sz w:val="24"/>
          <w:szCs w:val="24"/>
          <w:highlight w:val="none"/>
        </w:rPr>
        <w:t>系电话。</w:t>
      </w:r>
    </w:p>
    <w:p w14:paraId="7B9DD182">
      <w:pPr>
        <w:pStyle w:val="56"/>
        <w:keepNext w:val="0"/>
        <w:keepLines w:val="0"/>
        <w:pageBreakBefore w:val="0"/>
        <w:widowControl/>
        <w:kinsoku/>
        <w:wordWrap/>
        <w:overflowPunct/>
        <w:topLinePunct w:val="0"/>
        <w:bidi w:val="0"/>
        <w:snapToGrid/>
        <w:spacing w:line="420" w:lineRule="exact"/>
        <w:ind w:firstLine="480" w:firstLineChars="200"/>
        <w:jc w:val="both"/>
        <w:textAlignment w:val="auto"/>
        <w:rPr>
          <w:rFonts w:hint="eastAsia" w:ascii="宋体" w:hAnsi="宋体" w:eastAsia="宋体" w:cs="宋体"/>
          <w:color w:val="000000"/>
          <w:kern w:val="2"/>
          <w:sz w:val="24"/>
          <w:szCs w:val="24"/>
          <w:highlight w:val="none"/>
          <w:lang w:val="en-US" w:eastAsia="zh-CN"/>
        </w:rPr>
      </w:pPr>
      <w:r>
        <w:rPr>
          <w:rFonts w:hint="eastAsia" w:ascii="宋体" w:hAnsi="宋体" w:cs="宋体"/>
          <w:color w:val="000000"/>
          <w:kern w:val="2"/>
          <w:sz w:val="24"/>
          <w:szCs w:val="24"/>
          <w:highlight w:val="none"/>
          <w:lang w:val="en-US" w:eastAsia="zh-CN"/>
        </w:rPr>
        <w:t>7</w:t>
      </w:r>
      <w:r>
        <w:rPr>
          <w:rFonts w:hint="eastAsia" w:ascii="宋体" w:hAnsi="宋体" w:eastAsia="宋体" w:cs="宋体"/>
          <w:color w:val="000000"/>
          <w:kern w:val="2"/>
          <w:sz w:val="24"/>
          <w:szCs w:val="24"/>
          <w:highlight w:val="none"/>
          <w:lang w:eastAsia="zh-CN"/>
        </w:rPr>
        <w:t>、</w:t>
      </w:r>
      <w:r>
        <w:rPr>
          <w:rFonts w:hint="eastAsia" w:ascii="宋体" w:hAnsi="宋体" w:eastAsia="宋体" w:cs="宋体"/>
          <w:color w:val="000000"/>
          <w:kern w:val="2"/>
          <w:sz w:val="24"/>
          <w:szCs w:val="24"/>
          <w:highlight w:val="none"/>
        </w:rPr>
        <w:t>针对老人特点，制定</w:t>
      </w:r>
      <w:r>
        <w:rPr>
          <w:rFonts w:hint="eastAsia" w:ascii="宋体" w:hAnsi="宋体" w:cs="宋体"/>
          <w:color w:val="000000"/>
          <w:kern w:val="2"/>
          <w:sz w:val="24"/>
          <w:szCs w:val="24"/>
          <w:highlight w:val="none"/>
          <w:lang w:val="en-US" w:eastAsia="zh-CN"/>
        </w:rPr>
        <w:t>个</w:t>
      </w:r>
      <w:r>
        <w:rPr>
          <w:rFonts w:hint="eastAsia" w:ascii="宋体" w:hAnsi="宋体" w:eastAsia="宋体" w:cs="宋体"/>
          <w:color w:val="000000"/>
          <w:kern w:val="2"/>
          <w:sz w:val="24"/>
          <w:szCs w:val="24"/>
          <w:highlight w:val="none"/>
        </w:rPr>
        <w:t>性化服务。</w:t>
      </w:r>
    </w:p>
    <w:p w14:paraId="72721AC5">
      <w:pPr>
        <w:keepNext w:val="0"/>
        <w:keepLines w:val="0"/>
        <w:pageBreakBefore w:val="0"/>
        <w:widowControl w:val="0"/>
        <w:kinsoku/>
        <w:wordWrap/>
        <w:overflowPunct/>
        <w:topLinePunct w:val="0"/>
        <w:autoSpaceDE/>
        <w:autoSpaceDN/>
        <w:bidi w:val="0"/>
        <w:snapToGrid/>
        <w:spacing w:line="420" w:lineRule="exact"/>
        <w:ind w:leftChars="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1"/>
          <w:szCs w:val="21"/>
          <w:highlight w:val="none"/>
        </w:rPr>
        <w:t>▲</w:t>
      </w:r>
      <w:r>
        <w:rPr>
          <w:rFonts w:hint="eastAsia" w:ascii="宋体" w:hAnsi="宋体" w:eastAsia="宋体" w:cs="宋体"/>
          <w:b/>
          <w:color w:val="auto"/>
          <w:sz w:val="24"/>
          <w:szCs w:val="24"/>
          <w:highlight w:val="none"/>
          <w:lang w:val="en-US" w:eastAsia="zh-CN"/>
        </w:rPr>
        <w:t>四、项目需求</w:t>
      </w:r>
    </w:p>
    <w:p w14:paraId="09F957D4">
      <w:pPr>
        <w:keepNext w:val="0"/>
        <w:keepLines w:val="0"/>
        <w:pageBreakBefore w:val="0"/>
        <w:shd w:val="clear" w:color="auto" w:fill="auto"/>
        <w:kinsoku/>
        <w:wordWrap/>
        <w:overflowPunct/>
        <w:topLinePunct w:val="0"/>
        <w:bidi w:val="0"/>
        <w:snapToGrid/>
        <w:spacing w:line="420" w:lineRule="exact"/>
        <w:ind w:firstLine="482" w:firstLineChars="200"/>
        <w:jc w:val="left"/>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1、居家养老上门服务</w:t>
      </w:r>
    </w:p>
    <w:p w14:paraId="70B500B5">
      <w:pPr>
        <w:keepNext w:val="0"/>
        <w:keepLines w:val="0"/>
        <w:pageBreakBefore w:val="0"/>
        <w:shd w:val="clear" w:color="auto" w:fill="auto"/>
        <w:kinsoku/>
        <w:wordWrap/>
        <w:topLinePunct w:val="0"/>
        <w:bidi w:val="0"/>
        <w:snapToGrid/>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b/>
          <w:bCs/>
          <w:color w:val="000000"/>
          <w:sz w:val="24"/>
          <w:szCs w:val="24"/>
          <w:highlight w:val="none"/>
        </w:rPr>
        <w:t>居家养老上门服务</w:t>
      </w:r>
      <w:r>
        <w:rPr>
          <w:rFonts w:hint="eastAsia" w:ascii="宋体" w:hAnsi="宋体" w:eastAsia="宋体" w:cs="宋体"/>
          <w:b/>
          <w:bCs/>
          <w:color w:val="000000"/>
          <w:sz w:val="24"/>
          <w:szCs w:val="24"/>
          <w:highlight w:val="none"/>
          <w:lang w:val="en-US" w:eastAsia="zh-CN"/>
        </w:rPr>
        <w:t>清单</w:t>
      </w:r>
    </w:p>
    <w:tbl>
      <w:tblPr>
        <w:tblStyle w:val="26"/>
        <w:tblW w:w="917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984"/>
        <w:gridCol w:w="1027"/>
        <w:gridCol w:w="1620"/>
        <w:gridCol w:w="2772"/>
        <w:gridCol w:w="1176"/>
        <w:gridCol w:w="948"/>
      </w:tblGrid>
      <w:tr w14:paraId="3C227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775EB375">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3666C9B3">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服务分类</w:t>
            </w:r>
          </w:p>
          <w:p w14:paraId="73FDE9B4">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（一级目录）</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2CE0D177">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具体内容</w:t>
            </w:r>
          </w:p>
          <w:p w14:paraId="2309E0D2">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（二级目录）</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573CC14">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定义</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09C1F81A">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描述</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69820EB4">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cs="宋体"/>
                <w:b/>
                <w:bCs/>
                <w:i w:val="0"/>
                <w:iCs w:val="0"/>
                <w:color w:val="000000"/>
                <w:kern w:val="0"/>
                <w:sz w:val="21"/>
                <w:szCs w:val="21"/>
                <w:highlight w:val="none"/>
                <w:u w:val="none"/>
                <w:lang w:val="en-US" w:eastAsia="zh-CN" w:bidi="ar"/>
              </w:rPr>
              <w:t>综合单价</w:t>
            </w:r>
            <w:r>
              <w:rPr>
                <w:rFonts w:hint="eastAsia" w:ascii="宋体" w:hAnsi="宋体" w:eastAsia="宋体" w:cs="宋体"/>
                <w:b/>
                <w:bCs/>
                <w:i w:val="0"/>
                <w:iCs w:val="0"/>
                <w:color w:val="000000"/>
                <w:kern w:val="0"/>
                <w:sz w:val="21"/>
                <w:szCs w:val="21"/>
                <w:highlight w:val="none"/>
                <w:u w:val="none"/>
                <w:lang w:val="en-US" w:eastAsia="zh-CN" w:bidi="ar"/>
              </w:rPr>
              <w:t>（元）</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1D619D01">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最低服务时长</w:t>
            </w:r>
          </w:p>
          <w:p w14:paraId="2C483CEA">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（分）</w:t>
            </w:r>
          </w:p>
        </w:tc>
      </w:tr>
      <w:tr w14:paraId="5C8F5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0F047A31">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84" w:type="dxa"/>
            <w:vMerge w:val="restart"/>
            <w:tcBorders>
              <w:top w:val="single" w:color="000000" w:sz="4" w:space="0"/>
              <w:left w:val="single" w:color="000000" w:sz="4" w:space="0"/>
              <w:bottom w:val="single" w:color="000000" w:sz="4" w:space="0"/>
              <w:right w:val="single" w:color="000000" w:sz="4" w:space="0"/>
            </w:tcBorders>
            <w:noWrap w:val="0"/>
            <w:vAlign w:val="center"/>
          </w:tcPr>
          <w:p w14:paraId="22F3FC7D">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助餐</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2AAFA4AA">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送餐上门</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1828E1D">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根据老年人需要,将餐食送达老年人的家中或者其他指定地点。</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0516FC36">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根据送餐计划，组织送餐人员按照既定路线和时间表进行送餐。做好保温工作，确保餐食的新鲜。送餐人员了解每位接受者的具体需求和送餐地址。</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2232FA37">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6F596751">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r>
      <w:tr w14:paraId="64448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C5CACC">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9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B5A969">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7BE6F56C">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堂食服务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4DDE65C">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在专门的设施或场所内为居家老年人</w:t>
            </w:r>
            <w:r>
              <w:rPr>
                <w:rFonts w:hint="eastAsia" w:ascii="宋体" w:hAnsi="宋体" w:cs="宋体"/>
                <w:i w:val="0"/>
                <w:iCs w:val="0"/>
                <w:color w:val="000000"/>
                <w:kern w:val="0"/>
                <w:sz w:val="21"/>
                <w:szCs w:val="21"/>
                <w:highlight w:val="none"/>
                <w:u w:val="none"/>
                <w:lang w:val="en-US" w:eastAsia="zh-CN" w:bidi="ar"/>
              </w:rPr>
              <w:t>提供</w:t>
            </w:r>
            <w:r>
              <w:rPr>
                <w:rFonts w:hint="eastAsia" w:ascii="宋体" w:hAnsi="宋体" w:eastAsia="宋体" w:cs="宋体"/>
                <w:i w:val="0"/>
                <w:iCs w:val="0"/>
                <w:color w:val="000000"/>
                <w:kern w:val="0"/>
                <w:sz w:val="21"/>
                <w:szCs w:val="21"/>
                <w:highlight w:val="none"/>
                <w:u w:val="none"/>
                <w:lang w:val="en-US" w:eastAsia="zh-CN" w:bidi="ar"/>
              </w:rPr>
              <w:t>餐食服务。</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4E1EEB07">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在指定时间内提供堂食服务，做好用餐环境的安全卫生工作，餐具必须经过消毒后方可使用。开餐时间，维护好老人的用餐秩序。根据老人的需求，为老人提供餐食。对于有特殊需求的老人，需提供</w:t>
            </w:r>
            <w:r>
              <w:rPr>
                <w:rFonts w:hint="eastAsia" w:ascii="宋体" w:hAnsi="宋体" w:cs="宋体"/>
                <w:i w:val="0"/>
                <w:iCs w:val="0"/>
                <w:color w:val="000000"/>
                <w:kern w:val="0"/>
                <w:sz w:val="21"/>
                <w:szCs w:val="21"/>
                <w:highlight w:val="none"/>
                <w:u w:val="none"/>
                <w:lang w:val="en-US" w:eastAsia="zh-CN" w:bidi="ar"/>
              </w:rPr>
              <w:t>预订</w:t>
            </w:r>
            <w:r>
              <w:rPr>
                <w:rFonts w:hint="eastAsia" w:ascii="宋体" w:hAnsi="宋体" w:eastAsia="宋体" w:cs="宋体"/>
                <w:i w:val="0"/>
                <w:iCs w:val="0"/>
                <w:color w:val="000000"/>
                <w:kern w:val="0"/>
                <w:sz w:val="21"/>
                <w:szCs w:val="21"/>
                <w:highlight w:val="none"/>
                <w:u w:val="none"/>
                <w:lang w:val="en-US" w:eastAsia="zh-CN" w:bidi="ar"/>
              </w:rPr>
              <w:t>套餐，面点等特殊服务。</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4D28D08C">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13BAC465">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r>
      <w:tr w14:paraId="05747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ED83C0">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9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E453AC">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5574FC5A">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协助进食</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C926C12">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为无法用餐的老年人提供喂食服务。</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40BEC074">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在合适的环境中，将老年人调整为合适体位后，进行喂食，喂食前后需清洁餐具、餐台以及老年人个人卫生，并叮嘱餐后30分钟再卧床休息。</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7A5B5515">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552C4405">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r>
      <w:tr w14:paraId="2D484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266015">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9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1CBB2E">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015F72C3">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鼻饲进食</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287FA77">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为已安装鼻饲管的老年人提供鼻饲灌注服务。             </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37028643">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此服务由经过培训的服务人员进行。</w:t>
            </w:r>
          </w:p>
          <w:p w14:paraId="06029374">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在合适的环境中，检查鼻胃管使用状态，调整食品温度，将老年人调整为合适体位后，进行灌注。灌注前后整理床单，清洗用物，消毒灌注器。服务完成</w:t>
            </w:r>
            <w:r>
              <w:rPr>
                <w:rFonts w:hint="eastAsia" w:ascii="宋体" w:hAnsi="宋体" w:cs="宋体"/>
                <w:i w:val="0"/>
                <w:iCs w:val="0"/>
                <w:color w:val="000000"/>
                <w:kern w:val="0"/>
                <w:sz w:val="21"/>
                <w:szCs w:val="21"/>
                <w:highlight w:val="none"/>
                <w:u w:val="none"/>
                <w:lang w:val="en-US" w:eastAsia="zh-CN" w:bidi="ar"/>
              </w:rPr>
              <w:t>后准</w:t>
            </w:r>
            <w:r>
              <w:rPr>
                <w:rFonts w:hint="eastAsia" w:ascii="宋体" w:hAnsi="宋体" w:eastAsia="宋体" w:cs="宋体"/>
                <w:i w:val="0"/>
                <w:iCs w:val="0"/>
                <w:color w:val="000000"/>
                <w:kern w:val="0"/>
                <w:sz w:val="21"/>
                <w:szCs w:val="21"/>
                <w:highlight w:val="none"/>
                <w:u w:val="none"/>
                <w:lang w:val="en-US" w:eastAsia="zh-CN" w:bidi="ar"/>
              </w:rPr>
              <w:t>确记录鼻饲时间和量。观察老人有无腹胀等不适症状并记录。</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4CB5D387">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262EEA28">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r>
      <w:tr w14:paraId="50FA7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488BC5">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9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95C80F">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26F6856C">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上门烹饪</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11AEBF9">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使用老人家中炊具进行食材清洗、菜肴烹调。</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449DF506">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前往老人指定地点，利用老年人家中厨房环境，清洗食材，烹调指定菜肴，单次服务烹调菜肴数量不超过5个，服务前后清洗炊具，恢复厨房摆设。</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24947936">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7812A6AC">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22.5</w:t>
            </w:r>
          </w:p>
        </w:tc>
      </w:tr>
      <w:tr w14:paraId="6DD3F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685259B8">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984" w:type="dxa"/>
            <w:vMerge w:val="restart"/>
            <w:tcBorders>
              <w:top w:val="single" w:color="000000" w:sz="4" w:space="0"/>
              <w:left w:val="single" w:color="000000" w:sz="4" w:space="0"/>
              <w:bottom w:val="single" w:color="000000" w:sz="4" w:space="0"/>
              <w:right w:val="single" w:color="000000" w:sz="4" w:space="0"/>
            </w:tcBorders>
            <w:noWrap w:val="0"/>
            <w:vAlign w:val="center"/>
          </w:tcPr>
          <w:p w14:paraId="11E37E16">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助浴</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0FFE7A99">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上门洗浴</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D54EE40">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服务人员携带专业助浴工具、借助老年人家庭洗浴环境和设备，为老年人提供居家洗浴服务的活动</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40255A0B">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配置两名服务人员，携带随身助浴工具，前往老年人住所，借助住所洗浴环境和设备，提供助浴服务。需先行评估老年人身体状况以及居住环境是否满足洗浴要求，服务时需要注意环境温度，水温，以及老年人身体状况，洗浴完成后，涂抹润肤膏，擦干身体，吹干头发，更换衣服，服务后再次测量老年人生命体征，应对洗浴设施设备及用品进行清洁消毒。</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275F93FE">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15D064A8">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45</w:t>
            </w:r>
          </w:p>
        </w:tc>
      </w:tr>
      <w:tr w14:paraId="29DCA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A8DC9A">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9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F5D037">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01C89AC9">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流动洗浴</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E536853">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利用专门的可移动洗浴设施设备和专业的服务人员，协助老年人完成洗浴的过程。</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586EF092">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至少配置两名服务人员，一台专业流动洗浴设备。需先行评估老年人身体状况以及居住环境能否满足流动助浴需求，而后将老年人从家中移动至流动洗浴设备中，进行助浴服务。期间时刻注意环境温度，水温，以及老年人身体状况，洗浴完成后，涂抹润肤膏，擦干身体，吹干头发，更换衣服，服务后再次测量老年人生命体征，并将老年人送回家中。</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4746077D">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6FAAA496">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22.5</w:t>
            </w:r>
          </w:p>
        </w:tc>
      </w:tr>
      <w:tr w14:paraId="0D7AD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75E89C">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9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291D99">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323CDD13">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定点助浴</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595E7FE">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在服务机构定点设施或场所内为老年人提供洗浴服务</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6BAF60C0">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配置两名服务人员，在服务机构定点设施或场所内为老年人提供洗浴服务，服务前测量老年人生命体征，服务时需要注意环境温度，水温，以及老年人身体状况，洗浴完成后，擦干身体，吹干头发，更换衣服，服务后再次测量老年人生命体征，应对洗浴设施设备及用品进行清洁消毒。</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5F11E615">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4A071F6E">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22.5</w:t>
            </w:r>
          </w:p>
        </w:tc>
      </w:tr>
      <w:tr w14:paraId="1C848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A5C1E5">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9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8F2839">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5B1C5589">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擦洗身体</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878F806">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用清洁工具擦拭身体</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2FE99C0F">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携带随身工具，前往老年人住所为老年人提供服务，擦浴服务过程中注意环境温度，水温，足部、会阴应用专用水盆、毛巾。擦洗完成后，为老年人更换干净衣裤，盖好被子，清理环境，并对工具进行消毒处理。</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4B7BD91D">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514C4239">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22.5</w:t>
            </w:r>
          </w:p>
        </w:tc>
      </w:tr>
      <w:tr w14:paraId="7D612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AAC129">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9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76B4E0">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051844F5">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中医疗足浴</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C6EC400">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采用药物煎汤，将双足浸泡、洗浴、按摩的一种疗法</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2C5F7160">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结合老年人意愿以及身体状况，挑选药物煎汤，用温水和毛巾清洁双脚，去除脏污和角质，以温和的方式推拿足底穴位和经络，促进血液循环，足浴完成后用干净的毛巾擦干水分，并涂抹适量的保湿霜，保持足部的湿润，并对工具进行消毒处理。</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4E868932">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3783F744">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22.5</w:t>
            </w:r>
          </w:p>
        </w:tc>
      </w:tr>
      <w:tr w14:paraId="736DA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78F668A7">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984" w:type="dxa"/>
            <w:vMerge w:val="restart"/>
            <w:tcBorders>
              <w:top w:val="single" w:color="000000" w:sz="4" w:space="0"/>
              <w:left w:val="single" w:color="000000" w:sz="4" w:space="0"/>
              <w:bottom w:val="single" w:color="000000" w:sz="4" w:space="0"/>
              <w:right w:val="single" w:color="000000" w:sz="4" w:space="0"/>
            </w:tcBorders>
            <w:noWrap w:val="0"/>
            <w:vAlign w:val="center"/>
          </w:tcPr>
          <w:p w14:paraId="61CEDA31">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助洁</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10A9639F">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头部清洁</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7859784">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头部清洁（含洗脸、梳头、理发洗头、剃须、清理耳内耵聍等）</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40C68613">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协助老人进行洗脸梳头（冬季应准备热水），为老人洗头，动作需要轻柔，洗完头后需要把头发吹干。剃须采用安全电剃须刀，禁止使用老式刀片，适度清理耳内耵聍。</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68C4FC45">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76AEBF66">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r>
      <w:tr w14:paraId="574F6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9137B7">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9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E466D5">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67E0B20E">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口腔清洁</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A326BC3">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口腔清洁（含刷牙、漱口、义齿清洗等）</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2A3E4E9F">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准备牙膏、牙刷、水杯、水、毛巾、防水垫、润唇油等物品。需先行评估老年人身体状况是否</w:t>
            </w:r>
            <w:r>
              <w:rPr>
                <w:rFonts w:hint="eastAsia" w:ascii="宋体" w:hAnsi="宋体" w:cs="宋体"/>
                <w:i w:val="0"/>
                <w:iCs w:val="0"/>
                <w:color w:val="000000"/>
                <w:kern w:val="0"/>
                <w:sz w:val="21"/>
                <w:szCs w:val="21"/>
                <w:highlight w:val="none"/>
                <w:u w:val="none"/>
                <w:lang w:val="en-US" w:eastAsia="zh-CN" w:bidi="ar"/>
              </w:rPr>
              <w:t>适合</w:t>
            </w:r>
            <w:r>
              <w:rPr>
                <w:rFonts w:hint="eastAsia" w:ascii="宋体" w:hAnsi="宋体" w:eastAsia="宋体" w:cs="宋体"/>
                <w:i w:val="0"/>
                <w:iCs w:val="0"/>
                <w:color w:val="000000"/>
                <w:kern w:val="0"/>
                <w:sz w:val="21"/>
                <w:szCs w:val="21"/>
                <w:highlight w:val="none"/>
                <w:u w:val="none"/>
                <w:lang w:val="en-US" w:eastAsia="zh-CN" w:bidi="ar"/>
              </w:rPr>
              <w:t>此项服务，协助老人调整姿势，开始服务，用毛巾擦净口角</w:t>
            </w:r>
            <w:r>
              <w:rPr>
                <w:rFonts w:hint="eastAsia" w:ascii="宋体" w:hAnsi="宋体" w:cs="宋体"/>
                <w:i w:val="0"/>
                <w:iCs w:val="0"/>
                <w:color w:val="000000"/>
                <w:kern w:val="0"/>
                <w:sz w:val="21"/>
                <w:szCs w:val="21"/>
                <w:highlight w:val="none"/>
                <w:u w:val="none"/>
                <w:lang w:val="en-US" w:eastAsia="zh-CN" w:bidi="ar"/>
              </w:rPr>
              <w:t>水渍</w:t>
            </w:r>
            <w:r>
              <w:rPr>
                <w:rFonts w:hint="eastAsia" w:ascii="宋体" w:hAnsi="宋体" w:eastAsia="宋体" w:cs="宋体"/>
                <w:i w:val="0"/>
                <w:iCs w:val="0"/>
                <w:color w:val="000000"/>
                <w:kern w:val="0"/>
                <w:sz w:val="21"/>
                <w:szCs w:val="21"/>
                <w:highlight w:val="none"/>
                <w:u w:val="none"/>
                <w:lang w:val="en-US" w:eastAsia="zh-CN" w:bidi="ar"/>
              </w:rPr>
              <w:t>，口角干裂时可涂抹润唇油。义齿清洁需准备、浸泡专门的清洁剂，而后在流动水中刷洗干净。</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070AD7EC">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7768FECF">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r>
      <w:tr w14:paraId="1CD5F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F54643">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9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95DC47">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2BC1EEDD">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手足清理</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0302999">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泡脚、修剪趾甲等手足清理</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05F4CB9B">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准备脚盆、温水、清洁剂、毛巾、修剪工具等。手足清洗用具需分开，在适宜水温中充分浸泡、擦洗，去除手足污垢，使用修剪工具修剪指（趾）甲后用。锉平指（趾）甲边缘。服务后清理现场，并对工具进行消毒处理。</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4D35E433">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5DAE4FC0">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r>
      <w:tr w14:paraId="12D40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FA10AF">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9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081601">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720C3C15">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排泄清理</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401A44D">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为老人开展协助如厕、更换尿不湿等排泄物清理服务</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3110F53D">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协助卧床老人如厕，清理排泄物，帮助老人清洁私密处，换尿不湿，换贴身衣服。</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6D404F1F">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6158BFDB">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r>
      <w:tr w14:paraId="7B4EB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697183">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9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CEFFCE">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66A5D881">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床上清洁</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4B75F6C">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为老年人提供更换床单被罩，床位清洁，擦拭整理等床上清洁</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604CECD0">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清理老人床上污垢，更换床上用品，保持床位干净整洁。</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0495F71D">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5D0D1A08">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r>
      <w:tr w14:paraId="5B9B8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13F3B5">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9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DDA2A6">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75C013AF">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洗涤服务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17634D7">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为老年人提供衣物、床上用品、窗帘等物品洗涤及晾晒服务。</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59CC03AC">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使用老年人家中设备分类洗涤老年人衣物、床上用品、窗帘等物品，贴身衣物需进行适度消毒。如无清洗环境或者其他原因需在非老年人家中清洗，可叠加“代办代购”收取费用。</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64068E4D">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597BA2BC">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r>
      <w:tr w14:paraId="55E2F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FC9EA0">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9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A5F633">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5D66D552">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居室基础清洁</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38DA749">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为老年人提供居室、卫生间、厨房、客厅等房间的日常清洁</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5D718DEB">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自带清洁工具，上门清洁老年人家中环境卫生，包含居室、客厅、卫生间、厨房、阳台等区域，清洁不同区域需使用不同的工具以及毛巾，避免造成交叉污染。卫生间需要适度消毒，服务完成后带走居室所有垃圾。</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4A87B8E0">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75923167">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r>
      <w:tr w14:paraId="6D548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43EF627B">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984" w:type="dxa"/>
            <w:vMerge w:val="restart"/>
            <w:tcBorders>
              <w:top w:val="single" w:color="000000" w:sz="4" w:space="0"/>
              <w:left w:val="single" w:color="000000" w:sz="4" w:space="0"/>
              <w:bottom w:val="single" w:color="000000" w:sz="4" w:space="0"/>
              <w:right w:val="single" w:color="000000" w:sz="4" w:space="0"/>
            </w:tcBorders>
            <w:noWrap w:val="0"/>
            <w:vAlign w:val="center"/>
          </w:tcPr>
          <w:p w14:paraId="7865AB56">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助行</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046404DC">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协助下床活动</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C9D7F00">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协助老人下床活动</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4142D288">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协助身体不便的老人平移下床进行活动，指导老年人开展适度的锻炼。</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6A26F19E">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3000523E">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r>
      <w:tr w14:paraId="22354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360EE1">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9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3B8640">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03BCA800">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借助器具移动</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7122F47">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利用专业辅助工具协助老人下床活动</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20489203">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协助身体不便的老人平移至床边</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利用器具下床进行活动。</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15886510">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00C652A1">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r>
      <w:tr w14:paraId="647E9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16B229">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9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0F3577">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015FD279">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康复服务租赁</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D50FB18">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为有需求的老年人提供康复辅具租赁服务</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237298E8">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抵扣老年人租赁康复辅具的租金费用，不包含押金。设备租赁结束后，需进行安全检查和消毒处理。</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64313944">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30ABCE62">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1E702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0F49A3">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9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3E3146">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1B93C65F">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外出陪同</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3AA94BF">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陪同老人前往相关地点，以提供陪伴和支持为主要目的的服务</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28BA324A">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根据老人的体力、活动障碍程度，提供助行服务。使用助行器具时应检查各部件是否完好完备，按助行器具的使用说明进行操作，助行活动宜在老人住宅周边区域内进行，注意途中安全，防止意外情况发生。</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54762994">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1CB6D37A">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r>
      <w:tr w14:paraId="0EE08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467690">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9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3ED054">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36058346">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代办代购</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D6209C1">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为老年人提供代购、代缴、代订、代为申请等相关服务（含交通费）</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5C7F2DAB">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对接受委托的代办事项，应按照口头或书面的约定，准确记录所代办事项的内容、要求。必要时，应当向委托人口述一遍委托事项，请委托人确认。除即时清结者外，涉及现金的，应当面清点并核实。代办委托服务，应当保护老人隐私，不得向他人泄漏老人个人信息。使用老人个人物品如手机、社保卡等提供代办服务时，应得到老人或相关第三方同意，并保证物品安全。应当保留代办服务的相关记录。</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5259BB40">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45E2796A">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r>
      <w:tr w14:paraId="60CEE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555EB655">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984" w:type="dxa"/>
            <w:vMerge w:val="restart"/>
            <w:tcBorders>
              <w:top w:val="single" w:color="000000" w:sz="4" w:space="0"/>
              <w:left w:val="single" w:color="000000" w:sz="4" w:space="0"/>
              <w:bottom w:val="single" w:color="000000" w:sz="4" w:space="0"/>
              <w:right w:val="single" w:color="000000" w:sz="4" w:space="0"/>
            </w:tcBorders>
            <w:noWrap w:val="0"/>
            <w:vAlign w:val="center"/>
          </w:tcPr>
          <w:p w14:paraId="1CE2627C">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助医</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3ADA9C62">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△体征检测</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D5E09D7">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对老人进行全面身体检查，包括血压、血糖、血氧、尿酸、心跳等常</w:t>
            </w:r>
          </w:p>
          <w:p w14:paraId="00A2345F">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规检查和监测。</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7E215E3D">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携带专业医疗设备上门为老年人测量血压、血糖、血氧、尿酸、脉搏等生命体征，其中血糖、尿酸等破皮检测，需要有医疗资质的工作人员操作。测量数据需进行记录，为老年人建立健康数字档案，并提供健康指导。</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4D4FF545">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5C9685A5">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r>
      <w:tr w14:paraId="0591C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8C67A2">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9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BB2991">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166DEAF1">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△用药指导</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43EFED0">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药物使用指导，综合评定目前用药安全情况</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62198C6D">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由拥有专业资质的医疗人员提供服务。医疗人员综合运用医药学知识，向老年人说明药物使用方式，并安排和督促老年人按时用药，提高患者用药依从性。综合评定老年人当前用药情况，避免不良反应。</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65C58088">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0AA40A57">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r>
      <w:tr w14:paraId="360F5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88E307">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9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C45FFD">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1657D47B">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△康复训练</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F307197">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提供康复训练开那个服务帮助此老年人改善功能障碍，提高生活能力和质量。</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4A06B81B">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由具有专业资质的康复人员，通过不同的治疗手段，如物理治疗、作业治疗、康复工程、康复护理、中医治疗、心理咨询、文体治疗等方式，结合不同的服务，如机构康复治疗、社区康复治疗、居家康复治疗等为服务对象改善功能，提高生活质量。</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29A2F8E8">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7DFE3B56">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14:paraId="1BE4E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F21F81">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9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672ABE">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4C37413B">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△基础医疗护理</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77C3261">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由专业人员为老年人提供基础医疗护理，主要包含鼻饲管、导尿管、造口等护理。</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53D73789">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由拥有专业资质的医疗人员提供服务。清理饲管、导尿管、造口，保持畅通，评估管道使用情况，进行更换。</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7F2974F6">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6E86BCFD">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14:paraId="366F6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038614">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9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9F01E6">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5486B151">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△按摩理疗</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B2C50DE">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为老年人提供头面部、四肢、腹部、腰背等部位按摩；通过专业设备，为老年人提供中频电治疗，红外线治疗等理疗服务。</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7CEEC7BD">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由拥有专业资质的医疗人员提供服务。按摩需要轻柔缓慢，操作人员需要手套之类的卫生措施，时间均控制在30分钟内。</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4234B9AE">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7B5CD3D6">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14:paraId="5FF9C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1E13BB38">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984" w:type="dxa"/>
            <w:vMerge w:val="restart"/>
            <w:tcBorders>
              <w:top w:val="single" w:color="000000" w:sz="4" w:space="0"/>
              <w:left w:val="single" w:color="000000" w:sz="4" w:space="0"/>
              <w:bottom w:val="single" w:color="000000" w:sz="4" w:space="0"/>
              <w:right w:val="single" w:color="000000" w:sz="4" w:space="0"/>
            </w:tcBorders>
            <w:noWrap w:val="0"/>
            <w:vAlign w:val="center"/>
          </w:tcPr>
          <w:p w14:paraId="01075F54">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助急</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089FED58">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安全设施配备</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CA36337">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根据老年人的需求，为老年人居住环境配置相匹配的智能监控设备和监测设备，保障老年人居家养老安全。</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6A6FEA4C">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在老人家中安装一键呼叫装置、燃气报警装置、烟感探测器、人体感应探测器、门磁感应器等智能化安全设施。通过数据分析、报警响应等手段为老年人提供7*24小时安全监管服务</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4404889C">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0264CC0B">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7D769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6EEEE0">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9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5354CA">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44B309C8">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○紧急援助</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6365294">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老年人生命、财产遇到危险时，提供紧急帮助和上门救援。</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4DF9E7CC">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为老年人提供紧急救援服务，包含走失带回，上门急救，紧急送医等。</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32271876">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712B719D">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7E560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198539">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9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2FDC11">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000FD331">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日常维修</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EA5A871">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为有需求的老年人提供各类入户维修服务</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192A5B7E">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上门为老年人提供水电、小家电的维修服务。含水龙头、马桶水箱、阀门、浴缸、水管、面盆的防水堵漏。插座、灯具维修、电线短路检查与维修。此费用仅包含上门维修人工费用，不含材料。</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3D220B8C">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044029F1">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r>
      <w:tr w14:paraId="0AEFD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A58587">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9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5422CB">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5AC2F3BA">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○定期探访关爱</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0101AA6">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根据老年人或者其家庭成员的意愿，定期上门探访老年人</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6417C13A">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服务人员定期上门，通过探访，了解老年人表达能力、行动能力、反应能力、疾病情况、精神状况等健康方面情况，评估老年人身体状态，协助老年人获取福利待遇，检查并提醒安全隐患，收集老年人服务需求，帮助对接养老服务和医疗健康等服务资源。</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5ADEF60D">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401F1175">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77CB9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60615642">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984" w:type="dxa"/>
            <w:vMerge w:val="restart"/>
            <w:tcBorders>
              <w:top w:val="single" w:color="000000" w:sz="4" w:space="0"/>
              <w:left w:val="single" w:color="000000" w:sz="4" w:space="0"/>
              <w:bottom w:val="single" w:color="000000" w:sz="4" w:space="0"/>
              <w:right w:val="single" w:color="000000" w:sz="4" w:space="0"/>
            </w:tcBorders>
            <w:noWrap w:val="0"/>
            <w:vAlign w:val="center"/>
          </w:tcPr>
          <w:p w14:paraId="135D43FC">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其他</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3A7F8BE3">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适老化改造</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EAC3725">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对老年人居室进行改造提升，解决老年人在如厕洗澡、起居行走、康复护理等最基本、最迫切的需求</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077EA529">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聚焦老年人安全、健康、出行便利等功能性需求，参照《浙江省适老化改造实施方案》对老人居室进行改造提升。</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68E74D8D">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028FB912">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21B71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6C3F44">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9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EA7341">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49AC5783">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精神慰藉</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2126C72">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为老年人提供心灵需求和情感状态的关注、支持和关怀。</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3EB4ACEE">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采取读书读报帮助老年人了解时事，向老年人讲授智能电子设备使用方法，与老人谈心聊天、提供心理沟通安慰，帮助老年人与亲属进行在线交流、视频探视等，促进老年人身心健康和保持积极的生活态度。</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28782BD3">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1D4B063E">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r>
      <w:tr w14:paraId="7B9A6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551F96">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9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5F05EA">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073ED2AD">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○政策咨询</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6D83B52">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为老人进行爱心卡及其他养老方面政策宣传解读</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7267DA27">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为老人进行爱心卡及其他养老方面政策宣传解读</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04486061">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79D8A7A0">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w:t>
            </w:r>
          </w:p>
        </w:tc>
      </w:tr>
    </w:tbl>
    <w:p w14:paraId="44AF5349">
      <w:pPr>
        <w:keepNext w:val="0"/>
        <w:keepLines w:val="0"/>
        <w:pageBreakBefore w:val="0"/>
        <w:widowControl w:val="0"/>
        <w:kinsoku/>
        <w:wordWrap/>
        <w:overflowPunct/>
        <w:topLinePunct w:val="0"/>
        <w:autoSpaceDE/>
        <w:autoSpaceDN/>
        <w:bidi w:val="0"/>
        <w:adjustRightInd/>
        <w:snapToGrid/>
        <w:spacing w:line="420" w:lineRule="exact"/>
        <w:ind w:lef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注：</w:t>
      </w:r>
    </w:p>
    <w:p w14:paraId="2409D753">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color w:val="000000"/>
          <w:kern w:val="0"/>
          <w:sz w:val="24"/>
          <w:szCs w:val="24"/>
          <w:highlight w:val="none"/>
          <w:lang w:val="en-US" w:eastAsia="zh-CN"/>
        </w:rPr>
        <w:t>含○号的服务项目</w:t>
      </w:r>
      <w:r>
        <w:rPr>
          <w:rFonts w:hint="eastAsia" w:ascii="宋体" w:hAnsi="宋体" w:cs="宋体"/>
          <w:color w:val="000000"/>
          <w:kern w:val="0"/>
          <w:sz w:val="24"/>
          <w:szCs w:val="24"/>
          <w:highlight w:val="none"/>
          <w:lang w:val="en-US" w:eastAsia="zh-CN"/>
        </w:rPr>
        <w:t>需</w:t>
      </w:r>
      <w:r>
        <w:rPr>
          <w:rFonts w:hint="eastAsia" w:ascii="宋体" w:hAnsi="宋体" w:eastAsia="宋体" w:cs="宋体"/>
          <w:color w:val="000000"/>
          <w:kern w:val="0"/>
          <w:sz w:val="24"/>
          <w:szCs w:val="24"/>
          <w:highlight w:val="none"/>
          <w:lang w:val="en-US" w:eastAsia="zh-CN"/>
        </w:rPr>
        <w:t>为每个老人提供；</w:t>
      </w:r>
    </w:p>
    <w:p w14:paraId="56FD51C0">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color w:val="000000"/>
          <w:kern w:val="0"/>
          <w:sz w:val="24"/>
          <w:szCs w:val="24"/>
          <w:highlight w:val="none"/>
          <w:lang w:val="en-US" w:eastAsia="zh-CN"/>
        </w:rPr>
        <w:t>含△号的服务项目由具备相应资质的人员提供。</w:t>
      </w:r>
    </w:p>
    <w:p w14:paraId="46C6B748">
      <w:pPr>
        <w:pStyle w:val="56"/>
        <w:keepNext w:val="0"/>
        <w:keepLines w:val="0"/>
        <w:pageBreakBefore w:val="0"/>
        <w:widowControl/>
        <w:kinsoku/>
        <w:wordWrap/>
        <w:overflowPunct/>
        <w:topLinePunct w:val="0"/>
        <w:bidi w:val="0"/>
        <w:snapToGrid/>
        <w:spacing w:line="42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w:t>
      </w: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val="en-US" w:eastAsia="zh-CN"/>
        </w:rPr>
        <w:t>）</w:t>
      </w:r>
      <w:r>
        <w:rPr>
          <w:rFonts w:hint="eastAsia" w:ascii="宋体" w:hAnsi="宋体" w:cs="宋体"/>
          <w:color w:val="000000"/>
          <w:kern w:val="2"/>
          <w:sz w:val="24"/>
          <w:szCs w:val="24"/>
          <w:highlight w:val="none"/>
          <w:lang w:val="en-US" w:eastAsia="zh-CN"/>
        </w:rPr>
        <w:t>享受</w:t>
      </w:r>
      <w:r>
        <w:rPr>
          <w:rFonts w:hint="eastAsia" w:ascii="宋体" w:hAnsi="宋体" w:eastAsia="宋体" w:cs="宋体"/>
          <w:color w:val="000000"/>
          <w:kern w:val="2"/>
          <w:sz w:val="24"/>
          <w:szCs w:val="24"/>
          <w:highlight w:val="none"/>
        </w:rPr>
        <w:t>居家养老上门服务</w:t>
      </w:r>
      <w:r>
        <w:rPr>
          <w:rFonts w:hint="eastAsia" w:ascii="宋体" w:hAnsi="宋体" w:cs="宋体"/>
          <w:color w:val="000000"/>
          <w:kern w:val="2"/>
          <w:sz w:val="24"/>
          <w:szCs w:val="24"/>
          <w:highlight w:val="none"/>
          <w:lang w:val="en-US" w:eastAsia="zh-CN"/>
        </w:rPr>
        <w:t>补贴、护理补贴的困难老人，</w:t>
      </w:r>
      <w:r>
        <w:rPr>
          <w:rFonts w:hint="eastAsia" w:ascii="宋体" w:hAnsi="宋体" w:eastAsia="宋体" w:cs="宋体"/>
          <w:color w:val="000000"/>
          <w:kern w:val="2"/>
          <w:sz w:val="24"/>
          <w:szCs w:val="24"/>
          <w:highlight w:val="none"/>
        </w:rPr>
        <w:t>服务对象数量、名单由</w:t>
      </w:r>
      <w:r>
        <w:rPr>
          <w:rFonts w:hint="eastAsia" w:ascii="宋体" w:hAnsi="宋体" w:cs="宋体"/>
          <w:color w:val="000000"/>
          <w:kern w:val="2"/>
          <w:sz w:val="24"/>
          <w:szCs w:val="24"/>
          <w:highlight w:val="none"/>
          <w:lang w:val="en-US" w:eastAsia="zh-CN"/>
        </w:rPr>
        <w:t>采购人</w:t>
      </w:r>
      <w:r>
        <w:rPr>
          <w:rFonts w:hint="eastAsia" w:ascii="宋体" w:hAnsi="宋体" w:eastAsia="宋体" w:cs="宋体"/>
          <w:color w:val="000000"/>
          <w:kern w:val="2"/>
          <w:sz w:val="24"/>
          <w:szCs w:val="24"/>
          <w:highlight w:val="none"/>
        </w:rPr>
        <w:t>提供</w:t>
      </w:r>
      <w:r>
        <w:rPr>
          <w:rFonts w:hint="eastAsia" w:ascii="宋体" w:hAnsi="宋体" w:eastAsia="宋体" w:cs="宋体"/>
          <w:color w:val="000000"/>
          <w:kern w:val="2"/>
          <w:sz w:val="24"/>
          <w:szCs w:val="24"/>
          <w:highlight w:val="none"/>
          <w:lang w:eastAsia="zh-CN"/>
        </w:rPr>
        <w:t>，</w:t>
      </w:r>
      <w:r>
        <w:rPr>
          <w:rFonts w:hint="eastAsia" w:ascii="宋体" w:hAnsi="宋体" w:eastAsia="宋体" w:cs="宋体"/>
          <w:color w:val="000000"/>
          <w:kern w:val="2"/>
          <w:sz w:val="24"/>
          <w:szCs w:val="24"/>
          <w:highlight w:val="none"/>
          <w:lang w:val="en-US" w:eastAsia="zh-CN"/>
        </w:rPr>
        <w:t>以实际完成服务量结算</w:t>
      </w:r>
      <w:r>
        <w:rPr>
          <w:rFonts w:hint="eastAsia" w:ascii="宋体" w:hAnsi="宋体" w:eastAsia="宋体" w:cs="宋体"/>
          <w:color w:val="000000"/>
          <w:kern w:val="2"/>
          <w:sz w:val="24"/>
          <w:szCs w:val="24"/>
          <w:highlight w:val="none"/>
        </w:rPr>
        <w:t>。</w:t>
      </w:r>
      <w:r>
        <w:rPr>
          <w:rFonts w:hint="eastAsia" w:ascii="宋体" w:hAnsi="宋体" w:cs="宋体"/>
          <w:color w:val="000000"/>
          <w:highlight w:val="none"/>
          <w:lang w:eastAsia="zh-CN"/>
        </w:rPr>
        <w:t>如超出财政补贴标准，费用由</w:t>
      </w:r>
      <w:r>
        <w:rPr>
          <w:rFonts w:hint="eastAsia" w:ascii="宋体" w:hAnsi="宋体" w:cs="仿宋"/>
          <w:bCs/>
          <w:highlight w:val="none"/>
          <w:lang w:val="en-US" w:eastAsia="zh-CN"/>
        </w:rPr>
        <w:t>中标人</w:t>
      </w:r>
      <w:r>
        <w:rPr>
          <w:rFonts w:hint="eastAsia" w:ascii="宋体" w:hAnsi="宋体" w:cs="宋体"/>
          <w:color w:val="000000"/>
          <w:highlight w:val="none"/>
          <w:lang w:eastAsia="zh-CN"/>
        </w:rPr>
        <w:t>自行承担</w:t>
      </w:r>
      <w:r>
        <w:rPr>
          <w:rFonts w:hint="eastAsia" w:ascii="宋体" w:hAnsi="宋体" w:eastAsia="宋体" w:cs="宋体"/>
          <w:color w:val="000000"/>
          <w:kern w:val="2"/>
          <w:sz w:val="24"/>
          <w:szCs w:val="24"/>
          <w:highlight w:val="none"/>
        </w:rPr>
        <w:t>。</w:t>
      </w:r>
      <w:r>
        <w:rPr>
          <w:rFonts w:hint="eastAsia" w:ascii="宋体" w:hAnsi="宋体" w:eastAsia="宋体" w:cs="宋体"/>
          <w:b w:val="0"/>
          <w:bCs w:val="0"/>
          <w:color w:val="000000"/>
          <w:sz w:val="24"/>
          <w:szCs w:val="32"/>
          <w:highlight w:val="none"/>
          <w:lang w:val="en-US" w:eastAsia="zh-CN"/>
        </w:rPr>
        <w:t>成交供应商应协助符合条件的困难老人申请</w:t>
      </w:r>
      <w:r>
        <w:rPr>
          <w:rFonts w:hint="eastAsia" w:ascii="宋体" w:hAnsi="宋体" w:eastAsia="宋体" w:cs="宋体"/>
          <w:color w:val="000000"/>
          <w:kern w:val="2"/>
          <w:sz w:val="24"/>
          <w:szCs w:val="24"/>
          <w:highlight w:val="none"/>
        </w:rPr>
        <w:t>养老服务</w:t>
      </w:r>
      <w:r>
        <w:rPr>
          <w:rFonts w:hint="eastAsia" w:ascii="宋体" w:hAnsi="宋体" w:cs="宋体"/>
          <w:color w:val="000000"/>
          <w:kern w:val="2"/>
          <w:sz w:val="24"/>
          <w:szCs w:val="24"/>
          <w:highlight w:val="none"/>
          <w:lang w:val="en-US" w:eastAsia="zh-CN"/>
        </w:rPr>
        <w:t>补贴、护理补贴。</w:t>
      </w:r>
    </w:p>
    <w:p w14:paraId="7B51A486">
      <w:pPr>
        <w:keepNext w:val="0"/>
        <w:keepLines w:val="0"/>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w:t>
      </w:r>
      <w:r>
        <w:rPr>
          <w:rFonts w:hint="eastAsia" w:ascii="宋体" w:hAnsi="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val="en-US" w:eastAsia="zh-CN"/>
        </w:rPr>
        <w:t>）根据</w:t>
      </w:r>
      <w:r>
        <w:rPr>
          <w:rFonts w:hint="eastAsia" w:ascii="宋体" w:hAnsi="宋体" w:eastAsia="宋体" w:cs="宋体"/>
          <w:sz w:val="24"/>
          <w:szCs w:val="24"/>
          <w:highlight w:val="none"/>
          <w:lang w:val="en-US" w:eastAsia="zh-CN"/>
        </w:rPr>
        <w:t>台州市椒江区民政局、台州市椒江区财政局关于《健全困难老年人补贴制度》的通知（椒民政〔2024〕46号）</w:t>
      </w:r>
      <w:r>
        <w:rPr>
          <w:rFonts w:hint="eastAsia" w:ascii="宋体" w:hAnsi="宋体" w:eastAsia="宋体" w:cs="宋体"/>
          <w:b w:val="0"/>
          <w:bCs w:val="0"/>
          <w:color w:val="000000"/>
          <w:sz w:val="24"/>
          <w:szCs w:val="32"/>
          <w:highlight w:val="none"/>
          <w:lang w:val="en-US" w:eastAsia="zh-CN"/>
        </w:rPr>
        <w:t>的补贴标准执行（如政策调整，按最新标准执行）。</w:t>
      </w:r>
      <w:r>
        <w:rPr>
          <w:rFonts w:hint="eastAsia" w:ascii="宋体" w:hAnsi="宋体" w:eastAsia="宋体" w:cs="宋体"/>
          <w:b w:val="0"/>
          <w:bCs/>
          <w:color w:val="auto"/>
          <w:sz w:val="24"/>
          <w:szCs w:val="24"/>
          <w:highlight w:val="none"/>
          <w:lang w:val="en-US" w:eastAsia="zh-CN"/>
        </w:rPr>
        <w:t>每个老人均需同时配备线上服务和线下服务内容，并可根据</w:t>
      </w:r>
      <w:r>
        <w:rPr>
          <w:rFonts w:hint="eastAsia" w:ascii="宋体" w:hAnsi="宋体" w:eastAsia="宋体" w:cs="宋体"/>
          <w:b w:val="0"/>
          <w:bCs w:val="0"/>
          <w:color w:val="000000"/>
          <w:sz w:val="24"/>
          <w:szCs w:val="32"/>
          <w:highlight w:val="none"/>
          <w:lang w:eastAsia="zh-CN"/>
        </w:rPr>
        <w:t>成交供应商</w:t>
      </w:r>
      <w:r>
        <w:rPr>
          <w:rFonts w:hint="eastAsia" w:ascii="宋体" w:hAnsi="宋体" w:eastAsia="宋体" w:cs="宋体"/>
          <w:b w:val="0"/>
          <w:bCs/>
          <w:color w:val="auto"/>
          <w:sz w:val="24"/>
          <w:szCs w:val="24"/>
          <w:highlight w:val="none"/>
          <w:lang w:val="en-US" w:eastAsia="zh-CN"/>
        </w:rPr>
        <w:t>的报价结合自身补贴标准自主组合选择服务内容。</w:t>
      </w:r>
    </w:p>
    <w:p w14:paraId="1C6FE59C">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000000"/>
          <w:sz w:val="24"/>
          <w:szCs w:val="32"/>
          <w:highlight w:val="none"/>
          <w:lang w:val="en-US" w:eastAsia="zh-CN"/>
        </w:rPr>
      </w:pPr>
      <w:r>
        <w:rPr>
          <w:rFonts w:hint="eastAsia" w:ascii="宋体" w:hAnsi="宋体" w:eastAsia="宋体" w:cs="宋体"/>
          <w:b w:val="0"/>
          <w:bCs w:val="0"/>
          <w:color w:val="000000"/>
          <w:sz w:val="24"/>
          <w:szCs w:val="32"/>
          <w:highlight w:val="none"/>
          <w:lang w:val="en-US" w:eastAsia="zh-CN"/>
        </w:rPr>
        <w:t>（</w:t>
      </w:r>
      <w:r>
        <w:rPr>
          <w:rFonts w:hint="eastAsia" w:ascii="宋体" w:hAnsi="宋体" w:cs="宋体"/>
          <w:b w:val="0"/>
          <w:bCs w:val="0"/>
          <w:color w:val="000000"/>
          <w:sz w:val="24"/>
          <w:szCs w:val="32"/>
          <w:highlight w:val="none"/>
          <w:lang w:val="en-US" w:eastAsia="zh-CN"/>
        </w:rPr>
        <w:t>5</w:t>
      </w:r>
      <w:r>
        <w:rPr>
          <w:rFonts w:hint="eastAsia" w:ascii="宋体" w:hAnsi="宋体" w:eastAsia="宋体" w:cs="宋体"/>
          <w:b w:val="0"/>
          <w:bCs w:val="0"/>
          <w:color w:val="000000"/>
          <w:sz w:val="24"/>
          <w:szCs w:val="32"/>
          <w:highlight w:val="none"/>
          <w:lang w:val="en-US" w:eastAsia="zh-CN"/>
        </w:rPr>
        <w:t>）</w:t>
      </w:r>
      <w:r>
        <w:rPr>
          <w:rFonts w:hint="eastAsia" w:ascii="宋体" w:hAnsi="宋体" w:cs="宋体"/>
          <w:color w:val="000000"/>
          <w:sz w:val="24"/>
          <w:szCs w:val="32"/>
          <w:highlight w:val="none"/>
        </w:rPr>
        <w:t>成交供应商须无偿配合采购人完成辖区内的养老服务爱心卡等相关工作任务。</w:t>
      </w:r>
    </w:p>
    <w:p w14:paraId="23F2ED0D">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000000"/>
          <w:sz w:val="24"/>
          <w:szCs w:val="32"/>
          <w:highlight w:val="none"/>
          <w:lang w:val="en-US" w:eastAsia="zh-CN"/>
        </w:rPr>
      </w:pPr>
      <w:r>
        <w:rPr>
          <w:rFonts w:hint="eastAsia" w:ascii="宋体" w:hAnsi="宋体" w:eastAsia="宋体" w:cs="宋体"/>
          <w:b w:val="0"/>
          <w:bCs w:val="0"/>
          <w:color w:val="000000"/>
          <w:sz w:val="24"/>
          <w:szCs w:val="32"/>
          <w:highlight w:val="none"/>
          <w:lang w:val="en-US" w:eastAsia="zh-CN"/>
        </w:rPr>
        <w:t>（</w:t>
      </w:r>
      <w:r>
        <w:rPr>
          <w:rFonts w:hint="eastAsia" w:ascii="宋体" w:hAnsi="宋体" w:cs="宋体"/>
          <w:b w:val="0"/>
          <w:bCs w:val="0"/>
          <w:color w:val="000000"/>
          <w:sz w:val="24"/>
          <w:szCs w:val="32"/>
          <w:highlight w:val="none"/>
          <w:lang w:val="en-US" w:eastAsia="zh-CN"/>
        </w:rPr>
        <w:t>6</w:t>
      </w:r>
      <w:r>
        <w:rPr>
          <w:rFonts w:hint="eastAsia" w:ascii="宋体" w:hAnsi="宋体" w:eastAsia="宋体" w:cs="宋体"/>
          <w:b w:val="0"/>
          <w:bCs w:val="0"/>
          <w:color w:val="000000"/>
          <w:sz w:val="24"/>
          <w:szCs w:val="32"/>
          <w:highlight w:val="none"/>
          <w:lang w:val="en-US" w:eastAsia="zh-CN"/>
        </w:rPr>
        <w:t>）成交供应商须核对服务对象实际补贴金额，确保上传的数据的真实性、准确性。</w:t>
      </w:r>
    </w:p>
    <w:p w14:paraId="2A9478E8">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000000"/>
          <w:sz w:val="24"/>
          <w:szCs w:val="32"/>
          <w:highlight w:val="none"/>
          <w:lang w:val="en-US" w:eastAsia="zh-CN"/>
        </w:rPr>
      </w:pPr>
      <w:r>
        <w:rPr>
          <w:rFonts w:hint="eastAsia" w:ascii="宋体" w:hAnsi="宋体" w:eastAsia="宋体" w:cs="宋体"/>
          <w:b w:val="0"/>
          <w:bCs w:val="0"/>
          <w:color w:val="000000"/>
          <w:sz w:val="24"/>
          <w:szCs w:val="32"/>
          <w:highlight w:val="none"/>
          <w:lang w:val="en-US" w:eastAsia="zh-CN"/>
        </w:rPr>
        <w:t>（</w:t>
      </w:r>
      <w:r>
        <w:rPr>
          <w:rFonts w:hint="eastAsia" w:ascii="宋体" w:hAnsi="宋体" w:cs="宋体"/>
          <w:b w:val="0"/>
          <w:bCs w:val="0"/>
          <w:color w:val="000000"/>
          <w:sz w:val="24"/>
          <w:szCs w:val="32"/>
          <w:highlight w:val="none"/>
          <w:lang w:val="en-US" w:eastAsia="zh-CN"/>
        </w:rPr>
        <w:t>7</w:t>
      </w:r>
      <w:r>
        <w:rPr>
          <w:rFonts w:hint="eastAsia" w:ascii="宋体" w:hAnsi="宋体" w:eastAsia="宋体" w:cs="宋体"/>
          <w:b w:val="0"/>
          <w:bCs w:val="0"/>
          <w:color w:val="000000"/>
          <w:sz w:val="24"/>
          <w:szCs w:val="32"/>
          <w:highlight w:val="none"/>
          <w:lang w:val="en-US" w:eastAsia="zh-CN"/>
        </w:rPr>
        <w:t>）</w:t>
      </w:r>
      <w:r>
        <w:rPr>
          <w:rFonts w:hint="eastAsia" w:ascii="宋体" w:hAnsi="宋体" w:eastAsia="宋体" w:cs="宋体"/>
          <w:b w:val="0"/>
          <w:bCs w:val="0"/>
          <w:strike w:val="0"/>
          <w:dstrike w:val="0"/>
          <w:color w:val="000000"/>
          <w:sz w:val="24"/>
          <w:szCs w:val="32"/>
          <w:highlight w:val="none"/>
          <w:lang w:val="en-US" w:eastAsia="zh-CN"/>
        </w:rPr>
        <w:t>成交供应商须保证</w:t>
      </w:r>
      <w:r>
        <w:rPr>
          <w:rFonts w:hint="eastAsia" w:ascii="宋体" w:hAnsi="宋体" w:cs="宋体"/>
          <w:b w:val="0"/>
          <w:bCs w:val="0"/>
          <w:strike w:val="0"/>
          <w:dstrike w:val="0"/>
          <w:color w:val="000000"/>
          <w:sz w:val="24"/>
          <w:szCs w:val="32"/>
          <w:highlight w:val="none"/>
          <w:lang w:val="en-US" w:eastAsia="zh-CN"/>
        </w:rPr>
        <w:t>堂食</w:t>
      </w:r>
      <w:r>
        <w:rPr>
          <w:rFonts w:hint="eastAsia" w:ascii="宋体" w:hAnsi="宋体" w:eastAsia="宋体" w:cs="宋体"/>
          <w:b w:val="0"/>
          <w:bCs w:val="0"/>
          <w:strike w:val="0"/>
          <w:dstrike w:val="0"/>
          <w:color w:val="000000"/>
          <w:sz w:val="24"/>
          <w:szCs w:val="32"/>
          <w:highlight w:val="none"/>
          <w:lang w:val="en-US" w:eastAsia="zh-CN"/>
        </w:rPr>
        <w:t>服务</w:t>
      </w:r>
      <w:r>
        <w:rPr>
          <w:rFonts w:hint="eastAsia" w:ascii="宋体" w:hAnsi="宋体" w:cs="宋体"/>
          <w:b w:val="0"/>
          <w:bCs w:val="0"/>
          <w:strike w:val="0"/>
          <w:dstrike w:val="0"/>
          <w:color w:val="000000"/>
          <w:sz w:val="24"/>
          <w:szCs w:val="32"/>
          <w:highlight w:val="none"/>
          <w:lang w:val="en-US" w:eastAsia="zh-CN"/>
        </w:rPr>
        <w:t>项目提供的餐食</w:t>
      </w:r>
      <w:r>
        <w:rPr>
          <w:rFonts w:hint="eastAsia" w:ascii="宋体" w:hAnsi="宋体" w:eastAsia="宋体" w:cs="宋体"/>
          <w:b w:val="0"/>
          <w:bCs w:val="0"/>
          <w:strike w:val="0"/>
          <w:dstrike w:val="0"/>
          <w:color w:val="000000"/>
          <w:sz w:val="24"/>
          <w:szCs w:val="32"/>
          <w:highlight w:val="none"/>
          <w:lang w:val="en-US" w:eastAsia="zh-CN"/>
        </w:rPr>
        <w:t>菜品与数量至少为</w:t>
      </w:r>
      <w:r>
        <w:rPr>
          <w:rFonts w:hint="eastAsia" w:ascii="宋体" w:hAnsi="宋体" w:cs="宋体"/>
          <w:b w:val="0"/>
          <w:bCs w:val="0"/>
          <w:strike w:val="0"/>
          <w:dstrike w:val="0"/>
          <w:color w:val="000000"/>
          <w:sz w:val="24"/>
          <w:szCs w:val="32"/>
          <w:highlight w:val="none"/>
          <w:lang w:val="en-US" w:eastAsia="zh-CN"/>
        </w:rPr>
        <w:t>一</w:t>
      </w:r>
      <w:r>
        <w:rPr>
          <w:rFonts w:hint="eastAsia" w:ascii="宋体" w:hAnsi="宋体" w:eastAsia="宋体" w:cs="宋体"/>
          <w:b w:val="0"/>
          <w:bCs w:val="0"/>
          <w:strike w:val="0"/>
          <w:dstrike w:val="0"/>
          <w:color w:val="000000"/>
          <w:sz w:val="24"/>
          <w:szCs w:val="32"/>
          <w:highlight w:val="none"/>
          <w:lang w:val="en-US" w:eastAsia="zh-CN"/>
        </w:rPr>
        <w:t>荤</w:t>
      </w:r>
      <w:r>
        <w:rPr>
          <w:rFonts w:hint="eastAsia" w:ascii="宋体" w:hAnsi="宋体" w:cs="宋体"/>
          <w:b w:val="0"/>
          <w:bCs w:val="0"/>
          <w:strike w:val="0"/>
          <w:dstrike w:val="0"/>
          <w:color w:val="000000"/>
          <w:sz w:val="24"/>
          <w:szCs w:val="32"/>
          <w:highlight w:val="none"/>
          <w:lang w:val="en-US" w:eastAsia="zh-CN"/>
        </w:rPr>
        <w:t>两</w:t>
      </w:r>
      <w:r>
        <w:rPr>
          <w:rFonts w:hint="eastAsia" w:ascii="宋体" w:hAnsi="宋体" w:eastAsia="宋体" w:cs="宋体"/>
          <w:b w:val="0"/>
          <w:bCs w:val="0"/>
          <w:strike w:val="0"/>
          <w:dstrike w:val="0"/>
          <w:color w:val="000000"/>
          <w:sz w:val="24"/>
          <w:szCs w:val="32"/>
          <w:highlight w:val="none"/>
          <w:lang w:val="en-US" w:eastAsia="zh-CN"/>
        </w:rPr>
        <w:t>素</w:t>
      </w:r>
      <w:r>
        <w:rPr>
          <w:rFonts w:hint="eastAsia" w:ascii="宋体" w:hAnsi="宋体" w:cs="宋体"/>
          <w:b w:val="0"/>
          <w:bCs w:val="0"/>
          <w:strike w:val="0"/>
          <w:dstrike w:val="0"/>
          <w:color w:val="000000"/>
          <w:sz w:val="24"/>
          <w:szCs w:val="32"/>
          <w:highlight w:val="none"/>
          <w:lang w:val="en-US" w:eastAsia="zh-CN"/>
        </w:rPr>
        <w:t>。</w:t>
      </w:r>
    </w:p>
    <w:p w14:paraId="25F41F82">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000000"/>
          <w:sz w:val="24"/>
          <w:szCs w:val="32"/>
          <w:highlight w:val="none"/>
          <w:lang w:val="en-US" w:eastAsia="zh-CN"/>
        </w:rPr>
      </w:pPr>
      <w:r>
        <w:rPr>
          <w:rFonts w:hint="eastAsia" w:ascii="宋体" w:hAnsi="宋体" w:eastAsia="宋体" w:cs="宋体"/>
          <w:b w:val="0"/>
          <w:bCs w:val="0"/>
          <w:color w:val="000000"/>
          <w:sz w:val="24"/>
          <w:szCs w:val="32"/>
          <w:highlight w:val="none"/>
          <w:lang w:val="en-US" w:eastAsia="zh-CN"/>
        </w:rPr>
        <w:t>（</w:t>
      </w:r>
      <w:r>
        <w:rPr>
          <w:rFonts w:hint="eastAsia" w:ascii="宋体" w:hAnsi="宋体" w:cs="宋体"/>
          <w:b w:val="0"/>
          <w:bCs w:val="0"/>
          <w:color w:val="000000"/>
          <w:sz w:val="24"/>
          <w:szCs w:val="32"/>
          <w:highlight w:val="none"/>
          <w:lang w:val="en-US" w:eastAsia="zh-CN"/>
        </w:rPr>
        <w:t>8</w:t>
      </w:r>
      <w:r>
        <w:rPr>
          <w:rFonts w:hint="eastAsia" w:ascii="宋体" w:hAnsi="宋体" w:eastAsia="宋体" w:cs="宋体"/>
          <w:b w:val="0"/>
          <w:bCs w:val="0"/>
          <w:color w:val="000000"/>
          <w:sz w:val="24"/>
          <w:szCs w:val="32"/>
          <w:highlight w:val="none"/>
          <w:lang w:val="en-US" w:eastAsia="zh-CN"/>
        </w:rPr>
        <w:t>）成交供应商须自备上传指定平台所需的爱心卡Pos机等机具。</w:t>
      </w:r>
    </w:p>
    <w:p w14:paraId="3E2154FF">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000000"/>
          <w:sz w:val="24"/>
          <w:szCs w:val="32"/>
          <w:highlight w:val="none"/>
          <w:lang w:val="en-US" w:eastAsia="zh-CN"/>
        </w:rPr>
      </w:pPr>
      <w:r>
        <w:rPr>
          <w:rFonts w:hint="eastAsia" w:ascii="宋体" w:hAnsi="宋体" w:eastAsia="宋体" w:cs="宋体"/>
          <w:b w:val="0"/>
          <w:bCs w:val="0"/>
          <w:color w:val="000000"/>
          <w:sz w:val="24"/>
          <w:szCs w:val="32"/>
          <w:highlight w:val="none"/>
          <w:lang w:val="en-US" w:eastAsia="zh-CN"/>
        </w:rPr>
        <w:t>（</w:t>
      </w:r>
      <w:r>
        <w:rPr>
          <w:rFonts w:hint="eastAsia" w:ascii="宋体" w:hAnsi="宋体" w:cs="宋体"/>
          <w:b w:val="0"/>
          <w:bCs w:val="0"/>
          <w:color w:val="000000"/>
          <w:sz w:val="24"/>
          <w:szCs w:val="32"/>
          <w:highlight w:val="none"/>
          <w:lang w:val="en-US" w:eastAsia="zh-CN"/>
        </w:rPr>
        <w:t>9</w:t>
      </w:r>
      <w:r>
        <w:rPr>
          <w:rFonts w:hint="eastAsia" w:ascii="宋体" w:hAnsi="宋体" w:eastAsia="宋体" w:cs="宋体"/>
          <w:b w:val="0"/>
          <w:bCs w:val="0"/>
          <w:color w:val="000000"/>
          <w:sz w:val="24"/>
          <w:szCs w:val="32"/>
          <w:highlight w:val="none"/>
          <w:lang w:val="en-US" w:eastAsia="zh-CN"/>
        </w:rPr>
        <w:t>）1个“爱心分”可兑换1元人民币等值养老服务。</w:t>
      </w:r>
    </w:p>
    <w:p w14:paraId="10F6B435">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000000"/>
          <w:sz w:val="24"/>
          <w:szCs w:val="32"/>
          <w:highlight w:val="none"/>
          <w:lang w:val="en-US" w:eastAsia="zh-CN"/>
        </w:rPr>
      </w:pPr>
      <w:r>
        <w:rPr>
          <w:rFonts w:hint="eastAsia" w:ascii="宋体" w:hAnsi="宋体" w:cs="宋体"/>
          <w:b w:val="0"/>
          <w:bCs w:val="0"/>
          <w:color w:val="000000"/>
          <w:sz w:val="24"/>
          <w:szCs w:val="32"/>
          <w:highlight w:val="none"/>
          <w:lang w:val="en-US" w:eastAsia="zh-CN"/>
        </w:rPr>
        <w:t>（10）成交供应商应在老人的认同下，开展延伸和拓展市场化服务包括陪同外出、文化体育、其他家政类服务等个性化服务，相关服务记录纳入爱心卡系统。</w:t>
      </w:r>
    </w:p>
    <w:p w14:paraId="6D399B56">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bCs/>
          <w:highlight w:val="none"/>
        </w:rPr>
      </w:pPr>
      <w:r>
        <w:rPr>
          <w:rFonts w:hint="eastAsia" w:ascii="宋体" w:hAnsi="宋体" w:eastAsia="宋体" w:cs="宋体"/>
          <w:b w:val="0"/>
          <w:bCs w:val="0"/>
          <w:color w:val="000000"/>
          <w:sz w:val="24"/>
          <w:szCs w:val="32"/>
          <w:highlight w:val="none"/>
          <w:lang w:val="en-US" w:eastAsia="zh-CN"/>
        </w:rPr>
        <w:t>（</w:t>
      </w:r>
      <w:r>
        <w:rPr>
          <w:rFonts w:hint="eastAsia" w:ascii="宋体" w:hAnsi="宋体" w:cs="宋体"/>
          <w:b w:val="0"/>
          <w:bCs w:val="0"/>
          <w:color w:val="000000"/>
          <w:sz w:val="24"/>
          <w:szCs w:val="32"/>
          <w:highlight w:val="none"/>
          <w:lang w:val="en-US" w:eastAsia="zh-CN"/>
        </w:rPr>
        <w:t>11</w:t>
      </w:r>
      <w:r>
        <w:rPr>
          <w:rFonts w:hint="eastAsia" w:ascii="宋体" w:hAnsi="宋体" w:eastAsia="宋体" w:cs="宋体"/>
          <w:b w:val="0"/>
          <w:bCs w:val="0"/>
          <w:color w:val="000000"/>
          <w:sz w:val="24"/>
          <w:szCs w:val="32"/>
          <w:highlight w:val="none"/>
          <w:lang w:val="en-US" w:eastAsia="zh-CN"/>
        </w:rPr>
        <w:t>）成交供应商汇总服务清单，报</w:t>
      </w:r>
      <w:r>
        <w:rPr>
          <w:rFonts w:hint="eastAsia" w:ascii="宋体" w:hAnsi="宋体" w:cs="宋体"/>
          <w:b w:val="0"/>
          <w:bCs w:val="0"/>
          <w:color w:val="000000"/>
          <w:sz w:val="24"/>
          <w:szCs w:val="32"/>
          <w:highlight w:val="none"/>
          <w:lang w:val="en-US" w:eastAsia="zh-CN"/>
        </w:rPr>
        <w:t>采购人</w:t>
      </w:r>
      <w:r>
        <w:rPr>
          <w:rFonts w:hint="eastAsia" w:ascii="宋体" w:hAnsi="宋体" w:eastAsia="宋体" w:cs="宋体"/>
          <w:b w:val="0"/>
          <w:bCs w:val="0"/>
          <w:color w:val="000000"/>
          <w:sz w:val="24"/>
          <w:szCs w:val="32"/>
          <w:highlight w:val="none"/>
          <w:lang w:val="en-US" w:eastAsia="zh-CN"/>
        </w:rPr>
        <w:t>审核，</w:t>
      </w:r>
      <w:r>
        <w:rPr>
          <w:rFonts w:hint="eastAsia" w:ascii="宋体" w:hAnsi="宋体" w:cs="宋体"/>
          <w:b w:val="0"/>
          <w:bCs w:val="0"/>
          <w:color w:val="000000"/>
          <w:sz w:val="24"/>
          <w:szCs w:val="32"/>
          <w:highlight w:val="none"/>
          <w:lang w:val="en-US" w:eastAsia="zh-CN"/>
        </w:rPr>
        <w:t>采购人</w:t>
      </w:r>
      <w:r>
        <w:rPr>
          <w:rFonts w:hint="eastAsia" w:ascii="宋体" w:hAnsi="宋体" w:eastAsia="宋体" w:cs="宋体"/>
          <w:b w:val="0"/>
          <w:bCs w:val="0"/>
          <w:color w:val="000000"/>
          <w:sz w:val="24"/>
          <w:szCs w:val="32"/>
          <w:highlight w:val="none"/>
          <w:lang w:val="en-US" w:eastAsia="zh-CN"/>
        </w:rPr>
        <w:t>审核盖章后报区民政局结算资金。</w:t>
      </w:r>
    </w:p>
    <w:p w14:paraId="6E59C889">
      <w:pPr>
        <w:pStyle w:val="56"/>
        <w:widowControl/>
        <w:spacing w:line="360" w:lineRule="auto"/>
        <w:ind w:firstLine="482" w:firstLineChars="200"/>
        <w:jc w:val="both"/>
        <w:rPr>
          <w:rFonts w:hint="default" w:ascii="宋体" w:hAnsi="宋体" w:cs="宋体"/>
          <w:b/>
          <w:bCs/>
          <w:highlight w:val="none"/>
          <w:lang w:val="en-US" w:eastAsia="zh-CN"/>
        </w:rPr>
      </w:pPr>
      <w:r>
        <w:rPr>
          <w:rFonts w:hint="eastAsia" w:ascii="宋体" w:hAnsi="宋体" w:eastAsia="宋体" w:cs="宋体"/>
          <w:b/>
          <w:bCs/>
          <w:highlight w:val="none"/>
          <w:lang w:val="en-US" w:eastAsia="zh-CN"/>
        </w:rPr>
        <w:t>2、</w:t>
      </w:r>
      <w:r>
        <w:rPr>
          <w:rFonts w:hint="eastAsia" w:ascii="宋体" w:hAnsi="宋体" w:cs="宋体"/>
          <w:b/>
          <w:bCs/>
          <w:highlight w:val="none"/>
          <w:lang w:eastAsia="zh-CN"/>
        </w:rPr>
        <w:t>居家养老服务（</w:t>
      </w:r>
      <w:r>
        <w:rPr>
          <w:rFonts w:hint="eastAsia" w:ascii="宋体" w:hAnsi="宋体" w:cs="宋体"/>
          <w:b/>
          <w:bCs/>
          <w:highlight w:val="none"/>
          <w:lang w:val="en-US" w:eastAsia="zh-CN"/>
        </w:rPr>
        <w:t>照料</w:t>
      </w:r>
      <w:r>
        <w:rPr>
          <w:rFonts w:hint="eastAsia" w:ascii="宋体" w:hAnsi="宋体" w:cs="宋体"/>
          <w:b/>
          <w:bCs/>
          <w:highlight w:val="none"/>
          <w:lang w:eastAsia="zh-CN"/>
        </w:rPr>
        <w:t>）中心</w:t>
      </w:r>
      <w:r>
        <w:rPr>
          <w:rFonts w:hint="eastAsia" w:ascii="宋体" w:hAnsi="宋体" w:cs="宋体"/>
          <w:b/>
          <w:bCs/>
          <w:highlight w:val="none"/>
          <w:lang w:val="en-US" w:eastAsia="zh-CN"/>
        </w:rPr>
        <w:t>托管运营服务</w:t>
      </w:r>
    </w:p>
    <w:tbl>
      <w:tblPr>
        <w:tblStyle w:val="27"/>
        <w:tblW w:w="9945" w:type="dxa"/>
        <w:tblInd w:w="-7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5"/>
        <w:gridCol w:w="1320"/>
        <w:gridCol w:w="1395"/>
        <w:gridCol w:w="2070"/>
        <w:gridCol w:w="3105"/>
        <w:gridCol w:w="1530"/>
      </w:tblGrid>
      <w:tr w14:paraId="13190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945" w:type="dxa"/>
            <w:gridSpan w:val="6"/>
            <w:noWrap w:val="0"/>
            <w:vAlign w:val="center"/>
          </w:tcPr>
          <w:p w14:paraId="226DE08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kern w:val="0"/>
                <w:sz w:val="21"/>
                <w:szCs w:val="21"/>
                <w:highlight w:val="none"/>
                <w:lang w:val="en-US" w:eastAsia="zh-CN" w:bidi="ar"/>
              </w:rPr>
            </w:pPr>
            <w:r>
              <w:rPr>
                <w:rFonts w:hint="eastAsia" w:ascii="宋体" w:hAnsi="宋体" w:cs="宋体"/>
                <w:b/>
                <w:bCs/>
                <w:sz w:val="24"/>
                <w:szCs w:val="24"/>
                <w:highlight w:val="none"/>
                <w:lang w:eastAsia="zh-CN"/>
              </w:rPr>
              <w:t>街道级居家养老服务中心</w:t>
            </w:r>
          </w:p>
        </w:tc>
      </w:tr>
      <w:tr w14:paraId="1BF07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525" w:type="dxa"/>
            <w:noWrap w:val="0"/>
            <w:vAlign w:val="center"/>
          </w:tcPr>
          <w:p w14:paraId="29D413B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kern w:val="0"/>
                <w:sz w:val="21"/>
                <w:szCs w:val="21"/>
                <w:highlight w:val="none"/>
                <w:lang w:val="en-US" w:eastAsia="zh-CN" w:bidi="ar"/>
              </w:rPr>
              <w:t>项目</w:t>
            </w:r>
          </w:p>
        </w:tc>
        <w:tc>
          <w:tcPr>
            <w:tcW w:w="1320" w:type="dxa"/>
            <w:noWrap w:val="0"/>
            <w:vAlign w:val="center"/>
          </w:tcPr>
          <w:p w14:paraId="43BBBAE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color w:val="auto"/>
                <w:kern w:val="2"/>
                <w:sz w:val="21"/>
                <w:szCs w:val="21"/>
                <w:highlight w:val="none"/>
                <w:u w:val="none"/>
                <w:lang w:val="en-US" w:eastAsia="zh-CN" w:bidi="ar-SA"/>
              </w:rPr>
            </w:pPr>
            <w:r>
              <w:rPr>
                <w:rFonts w:hint="eastAsia" w:ascii="宋体" w:hAnsi="宋体" w:eastAsia="宋体" w:cs="宋体"/>
                <w:b/>
                <w:bCs/>
                <w:kern w:val="0"/>
                <w:sz w:val="21"/>
                <w:szCs w:val="21"/>
                <w:highlight w:val="none"/>
                <w:lang w:bidi="ar"/>
              </w:rPr>
              <w:t>内容</w:t>
            </w:r>
          </w:p>
        </w:tc>
        <w:tc>
          <w:tcPr>
            <w:tcW w:w="1395" w:type="dxa"/>
            <w:noWrap w:val="0"/>
            <w:vAlign w:val="center"/>
          </w:tcPr>
          <w:p w14:paraId="4FF239B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kern w:val="0"/>
                <w:sz w:val="21"/>
                <w:szCs w:val="21"/>
                <w:highlight w:val="none"/>
                <w:lang w:val="en-US" w:eastAsia="zh-CN" w:bidi="ar"/>
              </w:rPr>
            </w:pPr>
            <w:r>
              <w:rPr>
                <w:rFonts w:hint="eastAsia" w:ascii="宋体" w:hAnsi="宋体" w:eastAsia="宋体" w:cs="宋体"/>
                <w:b/>
                <w:bCs/>
                <w:kern w:val="0"/>
                <w:sz w:val="21"/>
                <w:szCs w:val="21"/>
                <w:highlight w:val="none"/>
                <w:lang w:val="en-US" w:eastAsia="zh-CN" w:bidi="ar"/>
              </w:rPr>
              <w:t>服务对象</w:t>
            </w:r>
          </w:p>
        </w:tc>
        <w:tc>
          <w:tcPr>
            <w:tcW w:w="2070" w:type="dxa"/>
            <w:noWrap w:val="0"/>
            <w:vAlign w:val="center"/>
          </w:tcPr>
          <w:p w14:paraId="7E2657C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kern w:val="0"/>
                <w:sz w:val="21"/>
                <w:szCs w:val="21"/>
                <w:highlight w:val="none"/>
                <w:lang w:val="en-US" w:eastAsia="zh-CN" w:bidi="ar"/>
              </w:rPr>
            </w:pPr>
            <w:r>
              <w:rPr>
                <w:rFonts w:hint="eastAsia" w:ascii="宋体" w:hAnsi="宋体" w:eastAsia="宋体" w:cs="宋体"/>
                <w:b/>
                <w:bCs/>
                <w:kern w:val="0"/>
                <w:sz w:val="21"/>
                <w:szCs w:val="21"/>
                <w:highlight w:val="none"/>
                <w:lang w:val="en-US" w:eastAsia="zh-CN" w:bidi="ar"/>
              </w:rPr>
              <w:t>服务内容</w:t>
            </w:r>
          </w:p>
        </w:tc>
        <w:tc>
          <w:tcPr>
            <w:tcW w:w="3105" w:type="dxa"/>
            <w:noWrap w:val="0"/>
            <w:vAlign w:val="center"/>
          </w:tcPr>
          <w:p w14:paraId="55B5086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color w:val="auto"/>
                <w:kern w:val="2"/>
                <w:sz w:val="21"/>
                <w:szCs w:val="21"/>
                <w:highlight w:val="none"/>
                <w:u w:val="none"/>
                <w:lang w:val="en-US" w:eastAsia="zh-CN" w:bidi="ar-SA"/>
              </w:rPr>
            </w:pPr>
            <w:r>
              <w:rPr>
                <w:rFonts w:hint="eastAsia" w:ascii="宋体" w:hAnsi="宋体" w:eastAsia="宋体" w:cs="宋体"/>
                <w:b/>
                <w:bCs/>
                <w:kern w:val="0"/>
                <w:sz w:val="21"/>
                <w:szCs w:val="21"/>
                <w:highlight w:val="none"/>
                <w:lang w:bidi="ar"/>
              </w:rPr>
              <w:t>要求</w:t>
            </w:r>
          </w:p>
        </w:tc>
        <w:tc>
          <w:tcPr>
            <w:tcW w:w="1530" w:type="dxa"/>
            <w:noWrap w:val="0"/>
            <w:vAlign w:val="center"/>
          </w:tcPr>
          <w:p w14:paraId="61BF989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kern w:val="0"/>
                <w:sz w:val="21"/>
                <w:szCs w:val="21"/>
                <w:highlight w:val="none"/>
                <w:lang w:val="en-US" w:eastAsia="zh-CN" w:bidi="ar"/>
              </w:rPr>
            </w:pPr>
            <w:r>
              <w:rPr>
                <w:rFonts w:hint="eastAsia" w:ascii="宋体" w:hAnsi="宋体" w:eastAsia="宋体" w:cs="宋体"/>
                <w:b/>
                <w:bCs/>
                <w:kern w:val="0"/>
                <w:sz w:val="21"/>
                <w:szCs w:val="21"/>
                <w:highlight w:val="none"/>
                <w:lang w:val="en-US" w:eastAsia="zh-CN" w:bidi="ar"/>
              </w:rPr>
              <w:t>收费方式</w:t>
            </w:r>
          </w:p>
        </w:tc>
      </w:tr>
      <w:tr w14:paraId="1F967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5" w:hRule="atLeast"/>
        </w:trPr>
        <w:tc>
          <w:tcPr>
            <w:tcW w:w="525" w:type="dxa"/>
            <w:vMerge w:val="restart"/>
            <w:noWrap w:val="0"/>
            <w:vAlign w:val="center"/>
          </w:tcPr>
          <w:p w14:paraId="4CA4D012">
            <w:pPr>
              <w:pStyle w:val="9"/>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kern w:val="0"/>
                <w:sz w:val="21"/>
                <w:szCs w:val="21"/>
                <w:highlight w:val="none"/>
                <w:lang w:val="en-US" w:eastAsia="zh-CN" w:bidi="ar"/>
              </w:rPr>
              <w:t>服务内容</w:t>
            </w:r>
          </w:p>
        </w:tc>
        <w:tc>
          <w:tcPr>
            <w:tcW w:w="1320" w:type="dxa"/>
            <w:vMerge w:val="restart"/>
            <w:noWrap w:val="0"/>
            <w:vAlign w:val="center"/>
          </w:tcPr>
          <w:p w14:paraId="1D72DF53">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kern w:val="0"/>
                <w:sz w:val="21"/>
                <w:szCs w:val="21"/>
                <w:highlight w:val="none"/>
                <w:lang w:bidi="ar"/>
              </w:rPr>
              <w:t>1、生活服务</w:t>
            </w:r>
          </w:p>
        </w:tc>
        <w:tc>
          <w:tcPr>
            <w:tcW w:w="1395" w:type="dxa"/>
            <w:vMerge w:val="restart"/>
            <w:noWrap w:val="0"/>
            <w:vAlign w:val="center"/>
          </w:tcPr>
          <w:p w14:paraId="124B6705">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bidi="ar"/>
              </w:rPr>
            </w:pPr>
            <w:r>
              <w:rPr>
                <w:rFonts w:hint="eastAsia" w:ascii="宋体" w:hAnsi="宋体" w:eastAsia="宋体" w:cs="宋体"/>
                <w:color w:val="auto"/>
                <w:sz w:val="21"/>
                <w:szCs w:val="21"/>
                <w:highlight w:val="none"/>
              </w:rPr>
              <w:t>无传染病，有生活照料需求的老年人</w:t>
            </w:r>
          </w:p>
        </w:tc>
        <w:tc>
          <w:tcPr>
            <w:tcW w:w="2070" w:type="dxa"/>
            <w:noWrap w:val="0"/>
            <w:vAlign w:val="center"/>
          </w:tcPr>
          <w:p w14:paraId="1A3263AA">
            <w:pPr>
              <w:widowControl/>
              <w:jc w:val="left"/>
              <w:textAlignment w:val="center"/>
              <w:rPr>
                <w:rFonts w:hint="eastAsia" w:ascii="宋体" w:hAnsi="宋体" w:cs="宋体"/>
                <w:szCs w:val="21"/>
                <w:highlight w:val="none"/>
              </w:rPr>
            </w:pPr>
            <w:r>
              <w:rPr>
                <w:rFonts w:hint="eastAsia" w:ascii="宋体" w:hAnsi="宋体" w:cs="宋体"/>
                <w:szCs w:val="21"/>
                <w:highlight w:val="none"/>
              </w:rPr>
              <w:t>助餐服务：</w:t>
            </w:r>
          </w:p>
          <w:p w14:paraId="377948BF">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bidi="ar"/>
              </w:rPr>
            </w:pPr>
            <w:r>
              <w:rPr>
                <w:rFonts w:hint="eastAsia" w:ascii="宋体" w:hAnsi="宋体" w:cs="宋体"/>
                <w:szCs w:val="21"/>
                <w:highlight w:val="none"/>
              </w:rPr>
              <w:t>服务中心设有</w:t>
            </w:r>
            <w:r>
              <w:rPr>
                <w:rFonts w:hint="eastAsia" w:ascii="宋体" w:hAnsi="宋体" w:cs="宋体"/>
                <w:szCs w:val="21"/>
                <w:highlight w:val="none"/>
                <w:lang w:eastAsia="zh-CN"/>
              </w:rPr>
              <w:t>怡家社区食堂、</w:t>
            </w:r>
            <w:r>
              <w:rPr>
                <w:rFonts w:hint="eastAsia" w:ascii="宋体" w:hAnsi="宋体" w:cs="宋体"/>
                <w:szCs w:val="21"/>
                <w:highlight w:val="none"/>
              </w:rPr>
              <w:t>老年食堂助餐或设就餐点助餐；</w:t>
            </w:r>
          </w:p>
        </w:tc>
        <w:tc>
          <w:tcPr>
            <w:tcW w:w="3105" w:type="dxa"/>
            <w:noWrap w:val="0"/>
            <w:vAlign w:val="center"/>
          </w:tcPr>
          <w:p w14:paraId="1CA9805F">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rPr>
              <w:t>符合食品安全法律法规的规定；</w:t>
            </w:r>
          </w:p>
          <w:p w14:paraId="6A242E8D">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重点保障家庭无法解决就餐问题的老年人就餐需求；</w:t>
            </w:r>
          </w:p>
          <w:p w14:paraId="732412AA">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提供中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餐（必要时提供早餐）的堂吃、领餐，满足老年人就餐需求，主要是享受政府养老服务补贴的老年人；</w:t>
            </w:r>
          </w:p>
          <w:p w14:paraId="3E9264C8">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④</w:t>
            </w:r>
            <w:r>
              <w:rPr>
                <w:rFonts w:hint="eastAsia" w:ascii="宋体" w:hAnsi="宋体" w:eastAsia="宋体" w:cs="宋体"/>
                <w:color w:val="auto"/>
                <w:sz w:val="21"/>
                <w:szCs w:val="21"/>
                <w:highlight w:val="none"/>
              </w:rPr>
              <w:t>尊重老年人的饮食生活习惯，注意营养、合理配餐、每周有食谱，</w:t>
            </w:r>
          </w:p>
          <w:p w14:paraId="5D4D44C3">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⑤</w:t>
            </w:r>
            <w:r>
              <w:rPr>
                <w:rFonts w:hint="eastAsia" w:ascii="宋体" w:hAnsi="宋体" w:eastAsia="宋体" w:cs="宋体"/>
                <w:color w:val="auto"/>
                <w:sz w:val="21"/>
                <w:szCs w:val="21"/>
                <w:highlight w:val="none"/>
              </w:rPr>
              <w:t>建立完善的配送餐登记、管理等工作台账</w:t>
            </w:r>
          </w:p>
          <w:p w14:paraId="282CB99C">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⑥</w:t>
            </w:r>
            <w:r>
              <w:rPr>
                <w:rFonts w:hint="eastAsia" w:ascii="宋体" w:hAnsi="宋体" w:eastAsia="宋体" w:cs="宋体"/>
                <w:color w:val="auto"/>
                <w:sz w:val="21"/>
                <w:szCs w:val="21"/>
                <w:highlight w:val="none"/>
              </w:rPr>
              <w:t>服务时间不少于300天／年。</w:t>
            </w:r>
          </w:p>
          <w:p w14:paraId="29682F63">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color w:val="auto"/>
                <w:sz w:val="21"/>
                <w:szCs w:val="21"/>
                <w:highlight w:val="none"/>
                <w:lang w:val="en-US" w:eastAsia="zh-CN"/>
              </w:rPr>
              <w:t>⑦</w:t>
            </w:r>
            <w:r>
              <w:rPr>
                <w:rFonts w:hint="eastAsia" w:ascii="宋体" w:hAnsi="宋体" w:eastAsia="宋体" w:cs="宋体"/>
                <w:color w:val="auto"/>
                <w:sz w:val="21"/>
                <w:szCs w:val="21"/>
                <w:highlight w:val="none"/>
              </w:rPr>
              <w:t>同时开展助配餐服务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助配餐从业人员（含配送员）必须取得健康证明后方可上岗，健康证需上墙公示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配送费由成交供应商负责</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lang w:eastAsia="zh-CN"/>
              </w:rPr>
              <w:t>。</w:t>
            </w:r>
          </w:p>
        </w:tc>
        <w:tc>
          <w:tcPr>
            <w:tcW w:w="1530" w:type="dxa"/>
            <w:vMerge w:val="restart"/>
            <w:noWrap w:val="0"/>
            <w:vAlign w:val="center"/>
          </w:tcPr>
          <w:p w14:paraId="49BA0DB8">
            <w:pPr>
              <w:spacing w:line="240" w:lineRule="auto"/>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收费标准</w:t>
            </w:r>
            <w:r>
              <w:rPr>
                <w:rFonts w:hint="eastAsia" w:ascii="宋体" w:hAnsi="宋体" w:eastAsia="宋体"/>
                <w:color w:val="auto"/>
                <w:sz w:val="21"/>
                <w:szCs w:val="21"/>
                <w:highlight w:val="none"/>
                <w:lang w:val="en-US" w:eastAsia="zh-CN"/>
              </w:rPr>
              <w:t>=</w:t>
            </w:r>
            <w:r>
              <w:rPr>
                <w:rFonts w:hint="eastAsia" w:ascii="宋体" w:hAnsi="宋体" w:eastAsia="宋体"/>
                <w:color w:val="auto"/>
                <w:sz w:val="21"/>
                <w:szCs w:val="21"/>
                <w:highlight w:val="none"/>
              </w:rPr>
              <w:t>居家养老上门服务</w:t>
            </w:r>
            <w:r>
              <w:rPr>
                <w:rFonts w:hint="eastAsia" w:ascii="宋体" w:hAnsi="宋体" w:eastAsia="宋体"/>
                <w:color w:val="auto"/>
                <w:sz w:val="21"/>
                <w:szCs w:val="21"/>
                <w:highlight w:val="none"/>
                <w:lang w:val="en-US" w:eastAsia="zh-CN"/>
              </w:rPr>
              <w:t>清单</w:t>
            </w:r>
            <w:r>
              <w:rPr>
                <w:rFonts w:hint="eastAsia" w:ascii="宋体" w:hAnsi="宋体"/>
                <w:color w:val="auto"/>
                <w:sz w:val="21"/>
                <w:szCs w:val="21"/>
                <w:highlight w:val="none"/>
                <w:lang w:val="en-US" w:eastAsia="zh-CN"/>
              </w:rPr>
              <w:t>各个项目的</w:t>
            </w:r>
            <w:r>
              <w:rPr>
                <w:rFonts w:hint="eastAsia" w:ascii="宋体" w:hAnsi="宋体" w:eastAsia="宋体"/>
                <w:color w:val="auto"/>
                <w:sz w:val="21"/>
                <w:szCs w:val="21"/>
                <w:highlight w:val="none"/>
                <w:lang w:val="en-US" w:eastAsia="zh-CN"/>
              </w:rPr>
              <w:t>综合单价</w:t>
            </w:r>
            <w:r>
              <w:rPr>
                <w:rFonts w:hint="eastAsia" w:ascii="宋体" w:hAnsi="宋体" w:eastAsia="宋体"/>
                <w:color w:val="auto"/>
                <w:sz w:val="21"/>
                <w:szCs w:val="21"/>
                <w:highlight w:val="none"/>
              </w:rPr>
              <w:t>，</w:t>
            </w:r>
            <w:r>
              <w:rPr>
                <w:rFonts w:hint="eastAsia" w:ascii="宋体" w:hAnsi="宋体"/>
                <w:color w:val="auto"/>
                <w:sz w:val="21"/>
                <w:szCs w:val="21"/>
                <w:highlight w:val="none"/>
                <w:lang w:val="en-US" w:eastAsia="zh-CN"/>
              </w:rPr>
              <w:t>清单未包含部分</w:t>
            </w:r>
            <w:r>
              <w:rPr>
                <w:rFonts w:hint="eastAsia" w:ascii="宋体" w:hAnsi="宋体" w:eastAsia="宋体" w:cs="宋体"/>
                <w:kern w:val="0"/>
                <w:sz w:val="21"/>
                <w:szCs w:val="21"/>
                <w:highlight w:val="none"/>
                <w:lang w:val="en-US" w:eastAsia="zh-CN" w:bidi="ar"/>
              </w:rPr>
              <w:t>由采购人和成交供应商协商或市场调研共同确定，</w:t>
            </w:r>
            <w:r>
              <w:rPr>
                <w:rFonts w:hint="eastAsia" w:ascii="宋体" w:hAnsi="宋体" w:eastAsia="宋体"/>
                <w:color w:val="auto"/>
                <w:sz w:val="21"/>
                <w:szCs w:val="21"/>
                <w:highlight w:val="none"/>
              </w:rPr>
              <w:t>服务对象支付。</w:t>
            </w:r>
          </w:p>
          <w:p w14:paraId="50602D79">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kern w:val="0"/>
                <w:sz w:val="21"/>
                <w:szCs w:val="21"/>
                <w:highlight w:val="none"/>
                <w:lang w:val="en-US" w:eastAsia="zh-CN" w:bidi="ar"/>
              </w:rPr>
            </w:pPr>
          </w:p>
        </w:tc>
      </w:tr>
      <w:tr w14:paraId="019A2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525" w:type="dxa"/>
            <w:vMerge w:val="continue"/>
            <w:noWrap w:val="0"/>
            <w:vAlign w:val="center"/>
          </w:tcPr>
          <w:p w14:paraId="7AF6A015">
            <w:pPr>
              <w:pStyle w:val="9"/>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kern w:val="0"/>
                <w:sz w:val="21"/>
                <w:szCs w:val="21"/>
                <w:highlight w:val="none"/>
                <w:lang w:val="en-US" w:eastAsia="zh-CN" w:bidi="ar"/>
              </w:rPr>
            </w:pPr>
          </w:p>
        </w:tc>
        <w:tc>
          <w:tcPr>
            <w:tcW w:w="1320" w:type="dxa"/>
            <w:vMerge w:val="continue"/>
            <w:noWrap w:val="0"/>
            <w:vAlign w:val="center"/>
          </w:tcPr>
          <w:p w14:paraId="5EE746A0">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bidi="ar"/>
              </w:rPr>
            </w:pPr>
          </w:p>
        </w:tc>
        <w:tc>
          <w:tcPr>
            <w:tcW w:w="1395" w:type="dxa"/>
            <w:vMerge w:val="continue"/>
            <w:noWrap w:val="0"/>
            <w:vAlign w:val="center"/>
          </w:tcPr>
          <w:p w14:paraId="4EA7B647">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bidi="ar"/>
              </w:rPr>
            </w:pPr>
          </w:p>
        </w:tc>
        <w:tc>
          <w:tcPr>
            <w:tcW w:w="2070" w:type="dxa"/>
            <w:noWrap w:val="0"/>
            <w:vAlign w:val="center"/>
          </w:tcPr>
          <w:p w14:paraId="518A5AE3">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助浴服务：</w:t>
            </w:r>
          </w:p>
          <w:p w14:paraId="4B70B724">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bidi="ar"/>
              </w:rPr>
            </w:pPr>
            <w:r>
              <w:rPr>
                <w:rFonts w:hint="eastAsia" w:ascii="宋体" w:hAnsi="宋体" w:eastAsia="宋体" w:cs="宋体"/>
                <w:color w:val="auto"/>
                <w:sz w:val="21"/>
                <w:szCs w:val="21"/>
                <w:highlight w:val="none"/>
              </w:rPr>
              <w:t>服务中心设有助浴功能</w:t>
            </w:r>
            <w:r>
              <w:rPr>
                <w:rFonts w:hint="eastAsia" w:ascii="宋体" w:hAnsi="宋体" w:eastAsia="宋体" w:cs="宋体"/>
                <w:color w:val="auto"/>
                <w:sz w:val="21"/>
                <w:szCs w:val="21"/>
                <w:highlight w:val="none"/>
                <w:lang w:val="en-US" w:eastAsia="zh-CN"/>
              </w:rPr>
              <w:t>空间的</w:t>
            </w:r>
            <w:r>
              <w:rPr>
                <w:rFonts w:hint="eastAsia" w:ascii="宋体" w:hAnsi="宋体" w:eastAsia="宋体" w:cs="宋体"/>
                <w:color w:val="auto"/>
                <w:sz w:val="21"/>
                <w:szCs w:val="21"/>
                <w:highlight w:val="none"/>
              </w:rPr>
              <w:t>；</w:t>
            </w:r>
          </w:p>
        </w:tc>
        <w:tc>
          <w:tcPr>
            <w:tcW w:w="3105" w:type="dxa"/>
            <w:noWrap w:val="0"/>
            <w:vAlign w:val="center"/>
          </w:tcPr>
          <w:p w14:paraId="60CE26C8">
            <w:pPr>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rPr>
              <w:t>助浴前后进行安全提示，对老年人身体状况进行评估；</w:t>
            </w:r>
          </w:p>
          <w:p w14:paraId="404D4C2B">
            <w:pPr>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根据四季气候状况、老年人居住条件，注意防寒保暖、防暑降温、浴室内通风；</w:t>
            </w:r>
          </w:p>
          <w:p w14:paraId="061620BC">
            <w:pPr>
              <w:spacing w:line="240" w:lineRule="auto"/>
              <w:jc w:val="both"/>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助浴服务应有家属在场。</w:t>
            </w:r>
          </w:p>
        </w:tc>
        <w:tc>
          <w:tcPr>
            <w:tcW w:w="1530" w:type="dxa"/>
            <w:vMerge w:val="continue"/>
            <w:noWrap w:val="0"/>
            <w:vAlign w:val="center"/>
          </w:tcPr>
          <w:p w14:paraId="78FFC54D">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kern w:val="0"/>
                <w:sz w:val="21"/>
                <w:szCs w:val="21"/>
                <w:highlight w:val="none"/>
                <w:lang w:val="en-US" w:eastAsia="zh-CN" w:bidi="ar"/>
              </w:rPr>
            </w:pPr>
          </w:p>
        </w:tc>
      </w:tr>
      <w:tr w14:paraId="6D358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525" w:type="dxa"/>
            <w:vMerge w:val="continue"/>
            <w:noWrap w:val="0"/>
            <w:vAlign w:val="center"/>
          </w:tcPr>
          <w:p w14:paraId="7DAF26AA">
            <w:pPr>
              <w:pStyle w:val="9"/>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kern w:val="0"/>
                <w:sz w:val="21"/>
                <w:szCs w:val="21"/>
                <w:highlight w:val="none"/>
                <w:lang w:val="en-US" w:eastAsia="zh-CN" w:bidi="ar"/>
              </w:rPr>
            </w:pPr>
          </w:p>
        </w:tc>
        <w:tc>
          <w:tcPr>
            <w:tcW w:w="1320" w:type="dxa"/>
            <w:vMerge w:val="continue"/>
            <w:noWrap w:val="0"/>
            <w:vAlign w:val="center"/>
          </w:tcPr>
          <w:p w14:paraId="5A300865">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bidi="ar"/>
              </w:rPr>
            </w:pPr>
          </w:p>
        </w:tc>
        <w:tc>
          <w:tcPr>
            <w:tcW w:w="1395" w:type="dxa"/>
            <w:vMerge w:val="continue"/>
            <w:noWrap w:val="0"/>
            <w:vAlign w:val="center"/>
          </w:tcPr>
          <w:p w14:paraId="33878E75">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bidi="ar"/>
              </w:rPr>
            </w:pPr>
          </w:p>
        </w:tc>
        <w:tc>
          <w:tcPr>
            <w:tcW w:w="2070" w:type="dxa"/>
            <w:noWrap w:val="0"/>
            <w:vAlign w:val="center"/>
          </w:tcPr>
          <w:p w14:paraId="69E03B84">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助洁服务：</w:t>
            </w:r>
          </w:p>
          <w:p w14:paraId="7EB082FA">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服务中心组织助洁生活服务；</w:t>
            </w:r>
          </w:p>
        </w:tc>
        <w:tc>
          <w:tcPr>
            <w:tcW w:w="3105" w:type="dxa"/>
            <w:noWrap w:val="0"/>
            <w:vAlign w:val="center"/>
          </w:tcPr>
          <w:p w14:paraId="25E4F33C">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Cs w:val="21"/>
                <w:highlight w:val="none"/>
              </w:rPr>
              <w:t>为辖区内所有村（社区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渔业公司</w:t>
            </w:r>
            <w:r>
              <w:rPr>
                <w:rFonts w:hint="eastAsia" w:ascii="宋体" w:hAnsi="宋体" w:eastAsia="宋体" w:cs="宋体"/>
                <w:color w:val="auto"/>
                <w:szCs w:val="21"/>
                <w:highlight w:val="none"/>
              </w:rPr>
              <w:t>）（含未托管和未设立照料中心的村（社区））</w:t>
            </w:r>
            <w:r>
              <w:rPr>
                <w:rFonts w:hint="eastAsia" w:ascii="宋体" w:hAnsi="宋体" w:eastAsia="宋体" w:cs="宋体"/>
                <w:color w:val="auto"/>
                <w:kern w:val="0"/>
                <w:sz w:val="21"/>
                <w:szCs w:val="21"/>
                <w:highlight w:val="none"/>
                <w:lang w:eastAsia="zh-CN" w:bidi="ar"/>
              </w:rPr>
              <w:t>每月至少组织</w:t>
            </w:r>
            <w:r>
              <w:rPr>
                <w:rFonts w:hint="eastAsia" w:ascii="宋体" w:hAnsi="宋体" w:eastAsia="宋体" w:cs="宋体"/>
                <w:color w:val="auto"/>
                <w:kern w:val="0"/>
                <w:sz w:val="21"/>
                <w:szCs w:val="21"/>
                <w:highlight w:val="none"/>
                <w:lang w:val="en-US" w:eastAsia="zh-CN" w:bidi="ar"/>
              </w:rPr>
              <w:t>1次为老年人免费理发（必备项）、剪指甲、助浴、量血压等日常生活服务，每次服务活动时间不少于1天。</w:t>
            </w:r>
          </w:p>
        </w:tc>
        <w:tc>
          <w:tcPr>
            <w:tcW w:w="1530" w:type="dxa"/>
            <w:vMerge w:val="continue"/>
            <w:noWrap w:val="0"/>
            <w:vAlign w:val="center"/>
          </w:tcPr>
          <w:p w14:paraId="750CB2DE">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kern w:val="0"/>
                <w:sz w:val="21"/>
                <w:szCs w:val="21"/>
                <w:highlight w:val="none"/>
                <w:lang w:val="en-US" w:eastAsia="zh-CN" w:bidi="ar"/>
              </w:rPr>
            </w:pPr>
          </w:p>
        </w:tc>
      </w:tr>
      <w:tr w14:paraId="7B9E5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525" w:type="dxa"/>
            <w:vMerge w:val="continue"/>
            <w:noWrap w:val="0"/>
            <w:vAlign w:val="center"/>
          </w:tcPr>
          <w:p w14:paraId="428BF4DF">
            <w:pPr>
              <w:pStyle w:val="9"/>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kern w:val="0"/>
                <w:sz w:val="21"/>
                <w:szCs w:val="21"/>
                <w:highlight w:val="none"/>
                <w:lang w:val="en-US" w:eastAsia="zh-CN" w:bidi="ar"/>
              </w:rPr>
            </w:pPr>
          </w:p>
        </w:tc>
        <w:tc>
          <w:tcPr>
            <w:tcW w:w="1320" w:type="dxa"/>
            <w:vMerge w:val="continue"/>
            <w:noWrap w:val="0"/>
            <w:vAlign w:val="center"/>
          </w:tcPr>
          <w:p w14:paraId="6DEB9E96">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bidi="ar"/>
              </w:rPr>
            </w:pPr>
          </w:p>
        </w:tc>
        <w:tc>
          <w:tcPr>
            <w:tcW w:w="1395" w:type="dxa"/>
            <w:vMerge w:val="continue"/>
            <w:noWrap w:val="0"/>
            <w:vAlign w:val="center"/>
          </w:tcPr>
          <w:p w14:paraId="199D4B42">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bidi="ar"/>
              </w:rPr>
            </w:pPr>
          </w:p>
        </w:tc>
        <w:tc>
          <w:tcPr>
            <w:tcW w:w="2070" w:type="dxa"/>
            <w:noWrap w:val="0"/>
            <w:vAlign w:val="center"/>
          </w:tcPr>
          <w:p w14:paraId="2A67E608">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洗涤服务：</w:t>
            </w:r>
          </w:p>
          <w:p w14:paraId="31F18D42">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bidi="ar"/>
              </w:rPr>
            </w:pPr>
            <w:r>
              <w:rPr>
                <w:rFonts w:hint="eastAsia" w:ascii="宋体" w:hAnsi="宋体" w:eastAsia="宋体" w:cs="宋体"/>
                <w:color w:val="auto"/>
                <w:sz w:val="21"/>
                <w:szCs w:val="21"/>
                <w:highlight w:val="none"/>
              </w:rPr>
              <w:t>集中送洗（机洗）；</w:t>
            </w:r>
          </w:p>
        </w:tc>
        <w:tc>
          <w:tcPr>
            <w:tcW w:w="3105" w:type="dxa"/>
            <w:noWrap w:val="0"/>
            <w:vAlign w:val="center"/>
          </w:tcPr>
          <w:p w14:paraId="06312B96">
            <w:pPr>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rPr>
              <w:t>洗涤前检查被洗衣物的性状并告知老年人或家属；</w:t>
            </w:r>
          </w:p>
          <w:p w14:paraId="2110B92E">
            <w:pPr>
              <w:spacing w:line="240" w:lineRule="auto"/>
              <w:jc w:val="both"/>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取送衣物时，做到标识清楚、核对准确、按时送还。</w:t>
            </w:r>
          </w:p>
        </w:tc>
        <w:tc>
          <w:tcPr>
            <w:tcW w:w="1530" w:type="dxa"/>
            <w:vMerge w:val="continue"/>
            <w:noWrap w:val="0"/>
            <w:vAlign w:val="center"/>
          </w:tcPr>
          <w:p w14:paraId="78646589">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kern w:val="0"/>
                <w:sz w:val="21"/>
                <w:szCs w:val="21"/>
                <w:highlight w:val="none"/>
                <w:lang w:val="en-US" w:eastAsia="zh-CN" w:bidi="ar"/>
              </w:rPr>
            </w:pPr>
          </w:p>
        </w:tc>
      </w:tr>
      <w:tr w14:paraId="15469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525" w:type="dxa"/>
            <w:vMerge w:val="continue"/>
            <w:noWrap w:val="0"/>
            <w:vAlign w:val="center"/>
          </w:tcPr>
          <w:p w14:paraId="6D68D9A5">
            <w:pPr>
              <w:pStyle w:val="9"/>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kern w:val="0"/>
                <w:sz w:val="21"/>
                <w:szCs w:val="21"/>
                <w:highlight w:val="none"/>
                <w:lang w:val="en-US" w:eastAsia="zh-CN" w:bidi="ar"/>
              </w:rPr>
            </w:pPr>
          </w:p>
        </w:tc>
        <w:tc>
          <w:tcPr>
            <w:tcW w:w="1320" w:type="dxa"/>
            <w:vMerge w:val="continue"/>
            <w:noWrap w:val="0"/>
            <w:vAlign w:val="center"/>
          </w:tcPr>
          <w:p w14:paraId="2BEB5D49">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bidi="ar"/>
              </w:rPr>
            </w:pPr>
          </w:p>
        </w:tc>
        <w:tc>
          <w:tcPr>
            <w:tcW w:w="1395" w:type="dxa"/>
            <w:vMerge w:val="continue"/>
            <w:noWrap w:val="0"/>
            <w:vAlign w:val="center"/>
          </w:tcPr>
          <w:p w14:paraId="32158A4B">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bidi="ar"/>
              </w:rPr>
            </w:pPr>
          </w:p>
        </w:tc>
        <w:tc>
          <w:tcPr>
            <w:tcW w:w="2070" w:type="dxa"/>
            <w:noWrap w:val="0"/>
            <w:vAlign w:val="center"/>
          </w:tcPr>
          <w:p w14:paraId="028190B5">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上门服务：</w:t>
            </w:r>
          </w:p>
          <w:p w14:paraId="08342F65">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bidi="ar"/>
              </w:rPr>
            </w:pPr>
            <w:r>
              <w:rPr>
                <w:rFonts w:hint="eastAsia" w:ascii="宋体" w:hAnsi="宋体" w:eastAsia="宋体" w:cs="宋体"/>
                <w:color w:val="auto"/>
                <w:sz w:val="21"/>
                <w:szCs w:val="21"/>
                <w:highlight w:val="none"/>
              </w:rPr>
              <w:t>根据服务中心的上门服务项目提供服务。</w:t>
            </w:r>
          </w:p>
        </w:tc>
        <w:tc>
          <w:tcPr>
            <w:tcW w:w="3105" w:type="dxa"/>
            <w:noWrap w:val="0"/>
            <w:vAlign w:val="center"/>
          </w:tcPr>
          <w:p w14:paraId="3C93320D">
            <w:pPr>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rPr>
              <w:t>服务人员持有效健康证明，并具备相应的技能；</w:t>
            </w:r>
          </w:p>
          <w:p w14:paraId="192EEF18">
            <w:pPr>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遵守职业道德，保护老年人隐私；</w:t>
            </w:r>
          </w:p>
          <w:p w14:paraId="71C0B55A">
            <w:pPr>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服务人员注意个人卫生、干净整洁；</w:t>
            </w:r>
          </w:p>
          <w:p w14:paraId="77B523F8">
            <w:pPr>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④</w:t>
            </w:r>
            <w:r>
              <w:rPr>
                <w:rFonts w:hint="eastAsia" w:ascii="宋体" w:hAnsi="宋体" w:eastAsia="宋体" w:cs="宋体"/>
                <w:color w:val="auto"/>
                <w:sz w:val="21"/>
                <w:szCs w:val="21"/>
                <w:highlight w:val="none"/>
              </w:rPr>
              <w:t>语言文明、态度热情，细致周到、操作规范；</w:t>
            </w:r>
          </w:p>
          <w:p w14:paraId="325F1B63">
            <w:pPr>
              <w:spacing w:line="240" w:lineRule="auto"/>
              <w:jc w:val="both"/>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color w:val="auto"/>
                <w:sz w:val="21"/>
                <w:szCs w:val="21"/>
                <w:highlight w:val="none"/>
                <w:lang w:val="en-US" w:eastAsia="zh-CN"/>
              </w:rPr>
              <w:t>⑤</w:t>
            </w:r>
            <w:r>
              <w:rPr>
                <w:rFonts w:hint="eastAsia" w:ascii="宋体" w:hAnsi="宋体" w:eastAsia="宋体" w:cs="宋体"/>
                <w:color w:val="auto"/>
                <w:sz w:val="21"/>
                <w:szCs w:val="21"/>
                <w:highlight w:val="none"/>
              </w:rPr>
              <w:t>服务结束后，接受服务对象评价或第三方评价。</w:t>
            </w:r>
          </w:p>
        </w:tc>
        <w:tc>
          <w:tcPr>
            <w:tcW w:w="1530" w:type="dxa"/>
            <w:vMerge w:val="continue"/>
            <w:noWrap w:val="0"/>
            <w:vAlign w:val="center"/>
          </w:tcPr>
          <w:p w14:paraId="7DF1B29F">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kern w:val="0"/>
                <w:sz w:val="21"/>
                <w:szCs w:val="21"/>
                <w:highlight w:val="none"/>
                <w:lang w:val="en-US" w:eastAsia="zh-CN" w:bidi="ar"/>
              </w:rPr>
            </w:pPr>
          </w:p>
        </w:tc>
      </w:tr>
      <w:tr w14:paraId="21CA1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525" w:type="dxa"/>
            <w:vMerge w:val="continue"/>
            <w:noWrap w:val="0"/>
            <w:vAlign w:val="center"/>
          </w:tcPr>
          <w:p w14:paraId="0886221A">
            <w:pPr>
              <w:pStyle w:val="9"/>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b/>
                <w:bCs/>
                <w:kern w:val="0"/>
                <w:sz w:val="21"/>
                <w:szCs w:val="21"/>
                <w:highlight w:val="none"/>
                <w:lang w:bidi="ar"/>
              </w:rPr>
            </w:pPr>
          </w:p>
        </w:tc>
        <w:tc>
          <w:tcPr>
            <w:tcW w:w="1320" w:type="dxa"/>
            <w:vMerge w:val="restart"/>
            <w:noWrap w:val="0"/>
            <w:vAlign w:val="center"/>
          </w:tcPr>
          <w:p w14:paraId="02EB86DA">
            <w:pPr>
              <w:keepNext w:val="0"/>
              <w:keepLines w:val="0"/>
              <w:pageBreakBefore w:val="0"/>
              <w:widowControl/>
              <w:numPr>
                <w:ilvl w:val="0"/>
                <w:numId w:val="3"/>
              </w:numPr>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康复护理服务</w:t>
            </w:r>
          </w:p>
          <w:p w14:paraId="6B450448">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kern w:val="0"/>
                <w:sz w:val="21"/>
                <w:szCs w:val="21"/>
                <w:highlight w:val="none"/>
                <w:lang w:eastAsia="zh-CN" w:bidi="ar"/>
              </w:rPr>
              <w:t>（</w:t>
            </w:r>
            <w:r>
              <w:rPr>
                <w:rFonts w:hint="eastAsia" w:ascii="宋体" w:hAnsi="宋体" w:eastAsia="宋体"/>
                <w:color w:val="auto"/>
                <w:sz w:val="22"/>
                <w:highlight w:val="none"/>
              </w:rPr>
              <w:t>依托卫生服务机构、护理站或具有资质的医生、护士为有需求的老年人提供服务</w:t>
            </w:r>
            <w:r>
              <w:rPr>
                <w:rFonts w:hint="eastAsia" w:ascii="宋体" w:hAnsi="宋体" w:eastAsia="宋体"/>
                <w:color w:val="auto"/>
                <w:sz w:val="22"/>
                <w:highlight w:val="none"/>
                <w:lang w:eastAsia="zh-CN"/>
              </w:rPr>
              <w:t>）</w:t>
            </w:r>
          </w:p>
        </w:tc>
        <w:tc>
          <w:tcPr>
            <w:tcW w:w="1395" w:type="dxa"/>
            <w:vMerge w:val="restart"/>
            <w:noWrap w:val="0"/>
            <w:vAlign w:val="center"/>
          </w:tcPr>
          <w:p w14:paraId="7510CB8D">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因肢体、智力等轻、中度损伤以及急慢性疾病和老龄化带来的功能障碍</w:t>
            </w:r>
            <w:r>
              <w:rPr>
                <w:rFonts w:hint="eastAsia" w:ascii="宋体" w:hAnsi="宋体" w:cs="宋体"/>
                <w:kern w:val="0"/>
                <w:sz w:val="21"/>
                <w:szCs w:val="21"/>
                <w:highlight w:val="none"/>
                <w:lang w:eastAsia="zh-CN" w:bidi="ar"/>
              </w:rPr>
              <w:t>的患</w:t>
            </w:r>
            <w:r>
              <w:rPr>
                <w:rFonts w:hint="eastAsia" w:ascii="宋体" w:hAnsi="宋体" w:eastAsia="宋体" w:cs="宋体"/>
                <w:kern w:val="0"/>
                <w:sz w:val="21"/>
                <w:szCs w:val="21"/>
                <w:highlight w:val="none"/>
                <w:lang w:bidi="ar"/>
              </w:rPr>
              <w:t>者，包括肢体术后、偏瘫、轻中度失智、残疾以及患有慢性病的老年人等。</w:t>
            </w:r>
          </w:p>
        </w:tc>
        <w:tc>
          <w:tcPr>
            <w:tcW w:w="2070" w:type="dxa"/>
            <w:noWrap w:val="0"/>
            <w:vAlign w:val="center"/>
          </w:tcPr>
          <w:p w14:paraId="48A545B2">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eastAsia="zh-CN" w:bidi="ar"/>
              </w:rPr>
            </w:pPr>
            <w:r>
              <w:rPr>
                <w:rFonts w:hint="eastAsia" w:ascii="宋体" w:hAnsi="宋体" w:eastAsia="宋体"/>
                <w:color w:val="auto"/>
                <w:sz w:val="22"/>
                <w:highlight w:val="none"/>
              </w:rPr>
              <w:t>健康咨询和指导：提供养生保健、慢性病管理与预防、失智症干预等咨询服务，开展常见病护理指导和用药指导等；</w:t>
            </w:r>
          </w:p>
        </w:tc>
        <w:tc>
          <w:tcPr>
            <w:tcW w:w="3105" w:type="dxa"/>
            <w:vMerge w:val="restart"/>
            <w:noWrap w:val="0"/>
            <w:vAlign w:val="center"/>
          </w:tcPr>
          <w:p w14:paraId="13956951">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i w:val="0"/>
                <w:color w:val="auto"/>
                <w:kern w:val="2"/>
                <w:sz w:val="21"/>
                <w:szCs w:val="21"/>
                <w:highlight w:val="none"/>
                <w:u w:val="none"/>
                <w:lang w:val="en-US" w:eastAsia="zh-CN" w:bidi="ar-SA"/>
              </w:rPr>
              <w:t>康复辅助须符合每个老年人的生理、心理特点；</w:t>
            </w:r>
          </w:p>
          <w:p w14:paraId="23017540">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i w:val="0"/>
                <w:color w:val="auto"/>
                <w:kern w:val="2"/>
                <w:sz w:val="21"/>
                <w:szCs w:val="21"/>
                <w:highlight w:val="none"/>
                <w:u w:val="none"/>
                <w:lang w:val="en-US" w:eastAsia="zh-CN" w:bidi="ar-SA"/>
              </w:rPr>
              <w:t>康复辅助锻炼过程中应注意观察老年人的身体适应情况，防止损伤，若长者出现不适，立即停止服务并迅速处置；</w:t>
            </w:r>
          </w:p>
          <w:p w14:paraId="6B6B6CC3">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i w:val="0"/>
                <w:color w:val="auto"/>
                <w:kern w:val="2"/>
                <w:sz w:val="21"/>
                <w:szCs w:val="21"/>
                <w:highlight w:val="none"/>
                <w:u w:val="none"/>
                <w:lang w:val="en-US" w:eastAsia="zh-CN" w:bidi="ar-SA"/>
              </w:rPr>
              <w:t>根据需要配备相应的康复设施设备，建立老年人健康档案，进行完整服务记录，健康档案妥善保管，保护个人隐私。</w:t>
            </w:r>
          </w:p>
        </w:tc>
        <w:tc>
          <w:tcPr>
            <w:tcW w:w="1530" w:type="dxa"/>
            <w:vMerge w:val="restart"/>
            <w:noWrap w:val="0"/>
            <w:vAlign w:val="center"/>
          </w:tcPr>
          <w:p w14:paraId="2240E0D9">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采取无偿和有偿服务相结合的方式，服务费用</w:t>
            </w:r>
            <w:r>
              <w:rPr>
                <w:rFonts w:hint="eastAsia" w:ascii="宋体" w:hAnsi="宋体" w:eastAsia="宋体" w:cs="宋体"/>
                <w:kern w:val="0"/>
                <w:sz w:val="21"/>
                <w:szCs w:val="21"/>
                <w:highlight w:val="none"/>
                <w:lang w:val="en-US" w:eastAsia="zh-CN" w:bidi="ar"/>
              </w:rPr>
              <w:t>由采购人和成交供应商协商或市场调研共同确定</w:t>
            </w:r>
            <w:r>
              <w:rPr>
                <w:rFonts w:hint="eastAsia" w:ascii="宋体" w:hAnsi="宋体" w:cs="宋体"/>
                <w:kern w:val="0"/>
                <w:sz w:val="21"/>
                <w:szCs w:val="21"/>
                <w:highlight w:val="none"/>
                <w:lang w:val="en-US" w:eastAsia="zh-CN" w:bidi="ar"/>
              </w:rPr>
              <w:t>，</w:t>
            </w:r>
            <w:r>
              <w:rPr>
                <w:rFonts w:hint="eastAsia" w:ascii="宋体" w:hAnsi="宋体" w:eastAsia="宋体" w:cs="宋体"/>
                <w:kern w:val="0"/>
                <w:sz w:val="21"/>
                <w:szCs w:val="21"/>
                <w:highlight w:val="none"/>
                <w:lang w:bidi="ar"/>
              </w:rPr>
              <w:t>服务对象支付</w:t>
            </w:r>
            <w:r>
              <w:rPr>
                <w:rFonts w:hint="eastAsia" w:ascii="宋体" w:hAnsi="宋体" w:cs="宋体"/>
                <w:kern w:val="0"/>
                <w:sz w:val="21"/>
                <w:szCs w:val="21"/>
                <w:highlight w:val="none"/>
                <w:lang w:val="en-US" w:eastAsia="zh-CN" w:bidi="ar"/>
              </w:rPr>
              <w:t>。</w:t>
            </w:r>
          </w:p>
          <w:p w14:paraId="71E751B0">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kern w:val="0"/>
                <w:sz w:val="21"/>
                <w:szCs w:val="21"/>
                <w:highlight w:val="none"/>
                <w:lang w:bidi="ar"/>
              </w:rPr>
            </w:pPr>
          </w:p>
        </w:tc>
      </w:tr>
      <w:tr w14:paraId="1E050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525" w:type="dxa"/>
            <w:vMerge w:val="continue"/>
            <w:noWrap w:val="0"/>
            <w:vAlign w:val="center"/>
          </w:tcPr>
          <w:p w14:paraId="705DE77E">
            <w:pPr>
              <w:keepNext w:val="0"/>
              <w:keepLines w:val="0"/>
              <w:pageBreakBefore w:val="0"/>
              <w:widowControl/>
              <w:kinsoku/>
              <w:wordWrap/>
              <w:overflowPunct/>
              <w:topLinePunct w:val="0"/>
              <w:autoSpaceDE/>
              <w:autoSpaceDN/>
              <w:bidi w:val="0"/>
              <w:adjustRightInd/>
              <w:snapToGrid/>
              <w:spacing w:line="240" w:lineRule="auto"/>
              <w:jc w:val="left"/>
              <w:textAlignment w:val="center"/>
              <w:rPr>
                <w:highlight w:val="none"/>
              </w:rPr>
            </w:pPr>
          </w:p>
        </w:tc>
        <w:tc>
          <w:tcPr>
            <w:tcW w:w="1320" w:type="dxa"/>
            <w:vMerge w:val="continue"/>
            <w:noWrap w:val="0"/>
            <w:vAlign w:val="center"/>
          </w:tcPr>
          <w:p w14:paraId="6983EC72">
            <w:pPr>
              <w:keepNext w:val="0"/>
              <w:keepLines w:val="0"/>
              <w:pageBreakBefore w:val="0"/>
              <w:widowControl/>
              <w:kinsoku/>
              <w:wordWrap/>
              <w:overflowPunct/>
              <w:topLinePunct w:val="0"/>
              <w:autoSpaceDE/>
              <w:autoSpaceDN/>
              <w:bidi w:val="0"/>
              <w:adjustRightInd/>
              <w:snapToGrid/>
              <w:spacing w:line="240" w:lineRule="auto"/>
              <w:jc w:val="left"/>
              <w:textAlignment w:val="center"/>
              <w:rPr>
                <w:highlight w:val="none"/>
              </w:rPr>
            </w:pPr>
          </w:p>
        </w:tc>
        <w:tc>
          <w:tcPr>
            <w:tcW w:w="1395" w:type="dxa"/>
            <w:vMerge w:val="continue"/>
            <w:noWrap w:val="0"/>
            <w:vAlign w:val="center"/>
          </w:tcPr>
          <w:p w14:paraId="1AF3A79E">
            <w:pPr>
              <w:keepNext w:val="0"/>
              <w:keepLines w:val="0"/>
              <w:pageBreakBefore w:val="0"/>
              <w:widowControl/>
              <w:kinsoku/>
              <w:wordWrap/>
              <w:overflowPunct/>
              <w:topLinePunct w:val="0"/>
              <w:autoSpaceDE/>
              <w:autoSpaceDN/>
              <w:bidi w:val="0"/>
              <w:adjustRightInd/>
              <w:snapToGrid/>
              <w:spacing w:line="240" w:lineRule="auto"/>
              <w:jc w:val="left"/>
              <w:textAlignment w:val="center"/>
              <w:rPr>
                <w:highlight w:val="none"/>
              </w:rPr>
            </w:pPr>
          </w:p>
        </w:tc>
        <w:tc>
          <w:tcPr>
            <w:tcW w:w="2070" w:type="dxa"/>
            <w:noWrap w:val="0"/>
            <w:vAlign w:val="center"/>
          </w:tcPr>
          <w:p w14:paraId="1A5512B7">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olor w:val="auto"/>
                <w:sz w:val="22"/>
                <w:highlight w:val="none"/>
              </w:rPr>
            </w:pPr>
            <w:r>
              <w:rPr>
                <w:rFonts w:hint="eastAsia" w:ascii="宋体" w:hAnsi="宋体" w:eastAsia="宋体"/>
                <w:color w:val="auto"/>
                <w:sz w:val="22"/>
                <w:highlight w:val="none"/>
              </w:rPr>
              <w:t>健康监测：</w:t>
            </w:r>
          </w:p>
          <w:p w14:paraId="1CEF2234">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eastAsia="zh-CN" w:bidi="ar"/>
              </w:rPr>
            </w:pPr>
            <w:r>
              <w:rPr>
                <w:rFonts w:hint="eastAsia" w:ascii="宋体" w:hAnsi="宋体" w:eastAsia="宋体"/>
                <w:color w:val="auto"/>
                <w:sz w:val="22"/>
                <w:highlight w:val="none"/>
              </w:rPr>
              <w:t>提供体温、脉搏、呼吸、血压、血糖、心率监测等服务；</w:t>
            </w:r>
          </w:p>
        </w:tc>
        <w:tc>
          <w:tcPr>
            <w:tcW w:w="3105" w:type="dxa"/>
            <w:vMerge w:val="continue"/>
            <w:noWrap w:val="0"/>
            <w:vAlign w:val="center"/>
          </w:tcPr>
          <w:p w14:paraId="1F63EFD4">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eastAsia="zh-CN" w:bidi="ar"/>
              </w:rPr>
            </w:pPr>
          </w:p>
        </w:tc>
        <w:tc>
          <w:tcPr>
            <w:tcW w:w="1530" w:type="dxa"/>
            <w:vMerge w:val="continue"/>
            <w:noWrap w:val="0"/>
            <w:vAlign w:val="center"/>
          </w:tcPr>
          <w:p w14:paraId="7889983E">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eastAsia="zh-CN" w:bidi="ar"/>
              </w:rPr>
            </w:pPr>
          </w:p>
        </w:tc>
      </w:tr>
      <w:tr w14:paraId="3006B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525" w:type="dxa"/>
            <w:vMerge w:val="continue"/>
            <w:noWrap w:val="0"/>
            <w:vAlign w:val="center"/>
          </w:tcPr>
          <w:p w14:paraId="59C5AC03">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eastAsia="zh-CN" w:bidi="ar"/>
              </w:rPr>
            </w:pPr>
          </w:p>
        </w:tc>
        <w:tc>
          <w:tcPr>
            <w:tcW w:w="1320" w:type="dxa"/>
            <w:vMerge w:val="continue"/>
            <w:noWrap w:val="0"/>
            <w:vAlign w:val="center"/>
          </w:tcPr>
          <w:p w14:paraId="2A5B17E3">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eastAsia="zh-CN" w:bidi="ar"/>
              </w:rPr>
            </w:pPr>
          </w:p>
        </w:tc>
        <w:tc>
          <w:tcPr>
            <w:tcW w:w="1395" w:type="dxa"/>
            <w:vMerge w:val="continue"/>
            <w:noWrap w:val="0"/>
            <w:vAlign w:val="center"/>
          </w:tcPr>
          <w:p w14:paraId="647B6B24">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eastAsia="zh-CN" w:bidi="ar"/>
              </w:rPr>
            </w:pPr>
          </w:p>
        </w:tc>
        <w:tc>
          <w:tcPr>
            <w:tcW w:w="2070" w:type="dxa"/>
            <w:noWrap w:val="0"/>
            <w:vAlign w:val="center"/>
          </w:tcPr>
          <w:p w14:paraId="3298E8A9">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olor w:val="auto"/>
                <w:sz w:val="22"/>
                <w:highlight w:val="none"/>
              </w:rPr>
            </w:pPr>
            <w:r>
              <w:rPr>
                <w:rFonts w:hint="eastAsia" w:ascii="宋体" w:hAnsi="宋体" w:eastAsia="宋体"/>
                <w:color w:val="auto"/>
                <w:sz w:val="22"/>
                <w:highlight w:val="none"/>
              </w:rPr>
              <w:t>康复辅助锻炼：</w:t>
            </w:r>
          </w:p>
          <w:p w14:paraId="2863B7AE">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eastAsia="zh-CN" w:bidi="ar"/>
              </w:rPr>
            </w:pPr>
            <w:r>
              <w:rPr>
                <w:rFonts w:hint="eastAsia" w:ascii="宋体" w:hAnsi="宋体" w:eastAsia="宋体"/>
                <w:color w:val="auto"/>
                <w:sz w:val="22"/>
                <w:highlight w:val="none"/>
              </w:rPr>
              <w:t>采取群体康复和个体康复形式，辅助老年人进行肢体功能性康复锻炼、智力康复和保健性康复，帮助减缓机能退化，恢复功能和自理能力；</w:t>
            </w:r>
          </w:p>
        </w:tc>
        <w:tc>
          <w:tcPr>
            <w:tcW w:w="3105" w:type="dxa"/>
            <w:vMerge w:val="continue"/>
            <w:noWrap w:val="0"/>
            <w:vAlign w:val="center"/>
          </w:tcPr>
          <w:p w14:paraId="35DCF9AA">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eastAsia="zh-CN" w:bidi="ar"/>
              </w:rPr>
            </w:pPr>
          </w:p>
        </w:tc>
        <w:tc>
          <w:tcPr>
            <w:tcW w:w="1530" w:type="dxa"/>
            <w:vMerge w:val="continue"/>
            <w:noWrap w:val="0"/>
            <w:vAlign w:val="center"/>
          </w:tcPr>
          <w:p w14:paraId="55852BC3">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eastAsia="zh-CN" w:bidi="ar"/>
              </w:rPr>
            </w:pPr>
          </w:p>
        </w:tc>
      </w:tr>
      <w:tr w14:paraId="26C43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525" w:type="dxa"/>
            <w:vMerge w:val="continue"/>
            <w:noWrap w:val="0"/>
            <w:vAlign w:val="center"/>
          </w:tcPr>
          <w:p w14:paraId="57F096DD">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eastAsia="zh-CN" w:bidi="ar"/>
              </w:rPr>
            </w:pPr>
          </w:p>
        </w:tc>
        <w:tc>
          <w:tcPr>
            <w:tcW w:w="1320" w:type="dxa"/>
            <w:vMerge w:val="continue"/>
            <w:noWrap w:val="0"/>
            <w:vAlign w:val="center"/>
          </w:tcPr>
          <w:p w14:paraId="232F03F1">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eastAsia="zh-CN" w:bidi="ar"/>
              </w:rPr>
            </w:pPr>
          </w:p>
        </w:tc>
        <w:tc>
          <w:tcPr>
            <w:tcW w:w="1395" w:type="dxa"/>
            <w:vMerge w:val="continue"/>
            <w:noWrap w:val="0"/>
            <w:vAlign w:val="center"/>
          </w:tcPr>
          <w:p w14:paraId="3F6D280E">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eastAsia="zh-CN" w:bidi="ar"/>
              </w:rPr>
            </w:pPr>
          </w:p>
        </w:tc>
        <w:tc>
          <w:tcPr>
            <w:tcW w:w="2070" w:type="dxa"/>
            <w:noWrap w:val="0"/>
            <w:vAlign w:val="center"/>
          </w:tcPr>
          <w:p w14:paraId="79FAA2C9">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eastAsia="zh-CN" w:bidi="ar"/>
              </w:rPr>
            </w:pPr>
            <w:r>
              <w:rPr>
                <w:rFonts w:hint="eastAsia" w:ascii="宋体" w:hAnsi="宋体" w:eastAsia="宋体"/>
                <w:color w:val="auto"/>
                <w:sz w:val="22"/>
                <w:highlight w:val="none"/>
              </w:rPr>
              <w:t>链接有康复诊疗的资源，为老年人开展巡诊和康复活动，服务时间不少于</w:t>
            </w:r>
            <w:r>
              <w:rPr>
                <w:rFonts w:hint="eastAsia" w:ascii="Calibri" w:hAnsi="Calibri" w:eastAsia="Calibri"/>
                <w:color w:val="auto"/>
                <w:sz w:val="22"/>
                <w:highlight w:val="none"/>
              </w:rPr>
              <w:t>1</w:t>
            </w:r>
            <w:r>
              <w:rPr>
                <w:rFonts w:hint="eastAsia" w:ascii="宋体" w:hAnsi="宋体" w:eastAsia="宋体"/>
                <w:color w:val="auto"/>
                <w:sz w:val="22"/>
                <w:highlight w:val="none"/>
              </w:rPr>
              <w:t>次／月，每次累计不少于</w:t>
            </w:r>
            <w:r>
              <w:rPr>
                <w:rFonts w:hint="eastAsia" w:ascii="Calibri" w:hAnsi="Calibri" w:eastAsia="Calibri"/>
                <w:color w:val="auto"/>
                <w:sz w:val="22"/>
                <w:highlight w:val="none"/>
              </w:rPr>
              <w:t>20</w:t>
            </w:r>
            <w:r>
              <w:rPr>
                <w:rFonts w:hint="eastAsia" w:ascii="宋体" w:hAnsi="宋体" w:eastAsia="宋体"/>
                <w:color w:val="auto"/>
                <w:sz w:val="22"/>
                <w:highlight w:val="none"/>
              </w:rPr>
              <w:t>人。</w:t>
            </w:r>
          </w:p>
        </w:tc>
        <w:tc>
          <w:tcPr>
            <w:tcW w:w="3105" w:type="dxa"/>
            <w:vMerge w:val="continue"/>
            <w:noWrap w:val="0"/>
            <w:vAlign w:val="center"/>
          </w:tcPr>
          <w:p w14:paraId="461995E4">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eastAsia="zh-CN" w:bidi="ar"/>
              </w:rPr>
            </w:pPr>
          </w:p>
        </w:tc>
        <w:tc>
          <w:tcPr>
            <w:tcW w:w="1530" w:type="dxa"/>
            <w:vMerge w:val="continue"/>
            <w:noWrap w:val="0"/>
            <w:vAlign w:val="center"/>
          </w:tcPr>
          <w:p w14:paraId="0E8A7219">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eastAsia="zh-CN" w:bidi="ar"/>
              </w:rPr>
            </w:pPr>
          </w:p>
        </w:tc>
      </w:tr>
      <w:tr w14:paraId="624F7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525" w:type="dxa"/>
            <w:vMerge w:val="continue"/>
            <w:noWrap w:val="0"/>
            <w:vAlign w:val="center"/>
          </w:tcPr>
          <w:p w14:paraId="61646EB2">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eastAsia="zh-CN" w:bidi="ar"/>
              </w:rPr>
            </w:pPr>
          </w:p>
        </w:tc>
        <w:tc>
          <w:tcPr>
            <w:tcW w:w="1320" w:type="dxa"/>
            <w:vMerge w:val="continue"/>
            <w:noWrap w:val="0"/>
            <w:vAlign w:val="center"/>
          </w:tcPr>
          <w:p w14:paraId="59C77B2B">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eastAsia="zh-CN" w:bidi="ar"/>
              </w:rPr>
            </w:pPr>
          </w:p>
        </w:tc>
        <w:tc>
          <w:tcPr>
            <w:tcW w:w="1395" w:type="dxa"/>
            <w:vMerge w:val="continue"/>
            <w:noWrap w:val="0"/>
            <w:vAlign w:val="center"/>
          </w:tcPr>
          <w:p w14:paraId="2772BDE5">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eastAsia="zh-CN" w:bidi="ar"/>
              </w:rPr>
            </w:pPr>
          </w:p>
        </w:tc>
        <w:tc>
          <w:tcPr>
            <w:tcW w:w="2070" w:type="dxa"/>
            <w:noWrap w:val="0"/>
            <w:vAlign w:val="center"/>
          </w:tcPr>
          <w:p w14:paraId="525890E9">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olor w:val="auto"/>
                <w:sz w:val="22"/>
                <w:highlight w:val="none"/>
              </w:rPr>
            </w:pPr>
            <w:r>
              <w:rPr>
                <w:rFonts w:hint="eastAsia" w:ascii="宋体" w:hAnsi="宋体" w:eastAsia="宋体"/>
                <w:color w:val="auto"/>
                <w:sz w:val="22"/>
                <w:highlight w:val="none"/>
              </w:rPr>
              <w:t>用药提醒：</w:t>
            </w:r>
          </w:p>
          <w:p w14:paraId="6A918DFF">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eastAsia="zh-CN" w:bidi="ar"/>
              </w:rPr>
            </w:pPr>
            <w:r>
              <w:rPr>
                <w:rFonts w:hint="eastAsia" w:ascii="宋体" w:hAnsi="宋体" w:eastAsia="宋体"/>
                <w:color w:val="auto"/>
                <w:sz w:val="22"/>
                <w:highlight w:val="none"/>
              </w:rPr>
              <w:t>严格按医嘱提醒老年人按时按量用药。</w:t>
            </w:r>
          </w:p>
        </w:tc>
        <w:tc>
          <w:tcPr>
            <w:tcW w:w="3105" w:type="dxa"/>
            <w:vMerge w:val="continue"/>
            <w:noWrap w:val="0"/>
            <w:vAlign w:val="center"/>
          </w:tcPr>
          <w:p w14:paraId="286C20B3">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eastAsia="zh-CN" w:bidi="ar"/>
              </w:rPr>
            </w:pPr>
          </w:p>
        </w:tc>
        <w:tc>
          <w:tcPr>
            <w:tcW w:w="1530" w:type="dxa"/>
            <w:vMerge w:val="continue"/>
            <w:noWrap w:val="0"/>
            <w:vAlign w:val="center"/>
          </w:tcPr>
          <w:p w14:paraId="7CD56FBD">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eastAsia="zh-CN" w:bidi="ar"/>
              </w:rPr>
            </w:pPr>
          </w:p>
        </w:tc>
      </w:tr>
      <w:tr w14:paraId="19345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25" w:type="dxa"/>
            <w:vMerge w:val="continue"/>
            <w:noWrap w:val="0"/>
            <w:vAlign w:val="top"/>
          </w:tcPr>
          <w:p w14:paraId="1DE463BB">
            <w:pPr>
              <w:pStyle w:val="9"/>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宋体"/>
                <w:b/>
                <w:bCs/>
                <w:color w:val="auto"/>
                <w:sz w:val="21"/>
                <w:szCs w:val="21"/>
                <w:highlight w:val="none"/>
                <w:vertAlign w:val="baseline"/>
                <w:lang w:val="en-US" w:eastAsia="zh-CN"/>
              </w:rPr>
            </w:pPr>
          </w:p>
        </w:tc>
        <w:tc>
          <w:tcPr>
            <w:tcW w:w="1320" w:type="dxa"/>
            <w:noWrap w:val="0"/>
            <w:vAlign w:val="center"/>
          </w:tcPr>
          <w:p w14:paraId="58119783">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kern w:val="0"/>
                <w:sz w:val="21"/>
                <w:szCs w:val="21"/>
                <w:highlight w:val="none"/>
                <w:lang w:bidi="ar"/>
              </w:rPr>
              <w:t>3、托养服务</w:t>
            </w:r>
          </w:p>
        </w:tc>
        <w:tc>
          <w:tcPr>
            <w:tcW w:w="1395" w:type="dxa"/>
            <w:noWrap w:val="0"/>
            <w:vAlign w:val="center"/>
          </w:tcPr>
          <w:p w14:paraId="72C93096">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val="en-US" w:eastAsia="zh-CN" w:bidi="ar"/>
              </w:rPr>
              <w:t>①</w:t>
            </w:r>
            <w:r>
              <w:rPr>
                <w:rFonts w:hint="eastAsia" w:ascii="宋体" w:hAnsi="宋体" w:eastAsia="宋体" w:cs="宋体"/>
                <w:kern w:val="0"/>
                <w:sz w:val="21"/>
                <w:szCs w:val="21"/>
                <w:highlight w:val="none"/>
                <w:lang w:bidi="ar"/>
              </w:rPr>
              <w:t>有日托或全托服务需求的老年人；</w:t>
            </w:r>
          </w:p>
          <w:p w14:paraId="164DED8A">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val="en-US" w:eastAsia="zh-CN" w:bidi="ar"/>
              </w:rPr>
              <w:t>②</w:t>
            </w:r>
            <w:r>
              <w:rPr>
                <w:rFonts w:hint="eastAsia" w:ascii="宋体" w:hAnsi="宋体" w:eastAsia="宋体" w:cs="宋体"/>
                <w:kern w:val="0"/>
                <w:sz w:val="21"/>
                <w:szCs w:val="21"/>
                <w:highlight w:val="none"/>
                <w:lang w:bidi="ar"/>
              </w:rPr>
              <w:t>健康状况稳定，无传染病，精神状态、行为习惯等适应集体生活；</w:t>
            </w:r>
          </w:p>
          <w:p w14:paraId="01C7627F">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val="en-US" w:eastAsia="zh-CN" w:bidi="ar"/>
              </w:rPr>
              <w:t>③</w:t>
            </w:r>
            <w:r>
              <w:rPr>
                <w:rFonts w:hint="eastAsia" w:ascii="宋体" w:hAnsi="宋体" w:eastAsia="宋体" w:cs="宋体"/>
                <w:kern w:val="0"/>
                <w:sz w:val="21"/>
                <w:szCs w:val="21"/>
                <w:highlight w:val="none"/>
                <w:lang w:bidi="ar"/>
              </w:rPr>
              <w:t>家庭无人照顾老年人优先。</w:t>
            </w:r>
          </w:p>
        </w:tc>
        <w:tc>
          <w:tcPr>
            <w:tcW w:w="2070" w:type="dxa"/>
            <w:noWrap w:val="0"/>
            <w:vAlign w:val="center"/>
          </w:tcPr>
          <w:p w14:paraId="52EC8D5F">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助餐、助洁、日间照料等。</w:t>
            </w:r>
          </w:p>
        </w:tc>
        <w:tc>
          <w:tcPr>
            <w:tcW w:w="3105" w:type="dxa"/>
            <w:noWrap w:val="0"/>
            <w:vAlign w:val="center"/>
          </w:tcPr>
          <w:p w14:paraId="26F16E4C">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kern w:val="0"/>
                <w:sz w:val="21"/>
                <w:szCs w:val="21"/>
                <w:highlight w:val="none"/>
                <w:lang w:bidi="ar"/>
              </w:rPr>
              <w:t>为区域内的老年人提供日托</w:t>
            </w:r>
            <w:r>
              <w:rPr>
                <w:rFonts w:hint="eastAsia" w:ascii="宋体" w:hAnsi="宋体" w:eastAsia="宋体" w:cs="宋体"/>
                <w:kern w:val="0"/>
                <w:sz w:val="21"/>
                <w:szCs w:val="21"/>
                <w:highlight w:val="none"/>
                <w:lang w:val="en-US" w:eastAsia="zh-CN" w:bidi="ar"/>
              </w:rPr>
              <w:t>服务</w:t>
            </w:r>
            <w:r>
              <w:rPr>
                <w:rFonts w:hint="eastAsia" w:ascii="宋体" w:hAnsi="宋体" w:eastAsia="宋体" w:cs="宋体"/>
                <w:kern w:val="0"/>
                <w:sz w:val="21"/>
                <w:szCs w:val="21"/>
                <w:highlight w:val="none"/>
                <w:lang w:bidi="ar"/>
              </w:rPr>
              <w:t>，向长期照料老人的家庭提供喘息服务。</w:t>
            </w:r>
          </w:p>
        </w:tc>
        <w:tc>
          <w:tcPr>
            <w:tcW w:w="1530" w:type="dxa"/>
            <w:noWrap w:val="0"/>
            <w:vAlign w:val="center"/>
          </w:tcPr>
          <w:p w14:paraId="39E17101">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采取有偿服务方式，服务费用</w:t>
            </w:r>
            <w:r>
              <w:rPr>
                <w:rFonts w:hint="eastAsia" w:ascii="宋体" w:hAnsi="宋体" w:eastAsia="宋体" w:cs="宋体"/>
                <w:kern w:val="0"/>
                <w:sz w:val="21"/>
                <w:szCs w:val="21"/>
                <w:highlight w:val="none"/>
                <w:lang w:val="en-US" w:eastAsia="zh-CN" w:bidi="ar"/>
              </w:rPr>
              <w:t>由采购人和成交供应商协商或市场调研共同确定</w:t>
            </w:r>
            <w:r>
              <w:rPr>
                <w:rFonts w:hint="eastAsia" w:ascii="宋体" w:hAnsi="宋体" w:cs="宋体"/>
                <w:kern w:val="0"/>
                <w:sz w:val="21"/>
                <w:szCs w:val="21"/>
                <w:highlight w:val="none"/>
                <w:lang w:val="en-US" w:eastAsia="zh-CN" w:bidi="ar"/>
              </w:rPr>
              <w:t>，</w:t>
            </w:r>
            <w:r>
              <w:rPr>
                <w:rFonts w:hint="eastAsia" w:ascii="宋体" w:hAnsi="宋体" w:eastAsia="宋体" w:cs="宋体"/>
                <w:kern w:val="0"/>
                <w:sz w:val="21"/>
                <w:szCs w:val="21"/>
                <w:highlight w:val="none"/>
                <w:lang w:bidi="ar"/>
              </w:rPr>
              <w:t>服务对象支付</w:t>
            </w:r>
            <w:r>
              <w:rPr>
                <w:rFonts w:hint="eastAsia" w:ascii="宋体" w:hAnsi="宋体" w:cs="宋体"/>
                <w:kern w:val="0"/>
                <w:sz w:val="21"/>
                <w:szCs w:val="21"/>
                <w:highlight w:val="none"/>
                <w:lang w:val="en-US" w:eastAsia="zh-CN" w:bidi="ar"/>
              </w:rPr>
              <w:t>。</w:t>
            </w:r>
          </w:p>
          <w:p w14:paraId="3A58ABC1">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半日托、全日托等；按护理等级差别收费。</w:t>
            </w:r>
          </w:p>
        </w:tc>
      </w:tr>
      <w:tr w14:paraId="04BF4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25" w:type="dxa"/>
            <w:vMerge w:val="continue"/>
            <w:noWrap w:val="0"/>
            <w:vAlign w:val="top"/>
          </w:tcPr>
          <w:p w14:paraId="194CEFD4">
            <w:pPr>
              <w:pStyle w:val="9"/>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宋体"/>
                <w:b/>
                <w:bCs/>
                <w:color w:val="auto"/>
                <w:sz w:val="21"/>
                <w:szCs w:val="21"/>
                <w:highlight w:val="none"/>
                <w:vertAlign w:val="baseline"/>
                <w:lang w:val="en-US" w:eastAsia="zh-CN"/>
              </w:rPr>
            </w:pPr>
          </w:p>
        </w:tc>
        <w:tc>
          <w:tcPr>
            <w:tcW w:w="1320" w:type="dxa"/>
            <w:noWrap w:val="0"/>
            <w:vAlign w:val="center"/>
          </w:tcPr>
          <w:p w14:paraId="40676159">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kern w:val="0"/>
                <w:sz w:val="21"/>
                <w:szCs w:val="21"/>
                <w:highlight w:val="none"/>
                <w:lang w:bidi="ar"/>
              </w:rPr>
              <w:t>4、家庭支持服务</w:t>
            </w:r>
          </w:p>
        </w:tc>
        <w:tc>
          <w:tcPr>
            <w:tcW w:w="1395" w:type="dxa"/>
            <w:noWrap w:val="0"/>
            <w:vAlign w:val="center"/>
          </w:tcPr>
          <w:p w14:paraId="03AC97F9">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失能、失智老年人的家庭照护人员，包括家属、保姆和邻居。</w:t>
            </w:r>
          </w:p>
        </w:tc>
        <w:tc>
          <w:tcPr>
            <w:tcW w:w="2070" w:type="dxa"/>
            <w:noWrap w:val="0"/>
            <w:vAlign w:val="center"/>
          </w:tcPr>
          <w:p w14:paraId="39F7CB99">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eastAsia="zh-CN" w:bidi="ar"/>
              </w:rPr>
            </w:pPr>
            <w:r>
              <w:rPr>
                <w:rFonts w:hint="eastAsia" w:ascii="宋体" w:hAnsi="宋体" w:eastAsia="宋体" w:cs="宋体"/>
                <w:kern w:val="0"/>
                <w:sz w:val="21"/>
                <w:szCs w:val="21"/>
                <w:highlight w:val="none"/>
                <w:lang w:bidi="ar"/>
              </w:rPr>
              <w:t>提高家庭照护人员的专业照护能力，减轻长期照护服务带来的身心压力</w:t>
            </w:r>
            <w:r>
              <w:rPr>
                <w:rFonts w:hint="eastAsia" w:ascii="宋体" w:hAnsi="宋体" w:eastAsia="宋体" w:cs="宋体"/>
                <w:kern w:val="0"/>
                <w:sz w:val="21"/>
                <w:szCs w:val="21"/>
                <w:highlight w:val="none"/>
                <w:lang w:eastAsia="zh-CN" w:bidi="ar"/>
              </w:rPr>
              <w:t>：</w:t>
            </w:r>
          </w:p>
          <w:p w14:paraId="05B636CF">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bidi="ar"/>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kern w:val="0"/>
                <w:sz w:val="21"/>
                <w:szCs w:val="21"/>
                <w:highlight w:val="none"/>
                <w:lang w:bidi="ar"/>
              </w:rPr>
              <w:t>照护技能培训：包括生活服务技能、康复护理技能、应急救援技能等；</w:t>
            </w:r>
          </w:p>
          <w:p w14:paraId="6B722A21">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bidi="ar"/>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kern w:val="0"/>
                <w:sz w:val="21"/>
                <w:szCs w:val="21"/>
                <w:highlight w:val="none"/>
                <w:lang w:bidi="ar"/>
              </w:rPr>
              <w:t>常用知识普及：包括健康饮食、药物管理、失智预防等；</w:t>
            </w:r>
          </w:p>
          <w:p w14:paraId="33DC644B">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bidi="ar"/>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kern w:val="0"/>
                <w:sz w:val="21"/>
                <w:szCs w:val="21"/>
                <w:highlight w:val="none"/>
                <w:lang w:bidi="ar"/>
              </w:rPr>
              <w:t>心理知识辅导：包括心理疏导、舒缓护理、生命教育等。</w:t>
            </w:r>
          </w:p>
          <w:p w14:paraId="21D066F0">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bidi="ar"/>
              </w:rPr>
            </w:pPr>
          </w:p>
        </w:tc>
        <w:tc>
          <w:tcPr>
            <w:tcW w:w="3105" w:type="dxa"/>
            <w:noWrap w:val="0"/>
            <w:vAlign w:val="center"/>
          </w:tcPr>
          <w:p w14:paraId="254B2B1B">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i w:val="0"/>
                <w:color w:val="auto"/>
                <w:kern w:val="2"/>
                <w:sz w:val="21"/>
                <w:szCs w:val="21"/>
                <w:highlight w:val="none"/>
                <w:u w:val="none"/>
                <w:lang w:val="en-US" w:eastAsia="zh-CN" w:bidi="ar-SA"/>
              </w:rPr>
              <w:t>开展照护技能实操培训、常用知识普及宣传、心理知识辅导讲座</w:t>
            </w:r>
            <w:r>
              <w:rPr>
                <w:rFonts w:hint="eastAsia" w:ascii="宋体" w:hAnsi="宋体" w:cs="宋体"/>
                <w:szCs w:val="21"/>
                <w:highlight w:val="none"/>
              </w:rPr>
              <w:t>，总人次不少于100</w:t>
            </w:r>
            <w:r>
              <w:rPr>
                <w:rFonts w:hint="eastAsia" w:ascii="宋体" w:hAnsi="宋体" w:eastAsia="宋体" w:cs="宋体"/>
                <w:i w:val="0"/>
                <w:color w:val="auto"/>
                <w:kern w:val="2"/>
                <w:sz w:val="21"/>
                <w:szCs w:val="21"/>
                <w:highlight w:val="none"/>
                <w:u w:val="none"/>
                <w:lang w:val="en-US" w:eastAsia="zh-CN" w:bidi="ar-SA"/>
              </w:rPr>
              <w:t>；</w:t>
            </w:r>
          </w:p>
          <w:p w14:paraId="59C5F8DB">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i w:val="0"/>
                <w:color w:val="auto"/>
                <w:kern w:val="2"/>
                <w:sz w:val="21"/>
                <w:szCs w:val="21"/>
                <w:highlight w:val="none"/>
                <w:u w:val="none"/>
                <w:lang w:val="en-US" w:eastAsia="zh-CN" w:bidi="ar-SA"/>
              </w:rPr>
              <w:t>培训、宣传或讲座</w:t>
            </w:r>
            <w:r>
              <w:rPr>
                <w:rFonts w:hint="eastAsia" w:ascii="宋体" w:hAnsi="宋体" w:cs="宋体"/>
                <w:szCs w:val="21"/>
                <w:highlight w:val="none"/>
              </w:rPr>
              <w:t>每季度</w:t>
            </w:r>
            <w:r>
              <w:rPr>
                <w:rFonts w:hint="eastAsia" w:ascii="宋体" w:hAnsi="宋体" w:eastAsia="宋体" w:cs="宋体"/>
                <w:i w:val="0"/>
                <w:color w:val="auto"/>
                <w:kern w:val="2"/>
                <w:sz w:val="21"/>
                <w:szCs w:val="21"/>
                <w:highlight w:val="none"/>
                <w:u w:val="none"/>
                <w:lang w:val="en-US" w:eastAsia="zh-CN" w:bidi="ar-SA"/>
              </w:rPr>
              <w:t>不少于1次，每次服务不少于60分钟。</w:t>
            </w:r>
          </w:p>
          <w:p w14:paraId="26B56D3B">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auto"/>
                <w:kern w:val="2"/>
                <w:sz w:val="21"/>
                <w:szCs w:val="21"/>
                <w:highlight w:val="none"/>
                <w:u w:val="none"/>
                <w:lang w:val="en-US" w:eastAsia="zh-CN" w:bidi="ar-SA"/>
              </w:rPr>
            </w:pPr>
          </w:p>
        </w:tc>
        <w:tc>
          <w:tcPr>
            <w:tcW w:w="1530" w:type="dxa"/>
            <w:noWrap w:val="0"/>
            <w:vAlign w:val="center"/>
          </w:tcPr>
          <w:p w14:paraId="3EF80304">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免费服务。</w:t>
            </w:r>
          </w:p>
        </w:tc>
      </w:tr>
      <w:tr w14:paraId="00BC7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25" w:type="dxa"/>
            <w:vMerge w:val="continue"/>
            <w:noWrap w:val="0"/>
            <w:vAlign w:val="top"/>
          </w:tcPr>
          <w:p w14:paraId="02840905">
            <w:pPr>
              <w:pStyle w:val="9"/>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宋体"/>
                <w:b/>
                <w:bCs/>
                <w:color w:val="auto"/>
                <w:sz w:val="21"/>
                <w:szCs w:val="21"/>
                <w:highlight w:val="none"/>
                <w:vertAlign w:val="baseline"/>
                <w:lang w:val="en-US" w:eastAsia="zh-CN"/>
              </w:rPr>
            </w:pPr>
          </w:p>
        </w:tc>
        <w:tc>
          <w:tcPr>
            <w:tcW w:w="1320" w:type="dxa"/>
            <w:noWrap w:val="0"/>
            <w:vAlign w:val="center"/>
          </w:tcPr>
          <w:p w14:paraId="1442FFA3">
            <w:pPr>
              <w:keepNext w:val="0"/>
              <w:keepLines w:val="0"/>
              <w:pageBreakBefore w:val="0"/>
              <w:widowControl/>
              <w:numPr>
                <w:ilvl w:val="0"/>
                <w:numId w:val="4"/>
              </w:numPr>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开展社会工作、心理疏导服务</w:t>
            </w:r>
          </w:p>
          <w:p w14:paraId="340A2EEB">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eastAsia="zh-CN" w:bidi="ar"/>
              </w:rPr>
            </w:pPr>
            <w:r>
              <w:rPr>
                <w:rFonts w:hint="eastAsia" w:ascii="宋体" w:hAnsi="宋体" w:eastAsia="宋体" w:cs="宋体"/>
                <w:kern w:val="0"/>
                <w:sz w:val="21"/>
                <w:szCs w:val="21"/>
                <w:highlight w:val="none"/>
                <w:lang w:val="en-US" w:eastAsia="zh-CN" w:bidi="ar"/>
              </w:rPr>
              <w:t>（</w:t>
            </w:r>
            <w:r>
              <w:rPr>
                <w:rFonts w:hint="eastAsia" w:ascii="宋体" w:hAnsi="宋体" w:eastAsia="宋体" w:cs="宋体"/>
                <w:kern w:val="0"/>
                <w:sz w:val="21"/>
                <w:szCs w:val="21"/>
                <w:highlight w:val="none"/>
                <w:lang w:bidi="ar"/>
              </w:rPr>
              <w:t>服务人员</w:t>
            </w:r>
            <w:r>
              <w:rPr>
                <w:rFonts w:hint="eastAsia" w:ascii="宋体" w:hAnsi="宋体" w:eastAsia="宋体" w:cs="宋体"/>
                <w:kern w:val="0"/>
                <w:sz w:val="21"/>
                <w:szCs w:val="21"/>
                <w:highlight w:val="none"/>
                <w:lang w:eastAsia="zh-CN" w:bidi="ar"/>
              </w:rPr>
              <w:t>：</w:t>
            </w:r>
          </w:p>
          <w:p w14:paraId="01B0482D">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bidi="ar"/>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kern w:val="0"/>
                <w:sz w:val="21"/>
                <w:szCs w:val="21"/>
                <w:highlight w:val="none"/>
                <w:lang w:bidi="ar"/>
              </w:rPr>
              <w:t>专职或兼职社会工作师、心理咨询师的人员。</w:t>
            </w:r>
          </w:p>
          <w:p w14:paraId="16FC54EA">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bidi="ar"/>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kern w:val="0"/>
                <w:sz w:val="21"/>
                <w:szCs w:val="21"/>
                <w:highlight w:val="none"/>
                <w:lang w:bidi="ar"/>
              </w:rPr>
              <w:t>具有社区工作经验的工作人员。</w:t>
            </w:r>
          </w:p>
          <w:p w14:paraId="2F432BEA">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w:t>
            </w:r>
          </w:p>
        </w:tc>
        <w:tc>
          <w:tcPr>
            <w:tcW w:w="1395" w:type="dxa"/>
            <w:noWrap w:val="0"/>
            <w:vAlign w:val="center"/>
          </w:tcPr>
          <w:p w14:paraId="68DFC0A9">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有需要的老年人及其家庭。</w:t>
            </w:r>
          </w:p>
        </w:tc>
        <w:tc>
          <w:tcPr>
            <w:tcW w:w="2070" w:type="dxa"/>
            <w:noWrap w:val="0"/>
            <w:vAlign w:val="center"/>
          </w:tcPr>
          <w:p w14:paraId="594D53DB">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采取个案、小组活动、社区活动相结</w:t>
            </w:r>
            <w:r>
              <w:rPr>
                <w:rFonts w:hint="eastAsia" w:ascii="宋体" w:hAnsi="宋体" w:cs="宋体"/>
                <w:kern w:val="0"/>
                <w:sz w:val="21"/>
                <w:szCs w:val="21"/>
                <w:highlight w:val="none"/>
                <w:lang w:eastAsia="zh-CN" w:bidi="ar"/>
              </w:rPr>
              <w:t>合的</w:t>
            </w:r>
            <w:r>
              <w:rPr>
                <w:rFonts w:hint="eastAsia" w:ascii="宋体" w:hAnsi="宋体" w:eastAsia="宋体" w:cs="宋体"/>
                <w:kern w:val="0"/>
                <w:sz w:val="21"/>
                <w:szCs w:val="21"/>
                <w:highlight w:val="none"/>
                <w:lang w:bidi="ar"/>
              </w:rPr>
              <w:t>方式，</w:t>
            </w:r>
            <w:r>
              <w:rPr>
                <w:rFonts w:hint="eastAsia" w:ascii="宋体" w:hAnsi="宋体" w:cs="宋体"/>
                <w:kern w:val="0"/>
                <w:szCs w:val="21"/>
                <w:highlight w:val="none"/>
                <w:lang w:bidi="ar"/>
              </w:rPr>
              <w:t>为老年人提供文化活动、心理慰藉、政策咨询、个案辅导、链接资源</w:t>
            </w:r>
            <w:r>
              <w:rPr>
                <w:rFonts w:hint="eastAsia" w:ascii="宋体" w:hAnsi="宋体" w:eastAsia="宋体" w:cs="宋体"/>
                <w:kern w:val="0"/>
                <w:sz w:val="21"/>
                <w:szCs w:val="21"/>
                <w:highlight w:val="none"/>
                <w:lang w:bidi="ar"/>
              </w:rPr>
              <w:t>。</w:t>
            </w:r>
          </w:p>
          <w:p w14:paraId="3CAF96C1">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bidi="ar"/>
              </w:rPr>
            </w:pPr>
          </w:p>
        </w:tc>
        <w:tc>
          <w:tcPr>
            <w:tcW w:w="3105" w:type="dxa"/>
            <w:noWrap w:val="0"/>
            <w:vAlign w:val="center"/>
          </w:tcPr>
          <w:p w14:paraId="076B4D7C">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2"/>
                <w:sz w:val="21"/>
                <w:szCs w:val="21"/>
                <w:highlight w:val="none"/>
                <w:u w:val="none"/>
                <w:lang w:val="en-US" w:eastAsia="zh-CN" w:bidi="ar-SA"/>
              </w:rPr>
              <w:t>①有规范的服务流程、制度和人员职责；</w:t>
            </w:r>
          </w:p>
          <w:p w14:paraId="3C1E15BE">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cs="宋体"/>
                <w:szCs w:val="21"/>
                <w:highlight w:val="none"/>
              </w:rPr>
            </w:pPr>
            <w:r>
              <w:rPr>
                <w:rFonts w:hint="eastAsia" w:ascii="宋体" w:hAnsi="宋体" w:cs="宋体"/>
                <w:szCs w:val="21"/>
                <w:highlight w:val="none"/>
              </w:rPr>
              <w:t>②全面链接政府部门、医疗机构、养老机构、社会组织、（社区）村等各方资源，为居家老年人提供养老服务资源介绍、老年人福利政策指导现场政策咨询和资源共需对接服务；</w:t>
            </w:r>
          </w:p>
          <w:p w14:paraId="75A0E5AB">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2"/>
                <w:sz w:val="21"/>
                <w:szCs w:val="21"/>
                <w:highlight w:val="none"/>
                <w:u w:val="none"/>
                <w:lang w:val="en-US" w:eastAsia="zh-CN" w:bidi="ar-SA"/>
              </w:rPr>
              <w:t>③对服务对象个案定期进行评估，有量表、有记录、有防范措施，并建档保存，每年个案不少于5个，个案需由持证社会工作师开展，并参加由区级部门举办的椒江区社区社会工作案例征集活动；</w:t>
            </w:r>
          </w:p>
          <w:p w14:paraId="2D935FCD">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2"/>
                <w:sz w:val="21"/>
                <w:szCs w:val="21"/>
                <w:highlight w:val="none"/>
                <w:u w:val="none"/>
                <w:lang w:val="en-US" w:eastAsia="zh-CN" w:bidi="ar-SA"/>
              </w:rPr>
              <w:t xml:space="preserve">④邀请专家在社区开展法律维权、心理、健康生活、文体、亲子、便民、康复锻炼、运动趣味活动等专题讲座和活动不少于20次，总参加老年人不少于600人次；                                                       </w:t>
            </w:r>
          </w:p>
          <w:p w14:paraId="3516AC45">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2"/>
                <w:sz w:val="21"/>
                <w:szCs w:val="21"/>
                <w:highlight w:val="none"/>
                <w:u w:val="none"/>
                <w:lang w:val="en-US" w:eastAsia="zh-CN" w:bidi="ar-SA"/>
              </w:rPr>
              <w:t>⑤以弘扬传统文化为主题，以中秋、重阳、元旦、春节、元宵、端午等传统节日为契机，开展各类节庆活动不少于6次，营造浓厚的社区节日氛围，总参加老年人不少于300人次；</w:t>
            </w:r>
          </w:p>
          <w:p w14:paraId="494E76C9">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2"/>
                <w:sz w:val="21"/>
                <w:szCs w:val="21"/>
                <w:highlight w:val="none"/>
                <w:u w:val="none"/>
                <w:lang w:val="en-US" w:eastAsia="zh-CN" w:bidi="ar-SA"/>
              </w:rPr>
              <w:t>⑥开展以健康促进和营造为</w:t>
            </w:r>
            <w:r>
              <w:rPr>
                <w:rFonts w:hint="eastAsia" w:ascii="宋体" w:hAnsi="宋体" w:cs="宋体"/>
                <w:i w:val="0"/>
                <w:color w:val="auto"/>
                <w:kern w:val="2"/>
                <w:sz w:val="21"/>
                <w:szCs w:val="21"/>
                <w:highlight w:val="none"/>
                <w:u w:val="none"/>
                <w:lang w:val="en-US" w:eastAsia="zh-CN" w:bidi="ar-SA"/>
              </w:rPr>
              <w:t>目的</w:t>
            </w:r>
            <w:r>
              <w:rPr>
                <w:rFonts w:hint="eastAsia" w:ascii="宋体" w:hAnsi="宋体" w:eastAsia="宋体" w:cs="宋体"/>
                <w:i w:val="0"/>
                <w:color w:val="auto"/>
                <w:kern w:val="2"/>
                <w:sz w:val="21"/>
                <w:szCs w:val="21"/>
                <w:highlight w:val="none"/>
                <w:u w:val="none"/>
                <w:lang w:val="en-US" w:eastAsia="zh-CN" w:bidi="ar-SA"/>
              </w:rPr>
              <w:t>的大型健康义诊和倡导活动不少于6次，总参加老年人不少于180人次。</w:t>
            </w:r>
          </w:p>
          <w:p w14:paraId="15A688E8">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2"/>
                <w:sz w:val="21"/>
                <w:szCs w:val="21"/>
                <w:highlight w:val="none"/>
                <w:u w:val="none"/>
                <w:lang w:val="en-US" w:eastAsia="zh-CN" w:bidi="ar-SA"/>
              </w:rPr>
              <w:t>⑦开展以乐龄小组为载体的“老有所学”活动，结合老年大学和老年学堂课程，在服务中心内总活动不少于12次。</w:t>
            </w:r>
          </w:p>
        </w:tc>
        <w:tc>
          <w:tcPr>
            <w:tcW w:w="1530" w:type="dxa"/>
            <w:noWrap w:val="0"/>
            <w:vAlign w:val="center"/>
          </w:tcPr>
          <w:p w14:paraId="3F6EFC6F">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免费服务。</w:t>
            </w:r>
          </w:p>
        </w:tc>
      </w:tr>
      <w:tr w14:paraId="6D9EE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25" w:type="dxa"/>
            <w:vMerge w:val="continue"/>
            <w:noWrap w:val="0"/>
            <w:vAlign w:val="top"/>
          </w:tcPr>
          <w:p w14:paraId="173B5EEC">
            <w:pPr>
              <w:pStyle w:val="9"/>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宋体"/>
                <w:b/>
                <w:bCs/>
                <w:color w:val="auto"/>
                <w:sz w:val="21"/>
                <w:szCs w:val="21"/>
                <w:highlight w:val="none"/>
                <w:vertAlign w:val="baseline"/>
                <w:lang w:val="en-US" w:eastAsia="zh-CN"/>
              </w:rPr>
            </w:pPr>
          </w:p>
        </w:tc>
        <w:tc>
          <w:tcPr>
            <w:tcW w:w="1320" w:type="dxa"/>
            <w:noWrap w:val="0"/>
            <w:vAlign w:val="center"/>
          </w:tcPr>
          <w:p w14:paraId="391C71EA">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kern w:val="0"/>
                <w:sz w:val="21"/>
                <w:szCs w:val="21"/>
                <w:highlight w:val="none"/>
                <w:lang w:bidi="ar"/>
              </w:rPr>
              <w:t>6、开展康复辅助器具租赁服务</w:t>
            </w:r>
          </w:p>
        </w:tc>
        <w:tc>
          <w:tcPr>
            <w:tcW w:w="1395" w:type="dxa"/>
            <w:noWrap w:val="0"/>
            <w:vAlign w:val="center"/>
          </w:tcPr>
          <w:p w14:paraId="62792994">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为居家老年人提供康复辅具租赁服务。</w:t>
            </w:r>
          </w:p>
        </w:tc>
        <w:tc>
          <w:tcPr>
            <w:tcW w:w="2070" w:type="dxa"/>
            <w:noWrap w:val="0"/>
            <w:vAlign w:val="center"/>
          </w:tcPr>
          <w:p w14:paraId="25EA2C25">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eastAsia="zh-CN" w:bidi="ar"/>
              </w:rPr>
            </w:pPr>
            <w:r>
              <w:rPr>
                <w:rFonts w:hint="eastAsia" w:ascii="宋体" w:hAnsi="宋体" w:eastAsia="宋体" w:cs="宋体"/>
                <w:kern w:val="0"/>
                <w:sz w:val="21"/>
                <w:szCs w:val="21"/>
                <w:highlight w:val="none"/>
                <w:lang w:bidi="ar"/>
              </w:rPr>
              <w:t>租赁辅具种类</w:t>
            </w:r>
            <w:r>
              <w:rPr>
                <w:rFonts w:hint="eastAsia" w:ascii="宋体" w:hAnsi="宋体" w:eastAsia="宋体" w:cs="宋体"/>
                <w:kern w:val="0"/>
                <w:sz w:val="21"/>
                <w:szCs w:val="21"/>
                <w:highlight w:val="none"/>
                <w:lang w:eastAsia="zh-CN" w:bidi="ar"/>
              </w:rPr>
              <w:t>：</w:t>
            </w:r>
          </w:p>
          <w:p w14:paraId="06480771">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轮椅、拐杖、助行器等。</w:t>
            </w:r>
          </w:p>
        </w:tc>
        <w:tc>
          <w:tcPr>
            <w:tcW w:w="3105" w:type="dxa"/>
            <w:noWrap w:val="0"/>
            <w:vAlign w:val="center"/>
          </w:tcPr>
          <w:p w14:paraId="2A2DF99D">
            <w:pPr>
              <w:keepNext w:val="0"/>
              <w:keepLines w:val="0"/>
              <w:pageBreakBefore w:val="0"/>
              <w:widowControl/>
              <w:suppressLineNumbers w:val="0"/>
              <w:kinsoku/>
              <w:wordWrap/>
              <w:overflowPunct/>
              <w:topLinePunct w:val="0"/>
              <w:autoSpaceDE/>
              <w:autoSpaceDN/>
              <w:bidi w:val="0"/>
              <w:adjustRightInd/>
              <w:snapToGrid/>
              <w:spacing w:line="240" w:lineRule="auto"/>
              <w:jc w:val="left"/>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2"/>
                <w:sz w:val="21"/>
                <w:szCs w:val="21"/>
                <w:highlight w:val="none"/>
                <w:u w:val="none"/>
                <w:lang w:val="en-US" w:eastAsia="zh-CN" w:bidi="ar-SA"/>
              </w:rPr>
              <w:t>租赁辅具管理：</w:t>
            </w:r>
          </w:p>
          <w:p w14:paraId="463FDE22">
            <w:pPr>
              <w:keepNext w:val="0"/>
              <w:keepLines w:val="0"/>
              <w:pageBreakBefore w:val="0"/>
              <w:widowControl/>
              <w:suppressLineNumbers w:val="0"/>
              <w:kinsoku/>
              <w:wordWrap/>
              <w:overflowPunct/>
              <w:topLinePunct w:val="0"/>
              <w:autoSpaceDE/>
              <w:autoSpaceDN/>
              <w:bidi w:val="0"/>
              <w:adjustRightInd/>
              <w:snapToGrid/>
              <w:spacing w:line="240" w:lineRule="auto"/>
              <w:jc w:val="left"/>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2"/>
                <w:sz w:val="21"/>
                <w:szCs w:val="21"/>
                <w:highlight w:val="none"/>
                <w:u w:val="none"/>
                <w:lang w:val="en-US" w:eastAsia="zh-CN" w:bidi="ar-SA"/>
              </w:rPr>
              <w:t>确保器具有展示有维护，必要时提供上门安装维修服务，对服务项目和收费情况进行公示，回收后进行清洁消毒。</w:t>
            </w:r>
          </w:p>
        </w:tc>
        <w:tc>
          <w:tcPr>
            <w:tcW w:w="1530" w:type="dxa"/>
            <w:noWrap w:val="0"/>
            <w:vAlign w:val="center"/>
          </w:tcPr>
          <w:p w14:paraId="51E5E16A">
            <w:pPr>
              <w:keepNext w:val="0"/>
              <w:keepLines w:val="0"/>
              <w:pageBreakBefore w:val="0"/>
              <w:widowControl/>
              <w:suppressLineNumbers w:val="0"/>
              <w:kinsoku/>
              <w:wordWrap/>
              <w:overflowPunct/>
              <w:topLinePunct w:val="0"/>
              <w:autoSpaceDE/>
              <w:autoSpaceDN/>
              <w:bidi w:val="0"/>
              <w:adjustRightInd/>
              <w:snapToGrid/>
              <w:spacing w:line="240" w:lineRule="auto"/>
              <w:jc w:val="both"/>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采取有偿服务方式，服务费用</w:t>
            </w:r>
            <w:r>
              <w:rPr>
                <w:rFonts w:hint="eastAsia" w:ascii="宋体" w:hAnsi="宋体" w:eastAsia="宋体" w:cs="宋体"/>
                <w:kern w:val="0"/>
                <w:sz w:val="21"/>
                <w:szCs w:val="21"/>
                <w:highlight w:val="none"/>
                <w:lang w:val="en-US" w:eastAsia="zh-CN" w:bidi="ar"/>
              </w:rPr>
              <w:t>由采购人和成交供应商协商或市场调研共同确定</w:t>
            </w:r>
            <w:r>
              <w:rPr>
                <w:rFonts w:hint="eastAsia" w:ascii="宋体" w:hAnsi="宋体" w:cs="宋体"/>
                <w:kern w:val="0"/>
                <w:sz w:val="21"/>
                <w:szCs w:val="21"/>
                <w:highlight w:val="none"/>
                <w:lang w:val="en-US" w:eastAsia="zh-CN" w:bidi="ar"/>
              </w:rPr>
              <w:t>，</w:t>
            </w:r>
            <w:r>
              <w:rPr>
                <w:rFonts w:hint="eastAsia" w:ascii="宋体" w:hAnsi="宋体" w:eastAsia="宋体" w:cs="宋体"/>
                <w:kern w:val="0"/>
                <w:sz w:val="21"/>
                <w:szCs w:val="21"/>
                <w:highlight w:val="none"/>
                <w:lang w:bidi="ar"/>
              </w:rPr>
              <w:t>服务对象支付。</w:t>
            </w:r>
          </w:p>
        </w:tc>
      </w:tr>
      <w:tr w14:paraId="4D676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525" w:type="dxa"/>
            <w:noWrap w:val="0"/>
            <w:vAlign w:val="center"/>
          </w:tcPr>
          <w:p w14:paraId="112A46C5">
            <w:pPr>
              <w:pStyle w:val="9"/>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开放时间</w:t>
            </w:r>
          </w:p>
        </w:tc>
        <w:tc>
          <w:tcPr>
            <w:tcW w:w="9420" w:type="dxa"/>
            <w:gridSpan w:val="5"/>
            <w:noWrap w:val="0"/>
            <w:vAlign w:val="center"/>
          </w:tcPr>
          <w:p w14:paraId="6331EE7B">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 xml:space="preserve">1.夏令时：周一至周日，早上 8:00—下午 5:00；冬令时：周一至周日，早上 8:00—下午 4:30； </w:t>
            </w:r>
          </w:p>
          <w:p w14:paraId="27686D55">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2.如遇法定节假日及特殊情况，根据</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统一安排执行</w:t>
            </w:r>
            <w:r>
              <w:rPr>
                <w:rFonts w:hint="eastAsia" w:ascii="宋体" w:hAnsi="宋体" w:cs="宋体"/>
                <w:kern w:val="0"/>
                <w:sz w:val="21"/>
                <w:szCs w:val="21"/>
                <w:highlight w:val="none"/>
                <w:lang w:val="en-US" w:eastAsia="zh-CN" w:bidi="ar"/>
              </w:rPr>
              <w:t>。</w:t>
            </w:r>
          </w:p>
        </w:tc>
      </w:tr>
    </w:tbl>
    <w:p w14:paraId="53AE63F0">
      <w:pPr>
        <w:pStyle w:val="56"/>
        <w:widowControl/>
        <w:spacing w:line="360" w:lineRule="auto"/>
        <w:jc w:val="both"/>
        <w:rPr>
          <w:rFonts w:hint="eastAsia" w:ascii="宋体" w:hAnsi="宋体" w:eastAsia="宋体" w:cs="宋体"/>
          <w:b/>
          <w:bCs/>
          <w:highlight w:val="none"/>
          <w:lang w:val="en-US" w:eastAsia="zh-CN"/>
        </w:rPr>
      </w:pPr>
    </w:p>
    <w:tbl>
      <w:tblPr>
        <w:tblStyle w:val="27"/>
        <w:tblW w:w="9956" w:type="dxa"/>
        <w:tblInd w:w="-7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
        <w:gridCol w:w="1335"/>
        <w:gridCol w:w="8111"/>
      </w:tblGrid>
      <w:tr w14:paraId="1B364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956" w:type="dxa"/>
            <w:gridSpan w:val="3"/>
            <w:noWrap w:val="0"/>
            <w:vAlign w:val="center"/>
          </w:tcPr>
          <w:p w14:paraId="7952055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kern w:val="0"/>
                <w:sz w:val="21"/>
                <w:szCs w:val="21"/>
                <w:highlight w:val="none"/>
                <w:lang w:val="en-US" w:eastAsia="zh-CN" w:bidi="ar"/>
              </w:rPr>
            </w:pPr>
            <w:r>
              <w:rPr>
                <w:rFonts w:hint="eastAsia" w:ascii="宋体" w:hAnsi="宋体" w:cs="宋体"/>
                <w:b/>
                <w:bCs/>
                <w:sz w:val="24"/>
                <w:szCs w:val="24"/>
                <w:highlight w:val="none"/>
                <w:lang w:eastAsia="zh-CN"/>
              </w:rPr>
              <w:t>城乡社区（村）居家</w:t>
            </w:r>
            <w:r>
              <w:rPr>
                <w:rFonts w:hint="eastAsia" w:ascii="宋体" w:hAnsi="宋体" w:cs="宋体"/>
                <w:b/>
                <w:bCs/>
                <w:sz w:val="24"/>
                <w:szCs w:val="24"/>
                <w:highlight w:val="none"/>
                <w:lang w:val="en-US" w:eastAsia="zh-CN"/>
              </w:rPr>
              <w:t>养老服务</w:t>
            </w:r>
            <w:r>
              <w:rPr>
                <w:rFonts w:hint="eastAsia" w:ascii="宋体" w:hAnsi="宋体" w:cs="宋体"/>
                <w:b/>
                <w:bCs/>
                <w:sz w:val="24"/>
                <w:szCs w:val="24"/>
                <w:highlight w:val="none"/>
                <w:lang w:eastAsia="zh-CN"/>
              </w:rPr>
              <w:t>照料中心</w:t>
            </w:r>
          </w:p>
        </w:tc>
      </w:tr>
      <w:tr w14:paraId="5E2B4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510" w:type="dxa"/>
            <w:noWrap w:val="0"/>
            <w:vAlign w:val="center"/>
          </w:tcPr>
          <w:p w14:paraId="6E7D1F0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kern w:val="0"/>
                <w:sz w:val="21"/>
                <w:szCs w:val="21"/>
                <w:highlight w:val="none"/>
                <w:lang w:val="en-US" w:eastAsia="zh-CN" w:bidi="ar"/>
              </w:rPr>
            </w:pPr>
            <w:r>
              <w:rPr>
                <w:rFonts w:hint="eastAsia" w:ascii="宋体" w:hAnsi="宋体" w:eastAsia="宋体" w:cs="宋体"/>
                <w:b/>
                <w:bCs/>
                <w:kern w:val="0"/>
                <w:sz w:val="21"/>
                <w:szCs w:val="21"/>
                <w:highlight w:val="none"/>
                <w:lang w:val="en-US" w:eastAsia="zh-CN" w:bidi="ar"/>
              </w:rPr>
              <w:t>项目</w:t>
            </w:r>
          </w:p>
        </w:tc>
        <w:tc>
          <w:tcPr>
            <w:tcW w:w="1335" w:type="dxa"/>
            <w:noWrap w:val="0"/>
            <w:vAlign w:val="center"/>
          </w:tcPr>
          <w:p w14:paraId="13B8826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kern w:val="0"/>
                <w:sz w:val="21"/>
                <w:szCs w:val="21"/>
                <w:highlight w:val="none"/>
                <w:lang w:val="en-US" w:eastAsia="zh-CN" w:bidi="ar"/>
              </w:rPr>
            </w:pPr>
            <w:r>
              <w:rPr>
                <w:rFonts w:hint="eastAsia" w:ascii="宋体" w:hAnsi="宋体" w:eastAsia="宋体" w:cs="宋体"/>
                <w:b/>
                <w:bCs/>
                <w:kern w:val="0"/>
                <w:sz w:val="21"/>
                <w:szCs w:val="21"/>
                <w:highlight w:val="none"/>
                <w:lang w:val="en-US" w:eastAsia="zh-CN" w:bidi="ar"/>
              </w:rPr>
              <w:t>内容</w:t>
            </w:r>
          </w:p>
        </w:tc>
        <w:tc>
          <w:tcPr>
            <w:tcW w:w="8111" w:type="dxa"/>
            <w:noWrap w:val="0"/>
            <w:vAlign w:val="center"/>
          </w:tcPr>
          <w:p w14:paraId="7CEFF0E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kern w:val="0"/>
                <w:sz w:val="21"/>
                <w:szCs w:val="21"/>
                <w:highlight w:val="none"/>
                <w:lang w:val="en-US" w:eastAsia="zh-CN" w:bidi="ar"/>
              </w:rPr>
            </w:pPr>
            <w:r>
              <w:rPr>
                <w:rFonts w:hint="eastAsia" w:ascii="宋体" w:hAnsi="宋体" w:eastAsia="宋体" w:cs="宋体"/>
                <w:b/>
                <w:bCs/>
                <w:kern w:val="0"/>
                <w:sz w:val="21"/>
                <w:szCs w:val="21"/>
                <w:highlight w:val="none"/>
                <w:lang w:val="en-US" w:eastAsia="zh-CN" w:bidi="ar"/>
              </w:rPr>
              <w:t>要求</w:t>
            </w:r>
          </w:p>
        </w:tc>
      </w:tr>
      <w:tr w14:paraId="184AD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10" w:type="dxa"/>
            <w:noWrap w:val="0"/>
            <w:vAlign w:val="center"/>
          </w:tcPr>
          <w:p w14:paraId="173432D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服务内容</w:t>
            </w:r>
          </w:p>
        </w:tc>
        <w:tc>
          <w:tcPr>
            <w:tcW w:w="1335" w:type="dxa"/>
            <w:noWrap w:val="0"/>
            <w:vAlign w:val="center"/>
          </w:tcPr>
          <w:p w14:paraId="2982FEA4">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管理要求</w:t>
            </w:r>
          </w:p>
        </w:tc>
        <w:tc>
          <w:tcPr>
            <w:tcW w:w="8111" w:type="dxa"/>
            <w:noWrap w:val="0"/>
            <w:vAlign w:val="center"/>
          </w:tcPr>
          <w:p w14:paraId="76AA1E65">
            <w:pPr>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default" w:ascii="宋体" w:hAnsi="宋体" w:eastAsia="宋体" w:cs="宋体"/>
                <w:color w:val="auto"/>
                <w:sz w:val="21"/>
                <w:szCs w:val="21"/>
                <w:highlight w:val="none"/>
              </w:rPr>
              <w:t>、</w:t>
            </w:r>
            <w:r>
              <w:rPr>
                <w:rFonts w:hint="eastAsia" w:ascii="宋体" w:hAnsi="宋体" w:eastAsia="宋体" w:cs="宋体"/>
                <w:color w:val="auto"/>
                <w:sz w:val="21"/>
                <w:szCs w:val="21"/>
                <w:highlight w:val="none"/>
              </w:rPr>
              <w:t>应有稳定的服务队伍、服务能力及经济实力支撑，保持中心常态化运行。</w:t>
            </w:r>
          </w:p>
          <w:p w14:paraId="57FDD2CC">
            <w:pPr>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default" w:ascii="宋体" w:hAnsi="宋体" w:eastAsia="宋体" w:cs="宋体"/>
                <w:color w:val="auto"/>
                <w:sz w:val="21"/>
                <w:szCs w:val="21"/>
                <w:highlight w:val="none"/>
              </w:rPr>
              <w:t>、</w:t>
            </w:r>
            <w:r>
              <w:rPr>
                <w:rFonts w:hint="eastAsia" w:ascii="宋体" w:hAnsi="宋体" w:eastAsia="宋体" w:cs="宋体"/>
                <w:color w:val="auto"/>
                <w:sz w:val="21"/>
                <w:szCs w:val="21"/>
                <w:highlight w:val="none"/>
              </w:rPr>
              <w:t>应建立健全服务管理的各项规章制度，包括财务管理制度、食品安全管理制度、托养服务管理制度、入住评估制度、消防安全管理制度、突发事件应急预案等。</w:t>
            </w:r>
          </w:p>
          <w:p w14:paraId="494ACE8A">
            <w:pPr>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default" w:ascii="宋体" w:hAnsi="宋体" w:eastAsia="宋体" w:cs="宋体"/>
                <w:color w:val="auto"/>
                <w:sz w:val="21"/>
                <w:szCs w:val="21"/>
                <w:highlight w:val="none"/>
              </w:rPr>
              <w:t>、</w:t>
            </w:r>
            <w:r>
              <w:rPr>
                <w:rFonts w:hint="eastAsia" w:ascii="宋体" w:hAnsi="宋体" w:eastAsia="宋体" w:cs="宋体"/>
                <w:color w:val="auto"/>
                <w:sz w:val="21"/>
                <w:szCs w:val="21"/>
                <w:highlight w:val="none"/>
              </w:rPr>
              <w:t>应明确服务项目、收费标准及服务流程并进行公示，实施公开承诺服务。</w:t>
            </w:r>
          </w:p>
          <w:p w14:paraId="114E069A">
            <w:pPr>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default" w:ascii="宋体" w:hAnsi="宋体" w:eastAsia="宋体" w:cs="宋体"/>
                <w:color w:val="auto"/>
                <w:sz w:val="21"/>
                <w:szCs w:val="21"/>
                <w:highlight w:val="none"/>
              </w:rPr>
              <w:t>、</w:t>
            </w:r>
            <w:r>
              <w:rPr>
                <w:rFonts w:hint="eastAsia" w:ascii="宋体" w:hAnsi="宋体" w:eastAsia="宋体" w:cs="宋体"/>
                <w:color w:val="auto"/>
                <w:sz w:val="21"/>
                <w:szCs w:val="21"/>
                <w:highlight w:val="none"/>
              </w:rPr>
              <w:t>各类规章制度、职业证照、服务项目、收费标准、工作流程、服务承诺等应上墙公示。</w:t>
            </w:r>
          </w:p>
          <w:p w14:paraId="732CD1E8">
            <w:pPr>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default" w:ascii="宋体" w:hAnsi="宋体" w:eastAsia="宋体" w:cs="宋体"/>
                <w:color w:val="auto"/>
                <w:sz w:val="21"/>
                <w:szCs w:val="21"/>
                <w:highlight w:val="none"/>
              </w:rPr>
              <w:t>、</w:t>
            </w:r>
            <w:r>
              <w:rPr>
                <w:rFonts w:hint="eastAsia" w:ascii="宋体" w:hAnsi="宋体" w:eastAsia="宋体" w:cs="宋体"/>
                <w:color w:val="auto"/>
                <w:sz w:val="21"/>
                <w:szCs w:val="21"/>
                <w:highlight w:val="none"/>
              </w:rPr>
              <w:t>应建立辖区老年人基本信息数据库，包含老年人基本信息、生活状况、健康信息等，掌握并完善服务需求信息，使用通用管理系统，及时更新完善数据。</w:t>
            </w:r>
          </w:p>
          <w:p w14:paraId="621B956E">
            <w:pPr>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default" w:ascii="宋体" w:hAnsi="宋体" w:eastAsia="宋体" w:cs="宋体"/>
                <w:color w:val="auto"/>
                <w:sz w:val="21"/>
                <w:szCs w:val="21"/>
                <w:highlight w:val="none"/>
              </w:rPr>
              <w:t>、</w:t>
            </w:r>
            <w:r>
              <w:rPr>
                <w:rFonts w:hint="eastAsia" w:ascii="宋体" w:hAnsi="宋体" w:eastAsia="宋体" w:cs="宋体"/>
                <w:color w:val="auto"/>
                <w:sz w:val="21"/>
                <w:szCs w:val="21"/>
                <w:highlight w:val="none"/>
              </w:rPr>
              <w:t>合理设置管理办公室（场所），配备服务电话和网络，接受服务对象、信息处理的服务要</w:t>
            </w:r>
            <w:r>
              <w:rPr>
                <w:rFonts w:hint="eastAsia" w:ascii="宋体" w:hAnsi="宋体" w:eastAsia="宋体" w:cs="宋体"/>
                <w:color w:val="auto"/>
                <w:sz w:val="21"/>
                <w:szCs w:val="21"/>
                <w:highlight w:val="none"/>
                <w:lang w:val="en-US" w:eastAsia="zh-CN"/>
              </w:rPr>
              <w:t>求</w:t>
            </w:r>
            <w:r>
              <w:rPr>
                <w:rFonts w:hint="eastAsia" w:ascii="宋体" w:hAnsi="宋体" w:eastAsia="宋体" w:cs="宋体"/>
                <w:color w:val="auto"/>
                <w:sz w:val="21"/>
                <w:szCs w:val="21"/>
                <w:highlight w:val="none"/>
              </w:rPr>
              <w:t>，配备托管中心运营所涉及的设施设备以及所有设备设施的维护，涉及固定资产维护，可同</w:t>
            </w:r>
            <w:r>
              <w:rPr>
                <w:rFonts w:hint="eastAsia" w:ascii="宋体" w:hAnsi="宋体" w:eastAsia="宋体" w:cs="宋体"/>
                <w:color w:val="auto"/>
                <w:sz w:val="21"/>
                <w:szCs w:val="21"/>
                <w:highlight w:val="none"/>
                <w:lang w:val="en-US" w:eastAsia="zh-CN"/>
              </w:rPr>
              <w:t>属地村社</w:t>
            </w:r>
            <w:r>
              <w:rPr>
                <w:rFonts w:hint="eastAsia" w:ascii="宋体" w:hAnsi="宋体" w:eastAsia="宋体" w:cs="宋体"/>
                <w:color w:val="auto"/>
                <w:sz w:val="21"/>
                <w:szCs w:val="21"/>
                <w:highlight w:val="none"/>
              </w:rPr>
              <w:t>协商解决。</w:t>
            </w:r>
          </w:p>
          <w:p w14:paraId="297E0772">
            <w:pPr>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default" w:ascii="宋体" w:hAnsi="宋体" w:eastAsia="宋体" w:cs="宋体"/>
                <w:color w:val="auto"/>
                <w:sz w:val="21"/>
                <w:szCs w:val="21"/>
                <w:highlight w:val="none"/>
              </w:rPr>
              <w:t>、</w:t>
            </w:r>
            <w:r>
              <w:rPr>
                <w:rFonts w:hint="eastAsia" w:ascii="宋体" w:hAnsi="宋体" w:eastAsia="宋体" w:cs="宋体"/>
                <w:color w:val="auto"/>
                <w:sz w:val="21"/>
                <w:szCs w:val="21"/>
                <w:highlight w:val="none"/>
              </w:rPr>
              <w:t>开展特需老年人</w:t>
            </w:r>
            <w:r>
              <w:rPr>
                <w:rFonts w:hint="eastAsia" w:ascii="宋体" w:hAnsi="宋体" w:eastAsia="宋体" w:cs="宋体"/>
                <w:color w:val="auto"/>
                <w:sz w:val="21"/>
                <w:szCs w:val="21"/>
                <w:highlight w:val="none"/>
                <w:lang w:val="en-US" w:eastAsia="zh-CN"/>
              </w:rPr>
              <w:t>与高龄老人</w:t>
            </w:r>
            <w:r>
              <w:rPr>
                <w:rFonts w:hint="eastAsia" w:ascii="宋体" w:hAnsi="宋体" w:eastAsia="宋体" w:cs="宋体"/>
                <w:color w:val="auto"/>
                <w:sz w:val="21"/>
                <w:szCs w:val="21"/>
                <w:highlight w:val="none"/>
              </w:rPr>
              <w:t>关爱探访活动，实现服务辖区</w:t>
            </w:r>
            <w:r>
              <w:rPr>
                <w:rFonts w:hint="eastAsia" w:ascii="宋体" w:hAnsi="宋体" w:eastAsia="宋体" w:cs="宋体"/>
                <w:color w:val="auto"/>
                <w:sz w:val="21"/>
                <w:szCs w:val="21"/>
                <w:highlight w:val="none"/>
                <w:lang w:val="en-US" w:eastAsia="zh-CN"/>
              </w:rPr>
              <w:t>80周岁以上老年人、</w:t>
            </w:r>
            <w:r>
              <w:rPr>
                <w:rFonts w:hint="eastAsia" w:ascii="宋体" w:hAnsi="宋体" w:eastAsia="宋体" w:cs="宋体"/>
                <w:color w:val="auto"/>
                <w:sz w:val="21"/>
                <w:szCs w:val="21"/>
                <w:highlight w:val="none"/>
              </w:rPr>
              <w:t>空巢、留守、失能、重残、计划生育特殊家庭等特殊困难老年人每月至少探访一次，形成探访记录，</w:t>
            </w:r>
            <w:r>
              <w:rPr>
                <w:rFonts w:hint="eastAsia" w:ascii="宋体" w:hAnsi="宋体" w:eastAsia="宋体" w:cs="宋体"/>
                <w:color w:val="auto"/>
                <w:sz w:val="21"/>
                <w:szCs w:val="21"/>
                <w:highlight w:val="none"/>
                <w:lang w:val="en-US" w:eastAsia="zh-CN"/>
              </w:rPr>
              <w:t>记录血压等</w:t>
            </w:r>
            <w:r>
              <w:rPr>
                <w:rFonts w:hint="eastAsia" w:ascii="宋体" w:hAnsi="宋体" w:cs="宋体"/>
                <w:szCs w:val="21"/>
                <w:highlight w:val="none"/>
                <w:lang w:val="en-US" w:eastAsia="zh-CN"/>
              </w:rPr>
              <w:t>健康档案，</w:t>
            </w:r>
            <w:r>
              <w:rPr>
                <w:rFonts w:hint="eastAsia" w:ascii="宋体" w:hAnsi="宋体" w:eastAsia="宋体" w:cs="宋体"/>
                <w:color w:val="auto"/>
                <w:sz w:val="21"/>
                <w:szCs w:val="21"/>
                <w:highlight w:val="none"/>
              </w:rPr>
              <w:t>并提供相应援助服务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探访记录应有</w:t>
            </w:r>
            <w:r>
              <w:rPr>
                <w:rFonts w:hint="eastAsia" w:ascii="宋体" w:hAnsi="宋体" w:eastAsia="宋体" w:cs="宋体"/>
                <w:kern w:val="0"/>
                <w:sz w:val="21"/>
                <w:szCs w:val="21"/>
                <w:highlight w:val="none"/>
                <w:lang w:val="en-US" w:eastAsia="zh-CN" w:bidi="ar"/>
              </w:rPr>
              <w:t>照片佐证（须带有起止时间及地点的水印）</w:t>
            </w:r>
            <w:r>
              <w:rPr>
                <w:rFonts w:hint="eastAsia" w:ascii="宋体" w:hAnsi="宋体" w:eastAsia="宋体" w:cs="宋体"/>
                <w:color w:val="auto"/>
                <w:sz w:val="21"/>
                <w:szCs w:val="21"/>
                <w:highlight w:val="none"/>
              </w:rPr>
              <w:t>。</w:t>
            </w:r>
          </w:p>
          <w:p w14:paraId="526F1772">
            <w:pPr>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default" w:ascii="宋体" w:hAnsi="宋体" w:eastAsia="宋体" w:cs="宋体"/>
                <w:color w:val="auto"/>
                <w:sz w:val="21"/>
                <w:szCs w:val="21"/>
                <w:highlight w:val="none"/>
              </w:rPr>
              <w:t>、</w:t>
            </w:r>
            <w:r>
              <w:rPr>
                <w:rFonts w:hint="eastAsia" w:ascii="宋体" w:hAnsi="宋体" w:eastAsia="宋体" w:cs="宋体"/>
                <w:color w:val="auto"/>
                <w:sz w:val="21"/>
                <w:szCs w:val="21"/>
                <w:highlight w:val="none"/>
              </w:rPr>
              <w:t>相关服务信息数据应录入或对接“</w:t>
            </w:r>
            <w:r>
              <w:rPr>
                <w:rFonts w:hint="eastAsia" w:ascii="宋体" w:hAnsi="宋体" w:eastAsia="宋体" w:cs="宋体"/>
                <w:color w:val="auto"/>
                <w:sz w:val="21"/>
                <w:szCs w:val="21"/>
                <w:highlight w:val="none"/>
                <w:lang w:eastAsia="zh-CN"/>
              </w:rPr>
              <w:t>浙里康养</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系统</w:t>
            </w:r>
            <w:r>
              <w:rPr>
                <w:rFonts w:hint="eastAsia" w:ascii="宋体" w:hAnsi="宋体" w:eastAsia="宋体" w:cs="宋体"/>
                <w:color w:val="auto"/>
                <w:sz w:val="21"/>
                <w:szCs w:val="21"/>
                <w:highlight w:val="none"/>
              </w:rPr>
              <w:t>平台和“老省心”应用平台，将托管中心配备的视频监控接入“</w:t>
            </w:r>
            <w:r>
              <w:rPr>
                <w:rFonts w:hint="eastAsia" w:ascii="宋体" w:hAnsi="宋体" w:eastAsia="宋体" w:cs="宋体"/>
                <w:color w:val="auto"/>
                <w:sz w:val="21"/>
                <w:szCs w:val="21"/>
                <w:highlight w:val="none"/>
                <w:lang w:eastAsia="zh-CN"/>
              </w:rPr>
              <w:t>浙里康养</w:t>
            </w:r>
            <w:r>
              <w:rPr>
                <w:rFonts w:hint="eastAsia" w:ascii="宋体" w:hAnsi="宋体" w:eastAsia="宋体" w:cs="宋体"/>
                <w:color w:val="auto"/>
                <w:sz w:val="21"/>
                <w:szCs w:val="21"/>
                <w:highlight w:val="none"/>
              </w:rPr>
              <w:t>”、“老省心”物联网体系，实现养老服务智慧化综合监管。</w:t>
            </w:r>
          </w:p>
          <w:p w14:paraId="40FBF0B7">
            <w:pPr>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r>
              <w:rPr>
                <w:rFonts w:hint="default" w:ascii="宋体" w:hAnsi="宋体" w:eastAsia="宋体" w:cs="宋体"/>
                <w:color w:val="auto"/>
                <w:sz w:val="21"/>
                <w:szCs w:val="21"/>
                <w:highlight w:val="none"/>
              </w:rPr>
              <w:t>、</w:t>
            </w:r>
            <w:r>
              <w:rPr>
                <w:rFonts w:hint="eastAsia" w:ascii="宋体" w:hAnsi="宋体" w:eastAsia="宋体" w:cs="宋体"/>
                <w:color w:val="auto"/>
                <w:sz w:val="21"/>
                <w:szCs w:val="21"/>
                <w:highlight w:val="none"/>
              </w:rPr>
              <w:t>提供服务时，应具有与老年人的沟通技巧，注意个人卫生、干净整洁，理解老年人的服务需求，尊重老年人的生活习惯、宗教信仰，语言文明、态度热情，细致周到、操作规范。</w:t>
            </w:r>
          </w:p>
          <w:p w14:paraId="30FB9581">
            <w:pPr>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default" w:ascii="宋体" w:hAnsi="宋体" w:eastAsia="宋体" w:cs="宋体"/>
                <w:color w:val="auto"/>
                <w:sz w:val="21"/>
                <w:szCs w:val="21"/>
                <w:highlight w:val="none"/>
              </w:rPr>
              <w:t>、</w:t>
            </w:r>
            <w:r>
              <w:rPr>
                <w:rFonts w:hint="eastAsia" w:ascii="宋体" w:hAnsi="宋体" w:eastAsia="宋体" w:cs="宋体"/>
                <w:color w:val="auto"/>
                <w:sz w:val="21"/>
                <w:szCs w:val="21"/>
                <w:highlight w:val="none"/>
              </w:rPr>
              <w:t>服务结束后，应接受服务对方评价或第三方评价。应设立意见簿（箱），公开投诉电话。</w:t>
            </w:r>
          </w:p>
          <w:p w14:paraId="58CCEB3B">
            <w:pPr>
              <w:spacing w:line="24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11</w:t>
            </w:r>
            <w:r>
              <w:rPr>
                <w:rFonts w:hint="default" w:ascii="宋体" w:hAnsi="宋体" w:eastAsia="宋体" w:cs="宋体"/>
                <w:color w:val="auto"/>
                <w:sz w:val="21"/>
                <w:szCs w:val="21"/>
                <w:highlight w:val="none"/>
              </w:rPr>
              <w:t>、</w:t>
            </w:r>
            <w:r>
              <w:rPr>
                <w:rFonts w:hint="eastAsia" w:ascii="宋体" w:hAnsi="宋体" w:eastAsia="宋体" w:cs="宋体"/>
                <w:color w:val="auto"/>
                <w:sz w:val="21"/>
                <w:szCs w:val="21"/>
                <w:highlight w:val="none"/>
              </w:rPr>
              <w:t>每个点位除开展日常运行外，每月至少开展</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场集中为老活动（包含不局限于娱乐、学习运动、健康管理、康复等），每场活动不少于20人</w:t>
            </w:r>
            <w:r>
              <w:rPr>
                <w:rFonts w:hint="eastAsia" w:ascii="宋体" w:hAnsi="宋体" w:eastAsia="宋体" w:cs="宋体"/>
                <w:color w:val="auto"/>
                <w:sz w:val="21"/>
                <w:szCs w:val="21"/>
                <w:highlight w:val="none"/>
                <w:lang w:eastAsia="zh-CN"/>
              </w:rPr>
              <w:t>，</w:t>
            </w:r>
            <w:r>
              <w:rPr>
                <w:rFonts w:hint="eastAsia" w:ascii="宋体" w:hAnsi="宋体" w:cs="宋体"/>
                <w:szCs w:val="21"/>
                <w:highlight w:val="none"/>
                <w:lang w:val="en-US" w:eastAsia="zh-CN"/>
              </w:rPr>
              <w:t>活动记录由村（社区）干部签字确认</w:t>
            </w:r>
            <w:r>
              <w:rPr>
                <w:rFonts w:hint="eastAsia" w:ascii="宋体" w:hAnsi="宋体" w:cs="宋体"/>
                <w:color w:val="auto"/>
                <w:sz w:val="21"/>
                <w:szCs w:val="21"/>
                <w:highlight w:val="none"/>
                <w:lang w:eastAsia="zh-CN"/>
              </w:rPr>
              <w:t>。</w:t>
            </w:r>
          </w:p>
          <w:p w14:paraId="05881B86">
            <w:pPr>
              <w:shd w:val="clear" w:color="auto" w:fill="auto"/>
              <w:spacing w:line="240" w:lineRule="auto"/>
              <w:jc w:val="both"/>
              <w:rPr>
                <w:rFonts w:hint="eastAsia" w:ascii="宋体" w:hAnsi="宋体" w:cs="宋体"/>
                <w:szCs w:val="21"/>
                <w:highlight w:val="none"/>
              </w:rPr>
            </w:pPr>
            <w:r>
              <w:rPr>
                <w:rFonts w:hint="eastAsia" w:ascii="宋体" w:hAnsi="宋体" w:eastAsia="宋体" w:cs="宋体"/>
                <w:color w:val="auto"/>
                <w:sz w:val="21"/>
                <w:szCs w:val="21"/>
                <w:highlight w:val="none"/>
              </w:rPr>
              <w:t>12</w:t>
            </w:r>
            <w:r>
              <w:rPr>
                <w:rFonts w:hint="default" w:ascii="宋体" w:hAnsi="宋体" w:eastAsia="宋体" w:cs="宋体"/>
                <w:color w:val="auto"/>
                <w:sz w:val="21"/>
                <w:szCs w:val="21"/>
                <w:highlight w:val="none"/>
              </w:rPr>
              <w:t>、</w:t>
            </w:r>
            <w:r>
              <w:rPr>
                <w:rFonts w:hint="eastAsia" w:ascii="宋体" w:hAnsi="宋体" w:cs="宋体"/>
                <w:szCs w:val="21"/>
                <w:highlight w:val="none"/>
              </w:rPr>
              <w:t>以弘扬传统文化为主题，以中秋、重阳、元旦、春节、元宵、端午等传统节日为契机，开展传统节庆活动，营造浓厚的社区节日氛围，项目周期内至少开展3次节庆活动（重阳节必须开展活动）</w:t>
            </w:r>
            <w:r>
              <w:rPr>
                <w:rFonts w:hint="eastAsia" w:ascii="宋体" w:hAnsi="宋体" w:cs="宋体"/>
                <w:szCs w:val="21"/>
                <w:highlight w:val="none"/>
                <w:lang w:eastAsia="zh-CN"/>
              </w:rPr>
              <w:t>，</w:t>
            </w:r>
            <w:r>
              <w:rPr>
                <w:rFonts w:hint="eastAsia" w:ascii="宋体" w:hAnsi="宋体" w:eastAsia="宋体" w:cs="宋体"/>
                <w:color w:val="auto"/>
                <w:sz w:val="21"/>
                <w:szCs w:val="21"/>
                <w:highlight w:val="none"/>
              </w:rPr>
              <w:t>每场活动不少于</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0人</w:t>
            </w:r>
            <w:r>
              <w:rPr>
                <w:rFonts w:hint="eastAsia" w:ascii="宋体" w:hAnsi="宋体" w:cs="宋体"/>
                <w:szCs w:val="21"/>
                <w:highlight w:val="none"/>
              </w:rPr>
              <w:t>。</w:t>
            </w:r>
          </w:p>
          <w:p w14:paraId="537A99EE">
            <w:pPr>
              <w:shd w:val="clear" w:color="auto" w:fill="auto"/>
              <w:spacing w:line="240" w:lineRule="auto"/>
              <w:jc w:val="both"/>
              <w:rPr>
                <w:rFonts w:hint="eastAsia" w:ascii="宋体" w:hAnsi="宋体" w:eastAsia="宋体" w:cs="宋体"/>
                <w:color w:val="auto"/>
                <w:sz w:val="21"/>
                <w:szCs w:val="21"/>
                <w:highlight w:val="none"/>
              </w:rPr>
            </w:pPr>
            <w:r>
              <w:rPr>
                <w:rFonts w:hint="eastAsia" w:ascii="宋体" w:hAnsi="宋体" w:eastAsia="宋体" w:cs="宋体"/>
                <w:szCs w:val="21"/>
                <w:highlight w:val="none"/>
                <w:lang w:val="en-US" w:eastAsia="zh-CN"/>
              </w:rPr>
              <w:t>13、</w:t>
            </w:r>
            <w:r>
              <w:rPr>
                <w:rFonts w:hint="default" w:ascii="宋体" w:hAnsi="宋体" w:eastAsia="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应当</w:t>
            </w:r>
            <w:r>
              <w:rPr>
                <w:rFonts w:hint="default" w:ascii="宋体" w:hAnsi="宋体" w:eastAsia="宋体" w:cs="宋体"/>
                <w:color w:val="auto"/>
                <w:sz w:val="21"/>
                <w:szCs w:val="21"/>
                <w:highlight w:val="none"/>
                <w:lang w:val="en-US" w:eastAsia="zh-CN"/>
              </w:rPr>
              <w:t>协助片区内开设的怡家</w:t>
            </w:r>
            <w:r>
              <w:rPr>
                <w:rFonts w:hint="eastAsia" w:ascii="宋体" w:hAnsi="宋体" w:cs="宋体"/>
                <w:color w:val="auto"/>
                <w:sz w:val="21"/>
                <w:szCs w:val="21"/>
                <w:highlight w:val="none"/>
                <w:lang w:val="en-US" w:eastAsia="zh-CN"/>
              </w:rPr>
              <w:t>社区</w:t>
            </w:r>
            <w:r>
              <w:rPr>
                <w:rFonts w:hint="default" w:ascii="宋体" w:hAnsi="宋体" w:eastAsia="宋体" w:cs="宋体"/>
                <w:color w:val="auto"/>
                <w:sz w:val="21"/>
                <w:szCs w:val="21"/>
                <w:highlight w:val="none"/>
                <w:lang w:val="en-US" w:eastAsia="zh-CN"/>
              </w:rPr>
              <w:t>食堂</w:t>
            </w:r>
            <w:r>
              <w:rPr>
                <w:rFonts w:hint="eastAsia" w:ascii="宋体" w:hAnsi="宋体" w:cs="宋体"/>
                <w:color w:val="auto"/>
                <w:sz w:val="21"/>
                <w:szCs w:val="21"/>
                <w:highlight w:val="none"/>
                <w:lang w:val="en-US" w:eastAsia="zh-CN"/>
              </w:rPr>
              <w:t>和村社老年食堂（含助餐点）开展</w:t>
            </w:r>
            <w:r>
              <w:rPr>
                <w:rFonts w:hint="default" w:ascii="宋体" w:hAnsi="宋体" w:eastAsia="宋体" w:cs="宋体"/>
                <w:color w:val="auto"/>
                <w:sz w:val="21"/>
                <w:szCs w:val="21"/>
                <w:highlight w:val="none"/>
                <w:lang w:val="en-US" w:eastAsia="zh-CN"/>
              </w:rPr>
              <w:t>助</w:t>
            </w:r>
            <w:r>
              <w:rPr>
                <w:rFonts w:hint="eastAsia" w:ascii="宋体" w:hAnsi="宋体" w:cs="宋体"/>
                <w:color w:val="auto"/>
                <w:sz w:val="21"/>
                <w:szCs w:val="21"/>
                <w:highlight w:val="none"/>
                <w:lang w:val="en-US" w:eastAsia="zh-CN"/>
              </w:rPr>
              <w:t>配</w:t>
            </w:r>
            <w:r>
              <w:rPr>
                <w:rFonts w:hint="default" w:ascii="宋体" w:hAnsi="宋体" w:eastAsia="宋体" w:cs="宋体"/>
                <w:color w:val="auto"/>
                <w:sz w:val="21"/>
                <w:szCs w:val="21"/>
                <w:highlight w:val="none"/>
                <w:lang w:val="en-US" w:eastAsia="zh-CN"/>
              </w:rPr>
              <w:t>餐</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老年食堂或是老年助餐点</w:t>
            </w:r>
            <w:r>
              <w:rPr>
                <w:rFonts w:hint="eastAsia" w:ascii="宋体" w:hAnsi="宋体" w:cs="宋体"/>
                <w:color w:val="auto"/>
                <w:sz w:val="21"/>
                <w:szCs w:val="21"/>
                <w:highlight w:val="none"/>
                <w:lang w:val="en-US" w:eastAsia="zh-CN"/>
              </w:rPr>
              <w:t>需</w:t>
            </w:r>
            <w:r>
              <w:rPr>
                <w:rFonts w:hint="eastAsia" w:ascii="宋体" w:hAnsi="宋体" w:eastAsia="宋体" w:cs="宋体"/>
                <w:color w:val="auto"/>
                <w:sz w:val="21"/>
                <w:szCs w:val="21"/>
                <w:highlight w:val="none"/>
              </w:rPr>
              <w:t>符合市场监管部门建设要求，并通过部门联合验收确认，助餐点位需通过</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rPr>
              <w:t>和民政部门验收确认。每个点位助配餐服务不少于300天，每</w:t>
            </w:r>
            <w:r>
              <w:rPr>
                <w:rFonts w:hint="eastAsia" w:ascii="宋体" w:hAnsi="宋体" w:cs="宋体"/>
                <w:color w:val="auto"/>
                <w:sz w:val="21"/>
                <w:szCs w:val="21"/>
                <w:highlight w:val="none"/>
                <w:lang w:val="en-US" w:eastAsia="zh-CN"/>
              </w:rPr>
              <w:t>个</w:t>
            </w:r>
            <w:r>
              <w:rPr>
                <w:rFonts w:hint="eastAsia" w:ascii="宋体" w:hAnsi="宋体" w:eastAsia="宋体" w:cs="宋体"/>
                <w:color w:val="auto"/>
                <w:sz w:val="21"/>
                <w:szCs w:val="21"/>
                <w:highlight w:val="none"/>
              </w:rPr>
              <w:t>点位助餐服务不少于</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人</w:t>
            </w:r>
            <w:r>
              <w:rPr>
                <w:rFonts w:hint="eastAsia" w:ascii="宋体" w:hAnsi="宋体" w:eastAsia="宋体" w:cs="宋体"/>
                <w:color w:val="auto"/>
                <w:sz w:val="21"/>
                <w:szCs w:val="21"/>
                <w:highlight w:val="none"/>
                <w:lang w:val="en-US" w:eastAsia="zh-CN"/>
              </w:rPr>
              <w:t>次</w:t>
            </w:r>
            <w:r>
              <w:rPr>
                <w:rFonts w:hint="eastAsia" w:ascii="宋体" w:hAnsi="宋体" w:eastAsia="宋体" w:cs="宋体"/>
                <w:color w:val="auto"/>
                <w:sz w:val="21"/>
                <w:szCs w:val="21"/>
                <w:highlight w:val="none"/>
              </w:rPr>
              <w:t>／天（配送费由</w:t>
            </w:r>
            <w:r>
              <w:rPr>
                <w:rFonts w:hint="eastAsia" w:ascii="宋体" w:hAnsi="宋体" w:eastAsia="宋体" w:cs="宋体"/>
                <w:color w:val="auto"/>
                <w:sz w:val="21"/>
                <w:szCs w:val="21"/>
                <w:highlight w:val="none"/>
                <w:lang w:val="en-US" w:eastAsia="zh-CN"/>
              </w:rPr>
              <w:t>成交供应商</w:t>
            </w:r>
            <w:r>
              <w:rPr>
                <w:rFonts w:hint="eastAsia" w:ascii="宋体" w:hAnsi="宋体" w:eastAsia="宋体" w:cs="宋体"/>
                <w:color w:val="auto"/>
                <w:sz w:val="21"/>
                <w:szCs w:val="21"/>
                <w:highlight w:val="none"/>
              </w:rPr>
              <w:t>负责）。</w:t>
            </w:r>
          </w:p>
          <w:p w14:paraId="3A4A4833">
            <w:pPr>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w:t>
            </w:r>
            <w:r>
              <w:rPr>
                <w:rFonts w:hint="default"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按照消防要求，</w:t>
            </w:r>
            <w:r>
              <w:rPr>
                <w:rFonts w:hint="eastAsia" w:ascii="宋体" w:hAnsi="宋体" w:eastAsia="宋体" w:cs="宋体"/>
                <w:color w:val="auto"/>
                <w:sz w:val="21"/>
                <w:szCs w:val="21"/>
                <w:highlight w:val="none"/>
                <w:lang w:val="en-US" w:eastAsia="zh-CN"/>
              </w:rPr>
              <w:t>为各点位配齐灭火器等消防器材，并定期检查，</w:t>
            </w:r>
            <w:r>
              <w:rPr>
                <w:rFonts w:hint="eastAsia" w:ascii="宋体" w:hAnsi="宋体" w:eastAsia="宋体" w:cs="宋体"/>
                <w:color w:val="auto"/>
                <w:sz w:val="21"/>
                <w:szCs w:val="21"/>
                <w:highlight w:val="none"/>
              </w:rPr>
              <w:t>每半年应至少开展1次消防或突发事件应急预案演练。</w:t>
            </w:r>
          </w:p>
          <w:p w14:paraId="39822B87">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rPr>
              <w:t>、</w:t>
            </w:r>
            <w:r>
              <w:rPr>
                <w:rFonts w:hint="eastAsia" w:ascii="宋体" w:hAnsi="宋体" w:eastAsia="宋体" w:cs="宋体"/>
                <w:color w:val="auto"/>
                <w:sz w:val="21"/>
                <w:szCs w:val="21"/>
                <w:highlight w:val="none"/>
              </w:rPr>
              <w:t>每季度以书面形式向</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汇报项目工作进度情况。</w:t>
            </w:r>
          </w:p>
          <w:p w14:paraId="467B6BD8">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default" w:ascii="宋体" w:hAnsi="宋体" w:eastAsia="宋体" w:cs="宋体"/>
                <w:color w:val="auto"/>
                <w:sz w:val="21"/>
                <w:szCs w:val="21"/>
                <w:highlight w:val="none"/>
              </w:rPr>
              <w:t>、</w:t>
            </w:r>
            <w:r>
              <w:rPr>
                <w:rFonts w:hint="eastAsia" w:ascii="宋体" w:hAnsi="宋体" w:eastAsia="宋体" w:cs="宋体"/>
                <w:kern w:val="0"/>
                <w:sz w:val="21"/>
                <w:szCs w:val="21"/>
                <w:highlight w:val="none"/>
                <w:lang w:val="en-US" w:eastAsia="zh-CN" w:bidi="ar"/>
              </w:rPr>
              <w:t>活动（讲座）开展前须进行必要宣传，如悬挂横幅、粘贴海报等宣传方式，横幅或海报内容须符合活动（讲座）主题并事先同</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确认。</w:t>
            </w:r>
          </w:p>
          <w:p w14:paraId="475BBD12">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r>
              <w:rPr>
                <w:rFonts w:hint="default" w:ascii="宋体" w:hAnsi="宋体" w:eastAsia="宋体" w:cs="宋体"/>
                <w:color w:val="auto"/>
                <w:sz w:val="21"/>
                <w:szCs w:val="21"/>
                <w:highlight w:val="none"/>
              </w:rPr>
              <w:t>、</w:t>
            </w:r>
            <w:r>
              <w:rPr>
                <w:rFonts w:hint="eastAsia" w:ascii="宋体" w:hAnsi="宋体" w:eastAsia="宋体" w:cs="宋体"/>
                <w:kern w:val="0"/>
                <w:sz w:val="21"/>
                <w:szCs w:val="21"/>
                <w:highlight w:val="none"/>
                <w:lang w:val="en-US" w:eastAsia="zh-CN" w:bidi="ar"/>
              </w:rPr>
              <w:t>上传活动（讲座）的签到册、活动照片（须带有起止时间及地点的水印）。</w:t>
            </w:r>
          </w:p>
        </w:tc>
      </w:tr>
      <w:tr w14:paraId="1106A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510" w:type="dxa"/>
            <w:noWrap w:val="0"/>
            <w:vAlign w:val="center"/>
          </w:tcPr>
          <w:p w14:paraId="3038B21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开放时间</w:t>
            </w:r>
          </w:p>
        </w:tc>
        <w:tc>
          <w:tcPr>
            <w:tcW w:w="9446" w:type="dxa"/>
            <w:gridSpan w:val="2"/>
            <w:noWrap w:val="0"/>
            <w:vAlign w:val="center"/>
          </w:tcPr>
          <w:p w14:paraId="4904AD47">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 xml:space="preserve">1.项目周期内确保每个照料中心不少于 300 天的常年开放时间，夏令时： 周一至周日，早上 8:00—下午 5:00； </w:t>
            </w:r>
          </w:p>
          <w:p w14:paraId="04D47B36">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 xml:space="preserve">冬令时：周一至周日，早上 8:00—下午 4:30； </w:t>
            </w:r>
          </w:p>
          <w:p w14:paraId="557930D3">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2.如遇法定节假日及特殊情况自行调整。</w:t>
            </w:r>
          </w:p>
        </w:tc>
      </w:tr>
    </w:tbl>
    <w:p w14:paraId="4CE7DE9E">
      <w:pPr>
        <w:keepNext w:val="0"/>
        <w:keepLines w:val="0"/>
        <w:pageBreakBefore w:val="0"/>
        <w:widowControl w:val="0"/>
        <w:kinsoku/>
        <w:wordWrap/>
        <w:overflowPunct/>
        <w:topLinePunct w:val="0"/>
        <w:autoSpaceDE/>
        <w:autoSpaceDN/>
        <w:bidi w:val="0"/>
        <w:adjustRightInd w:val="0"/>
        <w:snapToGrid/>
        <w:spacing w:line="420" w:lineRule="exact"/>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w:t>
      </w:r>
    </w:p>
    <w:p w14:paraId="5A2BE9BE">
      <w:pPr>
        <w:keepNext w:val="0"/>
        <w:keepLines w:val="0"/>
        <w:pageBreakBefore w:val="0"/>
        <w:widowControl w:val="0"/>
        <w:kinsoku/>
        <w:wordWrap/>
        <w:overflowPunct/>
        <w:topLinePunct w:val="0"/>
        <w:autoSpaceDE/>
        <w:autoSpaceDN/>
        <w:bidi w:val="0"/>
        <w:adjustRightInd w:val="0"/>
        <w:snapToGrid/>
        <w:spacing w:line="420" w:lineRule="exact"/>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项目团队</w:t>
      </w:r>
      <w:r>
        <w:rPr>
          <w:rFonts w:hint="eastAsia" w:ascii="宋体" w:hAnsi="宋体" w:eastAsia="宋体" w:cs="宋体"/>
          <w:color w:val="auto"/>
          <w:sz w:val="24"/>
          <w:szCs w:val="24"/>
          <w:highlight w:val="none"/>
          <w:lang w:val="en-US" w:eastAsia="zh-CN"/>
        </w:rPr>
        <w:t>需配备 1 名项目负责人，负责统筹安排服务（照料）中心运营管理工作</w:t>
      </w:r>
      <w:r>
        <w:rPr>
          <w:rFonts w:hint="eastAsia" w:ascii="宋体" w:hAnsi="宋体" w:eastAsia="宋体" w:cs="宋体"/>
          <w:color w:val="auto"/>
          <w:sz w:val="24"/>
          <w:szCs w:val="24"/>
          <w:highlight w:val="none"/>
          <w:lang w:eastAsia="zh-CN"/>
        </w:rPr>
        <w:t>；</w:t>
      </w:r>
      <w:r>
        <w:rPr>
          <w:rFonts w:hint="eastAsia" w:ascii="宋体" w:hAnsi="宋体" w:eastAsia="宋体" w:cs="宋体"/>
          <w:sz w:val="24"/>
          <w:highlight w:val="none"/>
          <w:lang w:val="en-US" w:eastAsia="zh-CN"/>
        </w:rPr>
        <w:t>至少配</w:t>
      </w:r>
      <w:r>
        <w:rPr>
          <w:rFonts w:hint="eastAsia" w:ascii="宋体" w:hAnsi="宋体" w:cs="宋体"/>
          <w:sz w:val="24"/>
          <w:highlight w:val="none"/>
          <w:lang w:val="en-US" w:eastAsia="zh-CN"/>
        </w:rPr>
        <w:t>备专职</w:t>
      </w:r>
      <w:r>
        <w:rPr>
          <w:rFonts w:hint="eastAsia" w:ascii="宋体" w:hAnsi="宋体" w:cs="宋体"/>
          <w:sz w:val="24"/>
          <w:highlight w:val="none"/>
        </w:rPr>
        <w:t>社会工作师</w:t>
      </w:r>
      <w:r>
        <w:rPr>
          <w:rFonts w:hint="eastAsia" w:ascii="宋体" w:hAnsi="宋体" w:cs="宋体"/>
          <w:sz w:val="24"/>
          <w:highlight w:val="none"/>
          <w:lang w:val="en-US" w:eastAsia="zh-CN"/>
        </w:rPr>
        <w:t>2</w:t>
      </w:r>
      <w:r>
        <w:rPr>
          <w:rFonts w:hint="eastAsia" w:ascii="宋体" w:hAnsi="宋体" w:cs="宋体"/>
          <w:sz w:val="24"/>
          <w:highlight w:val="none"/>
        </w:rPr>
        <w:t>人</w:t>
      </w:r>
      <w:r>
        <w:rPr>
          <w:rFonts w:hint="eastAsia" w:ascii="宋体" w:hAnsi="宋体" w:cs="宋体"/>
          <w:sz w:val="24"/>
          <w:highlight w:val="none"/>
          <w:lang w:eastAsia="zh-CN"/>
        </w:rPr>
        <w:t>（</w:t>
      </w:r>
      <w:r>
        <w:rPr>
          <w:rFonts w:hint="eastAsia" w:ascii="宋体" w:hAnsi="宋体" w:cs="宋体"/>
          <w:sz w:val="24"/>
          <w:highlight w:val="none"/>
          <w:lang w:val="en-US" w:eastAsia="zh-CN"/>
        </w:rPr>
        <w:t>含助理社会工作师</w:t>
      </w:r>
      <w:r>
        <w:rPr>
          <w:rFonts w:hint="eastAsia" w:ascii="宋体" w:hAnsi="宋体" w:cs="宋体"/>
          <w:sz w:val="24"/>
          <w:highlight w:val="none"/>
          <w:lang w:eastAsia="zh-CN"/>
        </w:rPr>
        <w:t>）</w:t>
      </w:r>
      <w:r>
        <w:rPr>
          <w:rFonts w:hint="eastAsia" w:ascii="宋体" w:hAnsi="宋体" w:cs="宋体"/>
          <w:sz w:val="24"/>
          <w:highlight w:val="none"/>
        </w:rPr>
        <w:t>、</w:t>
      </w:r>
      <w:r>
        <w:rPr>
          <w:rFonts w:hint="eastAsia" w:ascii="宋体" w:hAnsi="宋体" w:cs="宋体"/>
          <w:sz w:val="24"/>
          <w:highlight w:val="none"/>
          <w:lang w:val="en-US" w:eastAsia="zh-CN"/>
        </w:rPr>
        <w:t>专（兼）职</w:t>
      </w:r>
      <w:r>
        <w:rPr>
          <w:rFonts w:hint="eastAsia" w:ascii="宋体" w:hAnsi="宋体" w:cs="宋体"/>
          <w:sz w:val="24"/>
          <w:highlight w:val="none"/>
        </w:rPr>
        <w:t>健康管理师</w:t>
      </w:r>
      <w:r>
        <w:rPr>
          <w:rFonts w:hint="eastAsia" w:ascii="宋体" w:hAnsi="宋体" w:cs="宋体"/>
          <w:sz w:val="24"/>
          <w:highlight w:val="none"/>
          <w:lang w:val="en-US" w:eastAsia="zh-CN"/>
        </w:rPr>
        <w:t>1</w:t>
      </w:r>
      <w:r>
        <w:rPr>
          <w:rFonts w:hint="eastAsia" w:ascii="宋体" w:hAnsi="宋体" w:cs="宋体"/>
          <w:sz w:val="24"/>
          <w:highlight w:val="none"/>
        </w:rPr>
        <w:t>人、</w:t>
      </w:r>
      <w:r>
        <w:rPr>
          <w:rFonts w:hint="eastAsia" w:ascii="宋体" w:hAnsi="宋体" w:cs="宋体"/>
          <w:sz w:val="24"/>
          <w:highlight w:val="none"/>
          <w:lang w:val="en-US" w:eastAsia="zh-CN"/>
        </w:rPr>
        <w:t>专（兼）职</w:t>
      </w:r>
      <w:r>
        <w:rPr>
          <w:rFonts w:hint="eastAsia" w:ascii="宋体" w:hAnsi="宋体" w:cs="宋体"/>
          <w:sz w:val="24"/>
          <w:highlight w:val="none"/>
        </w:rPr>
        <w:t>心理咨询师</w:t>
      </w:r>
      <w:r>
        <w:rPr>
          <w:rFonts w:hint="eastAsia" w:ascii="宋体" w:hAnsi="宋体" w:cs="宋体"/>
          <w:sz w:val="24"/>
          <w:highlight w:val="none"/>
          <w:lang w:val="en-US" w:eastAsia="zh-CN"/>
        </w:rPr>
        <w:t>1</w:t>
      </w:r>
      <w:r>
        <w:rPr>
          <w:rFonts w:hint="eastAsia" w:ascii="宋体" w:hAnsi="宋体" w:cs="宋体"/>
          <w:sz w:val="24"/>
          <w:highlight w:val="none"/>
        </w:rPr>
        <w:t>人、</w:t>
      </w:r>
      <w:r>
        <w:rPr>
          <w:rFonts w:hint="eastAsia" w:ascii="宋体" w:hAnsi="宋体" w:cs="宋体"/>
          <w:sz w:val="24"/>
          <w:highlight w:val="none"/>
          <w:lang w:val="en-US" w:eastAsia="zh-CN"/>
        </w:rPr>
        <w:t>专（兼）职营养配餐员1</w:t>
      </w:r>
      <w:r>
        <w:rPr>
          <w:rFonts w:hint="eastAsia" w:ascii="宋体" w:hAnsi="宋体" w:cs="宋体"/>
          <w:sz w:val="24"/>
          <w:highlight w:val="none"/>
        </w:rPr>
        <w:t>人、</w:t>
      </w:r>
      <w:r>
        <w:rPr>
          <w:rFonts w:hint="eastAsia" w:ascii="宋体" w:hAnsi="宋体" w:cs="宋体"/>
          <w:sz w:val="24"/>
          <w:highlight w:val="none"/>
          <w:lang w:val="en-US" w:eastAsia="zh-CN"/>
        </w:rPr>
        <w:t>专职</w:t>
      </w:r>
      <w:r>
        <w:rPr>
          <w:rFonts w:hint="eastAsia" w:ascii="宋体" w:hAnsi="宋体" w:cs="宋体"/>
          <w:sz w:val="24"/>
          <w:highlight w:val="none"/>
        </w:rPr>
        <w:t>养老护理员</w:t>
      </w:r>
      <w:r>
        <w:rPr>
          <w:rFonts w:hint="eastAsia" w:ascii="宋体" w:hAnsi="宋体" w:cs="宋体"/>
          <w:sz w:val="24"/>
          <w:highlight w:val="none"/>
          <w:lang w:val="en-US" w:eastAsia="zh-CN"/>
        </w:rPr>
        <w:t>或</w:t>
      </w:r>
      <w:r>
        <w:rPr>
          <w:rFonts w:hint="eastAsia" w:ascii="宋体" w:hAnsi="宋体" w:cs="宋体"/>
          <w:sz w:val="24"/>
          <w:highlight w:val="none"/>
        </w:rPr>
        <w:t>护士</w:t>
      </w:r>
      <w:r>
        <w:rPr>
          <w:rFonts w:hint="eastAsia" w:ascii="宋体" w:hAnsi="宋体" w:cs="宋体"/>
          <w:sz w:val="24"/>
          <w:highlight w:val="none"/>
          <w:lang w:val="en-US" w:eastAsia="zh-CN"/>
        </w:rPr>
        <w:t>3</w:t>
      </w:r>
      <w:r>
        <w:rPr>
          <w:rFonts w:hint="eastAsia" w:ascii="宋体" w:hAnsi="宋体" w:cs="宋体"/>
          <w:sz w:val="24"/>
          <w:highlight w:val="none"/>
        </w:rPr>
        <w:t>名等执证人员（不做重复计算），</w:t>
      </w:r>
      <w:r>
        <w:rPr>
          <w:rFonts w:hint="eastAsia" w:ascii="宋体" w:hAnsi="宋体" w:cs="宋体"/>
          <w:sz w:val="24"/>
          <w:highlight w:val="none"/>
          <w:lang w:val="en-US" w:eastAsia="zh-CN"/>
        </w:rPr>
        <w:t>专（兼）职家政服务员4名，</w:t>
      </w:r>
      <w:r>
        <w:rPr>
          <w:rFonts w:hint="eastAsia" w:ascii="宋体" w:hAnsi="宋体" w:cs="宋体"/>
          <w:sz w:val="24"/>
          <w:highlight w:val="none"/>
        </w:rPr>
        <w:t>若后续政策需要，每个运行团队须签约一家乡镇级</w:t>
      </w:r>
      <w:r>
        <w:rPr>
          <w:rFonts w:hint="eastAsia" w:ascii="宋体" w:hAnsi="宋体" w:cs="宋体"/>
          <w:sz w:val="24"/>
          <w:highlight w:val="none"/>
          <w:lang w:val="en-US" w:eastAsia="zh-CN"/>
        </w:rPr>
        <w:t>及</w:t>
      </w:r>
      <w:r>
        <w:rPr>
          <w:rFonts w:hint="eastAsia" w:ascii="宋体" w:hAnsi="宋体" w:cs="宋体"/>
          <w:sz w:val="24"/>
          <w:highlight w:val="none"/>
        </w:rPr>
        <w:t>以上卫生院。</w:t>
      </w:r>
    </w:p>
    <w:p w14:paraId="2FB5C5C5">
      <w:pPr>
        <w:keepNext w:val="0"/>
        <w:keepLines w:val="0"/>
        <w:pageBreakBefore w:val="0"/>
        <w:widowControl w:val="0"/>
        <w:kinsoku/>
        <w:wordWrap/>
        <w:overflowPunct/>
        <w:topLinePunct w:val="0"/>
        <w:autoSpaceDE/>
        <w:autoSpaceDN/>
        <w:bidi w:val="0"/>
        <w:adjustRightInd w:val="0"/>
        <w:snapToGrid/>
        <w:spacing w:line="420" w:lineRule="exact"/>
        <w:ind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（2）居家养老服务中心需配备不少于 3 名与服务相适应的工作人员，其中持证护理员不少于 1 名，熟练掌握计算机办公软件，落实服务中心具体的服务功能，不得由其他养老服务中心专职管理人员兼任</w:t>
      </w:r>
      <w:r>
        <w:rPr>
          <w:rFonts w:hint="eastAsia" w:ascii="宋体" w:hAnsi="宋体" w:eastAsia="宋体" w:cs="宋体"/>
          <w:color w:val="auto"/>
          <w:sz w:val="24"/>
          <w:szCs w:val="24"/>
          <w:highlight w:val="none"/>
          <w:lang w:eastAsia="zh-CN"/>
        </w:rPr>
        <w:t>其他有需要的专兼职技术人员。</w:t>
      </w:r>
      <w:r>
        <w:rPr>
          <w:rFonts w:hint="eastAsia" w:ascii="宋体" w:hAnsi="宋体" w:eastAsia="宋体" w:cs="宋体"/>
          <w:color w:val="auto"/>
          <w:sz w:val="24"/>
          <w:szCs w:val="24"/>
          <w:highlight w:val="none"/>
          <w:lang w:val="en-US" w:eastAsia="zh-CN"/>
        </w:rPr>
        <w:t>每个</w:t>
      </w:r>
      <w:r>
        <w:rPr>
          <w:rFonts w:hint="eastAsia" w:ascii="宋体" w:hAnsi="宋体" w:cs="宋体"/>
          <w:color w:val="auto"/>
          <w:sz w:val="24"/>
          <w:szCs w:val="24"/>
          <w:highlight w:val="none"/>
          <w:lang w:val="en-US" w:eastAsia="zh-CN"/>
        </w:rPr>
        <w:t>城乡社区（村）居家养老服务</w:t>
      </w:r>
      <w:r>
        <w:rPr>
          <w:rFonts w:hint="eastAsia" w:ascii="宋体" w:hAnsi="宋体" w:eastAsia="宋体" w:cs="宋体"/>
          <w:color w:val="auto"/>
          <w:sz w:val="24"/>
          <w:szCs w:val="24"/>
          <w:highlight w:val="none"/>
          <w:lang w:val="en-US" w:eastAsia="zh-CN"/>
        </w:rPr>
        <w:t>照料中心</w:t>
      </w:r>
      <w:r>
        <w:rPr>
          <w:rFonts w:hint="eastAsia" w:ascii="宋体" w:hAnsi="宋体" w:eastAsia="宋体" w:cs="宋体"/>
          <w:color w:val="auto"/>
          <w:sz w:val="24"/>
          <w:szCs w:val="24"/>
          <w:highlight w:val="none"/>
          <w:lang w:eastAsia="zh-CN"/>
        </w:rPr>
        <w:t>需配置1名以上兼职助老员。</w:t>
      </w:r>
      <w:r>
        <w:rPr>
          <w:rFonts w:hint="eastAsia" w:ascii="宋体" w:hAnsi="宋体" w:cs="宋体"/>
          <w:color w:val="auto"/>
          <w:sz w:val="24"/>
          <w:highlight w:val="none"/>
        </w:rPr>
        <w:t>每5个照料中心至少配备一名全职管理人员，负责</w:t>
      </w:r>
      <w:r>
        <w:rPr>
          <w:rFonts w:hint="eastAsia" w:ascii="宋体" w:hAnsi="宋体" w:cs="宋体"/>
          <w:color w:val="auto"/>
          <w:sz w:val="24"/>
          <w:highlight w:val="none"/>
          <w:lang w:val="en-US" w:eastAsia="zh-CN"/>
        </w:rPr>
        <w:t>照料中心每周的卫生保洁、</w:t>
      </w:r>
      <w:r>
        <w:rPr>
          <w:rFonts w:hint="eastAsia" w:ascii="宋体" w:hAnsi="宋体" w:cs="宋体"/>
          <w:color w:val="auto"/>
          <w:sz w:val="24"/>
          <w:highlight w:val="none"/>
        </w:rPr>
        <w:t>综合管理和各项服务的落实</w:t>
      </w:r>
      <w:r>
        <w:rPr>
          <w:rFonts w:hint="eastAsia" w:ascii="宋体" w:hAnsi="宋体" w:cs="宋体"/>
          <w:color w:val="auto"/>
          <w:sz w:val="24"/>
          <w:highlight w:val="none"/>
          <w:lang w:eastAsia="zh-CN"/>
        </w:rPr>
        <w:t>。</w:t>
      </w:r>
      <w:r>
        <w:rPr>
          <w:rFonts w:hint="eastAsia" w:ascii="宋体" w:hAnsi="宋体" w:cs="宋体"/>
          <w:sz w:val="24"/>
          <w:highlight w:val="none"/>
        </w:rPr>
        <w:t>居家养老服务</w:t>
      </w:r>
      <w:r>
        <w:rPr>
          <w:rFonts w:hint="eastAsia" w:ascii="宋体" w:hAnsi="宋体" w:cs="宋体"/>
          <w:sz w:val="24"/>
          <w:highlight w:val="none"/>
          <w:lang w:eastAsia="zh-CN"/>
        </w:rPr>
        <w:t>（</w:t>
      </w:r>
      <w:r>
        <w:rPr>
          <w:rFonts w:hint="eastAsia" w:ascii="宋体" w:hAnsi="宋体" w:cs="宋体"/>
          <w:sz w:val="24"/>
          <w:highlight w:val="none"/>
          <w:lang w:val="en-US" w:eastAsia="zh-CN"/>
        </w:rPr>
        <w:t>照料</w:t>
      </w:r>
      <w:r>
        <w:rPr>
          <w:rFonts w:hint="eastAsia" w:ascii="宋体" w:hAnsi="宋体" w:cs="宋体"/>
          <w:sz w:val="24"/>
          <w:highlight w:val="none"/>
          <w:lang w:eastAsia="zh-CN"/>
        </w:rPr>
        <w:t>）</w:t>
      </w:r>
      <w:r>
        <w:rPr>
          <w:rFonts w:hint="eastAsia" w:ascii="宋体" w:hAnsi="宋体" w:cs="宋体"/>
          <w:sz w:val="24"/>
          <w:highlight w:val="none"/>
        </w:rPr>
        <w:t>中心</w:t>
      </w:r>
      <w:bookmarkStart w:id="20" w:name="_GoBack"/>
      <w:bookmarkEnd w:id="20"/>
      <w:r>
        <w:rPr>
          <w:rFonts w:hint="eastAsia" w:ascii="宋体" w:hAnsi="宋体" w:cs="宋体"/>
          <w:sz w:val="24"/>
          <w:highlight w:val="none"/>
        </w:rPr>
        <w:t>管理人员</w:t>
      </w:r>
      <w:r>
        <w:rPr>
          <w:rFonts w:hint="eastAsia" w:ascii="宋体" w:hAnsi="宋体" w:cs="宋体"/>
          <w:sz w:val="24"/>
          <w:highlight w:val="none"/>
          <w:lang w:val="en-US" w:eastAsia="zh-CN"/>
        </w:rPr>
        <w:t>应在入职2年内考取养老护理员证书</w:t>
      </w:r>
      <w:r>
        <w:rPr>
          <w:rFonts w:hint="eastAsia" w:ascii="宋体" w:hAnsi="宋体" w:cs="宋体"/>
          <w:sz w:val="24"/>
          <w:highlight w:val="none"/>
          <w:lang w:eastAsia="zh-CN"/>
        </w:rPr>
        <w:t>。</w:t>
      </w:r>
    </w:p>
    <w:p w14:paraId="081AB03A">
      <w:pPr>
        <w:pStyle w:val="56"/>
        <w:keepNext w:val="0"/>
        <w:keepLines w:val="0"/>
        <w:pageBreakBefore w:val="0"/>
        <w:widowControl/>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若在不定时检查中，被发现团队在岗人数减少一半及以上的，</w:t>
      </w:r>
      <w:r>
        <w:rPr>
          <w:rFonts w:hint="eastAsia" w:ascii="宋体" w:hAnsi="宋体" w:cs="宋体"/>
          <w:highlight w:val="none"/>
          <w:lang w:val="en-US" w:eastAsia="zh-CN"/>
        </w:rPr>
        <w:t>或要求的专（兼）职持证人员未实际在岗或未实际履行相应工作职责的，</w:t>
      </w:r>
      <w:r>
        <w:rPr>
          <w:rFonts w:hint="eastAsia" w:ascii="宋体" w:hAnsi="宋体" w:eastAsia="宋体" w:cs="宋体"/>
          <w:color w:val="auto"/>
          <w:sz w:val="24"/>
          <w:szCs w:val="24"/>
          <w:highlight w:val="none"/>
          <w:lang w:eastAsia="zh-CN"/>
        </w:rPr>
        <w:t>终止合同。</w:t>
      </w:r>
    </w:p>
    <w:p w14:paraId="45C1961C">
      <w:pPr>
        <w:keepNext w:val="0"/>
        <w:keepLines w:val="0"/>
        <w:pageBreakBefore w:val="0"/>
        <w:widowControl w:val="0"/>
        <w:kinsoku/>
        <w:wordWrap/>
        <w:overflowPunct/>
        <w:topLinePunct w:val="0"/>
        <w:autoSpaceDE/>
        <w:autoSpaceDN/>
        <w:bidi w:val="0"/>
        <w:adjustRightInd w:val="0"/>
        <w:snapToGrid/>
        <w:spacing w:line="420" w:lineRule="exact"/>
        <w:ind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服务中心、照料中心运营中，须设置台账，建立基本的档案管理制度，建立老年人健康档案。</w:t>
      </w:r>
    </w:p>
    <w:p w14:paraId="215FB149">
      <w:pPr>
        <w:pStyle w:val="56"/>
        <w:keepNext w:val="0"/>
        <w:keepLines w:val="0"/>
        <w:pageBreakBefore w:val="0"/>
        <w:tabs>
          <w:tab w:val="left" w:pos="7650"/>
        </w:tabs>
        <w:kinsoku/>
        <w:wordWrap/>
        <w:overflowPunct/>
        <w:topLinePunct w:val="0"/>
        <w:bidi w:val="0"/>
        <w:snapToGrid/>
        <w:spacing w:line="420" w:lineRule="exact"/>
        <w:ind w:firstLine="48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在有条件的</w:t>
      </w:r>
      <w:r>
        <w:rPr>
          <w:rFonts w:hint="eastAsia" w:ascii="宋体" w:hAnsi="宋体" w:cs="宋体"/>
          <w:sz w:val="24"/>
          <w:szCs w:val="24"/>
          <w:highlight w:val="none"/>
          <w:lang w:eastAsia="zh-CN"/>
        </w:rPr>
        <w:t>街道级居家养老服务中心</w:t>
      </w:r>
      <w:r>
        <w:rPr>
          <w:rFonts w:hint="eastAsia" w:ascii="宋体" w:hAnsi="宋体" w:cs="宋体"/>
          <w:sz w:val="24"/>
          <w:szCs w:val="24"/>
          <w:highlight w:val="none"/>
          <w:lang w:val="en-US" w:eastAsia="zh-CN"/>
        </w:rPr>
        <w:t>需</w:t>
      </w:r>
      <w:r>
        <w:rPr>
          <w:rFonts w:hint="eastAsia" w:ascii="宋体" w:hAnsi="宋体" w:eastAsia="宋体" w:cs="宋体"/>
          <w:sz w:val="24"/>
          <w:szCs w:val="24"/>
          <w:highlight w:val="none"/>
        </w:rPr>
        <w:t>设立夜托床位，有条件或有需要的照料中心可开设夜托服务。</w:t>
      </w:r>
    </w:p>
    <w:p w14:paraId="6E2A42D3">
      <w:pPr>
        <w:pStyle w:val="56"/>
        <w:keepNext w:val="0"/>
        <w:keepLines w:val="0"/>
        <w:pageBreakBefore w:val="0"/>
        <w:tabs>
          <w:tab w:val="left" w:pos="7650"/>
        </w:tabs>
        <w:kinsoku/>
        <w:wordWrap/>
        <w:overflowPunct/>
        <w:topLinePunct w:val="0"/>
        <w:bidi w:val="0"/>
        <w:snapToGrid/>
        <w:spacing w:line="420" w:lineRule="exact"/>
        <w:ind w:firstLine="482"/>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r>
        <w:rPr>
          <w:rFonts w:hint="eastAsia" w:ascii="宋体" w:hAnsi="宋体" w:eastAsia="宋体" w:cs="宋体"/>
          <w:b w:val="0"/>
          <w:bCs w:val="0"/>
          <w:color w:val="000000"/>
          <w:sz w:val="24"/>
          <w:szCs w:val="24"/>
          <w:highlight w:val="none"/>
          <w:lang w:eastAsia="zh-CN"/>
        </w:rPr>
        <w:t>成交供应商</w:t>
      </w:r>
      <w:r>
        <w:rPr>
          <w:rFonts w:hint="eastAsia" w:ascii="宋体" w:hAnsi="宋体" w:eastAsia="宋体" w:cs="宋体"/>
          <w:sz w:val="24"/>
          <w:szCs w:val="24"/>
          <w:highlight w:val="none"/>
        </w:rPr>
        <w:t>须在每月25日前，向采购方上报一次工作情况及下月工作计划</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如计划有变更，需提前上报采购方</w:t>
      </w:r>
      <w:r>
        <w:rPr>
          <w:rFonts w:hint="eastAsia" w:ascii="宋体" w:hAnsi="宋体" w:eastAsia="宋体" w:cs="宋体"/>
          <w:sz w:val="24"/>
          <w:szCs w:val="24"/>
          <w:highlight w:val="none"/>
        </w:rPr>
        <w:t>。</w:t>
      </w:r>
    </w:p>
    <w:p w14:paraId="303B2061">
      <w:pPr>
        <w:keepNext w:val="0"/>
        <w:keepLines w:val="0"/>
        <w:pageBreakBefore w:val="0"/>
        <w:widowControl w:val="0"/>
        <w:kinsoku/>
        <w:wordWrap/>
        <w:overflowPunct/>
        <w:topLinePunct w:val="0"/>
        <w:autoSpaceDE/>
        <w:autoSpaceDN/>
        <w:bidi w:val="0"/>
        <w:snapToGrid/>
        <w:spacing w:line="420" w:lineRule="exact"/>
        <w:ind w:leftChars="0" w:firstLine="482"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lang w:val="en-US" w:eastAsia="zh-CN"/>
        </w:rPr>
        <w:t>、其他需求</w:t>
      </w:r>
    </w:p>
    <w:p w14:paraId="736C7442">
      <w:pPr>
        <w:keepNext w:val="0"/>
        <w:keepLines w:val="0"/>
        <w:pageBreakBefore w:val="0"/>
        <w:shd w:val="clear" w:color="auto" w:fill="auto"/>
        <w:kinsoku/>
        <w:wordWrap/>
        <w:overflowPunct/>
        <w:topLinePunct w:val="0"/>
        <w:bidi w:val="0"/>
        <w:snapToGrid/>
        <w:spacing w:line="420" w:lineRule="exact"/>
        <w:ind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（1）</w:t>
      </w:r>
      <w:r>
        <w:rPr>
          <w:rFonts w:hint="eastAsia" w:ascii="宋体" w:hAnsi="宋体" w:eastAsia="宋体" w:cs="宋体"/>
          <w:kern w:val="0"/>
          <w:sz w:val="24"/>
          <w:szCs w:val="24"/>
          <w:highlight w:val="none"/>
          <w:lang w:val="en-US" w:eastAsia="zh-CN" w:bidi="ar-SA"/>
        </w:rPr>
        <w:t>成交</w:t>
      </w:r>
      <w:r>
        <w:rPr>
          <w:rFonts w:hint="eastAsia" w:ascii="宋体" w:hAnsi="宋体" w:cs="宋体"/>
          <w:b w:val="0"/>
          <w:bCs w:val="0"/>
          <w:color w:val="000000"/>
          <w:sz w:val="24"/>
          <w:szCs w:val="24"/>
          <w:highlight w:val="none"/>
          <w:lang w:val="en-US" w:eastAsia="zh-CN"/>
        </w:rPr>
        <w:t>供应商</w:t>
      </w:r>
      <w:r>
        <w:rPr>
          <w:rFonts w:hint="eastAsia" w:ascii="宋体" w:hAnsi="宋体" w:eastAsia="宋体" w:cs="宋体"/>
          <w:b w:val="0"/>
          <w:bCs w:val="0"/>
          <w:color w:val="000000"/>
          <w:sz w:val="24"/>
          <w:szCs w:val="24"/>
          <w:highlight w:val="none"/>
          <w:lang w:val="en-US" w:eastAsia="zh-CN"/>
        </w:rPr>
        <w:t>提供的服务完成率要达到100％；</w:t>
      </w:r>
    </w:p>
    <w:p w14:paraId="17D297FD">
      <w:pPr>
        <w:keepNext w:val="0"/>
        <w:keepLines w:val="0"/>
        <w:pageBreakBefore w:val="0"/>
        <w:shd w:val="clear" w:color="auto" w:fill="auto"/>
        <w:kinsoku/>
        <w:wordWrap/>
        <w:overflowPunct/>
        <w:topLinePunct w:val="0"/>
        <w:bidi w:val="0"/>
        <w:snapToGrid/>
        <w:spacing w:line="420" w:lineRule="exact"/>
        <w:ind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w:t>
      </w:r>
      <w:r>
        <w:rPr>
          <w:rFonts w:hint="eastAsia" w:ascii="宋体" w:hAnsi="宋体" w:cs="宋体"/>
          <w:b w:val="0"/>
          <w:bCs w:val="0"/>
          <w:color w:val="000000"/>
          <w:sz w:val="24"/>
          <w:szCs w:val="24"/>
          <w:highlight w:val="none"/>
          <w:lang w:val="en-US" w:eastAsia="zh-CN"/>
        </w:rPr>
        <w:t>2）</w:t>
      </w:r>
      <w:r>
        <w:rPr>
          <w:rFonts w:hint="eastAsia" w:ascii="宋体" w:hAnsi="宋体" w:eastAsia="宋体" w:cs="宋体"/>
          <w:kern w:val="0"/>
          <w:sz w:val="24"/>
          <w:szCs w:val="24"/>
          <w:highlight w:val="none"/>
          <w:lang w:val="en-US" w:eastAsia="zh-CN" w:bidi="ar-SA"/>
        </w:rPr>
        <w:t>成交</w:t>
      </w:r>
      <w:r>
        <w:rPr>
          <w:rFonts w:hint="eastAsia" w:ascii="宋体" w:hAnsi="宋体" w:cs="宋体"/>
          <w:b w:val="0"/>
          <w:bCs w:val="0"/>
          <w:color w:val="000000"/>
          <w:sz w:val="24"/>
          <w:szCs w:val="24"/>
          <w:highlight w:val="none"/>
          <w:lang w:val="en-US" w:eastAsia="zh-CN"/>
        </w:rPr>
        <w:t>供应商</w:t>
      </w:r>
      <w:r>
        <w:rPr>
          <w:rFonts w:hint="eastAsia" w:ascii="宋体" w:hAnsi="宋体" w:eastAsia="宋体" w:cs="宋体"/>
          <w:b w:val="0"/>
          <w:bCs w:val="0"/>
          <w:color w:val="000000"/>
          <w:sz w:val="24"/>
          <w:szCs w:val="24"/>
          <w:highlight w:val="none"/>
          <w:lang w:val="en-US" w:eastAsia="zh-CN"/>
        </w:rPr>
        <w:t>提供服务时，应同时详细记载</w:t>
      </w:r>
      <w:r>
        <w:rPr>
          <w:rFonts w:hint="eastAsia" w:ascii="宋体" w:hAnsi="宋体" w:cs="宋体"/>
          <w:b w:val="0"/>
          <w:bCs w:val="0"/>
          <w:color w:val="000000"/>
          <w:sz w:val="24"/>
          <w:szCs w:val="24"/>
          <w:highlight w:val="none"/>
          <w:lang w:val="en-US" w:eastAsia="zh-CN"/>
        </w:rPr>
        <w:t>服务（</w:t>
      </w:r>
      <w:r>
        <w:rPr>
          <w:rFonts w:hint="eastAsia" w:ascii="宋体" w:hAnsi="宋体" w:eastAsia="宋体" w:cs="宋体"/>
          <w:b w:val="0"/>
          <w:bCs w:val="0"/>
          <w:color w:val="000000"/>
          <w:sz w:val="24"/>
          <w:szCs w:val="24"/>
          <w:highlight w:val="none"/>
          <w:lang w:val="en-US" w:eastAsia="zh-CN"/>
        </w:rPr>
        <w:t>照料</w:t>
      </w:r>
      <w:r>
        <w:rPr>
          <w:rFonts w:hint="eastAsia" w:ascii="宋体" w:hAnsi="宋体" w:cs="宋体"/>
          <w:b w:val="0"/>
          <w:bCs w:val="0"/>
          <w:color w:val="000000"/>
          <w:sz w:val="24"/>
          <w:szCs w:val="24"/>
          <w:highlight w:val="none"/>
          <w:lang w:val="en-US" w:eastAsia="zh-CN"/>
        </w:rPr>
        <w:t>）</w:t>
      </w:r>
      <w:r>
        <w:rPr>
          <w:rFonts w:hint="eastAsia" w:ascii="宋体" w:hAnsi="宋体" w:eastAsia="宋体" w:cs="宋体"/>
          <w:b w:val="0"/>
          <w:bCs w:val="0"/>
          <w:color w:val="000000"/>
          <w:sz w:val="24"/>
          <w:szCs w:val="24"/>
          <w:highlight w:val="none"/>
          <w:lang w:val="en-US" w:eastAsia="zh-CN"/>
        </w:rPr>
        <w:t>中心名称、服务对象、服务内容、服务时间、服务人员等信息，服务结束后需由服务对象签字确认并由相应工作人员签字确认；</w:t>
      </w:r>
    </w:p>
    <w:p w14:paraId="0FF85F61">
      <w:pPr>
        <w:keepNext w:val="0"/>
        <w:keepLines w:val="0"/>
        <w:pageBreakBefore w:val="0"/>
        <w:shd w:val="clear" w:color="auto" w:fill="auto"/>
        <w:kinsoku/>
        <w:wordWrap/>
        <w:overflowPunct/>
        <w:topLinePunct w:val="0"/>
        <w:bidi w:val="0"/>
        <w:snapToGrid/>
        <w:spacing w:line="420" w:lineRule="exact"/>
        <w:ind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w:t>
      </w:r>
      <w:r>
        <w:rPr>
          <w:rFonts w:hint="eastAsia" w:ascii="宋体" w:hAnsi="宋体" w:cs="宋体"/>
          <w:b w:val="0"/>
          <w:bCs w:val="0"/>
          <w:color w:val="000000"/>
          <w:sz w:val="24"/>
          <w:szCs w:val="24"/>
          <w:highlight w:val="none"/>
          <w:lang w:val="en-US" w:eastAsia="zh-CN"/>
        </w:rPr>
        <w:t>3</w:t>
      </w:r>
      <w:r>
        <w:rPr>
          <w:rFonts w:hint="eastAsia" w:ascii="宋体" w:hAnsi="宋体" w:eastAsia="宋体" w:cs="宋体"/>
          <w:b w:val="0"/>
          <w:bCs w:val="0"/>
          <w:color w:val="000000"/>
          <w:sz w:val="24"/>
          <w:szCs w:val="24"/>
          <w:highlight w:val="none"/>
          <w:lang w:val="en-US" w:eastAsia="zh-CN"/>
        </w:rPr>
        <w:t>）</w:t>
      </w:r>
      <w:r>
        <w:rPr>
          <w:rFonts w:hint="eastAsia" w:ascii="宋体" w:hAnsi="宋体" w:eastAsia="宋体" w:cs="宋体"/>
          <w:kern w:val="0"/>
          <w:sz w:val="24"/>
          <w:szCs w:val="24"/>
          <w:highlight w:val="none"/>
          <w:lang w:val="en-US" w:eastAsia="zh-CN" w:bidi="ar-SA"/>
        </w:rPr>
        <w:t>成交</w:t>
      </w:r>
      <w:r>
        <w:rPr>
          <w:rFonts w:hint="eastAsia" w:ascii="宋体" w:hAnsi="宋体" w:cs="宋体"/>
          <w:b w:val="0"/>
          <w:bCs w:val="0"/>
          <w:color w:val="000000"/>
          <w:sz w:val="24"/>
          <w:szCs w:val="24"/>
          <w:highlight w:val="none"/>
          <w:lang w:val="en-US" w:eastAsia="zh-CN"/>
        </w:rPr>
        <w:t>供应商需</w:t>
      </w:r>
      <w:r>
        <w:rPr>
          <w:rFonts w:hint="eastAsia" w:ascii="宋体" w:hAnsi="宋体" w:eastAsia="宋体" w:cs="宋体"/>
          <w:b w:val="0"/>
          <w:bCs w:val="0"/>
          <w:color w:val="000000"/>
          <w:sz w:val="24"/>
          <w:szCs w:val="24"/>
          <w:highlight w:val="none"/>
          <w:lang w:val="en-US" w:eastAsia="zh-CN"/>
        </w:rPr>
        <w:t>根据服务信息建立完善的服务档案；</w:t>
      </w:r>
    </w:p>
    <w:p w14:paraId="61721F62">
      <w:pPr>
        <w:keepNext w:val="0"/>
        <w:keepLines w:val="0"/>
        <w:pageBreakBefore w:val="0"/>
        <w:shd w:val="clear" w:color="auto" w:fill="auto"/>
        <w:kinsoku/>
        <w:wordWrap/>
        <w:overflowPunct/>
        <w:topLinePunct w:val="0"/>
        <w:bidi w:val="0"/>
        <w:snapToGrid/>
        <w:spacing w:line="420" w:lineRule="exact"/>
        <w:ind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w:t>
      </w:r>
      <w:r>
        <w:rPr>
          <w:rFonts w:hint="eastAsia" w:ascii="宋体" w:hAnsi="宋体" w:cs="宋体"/>
          <w:b w:val="0"/>
          <w:bCs w:val="0"/>
          <w:color w:val="000000"/>
          <w:sz w:val="24"/>
          <w:szCs w:val="24"/>
          <w:highlight w:val="none"/>
          <w:lang w:val="en-US" w:eastAsia="zh-CN"/>
        </w:rPr>
        <w:t>4</w:t>
      </w:r>
      <w:r>
        <w:rPr>
          <w:rFonts w:hint="eastAsia" w:ascii="宋体" w:hAnsi="宋体" w:eastAsia="宋体" w:cs="宋体"/>
          <w:b w:val="0"/>
          <w:bCs w:val="0"/>
          <w:color w:val="000000"/>
          <w:sz w:val="24"/>
          <w:szCs w:val="24"/>
          <w:highlight w:val="none"/>
          <w:lang w:val="en-US" w:eastAsia="zh-CN"/>
        </w:rPr>
        <w:t>）</w:t>
      </w:r>
      <w:r>
        <w:rPr>
          <w:rFonts w:hint="eastAsia" w:ascii="宋体" w:hAnsi="宋体" w:eastAsia="宋体" w:cs="宋体"/>
          <w:kern w:val="0"/>
          <w:sz w:val="24"/>
          <w:szCs w:val="24"/>
          <w:highlight w:val="none"/>
          <w:lang w:val="en-US" w:eastAsia="zh-CN" w:bidi="ar-SA"/>
        </w:rPr>
        <w:t>成交</w:t>
      </w:r>
      <w:r>
        <w:rPr>
          <w:rFonts w:hint="eastAsia" w:ascii="宋体" w:hAnsi="宋体" w:cs="宋体"/>
          <w:b w:val="0"/>
          <w:bCs w:val="0"/>
          <w:color w:val="000000"/>
          <w:sz w:val="24"/>
          <w:szCs w:val="24"/>
          <w:highlight w:val="none"/>
          <w:lang w:val="en-US" w:eastAsia="zh-CN"/>
        </w:rPr>
        <w:t>供应商</w:t>
      </w:r>
      <w:r>
        <w:rPr>
          <w:rFonts w:hint="eastAsia" w:ascii="宋体" w:hAnsi="宋体" w:eastAsia="宋体" w:cs="宋体"/>
          <w:b w:val="0"/>
          <w:bCs w:val="0"/>
          <w:color w:val="000000"/>
          <w:sz w:val="24"/>
          <w:szCs w:val="24"/>
          <w:highlight w:val="none"/>
          <w:lang w:val="en-US" w:eastAsia="zh-CN"/>
        </w:rPr>
        <w:t>如涉及服务造假，或被老人、家属、村社</w:t>
      </w:r>
      <w:r>
        <w:rPr>
          <w:rFonts w:hint="eastAsia" w:ascii="宋体" w:hAnsi="宋体" w:cs="宋体"/>
          <w:b w:val="0"/>
          <w:bCs w:val="0"/>
          <w:color w:val="000000"/>
          <w:sz w:val="24"/>
          <w:szCs w:val="24"/>
          <w:highlight w:val="none"/>
          <w:lang w:val="en-US" w:eastAsia="zh-CN"/>
        </w:rPr>
        <w:t>等</w:t>
      </w:r>
      <w:r>
        <w:rPr>
          <w:rFonts w:hint="eastAsia" w:ascii="宋体" w:hAnsi="宋体" w:eastAsia="宋体" w:cs="宋体"/>
          <w:b w:val="0"/>
          <w:bCs w:val="0"/>
          <w:color w:val="000000"/>
          <w:sz w:val="24"/>
          <w:szCs w:val="24"/>
          <w:highlight w:val="none"/>
          <w:lang w:val="en-US" w:eastAsia="zh-CN"/>
        </w:rPr>
        <w:t>投诉，经核实，每起扣500元。</w:t>
      </w:r>
    </w:p>
    <w:p w14:paraId="22B66B42">
      <w:pPr>
        <w:keepNext w:val="0"/>
        <w:keepLines w:val="0"/>
        <w:pageBreakBefore w:val="0"/>
        <w:shd w:val="clear" w:color="auto" w:fill="auto"/>
        <w:kinsoku/>
        <w:wordWrap/>
        <w:overflowPunct/>
        <w:topLinePunct w:val="0"/>
        <w:bidi w:val="0"/>
        <w:snapToGrid/>
        <w:spacing w:line="420" w:lineRule="exact"/>
        <w:ind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w:t>
      </w:r>
      <w:r>
        <w:rPr>
          <w:rFonts w:hint="eastAsia" w:ascii="宋体" w:hAnsi="宋体" w:cs="宋体"/>
          <w:b w:val="0"/>
          <w:bCs w:val="0"/>
          <w:color w:val="000000"/>
          <w:sz w:val="24"/>
          <w:szCs w:val="24"/>
          <w:highlight w:val="none"/>
          <w:lang w:val="en-US" w:eastAsia="zh-CN"/>
        </w:rPr>
        <w:t>5</w:t>
      </w:r>
      <w:r>
        <w:rPr>
          <w:rFonts w:hint="eastAsia" w:ascii="宋体" w:hAnsi="宋体" w:eastAsia="宋体" w:cs="宋体"/>
          <w:b w:val="0"/>
          <w:bCs w:val="0"/>
          <w:color w:val="000000"/>
          <w:sz w:val="24"/>
          <w:szCs w:val="24"/>
          <w:highlight w:val="none"/>
          <w:lang w:val="en-US" w:eastAsia="zh-CN"/>
        </w:rPr>
        <w:t>）</w:t>
      </w:r>
      <w:r>
        <w:rPr>
          <w:rFonts w:hint="eastAsia" w:ascii="宋体" w:hAnsi="宋体" w:eastAsia="宋体" w:cs="宋体"/>
          <w:kern w:val="0"/>
          <w:sz w:val="24"/>
          <w:szCs w:val="24"/>
          <w:highlight w:val="none"/>
          <w:lang w:val="en-US" w:eastAsia="zh-CN" w:bidi="ar-SA"/>
        </w:rPr>
        <w:t>成交</w:t>
      </w:r>
      <w:r>
        <w:rPr>
          <w:rFonts w:hint="eastAsia" w:ascii="宋体" w:hAnsi="宋体" w:cs="宋体"/>
          <w:b w:val="0"/>
          <w:bCs w:val="0"/>
          <w:color w:val="000000"/>
          <w:sz w:val="24"/>
          <w:szCs w:val="24"/>
          <w:highlight w:val="none"/>
          <w:lang w:val="en-US" w:eastAsia="zh-CN"/>
        </w:rPr>
        <w:t>供应商</w:t>
      </w:r>
      <w:r>
        <w:rPr>
          <w:rFonts w:hint="eastAsia" w:ascii="宋体" w:hAnsi="宋体" w:cs="宋体"/>
          <w:color w:val="auto"/>
          <w:sz w:val="24"/>
          <w:szCs w:val="24"/>
          <w:highlight w:val="none"/>
          <w:lang w:val="en-US" w:eastAsia="zh-CN"/>
        </w:rPr>
        <w:t>需接入省市智慧养老服务平台，</w:t>
      </w:r>
      <w:r>
        <w:rPr>
          <w:rFonts w:hint="eastAsia" w:ascii="宋体" w:hAnsi="宋体" w:eastAsia="宋体" w:cs="宋体"/>
          <w:b w:val="0"/>
          <w:bCs w:val="0"/>
          <w:color w:val="000000"/>
          <w:sz w:val="24"/>
          <w:szCs w:val="24"/>
          <w:highlight w:val="none"/>
          <w:lang w:val="en-US" w:eastAsia="zh-CN"/>
        </w:rPr>
        <w:t>依托浙里康养、台州民政智慧养老服务和监管平台开展服务。</w:t>
      </w:r>
    </w:p>
    <w:p w14:paraId="7BB115B2">
      <w:pPr>
        <w:keepNext w:val="0"/>
        <w:keepLines w:val="0"/>
        <w:pageBreakBefore w:val="0"/>
        <w:shd w:val="clear" w:color="auto" w:fill="auto"/>
        <w:kinsoku/>
        <w:wordWrap/>
        <w:overflowPunct/>
        <w:topLinePunct w:val="0"/>
        <w:bidi w:val="0"/>
        <w:snapToGrid/>
        <w:spacing w:line="4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b w:val="0"/>
          <w:bCs w:val="0"/>
          <w:color w:val="000000"/>
          <w:sz w:val="24"/>
          <w:szCs w:val="24"/>
          <w:highlight w:val="none"/>
          <w:lang w:val="en-US" w:eastAsia="zh-CN"/>
        </w:rPr>
        <w:t>（</w:t>
      </w:r>
      <w:r>
        <w:rPr>
          <w:rFonts w:hint="eastAsia" w:ascii="宋体" w:hAnsi="宋体" w:cs="宋体"/>
          <w:b w:val="0"/>
          <w:bCs w:val="0"/>
          <w:color w:val="000000"/>
          <w:sz w:val="24"/>
          <w:szCs w:val="24"/>
          <w:highlight w:val="none"/>
          <w:lang w:val="en-US" w:eastAsia="zh-CN"/>
        </w:rPr>
        <w:t>6</w:t>
      </w:r>
      <w:r>
        <w:rPr>
          <w:rFonts w:hint="eastAsia" w:ascii="宋体" w:hAnsi="宋体" w:eastAsia="宋体" w:cs="宋体"/>
          <w:b w:val="0"/>
          <w:bCs w:val="0"/>
          <w:color w:val="000000"/>
          <w:sz w:val="24"/>
          <w:szCs w:val="24"/>
          <w:highlight w:val="none"/>
          <w:lang w:val="en-US" w:eastAsia="zh-CN"/>
        </w:rPr>
        <w:t>）成交供应商应根据采购人要求，在指定平台内注册一定数量的持证养老护理员。</w:t>
      </w:r>
    </w:p>
    <w:p w14:paraId="46AA5463">
      <w:pPr>
        <w:keepNext w:val="0"/>
        <w:keepLines w:val="0"/>
        <w:pageBreakBefore w:val="0"/>
        <w:shd w:val="clear" w:color="auto" w:fill="auto"/>
        <w:kinsoku/>
        <w:wordWrap/>
        <w:overflowPunct/>
        <w:topLinePunct w:val="0"/>
        <w:bidi w:val="0"/>
        <w:snapToGrid/>
        <w:spacing w:line="420" w:lineRule="exact"/>
        <w:ind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kern w:val="0"/>
          <w:sz w:val="24"/>
          <w:szCs w:val="24"/>
          <w:highlight w:val="none"/>
          <w:lang w:val="en-US" w:eastAsia="zh-CN" w:bidi="ar-SA"/>
        </w:rPr>
        <w:t>（</w:t>
      </w:r>
      <w:r>
        <w:rPr>
          <w:rFonts w:hint="eastAsia" w:ascii="宋体" w:hAnsi="宋体" w:cs="宋体"/>
          <w:kern w:val="0"/>
          <w:sz w:val="24"/>
          <w:szCs w:val="24"/>
          <w:highlight w:val="none"/>
          <w:lang w:val="en-US" w:eastAsia="zh-CN" w:bidi="ar-SA"/>
        </w:rPr>
        <w:t>7</w:t>
      </w:r>
      <w:r>
        <w:rPr>
          <w:rFonts w:hint="eastAsia" w:ascii="宋体" w:hAnsi="宋体" w:eastAsia="宋体" w:cs="宋体"/>
          <w:kern w:val="0"/>
          <w:sz w:val="24"/>
          <w:szCs w:val="24"/>
          <w:highlight w:val="none"/>
          <w:lang w:val="en-US" w:eastAsia="zh-CN" w:bidi="ar-SA"/>
        </w:rPr>
        <w:t>）</w:t>
      </w:r>
      <w:r>
        <w:rPr>
          <w:rFonts w:hint="eastAsia" w:ascii="宋体" w:hAnsi="宋体" w:eastAsia="宋体" w:cs="宋体"/>
          <w:b w:val="0"/>
          <w:bCs w:val="0"/>
          <w:color w:val="000000"/>
          <w:sz w:val="24"/>
          <w:szCs w:val="24"/>
          <w:highlight w:val="none"/>
          <w:lang w:val="en-US" w:eastAsia="zh-CN"/>
        </w:rPr>
        <w:t>服务人员须持有健康证上岗，其中特定项目的服务人员还须具备相应的资格证书，成交供应商应定期对服务人员进行职业道德、业务能力、服务规范、突发事件应急响应等方面的培训。</w:t>
      </w:r>
    </w:p>
    <w:p w14:paraId="1AFAA23D">
      <w:pPr>
        <w:keepNext w:val="0"/>
        <w:keepLines w:val="0"/>
        <w:pageBreakBefore w:val="0"/>
        <w:shd w:val="clear" w:color="auto" w:fill="auto"/>
        <w:kinsoku/>
        <w:wordWrap/>
        <w:overflowPunct/>
        <w:topLinePunct w:val="0"/>
        <w:bidi w:val="0"/>
        <w:snapToGrid/>
        <w:spacing w:line="420" w:lineRule="exact"/>
        <w:ind w:firstLine="480" w:firstLineChars="200"/>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w:t>
      </w:r>
      <w:r>
        <w:rPr>
          <w:rFonts w:hint="eastAsia" w:ascii="宋体" w:hAnsi="宋体" w:cs="宋体"/>
          <w:kern w:val="0"/>
          <w:sz w:val="24"/>
          <w:szCs w:val="24"/>
          <w:highlight w:val="none"/>
          <w:lang w:val="en-US" w:eastAsia="zh-CN" w:bidi="ar-SA"/>
        </w:rPr>
        <w:t>8</w:t>
      </w:r>
      <w:r>
        <w:rPr>
          <w:rFonts w:hint="eastAsia" w:ascii="宋体" w:hAnsi="宋体" w:eastAsia="宋体" w:cs="宋体"/>
          <w:kern w:val="0"/>
          <w:sz w:val="24"/>
          <w:szCs w:val="24"/>
          <w:highlight w:val="none"/>
          <w:lang w:val="en-US" w:eastAsia="zh-CN" w:bidi="ar-SA"/>
        </w:rPr>
        <w:t>）</w:t>
      </w:r>
      <w:r>
        <w:rPr>
          <w:rFonts w:hint="eastAsia" w:ascii="宋体" w:hAnsi="宋体" w:eastAsia="宋体" w:cs="宋体"/>
          <w:b w:val="0"/>
          <w:bCs w:val="0"/>
          <w:color w:val="000000"/>
          <w:sz w:val="24"/>
          <w:szCs w:val="24"/>
          <w:highlight w:val="none"/>
          <w:lang w:val="en-US" w:eastAsia="zh-CN"/>
        </w:rPr>
        <w:t>服务人员应统一着装（体现成交供应商名称或品牌等标志），佩戴工作牌。</w:t>
      </w:r>
    </w:p>
    <w:p w14:paraId="37E9ACD5">
      <w:pPr>
        <w:keepNext w:val="0"/>
        <w:keepLines w:val="0"/>
        <w:pageBreakBefore w:val="0"/>
        <w:shd w:val="clear" w:color="auto" w:fill="auto"/>
        <w:kinsoku/>
        <w:wordWrap/>
        <w:overflowPunct/>
        <w:topLinePunct w:val="0"/>
        <w:bidi w:val="0"/>
        <w:snapToGrid/>
        <w:spacing w:line="420" w:lineRule="exact"/>
        <w:ind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kern w:val="0"/>
          <w:sz w:val="24"/>
          <w:szCs w:val="24"/>
          <w:highlight w:val="none"/>
          <w:lang w:val="en-US" w:eastAsia="zh-CN" w:bidi="ar-SA"/>
        </w:rPr>
        <w:t>（</w:t>
      </w:r>
      <w:r>
        <w:rPr>
          <w:rFonts w:hint="eastAsia" w:ascii="宋体" w:hAnsi="宋体" w:cs="宋体"/>
          <w:kern w:val="0"/>
          <w:sz w:val="24"/>
          <w:szCs w:val="24"/>
          <w:highlight w:val="none"/>
          <w:lang w:val="en-US" w:eastAsia="zh-CN" w:bidi="ar-SA"/>
        </w:rPr>
        <w:t>9</w:t>
      </w:r>
      <w:r>
        <w:rPr>
          <w:rFonts w:hint="eastAsia" w:ascii="宋体" w:hAnsi="宋体" w:eastAsia="宋体" w:cs="宋体"/>
          <w:kern w:val="0"/>
          <w:sz w:val="24"/>
          <w:szCs w:val="24"/>
          <w:highlight w:val="none"/>
          <w:lang w:val="en-US" w:eastAsia="zh-CN" w:bidi="ar-SA"/>
        </w:rPr>
        <w:t>）</w:t>
      </w:r>
      <w:r>
        <w:rPr>
          <w:rFonts w:hint="eastAsia" w:ascii="宋体" w:hAnsi="宋体" w:eastAsia="宋体" w:cs="宋体"/>
          <w:b w:val="0"/>
          <w:bCs w:val="0"/>
          <w:color w:val="000000"/>
          <w:sz w:val="24"/>
          <w:szCs w:val="24"/>
          <w:highlight w:val="none"/>
          <w:lang w:val="en-US" w:eastAsia="zh-CN"/>
        </w:rPr>
        <w:t>建立服务人员的工作职责、服务管理制度、服务质量跟踪回访制度、安全管理制度及突发事件应急预案处理方案等。</w:t>
      </w:r>
    </w:p>
    <w:p w14:paraId="3418CC2C">
      <w:pPr>
        <w:keepNext w:val="0"/>
        <w:keepLines w:val="0"/>
        <w:pageBreakBefore w:val="0"/>
        <w:shd w:val="clear" w:color="auto" w:fill="auto"/>
        <w:kinsoku/>
        <w:wordWrap/>
        <w:overflowPunct/>
        <w:topLinePunct w:val="0"/>
        <w:bidi w:val="0"/>
        <w:snapToGrid/>
        <w:spacing w:line="420" w:lineRule="exact"/>
        <w:ind w:firstLine="480" w:firstLineChars="200"/>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w:t>
      </w:r>
      <w:r>
        <w:rPr>
          <w:rFonts w:hint="eastAsia" w:ascii="宋体" w:hAnsi="宋体" w:cs="宋体"/>
          <w:kern w:val="0"/>
          <w:sz w:val="24"/>
          <w:szCs w:val="24"/>
          <w:highlight w:val="none"/>
          <w:lang w:val="en-US" w:eastAsia="zh-CN" w:bidi="ar-SA"/>
        </w:rPr>
        <w:t>10</w:t>
      </w:r>
      <w:r>
        <w:rPr>
          <w:rFonts w:hint="eastAsia" w:ascii="宋体" w:hAnsi="宋体" w:eastAsia="宋体" w:cs="宋体"/>
          <w:kern w:val="0"/>
          <w:sz w:val="24"/>
          <w:szCs w:val="24"/>
          <w:highlight w:val="none"/>
          <w:lang w:val="en-US" w:eastAsia="zh-CN" w:bidi="ar-SA"/>
        </w:rPr>
        <w:t>）</w:t>
      </w:r>
      <w:r>
        <w:rPr>
          <w:rFonts w:hint="eastAsia" w:ascii="宋体" w:hAnsi="宋体" w:eastAsia="宋体" w:cs="宋体"/>
          <w:b w:val="0"/>
          <w:bCs w:val="0"/>
          <w:color w:val="000000"/>
          <w:sz w:val="24"/>
          <w:szCs w:val="24"/>
          <w:highlight w:val="none"/>
          <w:lang w:val="en-US" w:eastAsia="zh-CN"/>
        </w:rPr>
        <w:t>服务承诺、服务流程等与服务对象相关的规章制度应上墙公示。</w:t>
      </w:r>
    </w:p>
    <w:p w14:paraId="431F2F87">
      <w:pPr>
        <w:keepNext w:val="0"/>
        <w:keepLines w:val="0"/>
        <w:pageBreakBefore w:val="0"/>
        <w:shd w:val="clear" w:color="auto" w:fill="auto"/>
        <w:kinsoku/>
        <w:wordWrap/>
        <w:overflowPunct/>
        <w:topLinePunct w:val="0"/>
        <w:bidi w:val="0"/>
        <w:snapToGrid/>
        <w:spacing w:line="420" w:lineRule="exact"/>
        <w:ind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kern w:val="0"/>
          <w:sz w:val="24"/>
          <w:szCs w:val="24"/>
          <w:highlight w:val="none"/>
          <w:lang w:val="en-US" w:eastAsia="zh-CN" w:bidi="ar-SA"/>
        </w:rPr>
        <w:t>（</w:t>
      </w:r>
      <w:r>
        <w:rPr>
          <w:rFonts w:hint="eastAsia" w:ascii="宋体" w:hAnsi="宋体" w:cs="宋体"/>
          <w:kern w:val="0"/>
          <w:sz w:val="24"/>
          <w:szCs w:val="24"/>
          <w:highlight w:val="none"/>
          <w:lang w:val="en-US" w:eastAsia="zh-CN" w:bidi="ar-SA"/>
        </w:rPr>
        <w:t>11</w:t>
      </w:r>
      <w:r>
        <w:rPr>
          <w:rFonts w:hint="eastAsia" w:ascii="宋体" w:hAnsi="宋体" w:eastAsia="宋体" w:cs="宋体"/>
          <w:kern w:val="0"/>
          <w:sz w:val="24"/>
          <w:szCs w:val="24"/>
          <w:highlight w:val="none"/>
          <w:lang w:val="en-US" w:eastAsia="zh-CN" w:bidi="ar-SA"/>
        </w:rPr>
        <w:t>）成交供应商在服务过程中发现符合养老服务补贴或养老护理补贴条件的老人未享受补贴的，及时反馈</w:t>
      </w:r>
      <w:r>
        <w:rPr>
          <w:rFonts w:hint="eastAsia" w:ascii="宋体" w:hAnsi="宋体" w:cs="宋体"/>
          <w:kern w:val="0"/>
          <w:sz w:val="24"/>
          <w:szCs w:val="24"/>
          <w:highlight w:val="none"/>
          <w:lang w:val="en-US" w:eastAsia="zh-CN" w:bidi="ar-SA"/>
        </w:rPr>
        <w:t>采购人</w:t>
      </w:r>
      <w:r>
        <w:rPr>
          <w:rFonts w:hint="eastAsia" w:ascii="宋体" w:hAnsi="宋体" w:eastAsia="宋体" w:cs="宋体"/>
          <w:kern w:val="0"/>
          <w:sz w:val="24"/>
          <w:szCs w:val="24"/>
          <w:highlight w:val="none"/>
          <w:lang w:val="en-US" w:eastAsia="zh-CN" w:bidi="ar-SA"/>
        </w:rPr>
        <w:t>，按</w:t>
      </w:r>
      <w:r>
        <w:rPr>
          <w:rFonts w:hint="eastAsia" w:ascii="宋体" w:hAnsi="宋体" w:eastAsia="宋体" w:cs="宋体"/>
          <w:b w:val="0"/>
          <w:bCs w:val="0"/>
          <w:color w:val="000000"/>
          <w:sz w:val="24"/>
          <w:szCs w:val="24"/>
          <w:highlight w:val="none"/>
          <w:lang w:val="en-US" w:eastAsia="zh-CN"/>
        </w:rPr>
        <w:t>程序办理审批手续或在“浙里办”协助办理申请手续。</w:t>
      </w:r>
    </w:p>
    <w:p w14:paraId="03CC2A8A">
      <w:pPr>
        <w:keepNext w:val="0"/>
        <w:keepLines w:val="0"/>
        <w:pageBreakBefore w:val="0"/>
        <w:shd w:val="clear" w:color="auto" w:fill="auto"/>
        <w:kinsoku/>
        <w:wordWrap/>
        <w:overflowPunct/>
        <w:topLinePunct w:val="0"/>
        <w:bidi w:val="0"/>
        <w:snapToGrid/>
        <w:spacing w:line="420" w:lineRule="exact"/>
        <w:ind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（12）成交供应商需无条件配合采购人总结提炼养老服务品牌，以及其他采购人需成交供应商配合的相关工作。</w:t>
      </w:r>
    </w:p>
    <w:p w14:paraId="7CC93ABA">
      <w:pPr>
        <w:keepNext w:val="0"/>
        <w:keepLines w:val="0"/>
        <w:pageBreakBefore w:val="0"/>
        <w:shd w:val="clear" w:color="auto" w:fill="auto"/>
        <w:kinsoku/>
        <w:wordWrap/>
        <w:overflowPunct/>
        <w:topLinePunct w:val="0"/>
        <w:bidi w:val="0"/>
        <w:snapToGrid/>
        <w:spacing w:line="420" w:lineRule="exact"/>
        <w:ind w:firstLine="482"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bCs/>
          <w:kern w:val="0"/>
          <w:sz w:val="24"/>
          <w:szCs w:val="24"/>
          <w:highlight w:val="none"/>
          <w:lang w:val="en-US" w:eastAsia="zh-CN" w:bidi="ar-SA"/>
        </w:rPr>
        <w:t>（13）成交供应商应托管家庭养老床位系统，包括设置家床报警处置专员，制定紧急预案，建立报警处置台账等。服务人员后台接收到紧急呼叫器、门磁感应器、可燃气体报警器等家床设备触发的报警信息后，应在5分钟内电话联系老人或家属询问情况，视情前往现场处置或联系110、120，并做好后续跟进工作。</w:t>
      </w:r>
    </w:p>
    <w:p w14:paraId="0A951E09">
      <w:pPr>
        <w:keepNext w:val="0"/>
        <w:keepLines w:val="0"/>
        <w:pageBreakBefore w:val="0"/>
        <w:widowControl w:val="0"/>
        <w:kinsoku/>
        <w:wordWrap/>
        <w:overflowPunct/>
        <w:topLinePunct w:val="0"/>
        <w:autoSpaceDE/>
        <w:autoSpaceDN/>
        <w:bidi w:val="0"/>
        <w:snapToGrid/>
        <w:spacing w:line="420" w:lineRule="exact"/>
        <w:ind w:leftChars="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sz w:val="21"/>
          <w:szCs w:val="21"/>
          <w:highlight w:val="none"/>
        </w:rPr>
        <w:t>▲</w:t>
      </w:r>
      <w:r>
        <w:rPr>
          <w:rFonts w:hint="eastAsia" w:ascii="宋体" w:hAnsi="宋体" w:cs="宋体"/>
          <w:b/>
          <w:color w:val="auto"/>
          <w:sz w:val="24"/>
          <w:szCs w:val="24"/>
          <w:highlight w:val="none"/>
          <w:lang w:val="en-US" w:eastAsia="zh-CN"/>
        </w:rPr>
        <w:t>五</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评估要求</w:t>
      </w:r>
    </w:p>
    <w:p w14:paraId="06AF217F">
      <w:pPr>
        <w:pStyle w:val="56"/>
        <w:keepNext w:val="0"/>
        <w:keepLines w:val="0"/>
        <w:pageBreakBefore w:val="0"/>
        <w:widowControl/>
        <w:tabs>
          <w:tab w:val="left" w:pos="7650"/>
        </w:tabs>
        <w:kinsoku/>
        <w:wordWrap/>
        <w:overflowPunct/>
        <w:topLinePunct w:val="0"/>
        <w:bidi w:val="0"/>
        <w:snapToGrid/>
        <w:spacing w:line="42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1、组织实施和风险控制要求</w:t>
      </w:r>
    </w:p>
    <w:p w14:paraId="3BE208C2">
      <w:pPr>
        <w:pStyle w:val="56"/>
        <w:keepNext w:val="0"/>
        <w:keepLines w:val="0"/>
        <w:pageBreakBefore w:val="0"/>
        <w:widowControl/>
        <w:tabs>
          <w:tab w:val="left" w:pos="7650"/>
        </w:tabs>
        <w:kinsoku/>
        <w:wordWrap/>
        <w:overflowPunct/>
        <w:topLinePunct w:val="0"/>
        <w:bidi w:val="0"/>
        <w:snapToGrid/>
        <w:spacing w:line="4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b w:val="0"/>
          <w:bCs w:val="0"/>
          <w:color w:val="000000"/>
          <w:sz w:val="24"/>
          <w:szCs w:val="24"/>
          <w:highlight w:val="none"/>
          <w:lang w:eastAsia="zh-CN"/>
        </w:rPr>
        <w:t>成交供应商</w:t>
      </w:r>
      <w:r>
        <w:rPr>
          <w:rFonts w:hint="eastAsia" w:ascii="宋体" w:hAnsi="宋体" w:eastAsia="宋体" w:cs="宋体"/>
          <w:sz w:val="24"/>
          <w:szCs w:val="24"/>
          <w:highlight w:val="none"/>
        </w:rPr>
        <w:t>应提供符合本项目目标的实施方案，在本项目开展前，</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需提供项目的组织架构，各阶段实施进度和预期成效。项目实施过程中，对各类活动要做好前期安全防范工作，做好突发风险应急预案，活动期间确保服务对象安全。对于每次提供的服务，事后要有意见反馈、评估和总结；对于每次活动，要做好备案，活动时间、内容成效</w:t>
      </w:r>
      <w:r>
        <w:rPr>
          <w:rFonts w:hint="eastAsia" w:ascii="宋体" w:hAnsi="宋体" w:cs="宋体"/>
          <w:sz w:val="24"/>
          <w:szCs w:val="24"/>
          <w:highlight w:val="none"/>
          <w:lang w:eastAsia="zh-CN"/>
        </w:rPr>
        <w:t>要做记录</w:t>
      </w:r>
      <w:r>
        <w:rPr>
          <w:rFonts w:hint="eastAsia" w:ascii="宋体" w:hAnsi="宋体" w:eastAsia="宋体" w:cs="宋体"/>
          <w:sz w:val="24"/>
          <w:szCs w:val="24"/>
          <w:highlight w:val="none"/>
        </w:rPr>
        <w:t>归档。</w:t>
      </w:r>
    </w:p>
    <w:p w14:paraId="34A6D811">
      <w:pPr>
        <w:pStyle w:val="56"/>
        <w:keepNext w:val="0"/>
        <w:keepLines w:val="0"/>
        <w:pageBreakBefore w:val="0"/>
        <w:widowControl/>
        <w:tabs>
          <w:tab w:val="left" w:pos="7650"/>
        </w:tabs>
        <w:kinsoku/>
        <w:wordWrap/>
        <w:overflowPunct/>
        <w:topLinePunct w:val="0"/>
        <w:bidi w:val="0"/>
        <w:snapToGrid/>
        <w:spacing w:line="42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2、项目监管要求</w:t>
      </w:r>
    </w:p>
    <w:p w14:paraId="071CC004">
      <w:pPr>
        <w:pStyle w:val="56"/>
        <w:keepNext w:val="0"/>
        <w:keepLines w:val="0"/>
        <w:pageBreakBefore w:val="0"/>
        <w:widowControl/>
        <w:tabs>
          <w:tab w:val="left" w:pos="7650"/>
        </w:tabs>
        <w:kinsoku/>
        <w:wordWrap/>
        <w:overflowPunct/>
        <w:topLinePunct w:val="0"/>
        <w:bidi w:val="0"/>
        <w:snapToGrid/>
        <w:spacing w:line="4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项目执行过程中中标人须接受采购人的检查，向采购人每月准时递交项目业务活动表和项目完成情况表，每季度递交季度报表，项目结束后向采购人准时递交项目终期报告。</w:t>
      </w:r>
    </w:p>
    <w:p w14:paraId="6FDEE417">
      <w:pPr>
        <w:pStyle w:val="56"/>
        <w:keepNext w:val="0"/>
        <w:keepLines w:val="0"/>
        <w:pageBreakBefore w:val="0"/>
        <w:widowControl/>
        <w:tabs>
          <w:tab w:val="left" w:pos="7650"/>
        </w:tabs>
        <w:kinsoku/>
        <w:wordWrap/>
        <w:overflowPunct/>
        <w:topLinePunct w:val="0"/>
        <w:bidi w:val="0"/>
        <w:snapToGrid/>
        <w:spacing w:line="42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3、从业经验与专业能力要求</w:t>
      </w:r>
    </w:p>
    <w:p w14:paraId="39F78013">
      <w:pPr>
        <w:pStyle w:val="56"/>
        <w:keepNext w:val="0"/>
        <w:keepLines w:val="0"/>
        <w:pageBreakBefore w:val="0"/>
        <w:widowControl/>
        <w:tabs>
          <w:tab w:val="left" w:pos="7650"/>
        </w:tabs>
        <w:kinsoku/>
        <w:wordWrap/>
        <w:overflowPunct/>
        <w:topLinePunct w:val="0"/>
        <w:bidi w:val="0"/>
        <w:snapToGrid/>
        <w:spacing w:line="420" w:lineRule="exact"/>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实施该项目的</w:t>
      </w:r>
      <w:r>
        <w:rPr>
          <w:rFonts w:hint="eastAsia" w:ascii="宋体" w:hAnsi="宋体" w:eastAsia="宋体" w:cs="宋体"/>
          <w:bCs/>
          <w:sz w:val="24"/>
          <w:szCs w:val="24"/>
          <w:highlight w:val="none"/>
          <w:lang w:eastAsia="zh-CN"/>
        </w:rPr>
        <w:t>成交供应商</w:t>
      </w:r>
      <w:r>
        <w:rPr>
          <w:rFonts w:hint="eastAsia" w:ascii="宋体" w:hAnsi="宋体" w:eastAsia="宋体" w:cs="宋体"/>
          <w:bCs/>
          <w:sz w:val="24"/>
          <w:szCs w:val="24"/>
          <w:highlight w:val="none"/>
        </w:rPr>
        <w:t>应确保在项目实施过程中团队成员需有居家养老服务的相关从业经验。可以有效</w:t>
      </w:r>
      <w:r>
        <w:rPr>
          <w:rFonts w:hint="eastAsia" w:ascii="宋体" w:hAnsi="宋体" w:cs="宋体"/>
          <w:bCs/>
          <w:sz w:val="24"/>
          <w:szCs w:val="24"/>
          <w:highlight w:val="none"/>
          <w:lang w:eastAsia="zh-CN"/>
        </w:rPr>
        <w:t>地</w:t>
      </w:r>
      <w:r>
        <w:rPr>
          <w:rFonts w:hint="eastAsia" w:ascii="宋体" w:hAnsi="宋体" w:eastAsia="宋体" w:cs="宋体"/>
          <w:bCs/>
          <w:sz w:val="24"/>
          <w:szCs w:val="24"/>
          <w:highlight w:val="none"/>
        </w:rPr>
        <w:t>组织完成项目的推进及相关工作。</w:t>
      </w:r>
    </w:p>
    <w:p w14:paraId="31D8C491">
      <w:pPr>
        <w:pStyle w:val="56"/>
        <w:keepNext w:val="0"/>
        <w:keepLines w:val="0"/>
        <w:pageBreakBefore w:val="0"/>
        <w:widowControl/>
        <w:tabs>
          <w:tab w:val="left" w:pos="7650"/>
        </w:tabs>
        <w:kinsoku/>
        <w:wordWrap/>
        <w:overflowPunct/>
        <w:topLinePunct w:val="0"/>
        <w:bidi w:val="0"/>
        <w:snapToGrid/>
        <w:spacing w:line="42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4、项目审计需提供的材料、档案要求</w:t>
      </w:r>
    </w:p>
    <w:p w14:paraId="152CED9F">
      <w:pPr>
        <w:pStyle w:val="56"/>
        <w:keepNext w:val="0"/>
        <w:keepLines w:val="0"/>
        <w:pageBreakBefore w:val="0"/>
        <w:widowControl/>
        <w:tabs>
          <w:tab w:val="left" w:pos="7650"/>
        </w:tabs>
        <w:kinsoku/>
        <w:wordWrap/>
        <w:overflowPunct/>
        <w:topLinePunct w:val="0"/>
        <w:bidi w:val="0"/>
        <w:snapToGrid/>
        <w:spacing w:line="42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（1）总体要求</w:t>
      </w:r>
    </w:p>
    <w:p w14:paraId="118E4F1A">
      <w:pPr>
        <w:pStyle w:val="56"/>
        <w:keepNext w:val="0"/>
        <w:keepLines w:val="0"/>
        <w:pageBreakBefore w:val="0"/>
        <w:widowControl/>
        <w:tabs>
          <w:tab w:val="left" w:pos="7650"/>
        </w:tabs>
        <w:kinsoku/>
        <w:wordWrap/>
        <w:overflowPunct/>
        <w:topLinePunct w:val="0"/>
        <w:bidi w:val="0"/>
        <w:snapToGrid/>
        <w:spacing w:line="420" w:lineRule="exact"/>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项目完成后，由采购人安排审计机构对项目承接方完成项目情况进行审计，项目承接方按要求提供项目完成的相关证明材料和档案资料；若项目承接方提供的证明材料和档案资料不完整，视同未完成相应项目。证明材料和档案资料包括但不仅限于以下内容：</w:t>
      </w:r>
    </w:p>
    <w:p w14:paraId="74D9F23B">
      <w:pPr>
        <w:pStyle w:val="56"/>
        <w:keepNext w:val="0"/>
        <w:keepLines w:val="0"/>
        <w:pageBreakBefore w:val="0"/>
        <w:widowControl/>
        <w:tabs>
          <w:tab w:val="left" w:pos="7650"/>
        </w:tabs>
        <w:kinsoku/>
        <w:wordWrap/>
        <w:overflowPunct/>
        <w:topLinePunct w:val="0"/>
        <w:bidi w:val="0"/>
        <w:snapToGrid/>
        <w:spacing w:line="420" w:lineRule="exact"/>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①服务对象档案，志愿者、实习生、外聘人员等相关人员完整名单，档案及名单</w:t>
      </w:r>
      <w:r>
        <w:rPr>
          <w:rFonts w:hint="eastAsia" w:ascii="宋体" w:hAnsi="宋体" w:cs="宋体"/>
          <w:bCs/>
          <w:sz w:val="24"/>
          <w:szCs w:val="24"/>
          <w:highlight w:val="none"/>
          <w:lang w:val="en-US" w:eastAsia="zh-CN"/>
        </w:rPr>
        <w:t>需</w:t>
      </w:r>
      <w:r>
        <w:rPr>
          <w:rFonts w:hint="eastAsia" w:ascii="宋体" w:hAnsi="宋体" w:eastAsia="宋体" w:cs="宋体"/>
          <w:bCs/>
          <w:sz w:val="24"/>
          <w:szCs w:val="24"/>
          <w:highlight w:val="none"/>
        </w:rPr>
        <w:t>包含上述人员的身份证号、联系电话、联系地址等内容；</w:t>
      </w:r>
    </w:p>
    <w:p w14:paraId="5EC59505">
      <w:pPr>
        <w:pStyle w:val="56"/>
        <w:keepNext w:val="0"/>
        <w:keepLines w:val="0"/>
        <w:pageBreakBefore w:val="0"/>
        <w:widowControl/>
        <w:tabs>
          <w:tab w:val="left" w:pos="7650"/>
        </w:tabs>
        <w:kinsoku/>
        <w:wordWrap/>
        <w:overflowPunct/>
        <w:topLinePunct w:val="0"/>
        <w:bidi w:val="0"/>
        <w:snapToGrid/>
        <w:spacing w:line="420" w:lineRule="exact"/>
        <w:ind w:firstLine="480" w:firstLineChars="200"/>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②</w:t>
      </w:r>
      <w:r>
        <w:rPr>
          <w:rFonts w:hint="eastAsia" w:ascii="宋体" w:hAnsi="宋体" w:eastAsia="宋体" w:cs="宋体"/>
          <w:bCs/>
          <w:sz w:val="24"/>
          <w:szCs w:val="24"/>
          <w:highlight w:val="none"/>
        </w:rPr>
        <w:t>若项目活动中参与人员身份或资质有特定要求的，须保存其身份或资质证明文件的复印件；</w:t>
      </w:r>
    </w:p>
    <w:p w14:paraId="3E59D6BD">
      <w:pPr>
        <w:pStyle w:val="56"/>
        <w:keepNext w:val="0"/>
        <w:keepLines w:val="0"/>
        <w:pageBreakBefore w:val="0"/>
        <w:widowControl/>
        <w:tabs>
          <w:tab w:val="left" w:pos="7650"/>
        </w:tabs>
        <w:kinsoku/>
        <w:wordWrap/>
        <w:overflowPunct/>
        <w:topLinePunct w:val="0"/>
        <w:bidi w:val="0"/>
        <w:snapToGrid/>
        <w:spacing w:line="420" w:lineRule="exact"/>
        <w:ind w:firstLine="480" w:firstLineChars="200"/>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③</w:t>
      </w:r>
      <w:r>
        <w:rPr>
          <w:rFonts w:hint="eastAsia" w:ascii="宋体" w:hAnsi="宋体" w:eastAsia="宋体" w:cs="宋体"/>
          <w:bCs/>
          <w:sz w:val="24"/>
          <w:szCs w:val="24"/>
          <w:highlight w:val="none"/>
        </w:rPr>
        <w:t>项目实施过程中应开展满意度调查，并做好调查问卷分析；</w:t>
      </w:r>
    </w:p>
    <w:p w14:paraId="136BA504">
      <w:pPr>
        <w:pStyle w:val="56"/>
        <w:keepNext w:val="0"/>
        <w:keepLines w:val="0"/>
        <w:pageBreakBefore w:val="0"/>
        <w:tabs>
          <w:tab w:val="left" w:pos="7650"/>
        </w:tabs>
        <w:kinsoku/>
        <w:wordWrap/>
        <w:overflowPunct/>
        <w:topLinePunct w:val="0"/>
        <w:bidi w:val="0"/>
        <w:snapToGrid/>
        <w:spacing w:line="420" w:lineRule="exact"/>
        <w:ind w:firstLine="480" w:firstLineChars="200"/>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④</w:t>
      </w:r>
      <w:r>
        <w:rPr>
          <w:rFonts w:hint="eastAsia" w:ascii="宋体" w:hAnsi="宋体" w:eastAsia="宋体" w:cs="宋体"/>
          <w:bCs/>
          <w:sz w:val="24"/>
          <w:szCs w:val="24"/>
          <w:highlight w:val="none"/>
        </w:rPr>
        <w:t>项目日常活动应有记录及服务对象的反馈意见，主题活动或讲座、培训等应有参加人员（服务对象、工作人员及志愿者等）签到表、计划、通知、小结等材料，拍摄的照片、录像等资料应显示日期；</w:t>
      </w:r>
    </w:p>
    <w:p w14:paraId="6B928DB0">
      <w:pPr>
        <w:pStyle w:val="56"/>
        <w:keepNext w:val="0"/>
        <w:keepLines w:val="0"/>
        <w:pageBreakBefore w:val="0"/>
        <w:tabs>
          <w:tab w:val="left" w:pos="7650"/>
        </w:tabs>
        <w:kinsoku/>
        <w:wordWrap/>
        <w:overflowPunct/>
        <w:topLinePunct w:val="0"/>
        <w:bidi w:val="0"/>
        <w:snapToGrid/>
        <w:spacing w:line="420" w:lineRule="exact"/>
        <w:ind w:firstLine="480" w:firstLineChars="200"/>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⑤</w:t>
      </w:r>
      <w:r>
        <w:rPr>
          <w:rFonts w:hint="eastAsia" w:ascii="宋体" w:hAnsi="宋体" w:eastAsia="宋体" w:cs="宋体"/>
          <w:bCs/>
          <w:sz w:val="24"/>
          <w:szCs w:val="24"/>
          <w:highlight w:val="none"/>
        </w:rPr>
        <w:t>与项目有关的成果或产出，如出版物、报告、会议日程、录像/录音带、光盘以及新闻报道等。同时，投标方须向招标人提供台账、项目决算表、项目总结报告等相关数据资料。</w:t>
      </w:r>
    </w:p>
    <w:p w14:paraId="0954B6F6">
      <w:pPr>
        <w:pStyle w:val="56"/>
        <w:keepNext w:val="0"/>
        <w:keepLines w:val="0"/>
        <w:pageBreakBefore w:val="0"/>
        <w:widowControl/>
        <w:tabs>
          <w:tab w:val="left" w:pos="7650"/>
        </w:tabs>
        <w:kinsoku/>
        <w:wordWrap/>
        <w:overflowPunct/>
        <w:topLinePunct w:val="0"/>
        <w:bidi w:val="0"/>
        <w:snapToGrid/>
        <w:spacing w:line="42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（2）工作模版</w:t>
      </w:r>
    </w:p>
    <w:p w14:paraId="1E609BF1">
      <w:pPr>
        <w:pStyle w:val="56"/>
        <w:keepNext w:val="0"/>
        <w:keepLines w:val="0"/>
        <w:pageBreakBefore w:val="0"/>
        <w:widowControl/>
        <w:tabs>
          <w:tab w:val="left" w:pos="7650"/>
        </w:tabs>
        <w:kinsoku/>
        <w:wordWrap/>
        <w:overflowPunct/>
        <w:topLinePunct w:val="0"/>
        <w:bidi w:val="0"/>
        <w:snapToGrid/>
        <w:spacing w:line="420" w:lineRule="exact"/>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为便于项目承接方直观理解提供证明材料、档案资料的重要性、必然性，制定了项目 “会议”、“培训”、“主题活动”三个常规活动材料档案工作模版，以便于项目承接方按此模版要求执行。</w:t>
      </w:r>
    </w:p>
    <w:p w14:paraId="7EAFDC06">
      <w:pPr>
        <w:pStyle w:val="56"/>
        <w:keepNext w:val="0"/>
        <w:keepLines w:val="0"/>
        <w:pageBreakBefore w:val="0"/>
        <w:widowControl/>
        <w:tabs>
          <w:tab w:val="left" w:pos="7650"/>
        </w:tabs>
        <w:kinsoku/>
        <w:wordWrap/>
        <w:overflowPunct/>
        <w:topLinePunct w:val="0"/>
        <w:bidi w:val="0"/>
        <w:snapToGrid/>
        <w:spacing w:line="420" w:lineRule="exact"/>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①会议</w:t>
      </w:r>
    </w:p>
    <w:p w14:paraId="73007746">
      <w:pPr>
        <w:pStyle w:val="56"/>
        <w:keepNext w:val="0"/>
        <w:keepLines w:val="0"/>
        <w:pageBreakBefore w:val="0"/>
        <w:widowControl/>
        <w:tabs>
          <w:tab w:val="left" w:pos="7650"/>
        </w:tabs>
        <w:kinsoku/>
        <w:wordWrap/>
        <w:overflowPunct/>
        <w:topLinePunct w:val="0"/>
        <w:bidi w:val="0"/>
        <w:snapToGrid/>
        <w:spacing w:line="420" w:lineRule="exact"/>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须提供的相关证明材料和档案资料包括但不限于：会议通知、会议方案、会议议程、参会人员签到表、会议服务单位提供的费用原始明细单据等凭证，工作人员数量、资质、职务、职称，会议照片或会议录像，会议小结。</w:t>
      </w:r>
    </w:p>
    <w:p w14:paraId="5E23A27E">
      <w:pPr>
        <w:pStyle w:val="56"/>
        <w:keepNext w:val="0"/>
        <w:keepLines w:val="0"/>
        <w:pageBreakBefore w:val="0"/>
        <w:widowControl/>
        <w:tabs>
          <w:tab w:val="left" w:pos="7650"/>
        </w:tabs>
        <w:kinsoku/>
        <w:wordWrap/>
        <w:overflowPunct/>
        <w:topLinePunct w:val="0"/>
        <w:bidi w:val="0"/>
        <w:snapToGrid/>
        <w:spacing w:line="420" w:lineRule="exact"/>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②培训</w:t>
      </w:r>
    </w:p>
    <w:p w14:paraId="1E0FBB11">
      <w:pPr>
        <w:pStyle w:val="56"/>
        <w:keepNext w:val="0"/>
        <w:keepLines w:val="0"/>
        <w:pageBreakBefore w:val="0"/>
        <w:widowControl/>
        <w:tabs>
          <w:tab w:val="left" w:pos="7650"/>
        </w:tabs>
        <w:kinsoku/>
        <w:wordWrap/>
        <w:overflowPunct/>
        <w:topLinePunct w:val="0"/>
        <w:bidi w:val="0"/>
        <w:snapToGrid/>
        <w:spacing w:line="420" w:lineRule="exact"/>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须提供的相关证明材料和档案资料包括但不限于：培训通知、培训方案、培训议程、培训服务对象签到表、培训服务单位提供的费用原始明细单据等凭证，工作人员数量、资质、职务、职称，聘请师资的数量、资质、职务、职称，身份证号、讲课费签收单，培训照片或培训录像，培训小结。</w:t>
      </w:r>
    </w:p>
    <w:p w14:paraId="6855B35F">
      <w:pPr>
        <w:pStyle w:val="56"/>
        <w:keepNext w:val="0"/>
        <w:keepLines w:val="0"/>
        <w:pageBreakBefore w:val="0"/>
        <w:widowControl/>
        <w:tabs>
          <w:tab w:val="left" w:pos="7650"/>
        </w:tabs>
        <w:kinsoku/>
        <w:wordWrap/>
        <w:overflowPunct/>
        <w:topLinePunct w:val="0"/>
        <w:bidi w:val="0"/>
        <w:snapToGrid/>
        <w:spacing w:line="420" w:lineRule="exact"/>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③主题活动</w:t>
      </w:r>
    </w:p>
    <w:p w14:paraId="300C4387">
      <w:pPr>
        <w:pStyle w:val="56"/>
        <w:keepNext w:val="0"/>
        <w:keepLines w:val="0"/>
        <w:pageBreakBefore w:val="0"/>
        <w:widowControl/>
        <w:tabs>
          <w:tab w:val="left" w:pos="7650"/>
        </w:tabs>
        <w:kinsoku/>
        <w:wordWrap/>
        <w:overflowPunct/>
        <w:topLinePunct w:val="0"/>
        <w:bidi w:val="0"/>
        <w:snapToGrid/>
        <w:spacing w:line="420" w:lineRule="exact"/>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须提供的相关证明材料和档案资料包括但不限于：每次主题活动服务对象档案（包括服务对</w:t>
      </w:r>
      <w:r>
        <w:rPr>
          <w:rFonts w:hint="eastAsia" w:ascii="宋体" w:hAnsi="宋体" w:cs="宋体"/>
          <w:bCs/>
          <w:sz w:val="24"/>
          <w:szCs w:val="24"/>
          <w:highlight w:val="none"/>
          <w:lang w:eastAsia="zh-CN"/>
        </w:rPr>
        <w:t>象的</w:t>
      </w:r>
      <w:r>
        <w:rPr>
          <w:rFonts w:hint="eastAsia" w:ascii="宋体" w:hAnsi="宋体" w:eastAsia="宋体" w:cs="宋体"/>
          <w:bCs/>
          <w:sz w:val="24"/>
          <w:szCs w:val="24"/>
          <w:highlight w:val="none"/>
        </w:rPr>
        <w:t>身份证号、联系电话、联系地址），社工、志愿者、实习生、外聘人员名单（包括身份证号、联系电话），若主题活动中参与人</w:t>
      </w:r>
      <w:r>
        <w:rPr>
          <w:rFonts w:hint="eastAsia" w:ascii="宋体" w:hAnsi="宋体" w:cs="宋体"/>
          <w:bCs/>
          <w:sz w:val="24"/>
          <w:szCs w:val="24"/>
          <w:highlight w:val="none"/>
          <w:lang w:eastAsia="zh-CN"/>
        </w:rPr>
        <w:t>员的</w:t>
      </w:r>
      <w:r>
        <w:rPr>
          <w:rFonts w:hint="eastAsia" w:ascii="宋体" w:hAnsi="宋体" w:eastAsia="宋体" w:cs="宋体"/>
          <w:bCs/>
          <w:sz w:val="24"/>
          <w:szCs w:val="24"/>
          <w:highlight w:val="none"/>
        </w:rPr>
        <w:t>身份或资质有特定要求，须提供其身份或资质证明文件的复印件；主题活动参加人员（服务对象、工作人员、志愿者、特定人员）签到表，主题活动计划、主题活动通知、主题活动小结等材料，主题活动照片或主题活动录像；主题活动调查问卷及分析材料，每次主题活动记录及服务对象的反馈意见；与主题活动有关的新闻报道，使用物资</w:t>
      </w:r>
      <w:r>
        <w:rPr>
          <w:rFonts w:hint="eastAsia" w:ascii="宋体" w:hAnsi="宋体" w:cs="宋体"/>
          <w:bCs/>
          <w:sz w:val="24"/>
          <w:szCs w:val="24"/>
          <w:highlight w:val="none"/>
          <w:lang w:val="en-US" w:eastAsia="zh-CN"/>
        </w:rPr>
        <w:t>需</w:t>
      </w:r>
      <w:r>
        <w:rPr>
          <w:rFonts w:hint="eastAsia" w:ascii="宋体" w:hAnsi="宋体" w:eastAsia="宋体" w:cs="宋体"/>
          <w:bCs/>
          <w:sz w:val="24"/>
          <w:szCs w:val="24"/>
          <w:highlight w:val="none"/>
        </w:rPr>
        <w:t>注明品牌、规格、型号，相应台账、主题活动总结报告。</w:t>
      </w:r>
    </w:p>
    <w:p w14:paraId="3615CA5E">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20" w:lineRule="exact"/>
        <w:ind w:right="25" w:rightChars="0"/>
        <w:textAlignment w:val="auto"/>
        <w:rPr>
          <w:rFonts w:hint="eastAsia" w:ascii="宋体" w:hAnsi="宋体" w:eastAsia="宋体" w:cs="宋体"/>
          <w:b/>
          <w:kern w:val="2"/>
          <w:sz w:val="24"/>
          <w:szCs w:val="24"/>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cs="宋体"/>
          <w:b/>
          <w:kern w:val="2"/>
          <w:sz w:val="24"/>
          <w:szCs w:val="24"/>
          <w:highlight w:val="none"/>
          <w:lang w:val="en-US" w:eastAsia="zh-CN" w:bidi="ar-SA"/>
        </w:rPr>
        <w:t>六</w:t>
      </w:r>
      <w:r>
        <w:rPr>
          <w:rFonts w:hint="eastAsia" w:ascii="宋体" w:hAnsi="宋体" w:eastAsia="宋体" w:cs="宋体"/>
          <w:b/>
          <w:kern w:val="2"/>
          <w:sz w:val="24"/>
          <w:szCs w:val="24"/>
          <w:highlight w:val="none"/>
          <w:lang w:val="en-US" w:eastAsia="zh-CN" w:bidi="ar-SA"/>
        </w:rPr>
        <w:t xml:space="preserve">、项目移交及移交回转 </w:t>
      </w:r>
    </w:p>
    <w:p w14:paraId="63C8D8C0">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20" w:lineRule="exact"/>
        <w:ind w:right="25"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1、本项目移交内容为固定资产（包括但不仅限于设备、设施、工器具）以及无形资产（包括但不仅限于技术文件、资质证书文件）。 </w:t>
      </w:r>
    </w:p>
    <w:p w14:paraId="087157F5">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20" w:lineRule="exact"/>
        <w:ind w:right="25"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2、移交方式：合同签订后，由采购人和中标人共同对固定资产移交</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所谓现状移交是根据合同签约时的现状不动产实物移交，与实物质量、功能和资料能否满足运行和验收要求无关，采购人提供清单，中标人默认接收使用；在接收前十日内，双方共同对固定资产和无形资产进行清点造册并签署移交确认函</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以及无形资产进行清点造册，双方共同签署移交确认函，即视为清点移交终结</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 xml:space="preserve">。如因办理上述移交，涉及相关的费用由中标人承担。 </w:t>
      </w:r>
    </w:p>
    <w:p w14:paraId="250FE0AE">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20" w:lineRule="exact"/>
        <w:ind w:right="25"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3、因采购人原因不能按时移交的，其后果和责任由采购人承担。反之，由中标人负责。 </w:t>
      </w:r>
    </w:p>
    <w:p w14:paraId="26A77DD4">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20" w:lineRule="exact"/>
        <w:ind w:right="25"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4、移交回转内容：本项目设施、设备及工器具等； 与本项目运营有关的手册、制度、技术文件、资格、资质等文件资料；本项目运营期间所产生的记录、档案资料等。 </w:t>
      </w:r>
    </w:p>
    <w:p w14:paraId="56300E1F">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20" w:lineRule="exact"/>
        <w:ind w:right="25"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5、移交回转清单：中标人需在运营期满前 2 个月提交所移交回转的项目清单：如设施、设备、工具、备品备件、技术文件、资质文件等。采购人和中标人根据清单进行清点和复核，清单上所列设施、设备、工具、器材等均应处于可正常使用状态，正常磨损除外。 </w:t>
      </w:r>
    </w:p>
    <w:p w14:paraId="3D76C95C">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20" w:lineRule="exact"/>
        <w:ind w:right="25"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6、移交回转方式：在运营期满前 1 个月内，由采购人会同中标人共同完成本项目的移交回转工作，共同完成有关本项目移交回转内容的清点和复核工作，并签署预移交回转备忘录。双方最终确认完成移交回转工作，将正式签署移交回转备忘录，正式签署移交回转备忘录当天即为运营期满之日，将由采购人的管理人员负责本项目的运营维护工作。如因办理上述移交回转，涉及的相关费用由中标人承担。 </w:t>
      </w:r>
    </w:p>
    <w:p w14:paraId="380CA091">
      <w:pPr>
        <w:keepNext w:val="0"/>
        <w:keepLines w:val="0"/>
        <w:pageBreakBefore w:val="0"/>
        <w:widowControl w:val="0"/>
        <w:kinsoku/>
        <w:wordWrap/>
        <w:overflowPunct/>
        <w:topLinePunct w:val="0"/>
        <w:autoSpaceDE/>
        <w:autoSpaceDN/>
        <w:bidi w:val="0"/>
        <w:snapToGrid/>
        <w:spacing w:line="420" w:lineRule="exact"/>
        <w:ind w:leftChars="0" w:firstLine="480" w:firstLineChars="200"/>
        <w:textAlignment w:val="auto"/>
        <w:rPr>
          <w:rFonts w:hint="eastAsia" w:ascii="宋体" w:hAnsi="宋体" w:eastAsia="宋体" w:cs="宋体"/>
          <w:b/>
          <w:color w:val="000000"/>
          <w:sz w:val="24"/>
          <w:szCs w:val="24"/>
          <w:highlight w:val="none"/>
          <w:lang w:val="en-US" w:eastAsia="zh-CN"/>
        </w:rPr>
      </w:pPr>
      <w:r>
        <w:rPr>
          <w:rFonts w:hint="eastAsia" w:ascii="宋体" w:hAnsi="宋体" w:eastAsia="宋体" w:cs="宋体"/>
          <w:color w:val="auto"/>
          <w:sz w:val="24"/>
          <w:szCs w:val="24"/>
          <w:highlight w:val="none"/>
          <w:lang w:val="en-US" w:eastAsia="zh-CN"/>
        </w:rPr>
        <w:t>7、因采购人原因不能按时移交回转的，其后果和责任由采购人承担。反之，由中标人负责。</w:t>
      </w:r>
    </w:p>
    <w:p w14:paraId="70C9B1CE">
      <w:pPr>
        <w:keepNext w:val="0"/>
        <w:keepLines w:val="0"/>
        <w:pageBreakBefore w:val="0"/>
        <w:widowControl w:val="0"/>
        <w:kinsoku/>
        <w:wordWrap/>
        <w:overflowPunct/>
        <w:topLinePunct w:val="0"/>
        <w:autoSpaceDE/>
        <w:autoSpaceDN/>
        <w:bidi w:val="0"/>
        <w:snapToGrid/>
        <w:spacing w:line="420" w:lineRule="exact"/>
        <w:ind w:left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1"/>
          <w:szCs w:val="21"/>
          <w:highlight w:val="none"/>
        </w:rPr>
        <w:t>▲</w:t>
      </w:r>
      <w:r>
        <w:rPr>
          <w:rFonts w:hint="eastAsia" w:ascii="宋体" w:hAnsi="宋体" w:cs="宋体"/>
          <w:b/>
          <w:color w:val="000000"/>
          <w:sz w:val="24"/>
          <w:szCs w:val="24"/>
          <w:highlight w:val="none"/>
          <w:lang w:val="en-US" w:eastAsia="zh-CN"/>
        </w:rPr>
        <w:t>七</w:t>
      </w:r>
      <w:r>
        <w:rPr>
          <w:rFonts w:hint="eastAsia" w:ascii="宋体" w:hAnsi="宋体" w:eastAsia="宋体" w:cs="宋体"/>
          <w:b/>
          <w:color w:val="000000"/>
          <w:sz w:val="24"/>
          <w:szCs w:val="24"/>
          <w:highlight w:val="none"/>
        </w:rPr>
        <w:t>、</w:t>
      </w:r>
      <w:r>
        <w:rPr>
          <w:rFonts w:hint="eastAsia" w:ascii="宋体" w:hAnsi="宋体" w:eastAsia="宋体" w:cs="宋体"/>
          <w:b/>
          <w:bCs/>
          <w:color w:val="auto"/>
          <w:sz w:val="24"/>
          <w:szCs w:val="24"/>
          <w:highlight w:val="none"/>
          <w:lang w:val="en-US" w:eastAsia="zh-CN"/>
        </w:rPr>
        <w:t>监督检查</w:t>
      </w:r>
    </w:p>
    <w:p w14:paraId="268217E5">
      <w:pPr>
        <w:keepNext w:val="0"/>
        <w:keepLines w:val="0"/>
        <w:pageBreakBefore w:val="0"/>
        <w:widowControl w:val="0"/>
        <w:kinsoku/>
        <w:wordWrap/>
        <w:overflowPunct/>
        <w:topLinePunct w:val="0"/>
        <w:autoSpaceDE/>
        <w:autoSpaceDN/>
        <w:bidi w:val="0"/>
        <w:snapToGrid/>
        <w:spacing w:line="420" w:lineRule="exact"/>
        <w:ind w:leftChars="0" w:firstLine="480" w:firstLineChars="200"/>
        <w:textAlignment w:val="auto"/>
        <w:rPr>
          <w:rFonts w:hint="eastAsia" w:ascii="宋体" w:hAnsi="宋体" w:eastAsia="宋体" w:cs="宋体"/>
          <w:bCs/>
          <w:kern w:val="0"/>
          <w:sz w:val="24"/>
          <w:szCs w:val="24"/>
          <w:highlight w:val="none"/>
          <w:lang w:val="en-US" w:eastAsia="zh-CN" w:bidi="ar-SA"/>
        </w:rPr>
      </w:pPr>
      <w:r>
        <w:rPr>
          <w:rFonts w:hint="eastAsia" w:ascii="宋体" w:hAnsi="宋体" w:eastAsia="宋体" w:cs="宋体"/>
          <w:bCs/>
          <w:kern w:val="0"/>
          <w:sz w:val="24"/>
          <w:szCs w:val="24"/>
          <w:highlight w:val="none"/>
          <w:lang w:val="en-US" w:eastAsia="zh-CN" w:bidi="ar-SA"/>
        </w:rPr>
        <w:t>1、成交供应商在投标书中承诺的所有事项在中标后均纳入双方的履约内容。如因成交供应商原因未按投标文件要求履约到位，</w:t>
      </w:r>
      <w:r>
        <w:rPr>
          <w:rFonts w:hint="eastAsia" w:ascii="宋体" w:hAnsi="宋体" w:cs="宋体"/>
          <w:bCs/>
          <w:kern w:val="0"/>
          <w:sz w:val="24"/>
          <w:szCs w:val="24"/>
          <w:highlight w:val="none"/>
          <w:lang w:val="en-US" w:eastAsia="zh-CN" w:bidi="ar-SA"/>
        </w:rPr>
        <w:t>采购人</w:t>
      </w:r>
      <w:r>
        <w:rPr>
          <w:rFonts w:hint="eastAsia" w:ascii="宋体" w:hAnsi="宋体" w:eastAsia="宋体" w:cs="宋体"/>
          <w:bCs/>
          <w:kern w:val="0"/>
          <w:sz w:val="24"/>
          <w:szCs w:val="24"/>
          <w:highlight w:val="none"/>
          <w:lang w:val="en-US" w:eastAsia="zh-CN" w:bidi="ar-SA"/>
        </w:rPr>
        <w:t>有权终止合同并没收其全部履约保证金，履约保证金不足以赔偿损失的，按实际损失赔偿。</w:t>
      </w:r>
    </w:p>
    <w:p w14:paraId="02C1E527">
      <w:pPr>
        <w:keepNext w:val="0"/>
        <w:keepLines w:val="0"/>
        <w:pageBreakBefore w:val="0"/>
        <w:widowControl w:val="0"/>
        <w:kinsoku/>
        <w:wordWrap/>
        <w:overflowPunct/>
        <w:topLinePunct w:val="0"/>
        <w:autoSpaceDE/>
        <w:autoSpaceDN/>
        <w:bidi w:val="0"/>
        <w:snapToGrid/>
        <w:spacing w:line="420" w:lineRule="exact"/>
        <w:ind w:leftChars="0" w:firstLine="480" w:firstLineChars="200"/>
        <w:textAlignment w:val="auto"/>
        <w:rPr>
          <w:rFonts w:hint="eastAsia" w:ascii="宋体" w:hAnsi="宋体" w:eastAsia="宋体" w:cs="宋体"/>
          <w:bCs/>
          <w:kern w:val="0"/>
          <w:sz w:val="24"/>
          <w:szCs w:val="24"/>
          <w:highlight w:val="none"/>
          <w:lang w:val="en-US" w:eastAsia="zh-CN" w:bidi="ar-SA"/>
        </w:rPr>
      </w:pPr>
      <w:r>
        <w:rPr>
          <w:rFonts w:hint="eastAsia" w:ascii="宋体" w:hAnsi="宋体" w:eastAsia="宋体" w:cs="宋体"/>
          <w:bCs/>
          <w:kern w:val="0"/>
          <w:sz w:val="24"/>
          <w:szCs w:val="24"/>
          <w:highlight w:val="none"/>
          <w:lang w:val="en-US" w:eastAsia="zh-CN" w:bidi="ar-SA"/>
        </w:rPr>
        <w:t>2、项目实施过程中，</w:t>
      </w:r>
      <w:r>
        <w:rPr>
          <w:rFonts w:hint="eastAsia" w:ascii="宋体" w:hAnsi="宋体" w:cs="宋体"/>
          <w:bCs/>
          <w:kern w:val="0"/>
          <w:sz w:val="24"/>
          <w:szCs w:val="24"/>
          <w:highlight w:val="none"/>
          <w:lang w:val="en-US" w:eastAsia="zh-CN" w:bidi="ar-SA"/>
        </w:rPr>
        <w:t>采购人</w:t>
      </w:r>
      <w:r>
        <w:rPr>
          <w:rFonts w:hint="eastAsia" w:ascii="宋体" w:hAnsi="宋体" w:eastAsia="宋体" w:cs="宋体"/>
          <w:bCs/>
          <w:kern w:val="0"/>
          <w:sz w:val="24"/>
          <w:szCs w:val="24"/>
          <w:highlight w:val="none"/>
          <w:lang w:val="en-US" w:eastAsia="zh-CN" w:bidi="ar-SA"/>
        </w:rPr>
        <w:t>会组织相关人员对各服务中心、照料中心及居家养老上门服务实施情况进行定期、不定期和年度综合的检查，以此评定实施质量。</w:t>
      </w:r>
    </w:p>
    <w:p w14:paraId="6A14C82C">
      <w:pPr>
        <w:keepNext w:val="0"/>
        <w:keepLines w:val="0"/>
        <w:pageBreakBefore w:val="0"/>
        <w:widowControl w:val="0"/>
        <w:kinsoku/>
        <w:wordWrap/>
        <w:overflowPunct/>
        <w:topLinePunct w:val="0"/>
        <w:autoSpaceDE/>
        <w:autoSpaceDN/>
        <w:bidi w:val="0"/>
        <w:snapToGrid/>
        <w:spacing w:line="420" w:lineRule="exact"/>
        <w:ind w:leftChars="0" w:firstLine="480" w:firstLineChars="200"/>
        <w:textAlignment w:val="auto"/>
        <w:rPr>
          <w:rFonts w:hint="eastAsia" w:ascii="宋体" w:hAnsi="宋体" w:eastAsia="宋体" w:cs="宋体"/>
          <w:bCs/>
          <w:kern w:val="0"/>
          <w:sz w:val="24"/>
          <w:szCs w:val="24"/>
          <w:highlight w:val="none"/>
          <w:lang w:val="en-US" w:eastAsia="zh-CN" w:bidi="ar-SA"/>
        </w:rPr>
      </w:pPr>
      <w:r>
        <w:rPr>
          <w:rFonts w:hint="eastAsia" w:ascii="宋体" w:hAnsi="宋体" w:eastAsia="宋体" w:cs="宋体"/>
          <w:bCs/>
          <w:kern w:val="0"/>
          <w:sz w:val="24"/>
          <w:szCs w:val="24"/>
          <w:highlight w:val="none"/>
          <w:lang w:val="en-US" w:eastAsia="zh-CN" w:bidi="ar-SA"/>
        </w:rPr>
        <w:t>3、检查说明：对</w:t>
      </w:r>
      <w:r>
        <w:rPr>
          <w:rFonts w:hint="eastAsia" w:ascii="宋体" w:hAnsi="宋体" w:cs="宋体"/>
          <w:bCs/>
          <w:kern w:val="0"/>
          <w:sz w:val="24"/>
          <w:szCs w:val="24"/>
          <w:highlight w:val="none"/>
          <w:lang w:val="en-US" w:eastAsia="zh-CN" w:bidi="ar-SA"/>
        </w:rPr>
        <w:t>街道级居家养老服务中心</w:t>
      </w:r>
      <w:r>
        <w:rPr>
          <w:rFonts w:hint="eastAsia" w:ascii="宋体" w:hAnsi="宋体" w:eastAsia="宋体" w:cs="宋体"/>
          <w:bCs/>
          <w:kern w:val="0"/>
          <w:sz w:val="24"/>
          <w:szCs w:val="24"/>
          <w:highlight w:val="none"/>
          <w:lang w:val="en-US" w:eastAsia="zh-CN" w:bidi="ar-SA"/>
        </w:rPr>
        <w:t>进行一年至少10次的日常检查及年度综合检查；对照料中心进行一年至少10次日常随机抽查及年度综合检查，对居家养老上门服务实施情况进行一年至少10次日常随机抽查及年度综合检查。</w:t>
      </w:r>
    </w:p>
    <w:p w14:paraId="441C8F49">
      <w:pPr>
        <w:keepNext w:val="0"/>
        <w:keepLines w:val="0"/>
        <w:pageBreakBefore w:val="0"/>
        <w:widowControl w:val="0"/>
        <w:kinsoku/>
        <w:wordWrap/>
        <w:overflowPunct/>
        <w:topLinePunct w:val="0"/>
        <w:autoSpaceDE/>
        <w:autoSpaceDN/>
        <w:bidi w:val="0"/>
        <w:snapToGrid/>
        <w:spacing w:line="420" w:lineRule="exact"/>
        <w:ind w:leftChars="0" w:firstLine="480" w:firstLineChars="200"/>
        <w:textAlignment w:val="auto"/>
        <w:rPr>
          <w:rFonts w:hint="eastAsia" w:ascii="宋体" w:hAnsi="宋体" w:eastAsia="宋体" w:cs="宋体"/>
          <w:bCs/>
          <w:kern w:val="0"/>
          <w:sz w:val="24"/>
          <w:szCs w:val="24"/>
          <w:highlight w:val="none"/>
          <w:lang w:val="en-US" w:eastAsia="zh-CN" w:bidi="ar-SA"/>
        </w:rPr>
      </w:pPr>
      <w:r>
        <w:rPr>
          <w:rFonts w:hint="eastAsia" w:ascii="宋体" w:hAnsi="宋体" w:eastAsia="宋体" w:cs="宋体"/>
          <w:bCs/>
          <w:kern w:val="0"/>
          <w:sz w:val="24"/>
          <w:szCs w:val="24"/>
          <w:highlight w:val="none"/>
          <w:lang w:val="en-US" w:eastAsia="zh-CN" w:bidi="ar-SA"/>
        </w:rPr>
        <w:t>4、发现不符合服务条款的，每发现一次罚款1000元，未及时整改</w:t>
      </w:r>
      <w:r>
        <w:rPr>
          <w:rFonts w:hint="eastAsia" w:ascii="宋体" w:hAnsi="宋体" w:cs="宋体"/>
          <w:bCs/>
          <w:kern w:val="0"/>
          <w:sz w:val="24"/>
          <w:szCs w:val="24"/>
          <w:highlight w:val="none"/>
          <w:lang w:val="en-US" w:eastAsia="zh-CN" w:bidi="ar-SA"/>
        </w:rPr>
        <w:t>加处</w:t>
      </w:r>
      <w:r>
        <w:rPr>
          <w:rFonts w:hint="eastAsia" w:ascii="宋体" w:hAnsi="宋体" w:eastAsia="宋体" w:cs="宋体"/>
          <w:bCs/>
          <w:kern w:val="0"/>
          <w:sz w:val="24"/>
          <w:szCs w:val="24"/>
          <w:highlight w:val="none"/>
          <w:lang w:val="en-US" w:eastAsia="zh-CN" w:bidi="ar-SA"/>
        </w:rPr>
        <w:t>罚款2000元；投诉工作人员不按要求服务的，经查实，每例罚款500元；以上各项罚款在合同结算款中扣除，每次检查如发现超过3例不符合服务条款的，</w:t>
      </w:r>
      <w:r>
        <w:rPr>
          <w:rFonts w:hint="eastAsia" w:ascii="宋体" w:hAnsi="宋体" w:cs="宋体"/>
          <w:bCs/>
          <w:kern w:val="0"/>
          <w:sz w:val="24"/>
          <w:szCs w:val="24"/>
          <w:highlight w:val="none"/>
          <w:lang w:val="en-US" w:eastAsia="zh-CN" w:bidi="ar-SA"/>
        </w:rPr>
        <w:t>采购人</w:t>
      </w:r>
      <w:r>
        <w:rPr>
          <w:rFonts w:hint="eastAsia" w:ascii="宋体" w:hAnsi="宋体" w:eastAsia="宋体" w:cs="宋体"/>
          <w:bCs/>
          <w:kern w:val="0"/>
          <w:sz w:val="24"/>
          <w:szCs w:val="24"/>
          <w:highlight w:val="none"/>
          <w:lang w:val="en-US" w:eastAsia="zh-CN" w:bidi="ar-SA"/>
        </w:rPr>
        <w:t>有权解除合同。</w:t>
      </w:r>
    </w:p>
    <w:p w14:paraId="50FC6B0F">
      <w:pPr>
        <w:keepNext w:val="0"/>
        <w:keepLines w:val="0"/>
        <w:pageBreakBefore w:val="0"/>
        <w:widowControl w:val="0"/>
        <w:kinsoku/>
        <w:wordWrap/>
        <w:overflowPunct/>
        <w:topLinePunct w:val="0"/>
        <w:autoSpaceDE/>
        <w:autoSpaceDN/>
        <w:bidi w:val="0"/>
        <w:snapToGrid/>
        <w:spacing w:line="420" w:lineRule="exact"/>
        <w:ind w:leftChars="0"/>
        <w:textAlignment w:val="auto"/>
        <w:rPr>
          <w:rFonts w:hint="eastAsia" w:ascii="宋体" w:hAnsi="宋体" w:eastAsia="宋体" w:cs="宋体"/>
          <w:b/>
          <w:kern w:val="2"/>
          <w:sz w:val="24"/>
          <w:szCs w:val="24"/>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w:t>
      </w:r>
      <w:r>
        <w:rPr>
          <w:rFonts w:hint="eastAsia" w:ascii="宋体" w:hAnsi="宋体" w:eastAsia="宋体" w:cs="宋体"/>
          <w:b/>
          <w:kern w:val="2"/>
          <w:sz w:val="24"/>
          <w:szCs w:val="24"/>
          <w:highlight w:val="none"/>
          <w:lang w:val="en-US" w:eastAsia="zh-CN" w:bidi="ar-SA"/>
        </w:rPr>
        <w:t xml:space="preserve">其他要求 </w:t>
      </w:r>
    </w:p>
    <w:p w14:paraId="37315FF8">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20" w:lineRule="exact"/>
        <w:ind w:right="25"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1、若遇突击检查等特殊情况，成交供应商须无条件配合采购人完成相应工作。 </w:t>
      </w:r>
    </w:p>
    <w:p w14:paraId="40B8345F">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20" w:lineRule="exact"/>
        <w:ind w:right="25"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2、成交供应商需配备一体化养老服务后台系统并在服务期内提供系统免费服务，成交供应商不得收取任何费用。</w:t>
      </w:r>
    </w:p>
    <w:p w14:paraId="62ECA9C5">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20" w:lineRule="exact"/>
        <w:ind w:right="25"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3、责任界定 </w:t>
      </w:r>
    </w:p>
    <w:p w14:paraId="035E58B6">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20" w:lineRule="exact"/>
        <w:ind w:right="25"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成交供应商须按国家有关规定为工作人员购买工伤保险、社会保险及人身意外伤害保险等与居家养老服务网点运营及老省心综合体托管运营有关的一切保险。要求工伤保险应保尽保，人身意外伤害险全覆盖，纳入考核。因未办理作业人员保险引起的纠纷投诉等，由投标人自行承担，与采购人无关。</w:t>
      </w:r>
    </w:p>
    <w:p w14:paraId="2FA4AFE4">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20" w:lineRule="exact"/>
        <w:ind w:right="25"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成交供应商须按有关规定采取严格的工作安全措施，承担由于自身安全措施不力造成的事故责任和因此发生的费用及后果。运维管理过程产生的所有安全事故（含意外风险事故）以及因事故引发的一切法律和经济责任均由成交供应商承担，与采购人无关，采购人有权没收其履约保证金并无条件终止合同，并要求依法补偿造成的经济损失。 </w:t>
      </w:r>
    </w:p>
    <w:p w14:paraId="1BEB68FF">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20" w:lineRule="exact"/>
        <w:ind w:right="25"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成交供应商应严格执行各项国家地方有关法律法规规定，实施严格的各类作业安全防护保证措施，做好安全工作。成交供应商因经营管理失职造成人身损害事故及其他安全事故，一切法律和经济责任均由成交供应商承担，与采购人无关，采购人有权没收其履约保证金并无条件终止合同，并要求依法补偿造成的经济损失。 </w:t>
      </w:r>
    </w:p>
    <w:p w14:paraId="26C62C5B">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20" w:lineRule="exact"/>
        <w:ind w:right="25"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（4）因成交供应商的劳动用工、提供服务或其服务领域发生因人身财产损害等所引发的一切纠纷和法律责任均由成交供应商承担，与采购人无关，保证不对采购人造成任何负面影响。 </w:t>
      </w:r>
    </w:p>
    <w:p w14:paraId="6959E845">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20" w:lineRule="exact"/>
        <w:ind w:right="25"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5）服务期内，成交供应商应保证服务责任区域内的设施、设备良好的运营状况和环境状况，并接受采购人或其授权人员的检查，对由成交供应商养护不当、操作失误等引起或造成设施、设备的损坏，由成交供应商全额赔偿。 </w:t>
      </w:r>
    </w:p>
    <w:p w14:paraId="0FA76205">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20" w:lineRule="exact"/>
        <w:ind w:right="25"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（6）服务期内，如成交供应商因管理不善或其他原因无法提供服务，必须提前 1 个月向采购人提交书面情况说明，征得采购人同意后方可解除合同，否则采购人有权没收其履约保证金并无条件终止合同，并要求依法补偿造成的经济损失。 </w:t>
      </w:r>
    </w:p>
    <w:p w14:paraId="0C421DDC">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20" w:lineRule="exact"/>
        <w:ind w:right="25"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 xml:space="preserve">、成交供应商服务达不到采购文件要求或投标时各项服务承诺，采购人有权要求其整改，拒不整改的，采购人有权没收其履约保证金并无条件终止合同，并要求依法补偿造成的经济损失。 </w:t>
      </w:r>
    </w:p>
    <w:p w14:paraId="6505B04E">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20" w:lineRule="exact"/>
        <w:ind w:right="25"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 xml:space="preserve">、合同结束后，成交供应商须按采购人要求交还原有设备。由成交供应商养护不当、操作失误等引起或造成设施、设备的损坏，由成交供应商全额赔偿。 </w:t>
      </w:r>
    </w:p>
    <w:p w14:paraId="63C4D0CE">
      <w:pPr>
        <w:pStyle w:val="56"/>
        <w:keepNext w:val="0"/>
        <w:keepLines w:val="0"/>
        <w:pageBreakBefore w:val="0"/>
        <w:widowControl/>
        <w:tabs>
          <w:tab w:val="left" w:pos="765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、服务期内，如成交供应商所派人员不能满足实际正常运行需要的，成交供应商须根据实际需要增派人员，相关费用在投标报价时综合考虑，采购人不再另行支付。</w:t>
      </w:r>
    </w:p>
    <w:p w14:paraId="453ECE75">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lang w:val="en-US" w:eastAsia="zh-CN"/>
        </w:rPr>
        <w:t>、成交供应商</w:t>
      </w:r>
      <w:r>
        <w:rPr>
          <w:rFonts w:hint="eastAsia" w:ascii="宋体" w:hAnsi="宋体" w:eastAsia="宋体" w:cs="宋体"/>
          <w:bCs/>
          <w:color w:val="auto"/>
          <w:sz w:val="24"/>
          <w:szCs w:val="24"/>
          <w:highlight w:val="none"/>
        </w:rPr>
        <w:t>须采用</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台州智慧养老服务监管平台”或指定的其他平台</w:t>
      </w:r>
      <w:r>
        <w:rPr>
          <w:rFonts w:hint="eastAsia" w:ascii="宋体" w:hAnsi="宋体" w:eastAsia="宋体" w:cs="宋体"/>
          <w:bCs/>
          <w:color w:val="auto"/>
          <w:sz w:val="24"/>
          <w:szCs w:val="24"/>
          <w:highlight w:val="none"/>
          <w:lang w:eastAsia="zh-CN"/>
        </w:rPr>
        <w:t>开展业务</w:t>
      </w:r>
      <w:r>
        <w:rPr>
          <w:rFonts w:hint="eastAsia" w:ascii="宋体" w:hAnsi="宋体" w:eastAsia="宋体" w:cs="宋体"/>
          <w:bCs/>
          <w:color w:val="auto"/>
          <w:sz w:val="24"/>
          <w:szCs w:val="24"/>
          <w:highlight w:val="none"/>
          <w:lang w:val="en-US" w:eastAsia="zh-CN"/>
        </w:rPr>
        <w:t>。</w:t>
      </w:r>
    </w:p>
    <w:p w14:paraId="7985D85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Cs/>
          <w:color w:val="auto"/>
          <w:sz w:val="24"/>
          <w:szCs w:val="24"/>
          <w:highlight w:val="none"/>
          <w:u w:val="none"/>
        </w:rPr>
      </w:pPr>
      <w:r>
        <w:rPr>
          <w:rFonts w:hint="eastAsia" w:ascii="宋体" w:hAnsi="宋体" w:cs="宋体"/>
          <w:bCs/>
          <w:color w:val="auto"/>
          <w:sz w:val="24"/>
          <w:szCs w:val="24"/>
          <w:highlight w:val="none"/>
          <w:u w:val="none"/>
          <w:lang w:val="en-US" w:eastAsia="zh-CN"/>
        </w:rPr>
        <w:t>8</w:t>
      </w:r>
      <w:r>
        <w:rPr>
          <w:rFonts w:hint="eastAsia" w:ascii="宋体" w:hAnsi="宋体" w:eastAsia="宋体" w:cs="宋体"/>
          <w:bCs/>
          <w:color w:val="auto"/>
          <w:sz w:val="24"/>
          <w:szCs w:val="24"/>
          <w:highlight w:val="none"/>
          <w:u w:val="none"/>
          <w:lang w:val="en-US" w:eastAsia="zh-CN"/>
        </w:rPr>
        <w:t>、</w:t>
      </w:r>
      <w:r>
        <w:rPr>
          <w:rFonts w:hint="eastAsia" w:ascii="宋体" w:hAnsi="宋体" w:eastAsia="宋体" w:cs="宋体"/>
          <w:bCs/>
          <w:color w:val="auto"/>
          <w:sz w:val="24"/>
          <w:szCs w:val="24"/>
          <w:highlight w:val="none"/>
          <w:u w:val="none"/>
          <w:lang w:eastAsia="zh-CN"/>
        </w:rPr>
        <w:t>成交供应商</w:t>
      </w:r>
      <w:r>
        <w:rPr>
          <w:rFonts w:hint="eastAsia" w:ascii="宋体" w:hAnsi="宋体" w:eastAsia="宋体" w:cs="宋体"/>
          <w:bCs/>
          <w:color w:val="auto"/>
          <w:sz w:val="24"/>
          <w:szCs w:val="24"/>
          <w:highlight w:val="none"/>
          <w:u w:val="none"/>
          <w:lang w:val="en-US" w:eastAsia="zh-CN"/>
        </w:rPr>
        <w:t>每月</w:t>
      </w:r>
      <w:r>
        <w:rPr>
          <w:rFonts w:hint="eastAsia" w:ascii="宋体" w:hAnsi="宋体" w:eastAsia="宋体" w:cs="宋体"/>
          <w:bCs/>
          <w:color w:val="auto"/>
          <w:sz w:val="24"/>
          <w:szCs w:val="24"/>
          <w:highlight w:val="none"/>
          <w:u w:val="none"/>
          <w:lang w:eastAsia="zh-CN"/>
        </w:rPr>
        <w:t>须及时更新服务老人数量、现居住地、死亡信息等重要信息</w:t>
      </w:r>
      <w:r>
        <w:rPr>
          <w:rFonts w:hint="eastAsia" w:ascii="宋体" w:hAnsi="宋体" w:eastAsia="宋体" w:cs="宋体"/>
          <w:bCs/>
          <w:color w:val="auto"/>
          <w:sz w:val="24"/>
          <w:szCs w:val="24"/>
          <w:highlight w:val="none"/>
          <w:u w:val="none"/>
        </w:rPr>
        <w:t>。</w:t>
      </w:r>
    </w:p>
    <w:p w14:paraId="252C490F">
      <w:pPr>
        <w:pStyle w:val="48"/>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b w:val="0"/>
          <w:bCs w:val="0"/>
          <w:color w:val="auto"/>
          <w:kern w:val="0"/>
          <w:sz w:val="24"/>
          <w:szCs w:val="24"/>
          <w:highlight w:val="none"/>
          <w:shd w:val="clear" w:color="auto" w:fill="FFFFFF"/>
          <w:lang w:val="en-US" w:eastAsia="zh-CN" w:bidi="ar-SA"/>
        </w:rPr>
        <w:t>9</w:t>
      </w:r>
      <w:r>
        <w:rPr>
          <w:rFonts w:hint="eastAsia" w:ascii="宋体" w:hAnsi="宋体" w:eastAsia="宋体" w:cs="宋体"/>
          <w:b w:val="0"/>
          <w:bCs w:val="0"/>
          <w:color w:val="auto"/>
          <w:kern w:val="0"/>
          <w:sz w:val="24"/>
          <w:szCs w:val="24"/>
          <w:highlight w:val="none"/>
          <w:shd w:val="clear" w:color="auto" w:fill="FFFFFF"/>
          <w:lang w:val="en-US" w:eastAsia="zh-CN" w:bidi="ar-SA"/>
        </w:rPr>
        <w:t>、如因政策变更引起服务项目调整，双方友好协商解决。</w:t>
      </w:r>
    </w:p>
    <w:p w14:paraId="41DC1597">
      <w:pPr>
        <w:keepNext w:val="0"/>
        <w:keepLines w:val="0"/>
        <w:pageBreakBefore w:val="0"/>
        <w:widowControl w:val="0"/>
        <w:kinsoku/>
        <w:wordWrap/>
        <w:overflowPunct/>
        <w:topLinePunct w:val="0"/>
        <w:autoSpaceDE/>
        <w:autoSpaceDN/>
        <w:bidi w:val="0"/>
        <w:snapToGrid/>
        <w:spacing w:line="420" w:lineRule="exact"/>
        <w:ind w:leftChars="0"/>
        <w:textAlignment w:val="auto"/>
        <w:rPr>
          <w:rFonts w:hint="eastAsia" w:ascii="宋体" w:hAnsi="宋体" w:eastAsia="宋体" w:cs="宋体"/>
          <w:b/>
          <w:bCs/>
          <w:color w:val="000000"/>
          <w:sz w:val="24"/>
          <w:szCs w:val="24"/>
          <w:highlight w:val="none"/>
          <w:shd w:val="clear" w:color="auto" w:fill="FFFFFF"/>
        </w:rPr>
      </w:pPr>
      <w:r>
        <w:rPr>
          <w:rFonts w:hint="eastAsia" w:ascii="宋体" w:hAnsi="宋体" w:eastAsia="宋体" w:cs="宋体"/>
          <w:color w:val="auto"/>
          <w:sz w:val="21"/>
          <w:szCs w:val="21"/>
          <w:highlight w:val="none"/>
        </w:rPr>
        <w:t>▲</w:t>
      </w:r>
      <w:r>
        <w:rPr>
          <w:rFonts w:hint="eastAsia" w:ascii="宋体" w:hAnsi="宋体" w:eastAsia="宋体" w:cs="宋体"/>
          <w:b/>
          <w:bCs/>
          <w:sz w:val="24"/>
          <w:szCs w:val="24"/>
          <w:highlight w:val="none"/>
          <w:lang w:val="en-US" w:eastAsia="zh-CN"/>
        </w:rPr>
        <w:t>九</w:t>
      </w:r>
      <w:r>
        <w:rPr>
          <w:rFonts w:hint="eastAsia" w:ascii="宋体" w:hAnsi="宋体" w:eastAsia="宋体" w:cs="宋体"/>
          <w:b/>
          <w:bCs/>
          <w:color w:val="000000"/>
          <w:sz w:val="24"/>
          <w:szCs w:val="24"/>
          <w:highlight w:val="none"/>
        </w:rPr>
        <w:t>、</w:t>
      </w:r>
      <w:r>
        <w:rPr>
          <w:rFonts w:hint="eastAsia" w:ascii="宋体" w:hAnsi="宋体" w:eastAsia="宋体" w:cs="宋体"/>
          <w:b/>
          <w:color w:val="auto"/>
          <w:sz w:val="24"/>
          <w:szCs w:val="24"/>
          <w:highlight w:val="none"/>
          <w:lang w:val="en-US" w:eastAsia="zh-CN"/>
        </w:rPr>
        <w:t>商务需求</w:t>
      </w:r>
    </w:p>
    <w:p w14:paraId="7A515871">
      <w:pPr>
        <w:keepNext w:val="0"/>
        <w:keepLines w:val="0"/>
        <w:pageBreakBefore w:val="0"/>
        <w:widowControl w:val="0"/>
        <w:kinsoku/>
        <w:wordWrap/>
        <w:overflowPunct/>
        <w:topLinePunct w:val="0"/>
        <w:autoSpaceDE/>
        <w:autoSpaceDN/>
        <w:bidi w:val="0"/>
        <w:adjustRightInd w:val="0"/>
        <w:snapToGrid/>
        <w:spacing w:line="420" w:lineRule="exact"/>
        <w:ind w:leftChars="0"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1</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eastAsia="zh-CN"/>
        </w:rPr>
        <w:t>服务期限：</w:t>
      </w:r>
      <w:r>
        <w:rPr>
          <w:rFonts w:hint="eastAsia" w:ascii="宋体" w:hAnsi="宋体" w:cs="宋体"/>
          <w:b w:val="0"/>
          <w:bCs/>
          <w:sz w:val="24"/>
          <w:szCs w:val="24"/>
          <w:highlight w:val="none"/>
          <w:lang w:val="en-US" w:eastAsia="zh-CN"/>
        </w:rPr>
        <w:t>三年（采用1+1+1模式），合同一年一签。在签约合同服务期满一个月前，采购人将视中标人在合同服务期内的工作表现，且项目内容和资金符合采购预算安排或要求，可将合同承包期续签1年，最多续签2次，如采购人决定不再续签，不视为违约。（若该年度服务期限未满，项目采购金额累计达到预算价时，采购人有权提前终止。）</w:t>
      </w:r>
    </w:p>
    <w:p w14:paraId="4991AB0D">
      <w:pPr>
        <w:keepNext w:val="0"/>
        <w:keepLines w:val="0"/>
        <w:pageBreakBefore w:val="0"/>
        <w:widowControl w:val="0"/>
        <w:kinsoku/>
        <w:wordWrap/>
        <w:overflowPunct/>
        <w:topLinePunct w:val="0"/>
        <w:autoSpaceDE/>
        <w:autoSpaceDN/>
        <w:bidi w:val="0"/>
        <w:adjustRightInd w:val="0"/>
        <w:snapToGrid/>
        <w:spacing w:line="420" w:lineRule="exact"/>
        <w:ind w:leftChars="0" w:firstLine="482" w:firstLineChars="200"/>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2</w:t>
      </w:r>
      <w:r>
        <w:rPr>
          <w:rFonts w:hint="eastAsia" w:ascii="宋体" w:hAnsi="宋体" w:eastAsia="宋体" w:cs="宋体"/>
          <w:b/>
          <w:bCs/>
          <w:kern w:val="2"/>
          <w:sz w:val="24"/>
          <w:szCs w:val="24"/>
          <w:highlight w:val="none"/>
        </w:rPr>
        <w:t>、</w:t>
      </w:r>
      <w:r>
        <w:rPr>
          <w:rFonts w:hint="eastAsia" w:ascii="宋体" w:hAnsi="宋体" w:cs="宋体"/>
          <w:b/>
          <w:bCs/>
          <w:sz w:val="24"/>
          <w:szCs w:val="24"/>
          <w:highlight w:val="none"/>
          <w:lang w:val="en-US" w:eastAsia="zh-CN"/>
        </w:rPr>
        <w:t>结算方式</w:t>
      </w:r>
      <w:r>
        <w:rPr>
          <w:rFonts w:hint="eastAsia" w:ascii="宋体" w:hAnsi="宋体" w:eastAsia="宋体" w:cs="宋体"/>
          <w:b/>
          <w:bCs/>
          <w:sz w:val="24"/>
          <w:szCs w:val="24"/>
          <w:highlight w:val="none"/>
        </w:rPr>
        <w:t>：</w:t>
      </w:r>
    </w:p>
    <w:p w14:paraId="3FAD8605">
      <w:pPr>
        <w:keepNext w:val="0"/>
        <w:keepLines w:val="0"/>
        <w:pageBreakBefore w:val="0"/>
        <w:shd w:val="clear" w:color="auto" w:fill="auto"/>
        <w:kinsoku/>
        <w:wordWrap/>
        <w:overflowPunct/>
        <w:topLinePunct w:val="0"/>
        <w:bidi w:val="0"/>
        <w:snapToGrid/>
        <w:spacing w:line="420" w:lineRule="exact"/>
        <w:ind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合同生效</w:t>
      </w:r>
      <w:r>
        <w:rPr>
          <w:rFonts w:hint="eastAsia" w:ascii="宋体" w:hAnsi="宋体" w:cs="宋体"/>
          <w:b w:val="0"/>
          <w:bCs w:val="0"/>
          <w:color w:val="000000"/>
          <w:sz w:val="24"/>
          <w:szCs w:val="24"/>
          <w:highlight w:val="none"/>
          <w:lang w:val="en-US" w:eastAsia="zh-CN"/>
        </w:rPr>
        <w:t>、</w:t>
      </w:r>
      <w:r>
        <w:rPr>
          <w:rFonts w:hint="eastAsia" w:ascii="宋体" w:hAnsi="宋体" w:eastAsia="宋体" w:cs="宋体"/>
          <w:b w:val="0"/>
          <w:bCs w:val="0"/>
          <w:color w:val="000000"/>
          <w:sz w:val="24"/>
          <w:szCs w:val="24"/>
          <w:highlight w:val="none"/>
          <w:lang w:val="en-US" w:eastAsia="zh-CN"/>
        </w:rPr>
        <w:t>具备实施条件</w:t>
      </w:r>
      <w:r>
        <w:rPr>
          <w:rFonts w:hint="eastAsia" w:ascii="宋体" w:hAnsi="宋体" w:cs="宋体"/>
          <w:b w:val="0"/>
          <w:bCs w:val="0"/>
          <w:color w:val="000000"/>
          <w:sz w:val="24"/>
          <w:szCs w:val="24"/>
          <w:highlight w:val="none"/>
          <w:lang w:val="en-US" w:eastAsia="zh-CN"/>
        </w:rPr>
        <w:t>并</w:t>
      </w:r>
      <w:r>
        <w:rPr>
          <w:rFonts w:hint="eastAsia" w:ascii="宋体" w:hAnsi="宋体" w:cs="宋体"/>
          <w:color w:val="auto"/>
          <w:sz w:val="24"/>
          <w:szCs w:val="24"/>
          <w:highlight w:val="none"/>
          <w:lang w:val="en-US" w:eastAsia="zh-CN"/>
        </w:rPr>
        <w:t>待上级资金拨付到位后于10个工作日内支付</w:t>
      </w:r>
      <w:r>
        <w:rPr>
          <w:rFonts w:hint="eastAsia" w:ascii="宋体" w:hAnsi="宋体" w:eastAsia="宋体" w:cs="宋体"/>
          <w:b w:val="0"/>
          <w:bCs w:val="0"/>
          <w:color w:val="000000"/>
          <w:sz w:val="24"/>
          <w:szCs w:val="24"/>
          <w:highlight w:val="none"/>
          <w:lang w:val="en-US" w:eastAsia="zh-CN"/>
        </w:rPr>
        <w:t>居家养老服务（照料）中心托管运营服务金额的40%作为预付款</w:t>
      </w:r>
      <w:r>
        <w:rPr>
          <w:rFonts w:hint="eastAsia" w:ascii="宋体" w:hAnsi="宋体" w:eastAsia="宋体" w:cs="宋体"/>
          <w:b w:val="0"/>
          <w:bCs w:val="0"/>
          <w:strike w:val="0"/>
          <w:dstrike w:val="0"/>
          <w:color w:val="000000"/>
          <w:sz w:val="24"/>
          <w:szCs w:val="24"/>
          <w:highlight w:val="none"/>
          <w:lang w:val="en-US" w:eastAsia="zh-CN"/>
        </w:rPr>
        <w:t>（</w:t>
      </w:r>
      <w:r>
        <w:rPr>
          <w:rFonts w:hint="eastAsia" w:ascii="宋体" w:hAnsi="宋体" w:cs="宋体"/>
          <w:b w:val="0"/>
          <w:bCs w:val="0"/>
          <w:strike w:val="0"/>
          <w:dstrike w:val="0"/>
          <w:color w:val="000000"/>
          <w:sz w:val="24"/>
          <w:szCs w:val="24"/>
          <w:highlight w:val="none"/>
          <w:lang w:val="en-US" w:eastAsia="zh-CN"/>
        </w:rPr>
        <w:t>街道级</w:t>
      </w:r>
      <w:r>
        <w:rPr>
          <w:rFonts w:hint="eastAsia" w:ascii="宋体" w:hAnsi="宋体" w:eastAsia="宋体" w:cs="宋体"/>
          <w:b w:val="0"/>
          <w:bCs w:val="0"/>
          <w:strike w:val="0"/>
          <w:dstrike w:val="0"/>
          <w:color w:val="000000"/>
          <w:sz w:val="24"/>
          <w:szCs w:val="24"/>
          <w:highlight w:val="none"/>
          <w:lang w:val="en-US" w:eastAsia="zh-CN"/>
        </w:rPr>
        <w:t>15万元*养老服务中心实际运营家数+</w:t>
      </w:r>
      <w:r>
        <w:rPr>
          <w:rFonts w:hint="eastAsia" w:ascii="宋体" w:hAnsi="宋体" w:cs="宋体"/>
          <w:b w:val="0"/>
          <w:bCs w:val="0"/>
          <w:strike w:val="0"/>
          <w:dstrike w:val="0"/>
          <w:color w:val="000000"/>
          <w:sz w:val="24"/>
          <w:szCs w:val="24"/>
          <w:highlight w:val="none"/>
          <w:lang w:val="en-US" w:eastAsia="zh-CN"/>
        </w:rPr>
        <w:t>村居级</w:t>
      </w:r>
      <w:r>
        <w:rPr>
          <w:rFonts w:hint="eastAsia" w:ascii="宋体" w:hAnsi="宋体" w:eastAsia="宋体" w:cs="宋体"/>
          <w:b w:val="0"/>
          <w:bCs w:val="0"/>
          <w:strike w:val="0"/>
          <w:dstrike w:val="0"/>
          <w:color w:val="000000"/>
          <w:sz w:val="24"/>
          <w:szCs w:val="24"/>
          <w:highlight w:val="none"/>
          <w:lang w:val="en-US" w:eastAsia="zh-CN"/>
        </w:rPr>
        <w:t>3万元*照料中心实际运营家数，成交供应商需要提供相同金额的预付款保函）</w:t>
      </w:r>
      <w:r>
        <w:rPr>
          <w:rFonts w:hint="eastAsia" w:ascii="宋体" w:hAnsi="宋体" w:eastAsia="宋体" w:cs="宋体"/>
          <w:b w:val="0"/>
          <w:bCs w:val="0"/>
          <w:color w:val="000000"/>
          <w:sz w:val="24"/>
          <w:szCs w:val="24"/>
          <w:highlight w:val="none"/>
          <w:lang w:val="en-US" w:eastAsia="zh-CN"/>
        </w:rPr>
        <w:t>，合同剩余金额根据成交供应商实际服务数量进行结算。成交供应商各类违规行为处罚款在支付款项中直接予以扣除。</w:t>
      </w:r>
    </w:p>
    <w:p w14:paraId="576630D7">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20" w:lineRule="exact"/>
        <w:ind w:right="25"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支付款项均优先从预付款扣除，若合同期满，预付款仍有结余，成交供应商须在7个工作日内退还至采购人指定账户。</w:t>
      </w:r>
    </w:p>
    <w:p w14:paraId="2C79BD63">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20" w:lineRule="exact"/>
        <w:ind w:right="25"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（1）居家养老上门服务</w:t>
      </w:r>
    </w:p>
    <w:p w14:paraId="266573C3">
      <w:pPr>
        <w:keepNext w:val="0"/>
        <w:keepLines w:val="0"/>
        <w:pageBreakBefore w:val="0"/>
        <w:shd w:val="clear" w:color="auto" w:fill="auto"/>
        <w:kinsoku/>
        <w:wordWrap/>
        <w:overflowPunct/>
        <w:topLinePunct w:val="0"/>
        <w:bidi w:val="0"/>
        <w:snapToGrid/>
        <w:spacing w:line="420" w:lineRule="exact"/>
        <w:ind w:firstLine="480" w:firstLineChars="200"/>
        <w:textAlignment w:val="auto"/>
        <w:rPr>
          <w:rFonts w:hint="default"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根据成交供应商在采购人指定平台中实际有效的服务量</w:t>
      </w:r>
      <w:r>
        <w:rPr>
          <w:rFonts w:hint="eastAsia" w:ascii="宋体" w:hAnsi="宋体" w:cs="宋体"/>
          <w:b w:val="0"/>
          <w:bCs w:val="0"/>
          <w:color w:val="000000"/>
          <w:sz w:val="24"/>
          <w:szCs w:val="24"/>
          <w:highlight w:val="none"/>
          <w:lang w:val="en-US" w:eastAsia="zh-CN"/>
        </w:rPr>
        <w:t>*综合单价</w:t>
      </w:r>
      <w:r>
        <w:rPr>
          <w:rFonts w:hint="eastAsia" w:ascii="宋体" w:hAnsi="宋体" w:eastAsia="宋体" w:cs="宋体"/>
          <w:b w:val="0"/>
          <w:bCs w:val="0"/>
          <w:color w:val="000000"/>
          <w:sz w:val="24"/>
          <w:szCs w:val="24"/>
          <w:highlight w:val="none"/>
          <w:lang w:val="en-US" w:eastAsia="zh-CN"/>
        </w:rPr>
        <w:t>进行结算</w:t>
      </w:r>
      <w:r>
        <w:rPr>
          <w:rFonts w:hint="eastAsia" w:ascii="宋体" w:hAnsi="宋体" w:cs="宋体"/>
          <w:b w:val="0"/>
          <w:bCs w:val="0"/>
          <w:color w:val="000000"/>
          <w:sz w:val="24"/>
          <w:szCs w:val="24"/>
          <w:highlight w:val="none"/>
          <w:lang w:val="en-US" w:eastAsia="zh-CN"/>
        </w:rPr>
        <w:t>，</w:t>
      </w:r>
      <w:r>
        <w:rPr>
          <w:rFonts w:hint="eastAsia" w:ascii="宋体" w:hAnsi="宋体" w:cs="宋体"/>
          <w:color w:val="auto"/>
          <w:sz w:val="24"/>
          <w:szCs w:val="24"/>
          <w:highlight w:val="none"/>
          <w:lang w:val="en-US" w:eastAsia="zh-CN"/>
        </w:rPr>
        <w:t>12月底前支付已完成居家养老上门服务部分金额，合同期满后支付剩余金额</w:t>
      </w:r>
      <w:r>
        <w:rPr>
          <w:rFonts w:hint="eastAsia" w:ascii="宋体" w:hAnsi="宋体" w:eastAsia="宋体" w:cs="宋体"/>
          <w:color w:val="auto"/>
          <w:sz w:val="24"/>
          <w:szCs w:val="24"/>
          <w:highlight w:val="none"/>
          <w:lang w:val="en-US" w:eastAsia="zh-CN"/>
        </w:rPr>
        <w:t>。</w:t>
      </w:r>
    </w:p>
    <w:p w14:paraId="4402AF47">
      <w:pPr>
        <w:keepNext w:val="0"/>
        <w:keepLines w:val="0"/>
        <w:pageBreakBefore w:val="0"/>
        <w:shd w:val="clear" w:color="auto" w:fill="auto"/>
        <w:kinsoku/>
        <w:wordWrap/>
        <w:overflowPunct/>
        <w:topLinePunct w:val="0"/>
        <w:bidi w:val="0"/>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（2）居家养老服务（照料）中心托管运营服务</w:t>
      </w:r>
    </w:p>
    <w:p w14:paraId="363F08E6">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20" w:lineRule="exact"/>
        <w:ind w:right="25"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highlight w:val="none"/>
        </w:rPr>
        <w:t>按实际运营家数和实际运营月份数结算</w:t>
      </w:r>
      <w:r>
        <w:rPr>
          <w:rFonts w:hint="eastAsia" w:ascii="宋体" w:hAnsi="宋体" w:cs="宋体"/>
          <w:color w:val="auto"/>
          <w:sz w:val="24"/>
          <w:highlight w:val="none"/>
          <w:lang w:eastAsia="zh-CN"/>
        </w:rPr>
        <w:t>，街道级</w:t>
      </w:r>
      <w:r>
        <w:rPr>
          <w:rFonts w:hint="eastAsia" w:ascii="宋体" w:hAnsi="宋体" w:cs="宋体"/>
          <w:color w:val="auto"/>
          <w:sz w:val="24"/>
          <w:highlight w:val="none"/>
          <w:lang w:val="en-US" w:eastAsia="zh-CN"/>
        </w:rPr>
        <w:t>15</w:t>
      </w:r>
      <w:r>
        <w:rPr>
          <w:rFonts w:hint="eastAsia" w:ascii="宋体" w:hAnsi="宋体" w:eastAsia="宋体" w:cs="宋体"/>
          <w:color w:val="auto"/>
          <w:sz w:val="24"/>
          <w:szCs w:val="24"/>
          <w:highlight w:val="none"/>
          <w:lang w:val="en-US" w:eastAsia="zh-CN"/>
        </w:rPr>
        <w:t>万元/家/年（</w:t>
      </w:r>
      <w:r>
        <w:rPr>
          <w:rFonts w:hint="eastAsia" w:ascii="宋体" w:hAnsi="宋体" w:cs="宋体"/>
          <w:color w:val="auto"/>
          <w:sz w:val="24"/>
          <w:szCs w:val="24"/>
          <w:highlight w:val="none"/>
          <w:lang w:val="en-US" w:eastAsia="zh-CN"/>
        </w:rPr>
        <w:t>或村居级</w:t>
      </w:r>
      <w:r>
        <w:rPr>
          <w:rFonts w:hint="eastAsia" w:ascii="宋体" w:hAnsi="宋体" w:cs="宋体"/>
          <w:color w:val="auto"/>
          <w:sz w:val="24"/>
          <w:highlight w:val="none"/>
          <w:lang w:val="en-US" w:eastAsia="zh-CN"/>
        </w:rPr>
        <w:t>3</w:t>
      </w:r>
      <w:r>
        <w:rPr>
          <w:rFonts w:hint="eastAsia" w:ascii="宋体" w:hAnsi="宋体" w:eastAsia="宋体" w:cs="宋体"/>
          <w:color w:val="auto"/>
          <w:sz w:val="24"/>
          <w:szCs w:val="24"/>
          <w:highlight w:val="none"/>
          <w:lang w:val="en-US" w:eastAsia="zh-CN"/>
        </w:rPr>
        <w:t>万元/家/年）</w:t>
      </w:r>
      <w:r>
        <w:rPr>
          <w:rFonts w:hint="eastAsia" w:ascii="宋体" w:hAnsi="宋体" w:cs="宋体"/>
          <w:color w:val="auto"/>
          <w:sz w:val="24"/>
          <w:szCs w:val="24"/>
          <w:highlight w:val="none"/>
          <w:lang w:val="en-US" w:eastAsia="zh-CN"/>
        </w:rPr>
        <w:t>*</w:t>
      </w:r>
      <w:r>
        <w:rPr>
          <w:rFonts w:hint="eastAsia" w:ascii="宋体" w:hAnsi="宋体" w:cs="宋体"/>
          <w:color w:val="auto"/>
          <w:sz w:val="24"/>
          <w:highlight w:val="none"/>
        </w:rPr>
        <w:t>实际运营家数</w:t>
      </w:r>
      <w:r>
        <w:rPr>
          <w:rFonts w:hint="eastAsia" w:ascii="宋体" w:hAnsi="宋体" w:cs="宋体"/>
          <w:color w:val="auto"/>
          <w:sz w:val="24"/>
          <w:szCs w:val="24"/>
          <w:highlight w:val="none"/>
          <w:lang w:val="en-US" w:eastAsia="zh-CN"/>
        </w:rPr>
        <w:t>*综合检查结果的结算率（</w:t>
      </w:r>
      <w:r>
        <w:rPr>
          <w:rFonts w:hint="eastAsia" w:ascii="宋体" w:hAnsi="宋体" w:eastAsia="宋体" w:cs="宋体"/>
          <w:b w:val="0"/>
          <w:bCs/>
          <w:sz w:val="24"/>
          <w:szCs w:val="24"/>
          <w:highlight w:val="none"/>
          <w:lang w:val="en-US" w:eastAsia="zh-CN"/>
        </w:rPr>
        <w:t>其中1.5万元</w:t>
      </w:r>
      <w:r>
        <w:rPr>
          <w:rFonts w:hint="eastAsia" w:ascii="宋体" w:hAnsi="宋体" w:eastAsia="宋体" w:cs="宋体"/>
          <w:color w:val="auto"/>
          <w:sz w:val="24"/>
          <w:szCs w:val="24"/>
          <w:highlight w:val="none"/>
          <w:lang w:val="en-US" w:eastAsia="zh-CN"/>
        </w:rPr>
        <w:t>/家/年</w:t>
      </w:r>
      <w:r>
        <w:rPr>
          <w:rFonts w:hint="eastAsia" w:ascii="宋体" w:hAnsi="宋体" w:cs="宋体"/>
          <w:color w:val="auto"/>
          <w:sz w:val="24"/>
          <w:highlight w:val="none"/>
          <w:lang w:eastAsia="zh-CN"/>
        </w:rPr>
        <w:t>助配餐</w:t>
      </w:r>
      <w:r>
        <w:rPr>
          <w:rFonts w:hint="eastAsia" w:ascii="宋体" w:hAnsi="宋体" w:cs="宋体"/>
          <w:color w:val="auto"/>
          <w:sz w:val="24"/>
          <w:highlight w:val="none"/>
          <w:lang w:val="en-US" w:eastAsia="zh-CN"/>
        </w:rPr>
        <w:t>配送费</w:t>
      </w:r>
      <w:r>
        <w:rPr>
          <w:rFonts w:hint="eastAsia" w:ascii="宋体" w:hAnsi="宋体" w:cs="宋体"/>
          <w:color w:val="auto"/>
          <w:sz w:val="24"/>
          <w:highlight w:val="none"/>
          <w:lang w:eastAsia="zh-CN"/>
        </w:rPr>
        <w:t>补贴</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按</w:t>
      </w:r>
      <w:r>
        <w:rPr>
          <w:rFonts w:hint="eastAsia" w:ascii="宋体" w:hAnsi="宋体" w:cs="宋体"/>
          <w:color w:val="auto"/>
          <w:sz w:val="24"/>
          <w:highlight w:val="none"/>
          <w:lang w:val="en-US" w:eastAsia="zh-CN"/>
        </w:rPr>
        <w:t>实际配送量*</w:t>
      </w:r>
      <w:r>
        <w:rPr>
          <w:rFonts w:hint="eastAsia" w:ascii="宋体" w:hAnsi="宋体" w:cs="宋体"/>
          <w:color w:val="000000"/>
          <w:sz w:val="24"/>
          <w:szCs w:val="24"/>
          <w:highlight w:val="none"/>
          <w:lang w:val="en-US" w:eastAsia="zh-CN"/>
        </w:rPr>
        <w:t>送餐上门综合单价*</w:t>
      </w:r>
      <w:r>
        <w:rPr>
          <w:rFonts w:hint="eastAsia" w:ascii="宋体" w:hAnsi="宋体" w:cs="宋体"/>
          <w:color w:val="auto"/>
          <w:sz w:val="24"/>
          <w:szCs w:val="24"/>
          <w:highlight w:val="none"/>
          <w:lang w:val="en-US" w:eastAsia="zh-CN"/>
        </w:rPr>
        <w:t>综合检查结果的结算率</w:t>
      </w:r>
      <w:r>
        <w:rPr>
          <w:rFonts w:hint="eastAsia" w:ascii="宋体" w:hAnsi="宋体" w:cs="宋体"/>
          <w:color w:val="auto"/>
          <w:sz w:val="24"/>
          <w:highlight w:val="none"/>
        </w:rPr>
        <w:t>进行结算支付</w:t>
      </w:r>
      <w:r>
        <w:rPr>
          <w:rFonts w:hint="eastAsia" w:ascii="宋体" w:hAnsi="宋体" w:cs="宋体"/>
          <w:color w:val="auto"/>
          <w:sz w:val="24"/>
          <w:highlight w:val="none"/>
          <w:lang w:eastAsia="zh-CN"/>
        </w:rPr>
        <w:t>，每家超出15000元部分由中标人自行承担</w:t>
      </w:r>
      <w:r>
        <w:rPr>
          <w:rFonts w:hint="eastAsia" w:ascii="宋体" w:hAnsi="宋体" w:cs="宋体"/>
          <w:color w:val="auto"/>
          <w:sz w:val="24"/>
          <w:szCs w:val="24"/>
          <w:highlight w:val="none"/>
          <w:lang w:val="en-US" w:eastAsia="zh-CN"/>
        </w:rPr>
        <w:t>）</w:t>
      </w:r>
      <w:r>
        <w:rPr>
          <w:rFonts w:hint="eastAsia" w:ascii="宋体" w:hAnsi="宋体" w:cs="宋体"/>
          <w:color w:val="auto"/>
          <w:sz w:val="24"/>
          <w:highlight w:val="none"/>
          <w:lang w:eastAsia="zh-CN"/>
        </w:rPr>
        <w:t>。</w:t>
      </w:r>
      <w:r>
        <w:rPr>
          <w:rFonts w:hint="eastAsia" w:ascii="宋体" w:hAnsi="宋体" w:eastAsia="宋体" w:cs="宋体"/>
          <w:color w:val="auto"/>
          <w:sz w:val="24"/>
          <w:szCs w:val="24"/>
          <w:highlight w:val="none"/>
          <w:lang w:val="en-US" w:eastAsia="zh-CN"/>
        </w:rPr>
        <w:t>合同期满后，根据日常检查和年度综合检查结果，由采购人组织相关人员进行评定，待上级资金拨付到位后于10个工作日内支付：</w:t>
      </w:r>
    </w:p>
    <w:p w14:paraId="27B5F486">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20" w:lineRule="exact"/>
        <w:ind w:right="25"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评定结果为优秀的，</w:t>
      </w:r>
      <w:r>
        <w:rPr>
          <w:rFonts w:hint="eastAsia" w:ascii="宋体" w:hAnsi="宋体" w:cs="宋体"/>
          <w:color w:val="auto"/>
          <w:sz w:val="24"/>
          <w:szCs w:val="24"/>
          <w:highlight w:val="none"/>
          <w:lang w:val="en-US" w:eastAsia="zh-CN"/>
        </w:rPr>
        <w:t>综合检查结果的</w:t>
      </w:r>
      <w:r>
        <w:rPr>
          <w:rFonts w:hint="eastAsia" w:ascii="宋体" w:hAnsi="宋体" w:eastAsia="宋体" w:cs="宋体"/>
          <w:b w:val="0"/>
          <w:bCs w:val="0"/>
          <w:color w:val="000000"/>
          <w:sz w:val="24"/>
          <w:szCs w:val="24"/>
          <w:highlight w:val="none"/>
          <w:lang w:val="en-US" w:eastAsia="zh-CN"/>
        </w:rPr>
        <w:t>结算率为100%</w:t>
      </w:r>
      <w:r>
        <w:rPr>
          <w:rFonts w:hint="eastAsia" w:ascii="宋体" w:hAnsi="宋体" w:eastAsia="宋体" w:cs="宋体"/>
          <w:color w:val="auto"/>
          <w:sz w:val="24"/>
          <w:szCs w:val="24"/>
          <w:highlight w:val="none"/>
          <w:lang w:val="en-US" w:eastAsia="zh-CN"/>
        </w:rPr>
        <w:t>；</w:t>
      </w:r>
    </w:p>
    <w:p w14:paraId="4487634D">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20" w:lineRule="exact"/>
        <w:ind w:right="25"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评定结果为良好的，</w:t>
      </w:r>
      <w:r>
        <w:rPr>
          <w:rFonts w:hint="eastAsia" w:ascii="宋体" w:hAnsi="宋体" w:cs="宋体"/>
          <w:color w:val="auto"/>
          <w:sz w:val="24"/>
          <w:szCs w:val="24"/>
          <w:highlight w:val="none"/>
          <w:lang w:val="en-US" w:eastAsia="zh-CN"/>
        </w:rPr>
        <w:t>综合检查结果的</w:t>
      </w:r>
      <w:r>
        <w:rPr>
          <w:rFonts w:hint="eastAsia" w:ascii="宋体" w:hAnsi="宋体" w:eastAsia="宋体" w:cs="宋体"/>
          <w:b w:val="0"/>
          <w:bCs w:val="0"/>
          <w:color w:val="000000"/>
          <w:sz w:val="24"/>
          <w:szCs w:val="24"/>
          <w:highlight w:val="none"/>
          <w:lang w:val="en-US" w:eastAsia="zh-CN"/>
        </w:rPr>
        <w:t>结算率为80%</w:t>
      </w:r>
      <w:r>
        <w:rPr>
          <w:rFonts w:hint="eastAsia" w:ascii="宋体" w:hAnsi="宋体" w:eastAsia="宋体" w:cs="宋体"/>
          <w:color w:val="auto"/>
          <w:sz w:val="24"/>
          <w:szCs w:val="24"/>
          <w:highlight w:val="none"/>
          <w:lang w:val="en-US" w:eastAsia="zh-CN"/>
        </w:rPr>
        <w:t>；</w:t>
      </w:r>
    </w:p>
    <w:p w14:paraId="6C805B76">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20" w:lineRule="exact"/>
        <w:ind w:right="25"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评定结果为合格的，</w:t>
      </w:r>
      <w:r>
        <w:rPr>
          <w:rFonts w:hint="eastAsia" w:ascii="宋体" w:hAnsi="宋体" w:cs="宋体"/>
          <w:color w:val="auto"/>
          <w:sz w:val="24"/>
          <w:szCs w:val="24"/>
          <w:highlight w:val="none"/>
          <w:lang w:val="en-US" w:eastAsia="zh-CN"/>
        </w:rPr>
        <w:t>综合检查结果的</w:t>
      </w:r>
      <w:r>
        <w:rPr>
          <w:rFonts w:hint="eastAsia" w:ascii="宋体" w:hAnsi="宋体" w:eastAsia="宋体" w:cs="宋体"/>
          <w:b w:val="0"/>
          <w:bCs w:val="0"/>
          <w:color w:val="000000"/>
          <w:sz w:val="24"/>
          <w:szCs w:val="24"/>
          <w:highlight w:val="none"/>
          <w:lang w:val="en-US" w:eastAsia="zh-CN"/>
        </w:rPr>
        <w:t>结算率为60%</w:t>
      </w:r>
      <w:r>
        <w:rPr>
          <w:rFonts w:hint="eastAsia" w:ascii="宋体" w:hAnsi="宋体" w:eastAsia="宋体" w:cs="宋体"/>
          <w:color w:val="auto"/>
          <w:sz w:val="24"/>
          <w:szCs w:val="24"/>
          <w:highlight w:val="none"/>
          <w:lang w:val="en-US" w:eastAsia="zh-CN"/>
        </w:rPr>
        <w:t>；</w:t>
      </w:r>
    </w:p>
    <w:p w14:paraId="07EA3B01">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20" w:lineRule="exact"/>
        <w:ind w:right="25"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评定结果为不合格的，不予支付并终止合同。</w:t>
      </w:r>
    </w:p>
    <w:p w14:paraId="4B443756">
      <w:pPr>
        <w:adjustRightInd w:val="0"/>
        <w:spacing w:line="360" w:lineRule="auto"/>
        <w:ind w:firstLine="540" w:firstLineChars="225"/>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采购人付款前，成交供应商应先按采购人要求开具发票，否则采购人有权延迟付款。</w:t>
      </w:r>
    </w:p>
    <w:p w14:paraId="62492D11">
      <w:pPr>
        <w:adjustRightInd w:val="0"/>
        <w:spacing w:line="360" w:lineRule="auto"/>
        <w:ind w:firstLine="542" w:firstLineChars="225"/>
        <w:rPr>
          <w:rFonts w:hint="eastAsia" w:ascii="宋体" w:hAnsi="宋体" w:eastAsia="宋体"/>
          <w:b/>
          <w:color w:val="auto"/>
          <w:sz w:val="24"/>
          <w:highlight w:val="none"/>
          <w:lang w:eastAsia="zh-CN"/>
        </w:rPr>
      </w:pPr>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rPr>
        <w:t>、履约保证金：</w:t>
      </w:r>
      <w:r>
        <w:rPr>
          <w:rFonts w:hint="eastAsia" w:ascii="宋体" w:hAnsi="宋体" w:eastAsia="宋体"/>
          <w:b w:val="0"/>
          <w:bCs/>
          <w:color w:val="auto"/>
          <w:sz w:val="24"/>
          <w:highlight w:val="none"/>
        </w:rPr>
        <w:t>本项目履约保证金为合同金额的1%。</w:t>
      </w:r>
      <w:r>
        <w:rPr>
          <w:rFonts w:hint="eastAsia" w:ascii="宋体" w:hAnsi="宋体" w:eastAsia="宋体"/>
          <w:b w:val="0"/>
          <w:bCs/>
          <w:color w:val="auto"/>
          <w:sz w:val="24"/>
          <w:highlight w:val="none"/>
          <w:lang w:eastAsia="zh-CN"/>
        </w:rPr>
        <w:t>可采用银行保函、保险机构保证保险保单、保兑支票、银行汇票或支票，服务期满后无违约情况一个月内退还，如有违约情况，退还剩余部分。采用保函保单方式的，应当保证其有效期截止日须为所有活动结束止。</w:t>
      </w:r>
      <w:r>
        <w:rPr>
          <w:rFonts w:hint="eastAsia" w:hAnsi="宋体" w:eastAsia="宋体" w:cs="宋体"/>
          <w:bCs/>
          <w:color w:val="auto"/>
          <w:sz w:val="24"/>
          <w:highlight w:val="none"/>
          <w:lang w:val="en-US" w:eastAsia="zh-CN"/>
        </w:rPr>
        <w:t>保证金在合同签订前提交。</w:t>
      </w:r>
    </w:p>
    <w:p w14:paraId="3FB43CBD">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lang w:val="en-US" w:eastAsia="zh-CN"/>
        </w:rPr>
        <w:sectPr>
          <w:footerReference r:id="rId3" w:type="default"/>
          <w:pgSz w:w="11906" w:h="16838"/>
          <w:pgMar w:top="1440" w:right="1786" w:bottom="1440" w:left="1786"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33EF4C54">
      <w:pPr>
        <w:spacing w:line="360" w:lineRule="auto"/>
        <w:jc w:val="center"/>
        <w:outlineLvl w:val="0"/>
        <w:rPr>
          <w:rFonts w:ascii="宋体" w:hAnsi="宋体"/>
          <w:color w:val="auto"/>
          <w:sz w:val="24"/>
          <w:highlight w:val="none"/>
        </w:rPr>
      </w:pPr>
      <w:bookmarkStart w:id="5" w:name="_Toc22277"/>
      <w:r>
        <w:rPr>
          <w:rFonts w:hint="eastAsia" w:ascii="宋体" w:hAnsi="宋体"/>
          <w:b/>
          <w:color w:val="auto"/>
          <w:sz w:val="36"/>
          <w:szCs w:val="36"/>
          <w:highlight w:val="none"/>
        </w:rPr>
        <w:t>第五章  政府采购合同主要条款指引</w:t>
      </w:r>
      <w:bookmarkEnd w:id="5"/>
    </w:p>
    <w:p w14:paraId="3DC83616">
      <w:pPr>
        <w:keepNext w:val="0"/>
        <w:keepLines w:val="0"/>
        <w:pageBreakBefore w:val="0"/>
        <w:widowControl/>
        <w:shd w:val="clear" w:color="auto" w:fill="FFFFFF"/>
        <w:kinsoku/>
        <w:wordWrap/>
        <w:overflowPunct/>
        <w:topLinePunct w:val="0"/>
        <w:autoSpaceDE/>
        <w:autoSpaceDN/>
        <w:bidi w:val="0"/>
        <w:spacing w:line="440" w:lineRule="exact"/>
        <w:ind w:left="0"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（以下为成交后</w:t>
      </w:r>
      <w:r>
        <w:rPr>
          <w:rFonts w:hint="eastAsia" w:ascii="宋体" w:hAnsi="宋体" w:eastAsia="宋体" w:cs="宋体"/>
          <w:color w:val="auto"/>
          <w:sz w:val="24"/>
          <w:szCs w:val="24"/>
          <w:highlight w:val="none"/>
          <w:lang w:eastAsia="zh-CN"/>
        </w:rPr>
        <w:t>签订</w:t>
      </w:r>
      <w:r>
        <w:rPr>
          <w:rFonts w:hint="eastAsia" w:ascii="宋体" w:hAnsi="宋体" w:eastAsia="宋体" w:cs="宋体"/>
          <w:color w:val="auto"/>
          <w:sz w:val="24"/>
          <w:szCs w:val="24"/>
          <w:highlight w:val="none"/>
        </w:rPr>
        <w:t>本项目合同的通用条款，成交供应商不得提出实质性的修改，关于专用条款将由采购人与成交供应商结合本项目具体情况协商后签订）</w:t>
      </w:r>
    </w:p>
    <w:p w14:paraId="5B2E1339">
      <w:pPr>
        <w:pStyle w:val="13"/>
        <w:keepNext w:val="0"/>
        <w:keepLines w:val="0"/>
        <w:pageBreakBefore w:val="0"/>
        <w:kinsoku/>
        <w:wordWrap/>
        <w:overflowPunct/>
        <w:topLinePunct w:val="0"/>
        <w:autoSpaceDE/>
        <w:autoSpaceDN/>
        <w:bidi w:val="0"/>
        <w:snapToGrid w:val="0"/>
        <w:spacing w:line="440" w:lineRule="exact"/>
        <w:ind w:left="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项目名称：</w:t>
      </w:r>
      <w:r>
        <w:rPr>
          <w:rFonts w:hint="eastAsia" w:hAnsi="宋体" w:eastAsia="宋体" w:cs="宋体"/>
          <w:color w:val="auto"/>
          <w:sz w:val="24"/>
          <w:szCs w:val="24"/>
          <w:highlight w:val="none"/>
          <w:lang w:eastAsia="zh-CN"/>
        </w:rPr>
        <w:t>2025年椒江区前所街道居家养老服务采购项目</w:t>
      </w:r>
    </w:p>
    <w:p w14:paraId="2AF8B5CB">
      <w:pPr>
        <w:pStyle w:val="13"/>
        <w:keepNext w:val="0"/>
        <w:keepLines w:val="0"/>
        <w:pageBreakBefore w:val="0"/>
        <w:kinsoku/>
        <w:wordWrap/>
        <w:overflowPunct/>
        <w:topLinePunct w:val="0"/>
        <w:autoSpaceDE/>
        <w:autoSpaceDN/>
        <w:bidi w:val="0"/>
        <w:snapToGrid w:val="0"/>
        <w:spacing w:line="440" w:lineRule="exact"/>
        <w:ind w:left="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项目编号：</w:t>
      </w:r>
      <w:r>
        <w:rPr>
          <w:rFonts w:hint="eastAsia" w:hAnsi="宋体" w:eastAsia="宋体" w:cs="宋体"/>
          <w:color w:val="auto"/>
          <w:sz w:val="24"/>
          <w:szCs w:val="24"/>
          <w:highlight w:val="none"/>
          <w:lang w:eastAsia="zh-CN"/>
        </w:rPr>
        <w:t>YHZB-2025-0327</w:t>
      </w:r>
    </w:p>
    <w:p w14:paraId="5679B06C">
      <w:pPr>
        <w:pStyle w:val="13"/>
        <w:keepNext w:val="0"/>
        <w:keepLines w:val="0"/>
        <w:pageBreakBefore w:val="0"/>
        <w:kinsoku/>
        <w:wordWrap/>
        <w:overflowPunct/>
        <w:topLinePunct w:val="0"/>
        <w:autoSpaceDE/>
        <w:autoSpaceDN/>
        <w:bidi w:val="0"/>
        <w:snapToGrid w:val="0"/>
        <w:spacing w:line="440" w:lineRule="exact"/>
        <w:ind w:left="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甲方：</w:t>
      </w:r>
      <w:r>
        <w:rPr>
          <w:rFonts w:hint="eastAsia" w:ascii="宋体" w:hAnsi="宋体" w:eastAsia="宋体" w:cs="宋体"/>
          <w:color w:val="auto"/>
          <w:sz w:val="24"/>
          <w:szCs w:val="24"/>
          <w:highlight w:val="none"/>
        </w:rPr>
        <w:t>（采购人）</w:t>
      </w:r>
      <w:r>
        <w:rPr>
          <w:rFonts w:hint="eastAsia" w:hAnsi="宋体" w:eastAsia="宋体" w:cs="宋体"/>
          <w:color w:val="auto"/>
          <w:sz w:val="24"/>
          <w:szCs w:val="24"/>
          <w:highlight w:val="none"/>
          <w:u w:val="single"/>
          <w:lang w:eastAsia="zh-CN"/>
        </w:rPr>
        <w:t>台州市椒江区人民政府前所街道办事处</w:t>
      </w:r>
    </w:p>
    <w:p w14:paraId="1C5199C9">
      <w:pPr>
        <w:pStyle w:val="13"/>
        <w:keepNext w:val="0"/>
        <w:keepLines w:val="0"/>
        <w:pageBreakBefore w:val="0"/>
        <w:kinsoku/>
        <w:wordWrap/>
        <w:overflowPunct/>
        <w:topLinePunct w:val="0"/>
        <w:autoSpaceDE/>
        <w:autoSpaceDN/>
        <w:bidi w:val="0"/>
        <w:snapToGrid w:val="0"/>
        <w:spacing w:line="440" w:lineRule="exact"/>
        <w:ind w:left="0"/>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b/>
          <w:bCs/>
          <w:color w:val="auto"/>
          <w:sz w:val="24"/>
          <w:szCs w:val="24"/>
          <w:highlight w:val="none"/>
        </w:rPr>
        <w:t>乙方：</w:t>
      </w:r>
      <w:r>
        <w:rPr>
          <w:rFonts w:hint="eastAsia" w:ascii="宋体" w:hAnsi="宋体" w:eastAsia="宋体" w:cs="宋体"/>
          <w:color w:val="auto"/>
          <w:sz w:val="24"/>
          <w:szCs w:val="24"/>
          <w:highlight w:val="none"/>
        </w:rPr>
        <w:t>（成交供应商）</w:t>
      </w:r>
      <w:r>
        <w:rPr>
          <w:rFonts w:hint="eastAsia" w:hAnsi="宋体" w:eastAsia="宋体" w:cs="宋体"/>
          <w:color w:val="auto"/>
          <w:sz w:val="24"/>
          <w:szCs w:val="24"/>
          <w:highlight w:val="none"/>
          <w:u w:val="single"/>
          <w:lang w:val="en-US" w:eastAsia="zh-CN"/>
        </w:rPr>
        <w:t xml:space="preserve">                              </w:t>
      </w:r>
    </w:p>
    <w:p w14:paraId="66F256C6">
      <w:pPr>
        <w:pStyle w:val="13"/>
        <w:keepNext w:val="0"/>
        <w:keepLines w:val="0"/>
        <w:pageBreakBefore w:val="0"/>
        <w:kinsoku/>
        <w:wordWrap/>
        <w:overflowPunct/>
        <w:topLinePunct w:val="0"/>
        <w:autoSpaceDE/>
        <w:autoSpaceDN/>
        <w:bidi w:val="0"/>
        <w:snapToGrid w:val="0"/>
        <w:spacing w:line="440" w:lineRule="exact"/>
        <w:ind w:left="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甲、乙双方根据</w:t>
      </w:r>
      <w:r>
        <w:rPr>
          <w:rFonts w:hint="eastAsia" w:hAnsi="宋体" w:eastAsia="宋体" w:cs="宋体"/>
          <w:color w:val="auto"/>
          <w:sz w:val="24"/>
          <w:szCs w:val="24"/>
          <w:highlight w:val="none"/>
          <w:u w:val="single"/>
          <w:lang w:eastAsia="zh-CN"/>
        </w:rPr>
        <w:t>2025年椒江区前所街道居家养老服务采购项目</w:t>
      </w:r>
      <w:r>
        <w:rPr>
          <w:rFonts w:hint="eastAsia" w:ascii="宋体" w:hAnsi="宋体" w:eastAsia="宋体" w:cs="宋体"/>
          <w:color w:val="auto"/>
          <w:sz w:val="24"/>
          <w:szCs w:val="24"/>
          <w:highlight w:val="none"/>
        </w:rPr>
        <w:t>竞争性磋商采购的结果，签署本合同。</w:t>
      </w:r>
    </w:p>
    <w:p w14:paraId="7085F045">
      <w:pPr>
        <w:keepNext w:val="0"/>
        <w:keepLines w:val="0"/>
        <w:pageBreakBefore w:val="0"/>
        <w:shd w:val="clear" w:color="auto" w:fill="auto"/>
        <w:tabs>
          <w:tab w:val="left" w:pos="8280"/>
        </w:tabs>
        <w:kinsoku/>
        <w:wordWrap/>
        <w:overflowPunct/>
        <w:topLinePunct w:val="0"/>
        <w:autoSpaceDE w:val="0"/>
        <w:autoSpaceDN w:val="0"/>
        <w:bidi w:val="0"/>
        <w:adjustRightInd w:val="0"/>
        <w:spacing w:line="440" w:lineRule="exact"/>
        <w:ind w:right="25"/>
        <w:textAlignment w:val="auto"/>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 xml:space="preserve">一、合同文件： </w:t>
      </w:r>
    </w:p>
    <w:p w14:paraId="68836DDC">
      <w:pPr>
        <w:keepNext w:val="0"/>
        <w:keepLines w:val="0"/>
        <w:pageBreakBefore w:val="0"/>
        <w:shd w:val="clear" w:color="auto" w:fill="auto"/>
        <w:tabs>
          <w:tab w:val="left" w:pos="8280"/>
        </w:tabs>
        <w:kinsoku/>
        <w:wordWrap/>
        <w:overflowPunct/>
        <w:topLinePunct w:val="0"/>
        <w:autoSpaceDE w:val="0"/>
        <w:autoSpaceDN w:val="0"/>
        <w:bidi w:val="0"/>
        <w:adjustRightInd w:val="0"/>
        <w:spacing w:line="440" w:lineRule="exact"/>
        <w:ind w:right="25"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1.合同条款。</w:t>
      </w:r>
    </w:p>
    <w:p w14:paraId="4DF96B94">
      <w:pPr>
        <w:keepNext w:val="0"/>
        <w:keepLines w:val="0"/>
        <w:pageBreakBefore w:val="0"/>
        <w:shd w:val="clear" w:color="auto" w:fill="auto"/>
        <w:tabs>
          <w:tab w:val="left" w:pos="8280"/>
        </w:tabs>
        <w:kinsoku/>
        <w:wordWrap/>
        <w:overflowPunct/>
        <w:topLinePunct w:val="0"/>
        <w:autoSpaceDE w:val="0"/>
        <w:autoSpaceDN w:val="0"/>
        <w:bidi w:val="0"/>
        <w:adjustRightInd w:val="0"/>
        <w:spacing w:line="440" w:lineRule="exact"/>
        <w:ind w:right="25"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2.中标通知书。</w:t>
      </w:r>
    </w:p>
    <w:p w14:paraId="6BE6E2D8">
      <w:pPr>
        <w:keepNext w:val="0"/>
        <w:keepLines w:val="0"/>
        <w:pageBreakBefore w:val="0"/>
        <w:shd w:val="clear" w:color="auto" w:fill="auto"/>
        <w:tabs>
          <w:tab w:val="left" w:pos="8280"/>
        </w:tabs>
        <w:kinsoku/>
        <w:wordWrap/>
        <w:overflowPunct/>
        <w:topLinePunct w:val="0"/>
        <w:autoSpaceDE w:val="0"/>
        <w:autoSpaceDN w:val="0"/>
        <w:bidi w:val="0"/>
        <w:adjustRightInd w:val="0"/>
        <w:spacing w:line="440" w:lineRule="exact"/>
        <w:ind w:right="25"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3.更正补充文件。</w:t>
      </w:r>
    </w:p>
    <w:p w14:paraId="6B8A013D">
      <w:pPr>
        <w:keepNext w:val="0"/>
        <w:keepLines w:val="0"/>
        <w:pageBreakBefore w:val="0"/>
        <w:shd w:val="clear" w:color="auto" w:fill="auto"/>
        <w:tabs>
          <w:tab w:val="left" w:pos="8280"/>
        </w:tabs>
        <w:kinsoku/>
        <w:wordWrap/>
        <w:overflowPunct/>
        <w:topLinePunct w:val="0"/>
        <w:autoSpaceDE w:val="0"/>
        <w:autoSpaceDN w:val="0"/>
        <w:bidi w:val="0"/>
        <w:adjustRightInd w:val="0"/>
        <w:spacing w:line="440" w:lineRule="exact"/>
        <w:ind w:right="25"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4.招标文件。</w:t>
      </w:r>
    </w:p>
    <w:p w14:paraId="29E4D248">
      <w:pPr>
        <w:keepNext w:val="0"/>
        <w:keepLines w:val="0"/>
        <w:pageBreakBefore w:val="0"/>
        <w:shd w:val="clear" w:color="auto" w:fill="auto"/>
        <w:tabs>
          <w:tab w:val="left" w:pos="8280"/>
        </w:tabs>
        <w:kinsoku/>
        <w:wordWrap/>
        <w:overflowPunct/>
        <w:topLinePunct w:val="0"/>
        <w:autoSpaceDE w:val="0"/>
        <w:autoSpaceDN w:val="0"/>
        <w:bidi w:val="0"/>
        <w:adjustRightInd w:val="0"/>
        <w:spacing w:line="440" w:lineRule="exact"/>
        <w:ind w:right="25"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5.中标供应商投标文件。</w:t>
      </w:r>
    </w:p>
    <w:p w14:paraId="6C252CAB">
      <w:pPr>
        <w:keepNext w:val="0"/>
        <w:keepLines w:val="0"/>
        <w:pageBreakBefore w:val="0"/>
        <w:shd w:val="clear" w:color="auto" w:fill="auto"/>
        <w:tabs>
          <w:tab w:val="left" w:pos="8280"/>
        </w:tabs>
        <w:kinsoku/>
        <w:wordWrap/>
        <w:overflowPunct/>
        <w:topLinePunct w:val="0"/>
        <w:autoSpaceDE w:val="0"/>
        <w:autoSpaceDN w:val="0"/>
        <w:bidi w:val="0"/>
        <w:adjustRightInd w:val="0"/>
        <w:spacing w:line="440" w:lineRule="exact"/>
        <w:ind w:right="25"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6.其他。</w:t>
      </w:r>
    </w:p>
    <w:p w14:paraId="4467DD70">
      <w:pPr>
        <w:pStyle w:val="13"/>
        <w:keepNext w:val="0"/>
        <w:keepLines w:val="0"/>
        <w:pageBreakBefore w:val="0"/>
        <w:numPr>
          <w:ilvl w:val="0"/>
          <w:numId w:val="0"/>
        </w:numPr>
        <w:kinsoku/>
        <w:wordWrap/>
        <w:overflowPunct/>
        <w:topLinePunct w:val="0"/>
        <w:autoSpaceDE/>
        <w:autoSpaceDN/>
        <w:bidi w:val="0"/>
        <w:snapToGrid w:val="0"/>
        <w:spacing w:line="440" w:lineRule="exact"/>
        <w:ind w:left="0" w:lef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上述所指合同文件应认为是互相补充和解释的，但是有模棱两可或互相矛盾之处，以其所列内容顺序为准。</w:t>
      </w:r>
    </w:p>
    <w:p w14:paraId="6394DC30">
      <w:pPr>
        <w:pageBreakBefore w:val="0"/>
        <w:kinsoku/>
        <w:wordWrap/>
        <w:overflowPunct/>
        <w:topLinePunct w:val="0"/>
        <w:bidi w:val="0"/>
        <w:spacing w:line="440" w:lineRule="exact"/>
        <w:textAlignment w:val="auto"/>
        <w:rPr>
          <w:rFonts w:hint="eastAsia" w:ascii="宋体" w:hAnsi="宋体" w:cs="宋体"/>
          <w:sz w:val="24"/>
          <w:highlight w:val="none"/>
        </w:rPr>
      </w:pPr>
      <w:r>
        <w:rPr>
          <w:rFonts w:hint="eastAsia" w:ascii="宋体" w:hAnsi="宋体" w:eastAsia="宋体" w:cs="宋体"/>
          <w:b/>
          <w:color w:val="auto"/>
          <w:sz w:val="24"/>
          <w:szCs w:val="24"/>
          <w:highlight w:val="none"/>
          <w:lang w:val="en-US" w:eastAsia="zh-CN"/>
        </w:rPr>
        <w:t>二、</w:t>
      </w:r>
      <w:r>
        <w:rPr>
          <w:rFonts w:hint="eastAsia" w:ascii="宋体" w:hAnsi="宋体" w:cs="宋体"/>
          <w:b/>
          <w:bCs/>
          <w:sz w:val="24"/>
          <w:highlight w:val="none"/>
        </w:rPr>
        <w:t>合同内容</w:t>
      </w:r>
    </w:p>
    <w:p w14:paraId="172264F9">
      <w:pPr>
        <w:pageBreakBefore w:val="0"/>
        <w:kinsoku/>
        <w:wordWrap/>
        <w:overflowPunct/>
        <w:topLinePunct w:val="0"/>
        <w:bidi w:val="0"/>
        <w:spacing w:line="440" w:lineRule="exact"/>
        <w:textAlignment w:val="auto"/>
        <w:rPr>
          <w:rFonts w:hint="eastAsia" w:ascii="宋体" w:hAnsi="宋体" w:cs="宋体"/>
          <w:sz w:val="24"/>
          <w:highlight w:val="none"/>
        </w:rPr>
      </w:pPr>
      <w:r>
        <w:rPr>
          <w:rFonts w:hint="eastAsia" w:ascii="宋体" w:hAnsi="宋体" w:cs="宋体"/>
          <w:sz w:val="24"/>
          <w:highlight w:val="none"/>
        </w:rPr>
        <w:t xml:space="preserve">    1、甲方委托乙方为其提供购买居家养老服务。</w:t>
      </w:r>
    </w:p>
    <w:p w14:paraId="3674BC3C">
      <w:pPr>
        <w:pageBreakBefore w:val="0"/>
        <w:kinsoku/>
        <w:wordWrap/>
        <w:overflowPunct/>
        <w:topLinePunct w:val="0"/>
        <w:bidi w:val="0"/>
        <w:spacing w:line="44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2、甲方委托乙方提供服务的对象和区域</w:t>
      </w:r>
    </w:p>
    <w:p w14:paraId="7A8FA147">
      <w:pPr>
        <w:pStyle w:val="56"/>
        <w:pageBreakBefore w:val="0"/>
        <w:widowControl/>
        <w:kinsoku/>
        <w:wordWrap/>
        <w:overflowPunct/>
        <w:topLinePunct w:val="0"/>
        <w:bidi w:val="0"/>
        <w:spacing w:line="440" w:lineRule="exact"/>
        <w:ind w:firstLine="480" w:firstLineChars="200"/>
        <w:jc w:val="both"/>
        <w:textAlignment w:val="auto"/>
        <w:rPr>
          <w:rFonts w:hint="eastAsia" w:ascii="宋体" w:hAnsi="宋体" w:cs="宋体"/>
          <w:kern w:val="2"/>
          <w:highlight w:val="none"/>
        </w:rPr>
      </w:pPr>
      <w:r>
        <w:rPr>
          <w:rFonts w:hint="eastAsia" w:ascii="宋体" w:hAnsi="宋体" w:cs="宋体"/>
          <w:kern w:val="2"/>
          <w:highlight w:val="none"/>
          <w:lang w:eastAsia="zh-CN"/>
        </w:rPr>
        <w:t>（</w:t>
      </w:r>
      <w:r>
        <w:rPr>
          <w:rFonts w:hint="eastAsia" w:ascii="宋体" w:hAnsi="宋体" w:cs="宋体"/>
          <w:kern w:val="2"/>
          <w:highlight w:val="none"/>
          <w:lang w:val="en-US" w:eastAsia="zh-CN"/>
        </w:rPr>
        <w:t>1</w:t>
      </w:r>
      <w:r>
        <w:rPr>
          <w:rFonts w:hint="eastAsia" w:ascii="宋体" w:hAnsi="宋体" w:cs="宋体"/>
          <w:kern w:val="2"/>
          <w:highlight w:val="none"/>
          <w:lang w:eastAsia="zh-CN"/>
        </w:rPr>
        <w:t>）</w:t>
      </w:r>
      <w:r>
        <w:rPr>
          <w:rFonts w:hint="eastAsia" w:ascii="宋体" w:hAnsi="宋体" w:cs="宋体"/>
          <w:kern w:val="2"/>
          <w:highlight w:val="none"/>
        </w:rPr>
        <w:t>养老服务对象：</w:t>
      </w:r>
      <w:r>
        <w:rPr>
          <w:rFonts w:hint="eastAsia" w:ascii="宋体" w:hAnsi="宋体" w:cs="宋体"/>
          <w:kern w:val="2"/>
          <w:highlight w:val="none"/>
          <w:u w:val="none"/>
          <w:lang w:val="en-US" w:eastAsia="zh-CN"/>
        </w:rPr>
        <w:t>前所</w:t>
      </w:r>
      <w:r>
        <w:rPr>
          <w:rFonts w:hint="eastAsia" w:ascii="宋体" w:hAnsi="宋体" w:cs="宋体"/>
          <w:kern w:val="2"/>
          <w:highlight w:val="none"/>
        </w:rPr>
        <w:t>街道范围内符合养老服务要求的对象。</w:t>
      </w:r>
    </w:p>
    <w:p w14:paraId="380655FB">
      <w:pPr>
        <w:pStyle w:val="56"/>
        <w:pageBreakBefore w:val="0"/>
        <w:widowControl/>
        <w:kinsoku/>
        <w:wordWrap/>
        <w:overflowPunct/>
        <w:topLinePunct w:val="0"/>
        <w:bidi w:val="0"/>
        <w:spacing w:line="440" w:lineRule="exact"/>
        <w:ind w:firstLine="480" w:firstLineChars="200"/>
        <w:jc w:val="both"/>
        <w:textAlignment w:val="auto"/>
        <w:rPr>
          <w:rFonts w:hint="eastAsia" w:ascii="宋体" w:hAnsi="宋体" w:eastAsia="宋体" w:cs="宋体"/>
          <w:color w:val="auto"/>
          <w:kern w:val="0"/>
          <w:sz w:val="24"/>
          <w:highlight w:val="none"/>
        </w:rPr>
      </w:pPr>
      <w:r>
        <w:rPr>
          <w:rFonts w:hint="eastAsia" w:ascii="宋体" w:hAnsi="宋体" w:cs="宋体"/>
          <w:kern w:val="2"/>
          <w:highlight w:val="none"/>
          <w:lang w:eastAsia="zh-CN"/>
        </w:rPr>
        <w:t>（</w:t>
      </w:r>
      <w:r>
        <w:rPr>
          <w:rFonts w:hint="eastAsia" w:ascii="宋体" w:hAnsi="宋体" w:cs="宋体"/>
          <w:kern w:val="2"/>
          <w:highlight w:val="none"/>
          <w:lang w:val="en-US" w:eastAsia="zh-CN"/>
        </w:rPr>
        <w:t>2</w:t>
      </w:r>
      <w:r>
        <w:rPr>
          <w:rFonts w:hint="eastAsia" w:ascii="宋体" w:hAnsi="宋体" w:cs="宋体"/>
          <w:kern w:val="2"/>
          <w:highlight w:val="none"/>
          <w:lang w:eastAsia="zh-CN"/>
        </w:rPr>
        <w:t>）</w:t>
      </w:r>
      <w:r>
        <w:rPr>
          <w:rFonts w:hint="eastAsia" w:ascii="宋体" w:hAnsi="宋体" w:cs="宋体"/>
          <w:kern w:val="2"/>
          <w:highlight w:val="none"/>
        </w:rPr>
        <w:t>服务区域：</w:t>
      </w:r>
      <w:r>
        <w:rPr>
          <w:rFonts w:hint="eastAsia" w:ascii="宋体" w:hAnsi="宋体" w:cs="宋体"/>
          <w:kern w:val="2"/>
          <w:highlight w:val="none"/>
          <w:u w:val="none"/>
          <w:lang w:val="en-US" w:eastAsia="zh-CN"/>
        </w:rPr>
        <w:t>前所</w:t>
      </w:r>
      <w:r>
        <w:rPr>
          <w:rFonts w:hint="eastAsia" w:ascii="宋体" w:hAnsi="宋体" w:cs="宋体"/>
          <w:kern w:val="2"/>
          <w:highlight w:val="none"/>
        </w:rPr>
        <w:t>街道</w:t>
      </w:r>
    </w:p>
    <w:p w14:paraId="41D6CCE6">
      <w:pPr>
        <w:pStyle w:val="13"/>
        <w:keepNext w:val="0"/>
        <w:keepLines w:val="0"/>
        <w:pageBreakBefore w:val="0"/>
        <w:numPr>
          <w:ilvl w:val="0"/>
          <w:numId w:val="0"/>
        </w:numPr>
        <w:kinsoku/>
        <w:wordWrap/>
        <w:overflowPunct/>
        <w:topLinePunct w:val="0"/>
        <w:autoSpaceDE/>
        <w:autoSpaceDN/>
        <w:bidi w:val="0"/>
        <w:snapToGrid w:val="0"/>
        <w:spacing w:line="440" w:lineRule="exact"/>
        <w:textAlignment w:val="auto"/>
        <w:rPr>
          <w:rFonts w:hint="eastAsia" w:ascii="宋体" w:hAnsi="宋体" w:eastAsia="宋体" w:cs="宋体"/>
          <w:b/>
          <w:bCs/>
          <w:color w:val="auto"/>
          <w:sz w:val="24"/>
          <w:szCs w:val="24"/>
          <w:highlight w:val="none"/>
          <w:lang w:eastAsia="zh-CN"/>
        </w:rPr>
      </w:pPr>
      <w:r>
        <w:rPr>
          <w:rFonts w:hint="eastAsia" w:hAnsi="宋体" w:eastAsia="宋体" w:cs="宋体"/>
          <w:b/>
          <w:bCs/>
          <w:color w:val="auto"/>
          <w:sz w:val="24"/>
          <w:highlight w:val="none"/>
          <w:lang w:val="en-US" w:eastAsia="zh-CN"/>
        </w:rPr>
        <w:t>三</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szCs w:val="24"/>
          <w:highlight w:val="none"/>
        </w:rPr>
        <w:t>合同金额</w:t>
      </w:r>
    </w:p>
    <w:tbl>
      <w:tblPr>
        <w:tblStyle w:val="26"/>
        <w:tblW w:w="7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1290"/>
        <w:gridCol w:w="2760"/>
        <w:gridCol w:w="2310"/>
      </w:tblGrid>
      <w:tr w14:paraId="46B29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jc w:val="center"/>
        </w:trPr>
        <w:tc>
          <w:tcPr>
            <w:tcW w:w="1410" w:type="dxa"/>
            <w:noWrap w:val="0"/>
            <w:vAlign w:val="center"/>
          </w:tcPr>
          <w:p w14:paraId="64B70D0C">
            <w:pPr>
              <w:pStyle w:val="56"/>
              <w:pageBreakBefore w:val="0"/>
              <w:widowControl/>
              <w:kinsoku/>
              <w:wordWrap/>
              <w:overflowPunct/>
              <w:topLinePunct w:val="0"/>
              <w:bidi w:val="0"/>
              <w:spacing w:line="440" w:lineRule="exact"/>
              <w:jc w:val="center"/>
              <w:textAlignment w:val="auto"/>
              <w:rPr>
                <w:rFonts w:ascii="宋体" w:hAnsi="宋体" w:cs="宋体"/>
                <w:kern w:val="2"/>
                <w:sz w:val="20"/>
                <w:szCs w:val="20"/>
                <w:highlight w:val="none"/>
              </w:rPr>
            </w:pPr>
            <w:r>
              <w:rPr>
                <w:rFonts w:hint="eastAsia" w:ascii="宋体" w:hAnsi="宋体" w:eastAsia="宋体" w:cs="宋体"/>
                <w:kern w:val="2"/>
                <w:sz w:val="21"/>
                <w:szCs w:val="21"/>
                <w:highlight w:val="none"/>
                <w:lang w:val="en-US" w:eastAsia="zh-CN"/>
              </w:rPr>
              <w:t>服务内容</w:t>
            </w:r>
          </w:p>
        </w:tc>
        <w:tc>
          <w:tcPr>
            <w:tcW w:w="1290" w:type="dxa"/>
            <w:noWrap w:val="0"/>
            <w:vAlign w:val="center"/>
          </w:tcPr>
          <w:p w14:paraId="72DFFAE3">
            <w:pPr>
              <w:pStyle w:val="56"/>
              <w:pageBreakBefore w:val="0"/>
              <w:widowControl/>
              <w:kinsoku/>
              <w:wordWrap/>
              <w:overflowPunct/>
              <w:topLinePunct w:val="0"/>
              <w:bidi w:val="0"/>
              <w:spacing w:line="440" w:lineRule="exact"/>
              <w:jc w:val="center"/>
              <w:textAlignment w:val="auto"/>
              <w:rPr>
                <w:rFonts w:hint="eastAsia" w:ascii="宋体" w:hAnsi="宋体" w:cs="宋体"/>
                <w:kern w:val="2"/>
                <w:sz w:val="21"/>
                <w:szCs w:val="21"/>
                <w:highlight w:val="none"/>
              </w:rPr>
            </w:pPr>
            <w:r>
              <w:rPr>
                <w:rFonts w:hint="eastAsia" w:ascii="宋体" w:hAnsi="宋体" w:cs="宋体"/>
                <w:kern w:val="2"/>
                <w:sz w:val="21"/>
                <w:szCs w:val="21"/>
                <w:highlight w:val="none"/>
              </w:rPr>
              <w:t>数量</w:t>
            </w:r>
          </w:p>
        </w:tc>
        <w:tc>
          <w:tcPr>
            <w:tcW w:w="2760" w:type="dxa"/>
            <w:noWrap w:val="0"/>
            <w:vAlign w:val="center"/>
          </w:tcPr>
          <w:p w14:paraId="1213BFD0">
            <w:pPr>
              <w:pStyle w:val="56"/>
              <w:pageBreakBefore w:val="0"/>
              <w:widowControl/>
              <w:kinsoku/>
              <w:wordWrap/>
              <w:overflowPunct/>
              <w:topLinePunct w:val="0"/>
              <w:bidi w:val="0"/>
              <w:spacing w:line="440" w:lineRule="exact"/>
              <w:jc w:val="center"/>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单价</w:t>
            </w:r>
          </w:p>
        </w:tc>
        <w:tc>
          <w:tcPr>
            <w:tcW w:w="2310" w:type="dxa"/>
            <w:noWrap w:val="0"/>
            <w:vAlign w:val="center"/>
          </w:tcPr>
          <w:p w14:paraId="3D739FD7">
            <w:pPr>
              <w:pStyle w:val="56"/>
              <w:pageBreakBefore w:val="0"/>
              <w:widowControl/>
              <w:kinsoku/>
              <w:wordWrap/>
              <w:overflowPunct/>
              <w:topLinePunct w:val="0"/>
              <w:bidi w:val="0"/>
              <w:spacing w:line="440" w:lineRule="exact"/>
              <w:jc w:val="center"/>
              <w:textAlignment w:val="auto"/>
              <w:rPr>
                <w:rFonts w:hint="eastAsia" w:ascii="宋体" w:hAnsi="宋体" w:cs="宋体"/>
                <w:kern w:val="2"/>
                <w:sz w:val="21"/>
                <w:szCs w:val="21"/>
                <w:highlight w:val="none"/>
              </w:rPr>
            </w:pPr>
            <w:r>
              <w:rPr>
                <w:rFonts w:hint="eastAsia" w:ascii="宋体" w:hAnsi="宋体" w:cs="宋体"/>
                <w:kern w:val="2"/>
                <w:sz w:val="21"/>
                <w:szCs w:val="21"/>
                <w:highlight w:val="none"/>
              </w:rPr>
              <w:t>总价（元/年）</w:t>
            </w:r>
          </w:p>
        </w:tc>
      </w:tr>
      <w:tr w14:paraId="428BD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410" w:type="dxa"/>
            <w:noWrap w:val="0"/>
            <w:vAlign w:val="center"/>
          </w:tcPr>
          <w:p w14:paraId="1D7D40C2">
            <w:pPr>
              <w:pStyle w:val="56"/>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居家养老上门服务</w:t>
            </w:r>
          </w:p>
        </w:tc>
        <w:tc>
          <w:tcPr>
            <w:tcW w:w="1290" w:type="dxa"/>
            <w:noWrap w:val="0"/>
            <w:vAlign w:val="center"/>
          </w:tcPr>
          <w:p w14:paraId="564765DB">
            <w:pPr>
              <w:pStyle w:val="56"/>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w:t>
            </w:r>
          </w:p>
        </w:tc>
        <w:tc>
          <w:tcPr>
            <w:tcW w:w="2760" w:type="dxa"/>
            <w:noWrap w:val="0"/>
            <w:vAlign w:val="center"/>
          </w:tcPr>
          <w:p w14:paraId="2D66C8D7">
            <w:pPr>
              <w:pStyle w:val="56"/>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kern w:val="2"/>
                <w:sz w:val="21"/>
                <w:szCs w:val="21"/>
                <w:highlight w:val="none"/>
                <w:u w:val="single"/>
                <w:lang w:val="en-US" w:eastAsia="zh-CN"/>
              </w:rPr>
              <w:t xml:space="preserve"> 491520 </w:t>
            </w:r>
            <w:r>
              <w:rPr>
                <w:rFonts w:hint="eastAsia" w:ascii="宋体" w:hAnsi="宋体" w:cs="宋体"/>
                <w:kern w:val="2"/>
                <w:sz w:val="21"/>
                <w:szCs w:val="21"/>
                <w:highlight w:val="none"/>
              </w:rPr>
              <w:t>元/年</w:t>
            </w:r>
          </w:p>
        </w:tc>
        <w:tc>
          <w:tcPr>
            <w:tcW w:w="2310" w:type="dxa"/>
            <w:noWrap w:val="0"/>
            <w:vAlign w:val="center"/>
          </w:tcPr>
          <w:p w14:paraId="548C69A1">
            <w:pPr>
              <w:pStyle w:val="56"/>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cs="宋体"/>
                <w:kern w:val="2"/>
                <w:sz w:val="21"/>
                <w:szCs w:val="21"/>
                <w:highlight w:val="none"/>
                <w:u w:val="none"/>
                <w:lang w:val="en-US" w:eastAsia="zh-CN"/>
              </w:rPr>
              <w:t>按实结算</w:t>
            </w:r>
            <w:r>
              <w:rPr>
                <w:rFonts w:hint="eastAsia" w:ascii="宋体" w:hAnsi="宋体" w:eastAsia="宋体" w:cs="宋体"/>
                <w:kern w:val="2"/>
                <w:sz w:val="21"/>
                <w:szCs w:val="21"/>
                <w:highlight w:val="none"/>
                <w:u w:val="none"/>
                <w:lang w:val="en-US" w:eastAsia="zh-CN"/>
              </w:rPr>
              <w:t>，如超出财政补贴标准，费用由中标人自行承担。</w:t>
            </w:r>
          </w:p>
        </w:tc>
      </w:tr>
      <w:tr w14:paraId="1A0FA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410" w:type="dxa"/>
            <w:noWrap w:val="0"/>
            <w:vAlign w:val="center"/>
          </w:tcPr>
          <w:p w14:paraId="22140CB6">
            <w:pPr>
              <w:pStyle w:val="56"/>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街道级居家养老服务中心</w:t>
            </w:r>
          </w:p>
        </w:tc>
        <w:tc>
          <w:tcPr>
            <w:tcW w:w="1290" w:type="dxa"/>
            <w:noWrap w:val="0"/>
            <w:vAlign w:val="center"/>
          </w:tcPr>
          <w:p w14:paraId="5BF2B050">
            <w:pPr>
              <w:pStyle w:val="56"/>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kern w:val="2"/>
                <w:sz w:val="21"/>
                <w:szCs w:val="21"/>
                <w:highlight w:val="none"/>
              </w:rPr>
            </w:pPr>
            <w:r>
              <w:rPr>
                <w:rFonts w:hint="eastAsia" w:ascii="宋体" w:hAnsi="宋体" w:cs="宋体"/>
                <w:kern w:val="2"/>
                <w:sz w:val="21"/>
                <w:szCs w:val="21"/>
                <w:highlight w:val="none"/>
                <w:u w:val="single"/>
                <w:lang w:val="en-US" w:eastAsia="zh-CN"/>
              </w:rPr>
              <w:t xml:space="preserve"> 1 </w:t>
            </w:r>
            <w:r>
              <w:rPr>
                <w:rFonts w:hint="eastAsia" w:ascii="宋体" w:hAnsi="宋体" w:cs="宋体"/>
                <w:kern w:val="2"/>
                <w:sz w:val="21"/>
                <w:szCs w:val="21"/>
                <w:highlight w:val="none"/>
              </w:rPr>
              <w:t>家</w:t>
            </w:r>
          </w:p>
        </w:tc>
        <w:tc>
          <w:tcPr>
            <w:tcW w:w="2760" w:type="dxa"/>
            <w:noWrap w:val="0"/>
            <w:vAlign w:val="center"/>
          </w:tcPr>
          <w:p w14:paraId="73686732">
            <w:pPr>
              <w:pStyle w:val="56"/>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cs="宋体"/>
                <w:kern w:val="2"/>
                <w:sz w:val="21"/>
                <w:szCs w:val="21"/>
                <w:highlight w:val="none"/>
                <w:lang w:val="en-US" w:eastAsia="zh-CN" w:bidi="ar-SA"/>
              </w:rPr>
            </w:pPr>
            <w:r>
              <w:rPr>
                <w:rFonts w:hint="eastAsia" w:ascii="宋体" w:hAnsi="宋体" w:cs="宋体"/>
                <w:kern w:val="2"/>
                <w:sz w:val="21"/>
                <w:szCs w:val="21"/>
                <w:highlight w:val="none"/>
                <w:u w:val="single"/>
                <w:lang w:val="en-US" w:eastAsia="zh-CN"/>
              </w:rPr>
              <w:t xml:space="preserve"> 150000 </w:t>
            </w:r>
            <w:r>
              <w:rPr>
                <w:rFonts w:hint="eastAsia" w:ascii="宋体" w:hAnsi="宋体" w:cs="宋体"/>
                <w:kern w:val="2"/>
                <w:sz w:val="21"/>
                <w:szCs w:val="21"/>
                <w:highlight w:val="none"/>
              </w:rPr>
              <w:t>元/家/年</w:t>
            </w:r>
          </w:p>
        </w:tc>
        <w:tc>
          <w:tcPr>
            <w:tcW w:w="2310" w:type="dxa"/>
            <w:noWrap w:val="0"/>
            <w:vAlign w:val="center"/>
          </w:tcPr>
          <w:p w14:paraId="4BA0C372">
            <w:pPr>
              <w:pStyle w:val="56"/>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cs="宋体"/>
                <w:kern w:val="2"/>
                <w:sz w:val="21"/>
                <w:szCs w:val="21"/>
                <w:highlight w:val="none"/>
                <w:lang w:val="en-US" w:eastAsia="zh-CN" w:bidi="ar-SA"/>
              </w:rPr>
            </w:pPr>
            <w:r>
              <w:rPr>
                <w:rFonts w:hint="eastAsia" w:ascii="宋体" w:hAnsi="宋体" w:cs="宋体"/>
                <w:kern w:val="2"/>
                <w:sz w:val="21"/>
                <w:szCs w:val="21"/>
                <w:highlight w:val="none"/>
                <w:u w:val="single"/>
                <w:lang w:val="en-US" w:eastAsia="zh-CN"/>
              </w:rPr>
              <w:t xml:space="preserve"> 150000 </w:t>
            </w:r>
            <w:r>
              <w:rPr>
                <w:rFonts w:hint="eastAsia" w:ascii="宋体" w:hAnsi="宋体" w:cs="宋体"/>
                <w:kern w:val="2"/>
                <w:sz w:val="21"/>
                <w:szCs w:val="21"/>
                <w:highlight w:val="none"/>
              </w:rPr>
              <w:t>元/年</w:t>
            </w:r>
          </w:p>
        </w:tc>
      </w:tr>
      <w:tr w14:paraId="30E70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410" w:type="dxa"/>
            <w:noWrap w:val="0"/>
            <w:vAlign w:val="center"/>
          </w:tcPr>
          <w:p w14:paraId="5659DEBA">
            <w:pPr>
              <w:pStyle w:val="56"/>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城乡社区（村）居家</w:t>
            </w:r>
            <w:r>
              <w:rPr>
                <w:rFonts w:hint="eastAsia" w:ascii="宋体" w:hAnsi="宋体" w:eastAsia="宋体" w:cs="宋体"/>
                <w:sz w:val="21"/>
                <w:szCs w:val="21"/>
                <w:highlight w:val="none"/>
                <w:lang w:val="en-US" w:eastAsia="zh-CN"/>
              </w:rPr>
              <w:t>养老服务</w:t>
            </w:r>
            <w:r>
              <w:rPr>
                <w:rFonts w:hint="eastAsia" w:ascii="宋体" w:hAnsi="宋体" w:eastAsia="宋体" w:cs="宋体"/>
                <w:sz w:val="21"/>
                <w:szCs w:val="21"/>
                <w:highlight w:val="none"/>
                <w:lang w:eastAsia="zh-CN"/>
              </w:rPr>
              <w:t>照料中心</w:t>
            </w:r>
            <w:r>
              <w:rPr>
                <w:rFonts w:hint="eastAsia" w:ascii="宋体" w:hAnsi="宋体" w:eastAsia="宋体" w:cs="宋体"/>
                <w:sz w:val="21"/>
                <w:szCs w:val="21"/>
                <w:highlight w:val="none"/>
                <w:lang w:val="en-US" w:eastAsia="zh-CN"/>
              </w:rPr>
              <w:t>活动组织及运营保障</w:t>
            </w:r>
          </w:p>
        </w:tc>
        <w:tc>
          <w:tcPr>
            <w:tcW w:w="1290" w:type="dxa"/>
            <w:noWrap w:val="0"/>
            <w:vAlign w:val="center"/>
          </w:tcPr>
          <w:p w14:paraId="79C93CC9">
            <w:pPr>
              <w:pStyle w:val="56"/>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1"/>
                <w:szCs w:val="21"/>
                <w:highlight w:val="none"/>
                <w:lang w:eastAsia="zh-CN"/>
              </w:rPr>
            </w:pPr>
            <w:r>
              <w:rPr>
                <w:rFonts w:hint="eastAsia" w:ascii="宋体" w:hAnsi="宋体" w:cs="宋体"/>
                <w:kern w:val="2"/>
                <w:sz w:val="21"/>
                <w:szCs w:val="21"/>
                <w:highlight w:val="none"/>
                <w:u w:val="single"/>
                <w:lang w:val="en-US" w:eastAsia="zh-CN"/>
              </w:rPr>
              <w:t xml:space="preserve"> 28 </w:t>
            </w:r>
            <w:r>
              <w:rPr>
                <w:rFonts w:hint="eastAsia" w:ascii="宋体" w:hAnsi="宋体" w:cs="宋体"/>
                <w:kern w:val="2"/>
                <w:sz w:val="21"/>
                <w:szCs w:val="21"/>
                <w:highlight w:val="none"/>
                <w:lang w:val="en-US" w:eastAsia="zh-CN"/>
              </w:rPr>
              <w:t>家</w:t>
            </w:r>
          </w:p>
        </w:tc>
        <w:tc>
          <w:tcPr>
            <w:tcW w:w="2760" w:type="dxa"/>
            <w:noWrap w:val="0"/>
            <w:vAlign w:val="center"/>
          </w:tcPr>
          <w:p w14:paraId="643FC814">
            <w:pPr>
              <w:pStyle w:val="56"/>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cs="宋体"/>
                <w:kern w:val="2"/>
                <w:sz w:val="21"/>
                <w:szCs w:val="21"/>
                <w:highlight w:val="none"/>
                <w:lang w:val="en-US" w:eastAsia="zh-CN" w:bidi="ar-SA"/>
              </w:rPr>
            </w:pPr>
            <w:r>
              <w:rPr>
                <w:rFonts w:hint="eastAsia" w:ascii="宋体" w:hAnsi="宋体" w:cs="宋体"/>
                <w:kern w:val="2"/>
                <w:sz w:val="21"/>
                <w:szCs w:val="21"/>
                <w:highlight w:val="none"/>
                <w:u w:val="single"/>
                <w:lang w:val="en-US" w:eastAsia="zh-CN"/>
              </w:rPr>
              <w:t xml:space="preserve"> 15000 </w:t>
            </w:r>
            <w:r>
              <w:rPr>
                <w:rFonts w:hint="eastAsia" w:ascii="宋体" w:hAnsi="宋体" w:cs="宋体"/>
                <w:kern w:val="2"/>
                <w:sz w:val="21"/>
                <w:szCs w:val="21"/>
                <w:highlight w:val="none"/>
              </w:rPr>
              <w:t>元/家/年</w:t>
            </w:r>
          </w:p>
        </w:tc>
        <w:tc>
          <w:tcPr>
            <w:tcW w:w="2310" w:type="dxa"/>
            <w:noWrap w:val="0"/>
            <w:vAlign w:val="center"/>
          </w:tcPr>
          <w:p w14:paraId="1694F8FA">
            <w:pPr>
              <w:pStyle w:val="56"/>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cs="宋体"/>
                <w:kern w:val="2"/>
                <w:sz w:val="21"/>
                <w:szCs w:val="21"/>
                <w:highlight w:val="none"/>
                <w:lang w:val="en-US" w:eastAsia="zh-CN" w:bidi="ar-SA"/>
              </w:rPr>
            </w:pPr>
            <w:r>
              <w:rPr>
                <w:rFonts w:hint="eastAsia" w:ascii="宋体" w:hAnsi="宋体" w:cs="宋体"/>
                <w:kern w:val="2"/>
                <w:sz w:val="21"/>
                <w:szCs w:val="21"/>
                <w:highlight w:val="none"/>
                <w:u w:val="single"/>
                <w:lang w:val="en-US" w:eastAsia="zh-CN"/>
              </w:rPr>
              <w:t xml:space="preserve"> 420000 </w:t>
            </w:r>
            <w:r>
              <w:rPr>
                <w:rFonts w:hint="eastAsia" w:ascii="宋体" w:hAnsi="宋体" w:cs="宋体"/>
                <w:kern w:val="2"/>
                <w:sz w:val="21"/>
                <w:szCs w:val="21"/>
                <w:highlight w:val="none"/>
              </w:rPr>
              <w:t>元/年</w:t>
            </w:r>
          </w:p>
        </w:tc>
      </w:tr>
      <w:tr w14:paraId="34FE8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410" w:type="dxa"/>
            <w:noWrap w:val="0"/>
            <w:vAlign w:val="center"/>
          </w:tcPr>
          <w:p w14:paraId="4530B258">
            <w:pPr>
              <w:pStyle w:val="56"/>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城乡社区（村）居家养老服务照料中心助配餐配送费补贴</w:t>
            </w:r>
          </w:p>
        </w:tc>
        <w:tc>
          <w:tcPr>
            <w:tcW w:w="1290" w:type="dxa"/>
            <w:noWrap w:val="0"/>
            <w:vAlign w:val="center"/>
          </w:tcPr>
          <w:p w14:paraId="4C0955B2">
            <w:pPr>
              <w:pStyle w:val="56"/>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kern w:val="2"/>
                <w:sz w:val="21"/>
                <w:szCs w:val="21"/>
                <w:highlight w:val="none"/>
                <w:u w:val="single"/>
                <w:lang w:val="en-US" w:eastAsia="zh-CN"/>
              </w:rPr>
              <w:t xml:space="preserve"> 28 </w:t>
            </w:r>
            <w:r>
              <w:rPr>
                <w:rFonts w:hint="eastAsia" w:ascii="宋体" w:hAnsi="宋体" w:cs="宋体"/>
                <w:kern w:val="2"/>
                <w:sz w:val="21"/>
                <w:szCs w:val="21"/>
                <w:highlight w:val="none"/>
                <w:lang w:val="en-US" w:eastAsia="zh-CN"/>
              </w:rPr>
              <w:t>家</w:t>
            </w:r>
          </w:p>
        </w:tc>
        <w:tc>
          <w:tcPr>
            <w:tcW w:w="2760" w:type="dxa"/>
            <w:noWrap w:val="0"/>
            <w:vAlign w:val="center"/>
          </w:tcPr>
          <w:p w14:paraId="32002030">
            <w:pPr>
              <w:pStyle w:val="56"/>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cs="宋体"/>
                <w:kern w:val="2"/>
                <w:sz w:val="21"/>
                <w:szCs w:val="21"/>
                <w:highlight w:val="none"/>
                <w:lang w:val="en-US" w:eastAsia="zh-CN" w:bidi="ar-SA"/>
              </w:rPr>
            </w:pPr>
            <w:r>
              <w:rPr>
                <w:rFonts w:hint="eastAsia" w:ascii="宋体" w:hAnsi="宋体" w:cs="宋体"/>
                <w:kern w:val="2"/>
                <w:sz w:val="21"/>
                <w:szCs w:val="21"/>
                <w:highlight w:val="none"/>
                <w:u w:val="single"/>
                <w:lang w:val="en-US" w:eastAsia="zh-CN"/>
              </w:rPr>
              <w:t xml:space="preserve"> 15000 </w:t>
            </w:r>
            <w:r>
              <w:rPr>
                <w:rFonts w:hint="eastAsia" w:ascii="宋体" w:hAnsi="宋体" w:cs="宋体"/>
                <w:kern w:val="2"/>
                <w:sz w:val="21"/>
                <w:szCs w:val="21"/>
                <w:highlight w:val="none"/>
                <w:lang w:val="en-US" w:eastAsia="zh-CN"/>
              </w:rPr>
              <w:t xml:space="preserve"> </w:t>
            </w:r>
            <w:r>
              <w:rPr>
                <w:rFonts w:hint="eastAsia" w:ascii="宋体" w:hAnsi="宋体" w:cs="宋体"/>
                <w:kern w:val="2"/>
                <w:sz w:val="21"/>
                <w:szCs w:val="21"/>
                <w:highlight w:val="none"/>
              </w:rPr>
              <w:t>元/家/年</w:t>
            </w:r>
          </w:p>
        </w:tc>
        <w:tc>
          <w:tcPr>
            <w:tcW w:w="2310" w:type="dxa"/>
            <w:noWrap w:val="0"/>
            <w:vAlign w:val="center"/>
          </w:tcPr>
          <w:p w14:paraId="4E5CCF09">
            <w:pPr>
              <w:pStyle w:val="56"/>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u w:val="none"/>
                <w:lang w:val="en-US" w:eastAsia="zh-CN"/>
              </w:rPr>
              <w:t>按实结算，每家超出15000元部分由中标人自行承担。</w:t>
            </w:r>
          </w:p>
        </w:tc>
      </w:tr>
    </w:tbl>
    <w:p w14:paraId="7365433D">
      <w:pPr>
        <w:pStyle w:val="13"/>
        <w:keepNext w:val="0"/>
        <w:keepLines w:val="0"/>
        <w:pageBreakBefore w:val="0"/>
        <w:kinsoku/>
        <w:wordWrap/>
        <w:overflowPunct/>
        <w:topLinePunct w:val="0"/>
        <w:autoSpaceDE/>
        <w:autoSpaceDN/>
        <w:bidi w:val="0"/>
        <w:snapToGrid w:val="0"/>
        <w:spacing w:line="440" w:lineRule="exact"/>
        <w:ind w:left="0" w:hanging="410" w:hangingChars="17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四、服务期</w:t>
      </w:r>
    </w:p>
    <w:p w14:paraId="25E21138">
      <w:pPr>
        <w:pStyle w:val="8"/>
        <w:keepNext w:val="0"/>
        <w:keepLines w:val="0"/>
        <w:pageBreakBefore w:val="0"/>
        <w:numPr>
          <w:ilvl w:val="0"/>
          <w:numId w:val="0"/>
        </w:numPr>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i w:val="0"/>
          <w:iCs/>
          <w:caps/>
          <w:color w:val="auto"/>
          <w:sz w:val="24"/>
          <w:szCs w:val="24"/>
          <w:highlight w:val="none"/>
          <w:u w:val="none"/>
          <w:lang w:val="en-US" w:eastAsia="zh-CN"/>
        </w:rPr>
        <w:t>服务期为三年（</w:t>
      </w:r>
      <w:r>
        <w:rPr>
          <w:rFonts w:hint="eastAsia" w:ascii="宋体" w:hAnsi="宋体" w:eastAsia="宋体" w:cs="宋体"/>
          <w:b w:val="0"/>
          <w:bCs/>
          <w:i w:val="0"/>
          <w:iCs/>
          <w:caps/>
          <w:color w:val="auto"/>
          <w:sz w:val="24"/>
          <w:szCs w:val="24"/>
          <w:highlight w:val="none"/>
          <w:u w:val="single"/>
          <w:lang w:val="en-US" w:eastAsia="zh-CN"/>
        </w:rPr>
        <w:t xml:space="preserve">     </w:t>
      </w:r>
      <w:r>
        <w:rPr>
          <w:rFonts w:hint="eastAsia" w:ascii="宋体" w:hAnsi="宋体" w:eastAsia="宋体" w:cs="宋体"/>
          <w:b w:val="0"/>
          <w:bCs/>
          <w:i w:val="0"/>
          <w:iCs/>
          <w:caps/>
          <w:color w:val="auto"/>
          <w:sz w:val="24"/>
          <w:szCs w:val="24"/>
          <w:highlight w:val="none"/>
          <w:u w:val="none"/>
          <w:lang w:val="en-US" w:eastAsia="zh-CN"/>
        </w:rPr>
        <w:t>年</w:t>
      </w:r>
      <w:r>
        <w:rPr>
          <w:rFonts w:hint="eastAsia" w:ascii="宋体" w:hAnsi="宋体" w:eastAsia="宋体" w:cs="宋体"/>
          <w:b w:val="0"/>
          <w:bCs/>
          <w:i w:val="0"/>
          <w:iCs/>
          <w:caps/>
          <w:color w:val="auto"/>
          <w:sz w:val="24"/>
          <w:szCs w:val="24"/>
          <w:highlight w:val="none"/>
          <w:u w:val="single"/>
          <w:lang w:val="en-US" w:eastAsia="zh-CN"/>
        </w:rPr>
        <w:t xml:space="preserve">    </w:t>
      </w:r>
      <w:r>
        <w:rPr>
          <w:rFonts w:hint="eastAsia" w:ascii="宋体" w:hAnsi="宋体" w:eastAsia="宋体" w:cs="宋体"/>
          <w:b w:val="0"/>
          <w:bCs/>
          <w:i w:val="0"/>
          <w:iCs/>
          <w:caps/>
          <w:color w:val="auto"/>
          <w:sz w:val="24"/>
          <w:szCs w:val="24"/>
          <w:highlight w:val="none"/>
          <w:u w:val="none"/>
          <w:lang w:val="en-US" w:eastAsia="zh-CN"/>
        </w:rPr>
        <w:t>月</w:t>
      </w:r>
      <w:r>
        <w:rPr>
          <w:rFonts w:hint="eastAsia" w:ascii="宋体" w:hAnsi="宋体" w:eastAsia="宋体" w:cs="宋体"/>
          <w:b w:val="0"/>
          <w:bCs/>
          <w:i w:val="0"/>
          <w:iCs/>
          <w:caps/>
          <w:color w:val="auto"/>
          <w:sz w:val="24"/>
          <w:szCs w:val="24"/>
          <w:highlight w:val="none"/>
          <w:u w:val="single"/>
          <w:lang w:val="en-US" w:eastAsia="zh-CN"/>
        </w:rPr>
        <w:t xml:space="preserve">    </w:t>
      </w:r>
      <w:r>
        <w:rPr>
          <w:rFonts w:hint="eastAsia" w:ascii="宋体" w:hAnsi="宋体" w:eastAsia="宋体" w:cs="宋体"/>
          <w:b w:val="0"/>
          <w:bCs/>
          <w:i w:val="0"/>
          <w:iCs/>
          <w:caps/>
          <w:color w:val="auto"/>
          <w:sz w:val="24"/>
          <w:szCs w:val="24"/>
          <w:highlight w:val="none"/>
          <w:u w:val="none"/>
          <w:lang w:val="en-US" w:eastAsia="zh-CN"/>
        </w:rPr>
        <w:t>日至</w:t>
      </w:r>
      <w:r>
        <w:rPr>
          <w:rFonts w:hint="eastAsia" w:ascii="宋体" w:hAnsi="宋体" w:eastAsia="宋体" w:cs="宋体"/>
          <w:b w:val="0"/>
          <w:bCs/>
          <w:i w:val="0"/>
          <w:iCs/>
          <w:caps/>
          <w:color w:val="auto"/>
          <w:sz w:val="24"/>
          <w:szCs w:val="24"/>
          <w:highlight w:val="none"/>
          <w:u w:val="single"/>
          <w:lang w:val="en-US" w:eastAsia="zh-CN"/>
        </w:rPr>
        <w:t xml:space="preserve">     </w:t>
      </w:r>
      <w:r>
        <w:rPr>
          <w:rFonts w:hint="eastAsia" w:ascii="宋体" w:hAnsi="宋体" w:eastAsia="宋体" w:cs="宋体"/>
          <w:b w:val="0"/>
          <w:bCs/>
          <w:i w:val="0"/>
          <w:iCs/>
          <w:caps/>
          <w:color w:val="auto"/>
          <w:sz w:val="24"/>
          <w:szCs w:val="24"/>
          <w:highlight w:val="none"/>
          <w:u w:val="none"/>
          <w:lang w:val="en-US" w:eastAsia="zh-CN"/>
        </w:rPr>
        <w:t>年</w:t>
      </w:r>
      <w:r>
        <w:rPr>
          <w:rFonts w:hint="eastAsia" w:ascii="宋体" w:hAnsi="宋体" w:eastAsia="宋体" w:cs="宋体"/>
          <w:b w:val="0"/>
          <w:bCs/>
          <w:i w:val="0"/>
          <w:iCs/>
          <w:caps/>
          <w:color w:val="auto"/>
          <w:sz w:val="24"/>
          <w:szCs w:val="24"/>
          <w:highlight w:val="none"/>
          <w:u w:val="single"/>
          <w:lang w:val="en-US" w:eastAsia="zh-CN"/>
        </w:rPr>
        <w:t xml:space="preserve">    </w:t>
      </w:r>
      <w:r>
        <w:rPr>
          <w:rFonts w:hint="eastAsia" w:ascii="宋体" w:hAnsi="宋体" w:eastAsia="宋体" w:cs="宋体"/>
          <w:b w:val="0"/>
          <w:bCs/>
          <w:i w:val="0"/>
          <w:iCs/>
          <w:caps/>
          <w:color w:val="auto"/>
          <w:sz w:val="24"/>
          <w:szCs w:val="24"/>
          <w:highlight w:val="none"/>
          <w:u w:val="none"/>
          <w:lang w:val="en-US" w:eastAsia="zh-CN"/>
        </w:rPr>
        <w:t>月</w:t>
      </w:r>
      <w:r>
        <w:rPr>
          <w:rFonts w:hint="eastAsia" w:ascii="宋体" w:hAnsi="宋体" w:eastAsia="宋体" w:cs="宋体"/>
          <w:b w:val="0"/>
          <w:bCs/>
          <w:i w:val="0"/>
          <w:iCs/>
          <w:caps/>
          <w:color w:val="auto"/>
          <w:sz w:val="24"/>
          <w:szCs w:val="24"/>
          <w:highlight w:val="none"/>
          <w:u w:val="single"/>
          <w:lang w:val="en-US" w:eastAsia="zh-CN"/>
        </w:rPr>
        <w:t xml:space="preserve">    </w:t>
      </w:r>
      <w:r>
        <w:rPr>
          <w:rFonts w:hint="eastAsia" w:ascii="宋体" w:hAnsi="宋体" w:eastAsia="宋体" w:cs="宋体"/>
          <w:b w:val="0"/>
          <w:bCs/>
          <w:i w:val="0"/>
          <w:iCs/>
          <w:caps/>
          <w:color w:val="auto"/>
          <w:sz w:val="24"/>
          <w:szCs w:val="24"/>
          <w:highlight w:val="none"/>
          <w:u w:val="none"/>
          <w:lang w:val="en-US" w:eastAsia="zh-CN"/>
        </w:rPr>
        <w:t>日）。采用1+1+1模式，合同一年一签形式</w:t>
      </w:r>
      <w:r>
        <w:rPr>
          <w:rFonts w:hint="eastAsia" w:ascii="宋体" w:hAnsi="宋体" w:eastAsia="宋体" w:cs="宋体"/>
          <w:color w:val="auto"/>
          <w:sz w:val="24"/>
          <w:szCs w:val="24"/>
          <w:highlight w:val="none"/>
          <w:lang w:val="en-US" w:eastAsia="zh-CN"/>
        </w:rPr>
        <w:t>。在签约合同服务期满一个月前，甲方将视乙方在合同服务期内的工作表现，且项目内容和资金符合采购预算安排或要求，可将合同承包期续签1年，最多续签2次，如甲方决定不再续签，不视为违约。（若该年度服务期限未满，项目采购金额累计达到预算价时，甲方有权提前终止）</w:t>
      </w:r>
    </w:p>
    <w:p w14:paraId="5253714E">
      <w:pPr>
        <w:pStyle w:val="8"/>
        <w:keepNext w:val="0"/>
        <w:keepLines w:val="0"/>
        <w:pageBreakBefore w:val="0"/>
        <w:numPr>
          <w:ilvl w:val="0"/>
          <w:numId w:val="0"/>
        </w:numPr>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b w:val="0"/>
          <w:bCs/>
          <w:i w:val="0"/>
          <w:iCs/>
          <w:caps/>
          <w:color w:val="auto"/>
          <w:sz w:val="24"/>
          <w:szCs w:val="24"/>
          <w:highlight w:val="none"/>
          <w:u w:val="none"/>
          <w:lang w:val="en-US" w:eastAsia="zh-CN"/>
        </w:rPr>
      </w:pPr>
      <w:r>
        <w:rPr>
          <w:rFonts w:hint="eastAsia" w:hAnsi="宋体" w:cs="宋体"/>
          <w:color w:val="auto"/>
          <w:szCs w:val="21"/>
          <w:highlight w:val="none"/>
          <w:lang w:val="en-US" w:eastAsia="zh-CN"/>
        </w:rPr>
        <w:t>本合同服务期限为一年，从</w:t>
      </w:r>
      <w:r>
        <w:rPr>
          <w:rFonts w:hint="eastAsia" w:hAnsi="宋体" w:cs="宋体"/>
          <w:color w:val="auto"/>
          <w:szCs w:val="21"/>
          <w:highlight w:val="none"/>
          <w:u w:val="single"/>
          <w:lang w:val="en-US" w:eastAsia="zh-CN"/>
        </w:rPr>
        <w:t xml:space="preserve">     </w:t>
      </w:r>
      <w:r>
        <w:rPr>
          <w:rFonts w:hint="eastAsia" w:hAnsi="宋体" w:cs="宋体"/>
          <w:color w:val="auto"/>
          <w:szCs w:val="21"/>
          <w:highlight w:val="none"/>
          <w:u w:val="none"/>
          <w:lang w:eastAsia="zh-CN"/>
        </w:rPr>
        <w:t>年</w:t>
      </w:r>
      <w:r>
        <w:rPr>
          <w:rFonts w:hint="eastAsia" w:ascii="宋体" w:hAnsi="宋体" w:eastAsia="宋体" w:cs="宋体"/>
          <w:color w:val="auto"/>
          <w:szCs w:val="21"/>
          <w:highlight w:val="none"/>
          <w:u w:val="single"/>
          <w:lang w:eastAsia="zh-CN"/>
        </w:rPr>
        <w:t xml:space="preserve">    </w:t>
      </w:r>
      <w:r>
        <w:rPr>
          <w:rFonts w:hint="eastAsia" w:ascii="宋体" w:hAnsi="宋体" w:eastAsia="宋体" w:cs="宋体"/>
          <w:color w:val="auto"/>
          <w:szCs w:val="21"/>
          <w:highlight w:val="none"/>
          <w:lang w:eastAsia="zh-CN"/>
        </w:rPr>
        <w:t>月</w:t>
      </w:r>
      <w:r>
        <w:rPr>
          <w:rFonts w:hint="eastAsia" w:ascii="宋体" w:hAnsi="宋体" w:eastAsia="宋体" w:cs="宋体"/>
          <w:color w:val="auto"/>
          <w:szCs w:val="21"/>
          <w:highlight w:val="none"/>
          <w:u w:val="single"/>
          <w:lang w:eastAsia="zh-CN"/>
        </w:rPr>
        <w:t xml:space="preserve">    </w:t>
      </w:r>
      <w:r>
        <w:rPr>
          <w:rFonts w:hint="eastAsia" w:ascii="宋体" w:hAnsi="宋体" w:eastAsia="宋体" w:cs="宋体"/>
          <w:color w:val="auto"/>
          <w:szCs w:val="21"/>
          <w:highlight w:val="none"/>
          <w:lang w:eastAsia="zh-CN"/>
        </w:rPr>
        <w:t>日</w:t>
      </w:r>
      <w:r>
        <w:rPr>
          <w:rFonts w:hint="eastAsia" w:hAnsi="宋体" w:cs="宋体"/>
          <w:color w:val="auto"/>
          <w:szCs w:val="21"/>
          <w:highlight w:val="none"/>
          <w:lang w:val="en-US" w:eastAsia="zh-CN"/>
        </w:rPr>
        <w:t>起</w:t>
      </w:r>
      <w:r>
        <w:rPr>
          <w:rFonts w:hint="eastAsia" w:ascii="宋体" w:hAnsi="宋体" w:eastAsia="宋体" w:cs="宋体"/>
          <w:color w:val="auto"/>
          <w:szCs w:val="21"/>
          <w:highlight w:val="none"/>
          <w:lang w:eastAsia="zh-CN"/>
        </w:rPr>
        <w:t>至</w:t>
      </w:r>
      <w:r>
        <w:rPr>
          <w:rFonts w:hint="eastAsia" w:hAnsi="宋体" w:cs="宋体"/>
          <w:color w:val="auto"/>
          <w:szCs w:val="21"/>
          <w:highlight w:val="none"/>
          <w:u w:val="single"/>
          <w:lang w:val="en-US" w:eastAsia="zh-CN"/>
        </w:rPr>
        <w:t xml:space="preserve">     </w:t>
      </w:r>
      <w:r>
        <w:rPr>
          <w:rFonts w:hint="eastAsia" w:ascii="宋体" w:hAnsi="宋体" w:eastAsia="宋体" w:cs="宋体"/>
          <w:color w:val="auto"/>
          <w:szCs w:val="21"/>
          <w:highlight w:val="none"/>
          <w:lang w:eastAsia="zh-CN"/>
        </w:rPr>
        <w:t>年</w:t>
      </w:r>
      <w:r>
        <w:rPr>
          <w:rFonts w:hint="eastAsia" w:ascii="宋体" w:hAnsi="宋体" w:eastAsia="宋体" w:cs="宋体"/>
          <w:color w:val="auto"/>
          <w:szCs w:val="21"/>
          <w:highlight w:val="none"/>
          <w:u w:val="single"/>
          <w:lang w:eastAsia="zh-CN"/>
        </w:rPr>
        <w:t xml:space="preserve">    </w:t>
      </w:r>
      <w:r>
        <w:rPr>
          <w:rFonts w:hint="eastAsia" w:ascii="宋体" w:hAnsi="宋体" w:eastAsia="宋体" w:cs="宋体"/>
          <w:color w:val="auto"/>
          <w:szCs w:val="21"/>
          <w:highlight w:val="none"/>
          <w:lang w:eastAsia="zh-CN"/>
        </w:rPr>
        <w:t>月</w:t>
      </w:r>
      <w:r>
        <w:rPr>
          <w:rFonts w:hint="eastAsia" w:ascii="宋体" w:hAnsi="宋体" w:eastAsia="宋体" w:cs="宋体"/>
          <w:color w:val="auto"/>
          <w:szCs w:val="21"/>
          <w:highlight w:val="none"/>
          <w:u w:val="single"/>
          <w:lang w:eastAsia="zh-CN"/>
        </w:rPr>
        <w:t xml:space="preserve">    </w:t>
      </w:r>
      <w:r>
        <w:rPr>
          <w:rFonts w:hint="eastAsia" w:ascii="宋体" w:hAnsi="宋体" w:eastAsia="宋体" w:cs="宋体"/>
          <w:color w:val="auto"/>
          <w:szCs w:val="21"/>
          <w:highlight w:val="none"/>
          <w:lang w:eastAsia="zh-CN"/>
        </w:rPr>
        <w:t>日</w:t>
      </w:r>
      <w:r>
        <w:rPr>
          <w:rFonts w:hint="eastAsia" w:hAnsi="宋体" w:cs="宋体"/>
          <w:color w:val="auto"/>
          <w:szCs w:val="21"/>
          <w:highlight w:val="none"/>
          <w:lang w:val="en-US" w:eastAsia="zh-CN"/>
        </w:rPr>
        <w:t>止</w:t>
      </w:r>
      <w:r>
        <w:rPr>
          <w:rFonts w:hint="eastAsia" w:ascii="宋体" w:hAnsi="宋体" w:eastAsia="宋体" w:cs="宋体"/>
          <w:color w:val="auto"/>
          <w:szCs w:val="21"/>
          <w:highlight w:val="none"/>
        </w:rPr>
        <w:t>。</w:t>
      </w:r>
    </w:p>
    <w:p w14:paraId="29F036D9">
      <w:pPr>
        <w:pStyle w:val="2"/>
        <w:pageBreakBefore w:val="0"/>
        <w:kinsoku/>
        <w:wordWrap/>
        <w:overflowPunct/>
        <w:topLinePunct w:val="0"/>
        <w:bidi w:val="0"/>
        <w:spacing w:before="0" w:after="0" w:line="440" w:lineRule="exact"/>
        <w:textAlignment w:val="auto"/>
        <w:rPr>
          <w:rFonts w:ascii="宋体" w:hAnsi="宋体" w:cs="宋体"/>
          <w:color w:val="000000"/>
          <w:kern w:val="0"/>
          <w:position w:val="2"/>
          <w:sz w:val="24"/>
          <w:highlight w:val="none"/>
        </w:rPr>
      </w:pPr>
      <w:r>
        <w:rPr>
          <w:rFonts w:hint="eastAsia" w:ascii="宋体" w:hAnsi="宋体" w:cs="宋体"/>
          <w:color w:val="000000"/>
          <w:kern w:val="0"/>
          <w:position w:val="2"/>
          <w:sz w:val="24"/>
          <w:highlight w:val="none"/>
          <w:lang w:val="en-US" w:eastAsia="zh-CN"/>
        </w:rPr>
        <w:t>五</w:t>
      </w:r>
      <w:r>
        <w:rPr>
          <w:rFonts w:hint="eastAsia" w:ascii="宋体" w:hAnsi="宋体" w:cs="宋体"/>
          <w:color w:val="000000"/>
          <w:kern w:val="0"/>
          <w:position w:val="2"/>
          <w:sz w:val="24"/>
          <w:highlight w:val="none"/>
        </w:rPr>
        <w:t>、</w:t>
      </w:r>
      <w:r>
        <w:rPr>
          <w:rFonts w:hint="eastAsia" w:ascii="宋体" w:hAnsi="宋体" w:cs="宋体"/>
          <w:color w:val="000000"/>
          <w:kern w:val="0"/>
          <w:position w:val="2"/>
          <w:sz w:val="24"/>
          <w:highlight w:val="none"/>
          <w:lang w:val="en-US" w:eastAsia="zh-CN"/>
        </w:rPr>
        <w:t>结算</w:t>
      </w:r>
      <w:r>
        <w:rPr>
          <w:rFonts w:hint="eastAsia" w:ascii="宋体" w:hAnsi="宋体" w:cs="宋体"/>
          <w:color w:val="000000"/>
          <w:kern w:val="0"/>
          <w:position w:val="2"/>
          <w:sz w:val="24"/>
          <w:highlight w:val="none"/>
        </w:rPr>
        <w:t>方式</w:t>
      </w:r>
    </w:p>
    <w:p w14:paraId="30150F5E">
      <w:pPr>
        <w:keepNext w:val="0"/>
        <w:keepLines w:val="0"/>
        <w:pageBreakBefore w:val="0"/>
        <w:shd w:val="clear" w:color="auto" w:fill="auto"/>
        <w:kinsoku/>
        <w:wordWrap/>
        <w:overflowPunct/>
        <w:topLinePunct w:val="0"/>
        <w:bidi w:val="0"/>
        <w:snapToGrid/>
        <w:spacing w:line="440" w:lineRule="exact"/>
        <w:ind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合同生效</w:t>
      </w:r>
      <w:r>
        <w:rPr>
          <w:rFonts w:hint="eastAsia" w:ascii="宋体" w:hAnsi="宋体" w:cs="宋体"/>
          <w:b w:val="0"/>
          <w:bCs w:val="0"/>
          <w:color w:val="000000"/>
          <w:sz w:val="24"/>
          <w:szCs w:val="24"/>
          <w:highlight w:val="none"/>
          <w:lang w:val="en-US" w:eastAsia="zh-CN"/>
        </w:rPr>
        <w:t>、</w:t>
      </w:r>
      <w:r>
        <w:rPr>
          <w:rFonts w:hint="eastAsia" w:ascii="宋体" w:hAnsi="宋体" w:eastAsia="宋体" w:cs="宋体"/>
          <w:b w:val="0"/>
          <w:bCs w:val="0"/>
          <w:color w:val="000000"/>
          <w:sz w:val="24"/>
          <w:szCs w:val="24"/>
          <w:highlight w:val="none"/>
          <w:lang w:val="en-US" w:eastAsia="zh-CN"/>
        </w:rPr>
        <w:t>具备实施条件</w:t>
      </w:r>
      <w:r>
        <w:rPr>
          <w:rFonts w:hint="eastAsia" w:ascii="宋体" w:hAnsi="宋体" w:cs="宋体"/>
          <w:b w:val="0"/>
          <w:bCs w:val="0"/>
          <w:color w:val="000000"/>
          <w:sz w:val="24"/>
          <w:szCs w:val="24"/>
          <w:highlight w:val="none"/>
          <w:lang w:val="en-US" w:eastAsia="zh-CN"/>
        </w:rPr>
        <w:t>并</w:t>
      </w:r>
      <w:r>
        <w:rPr>
          <w:rFonts w:hint="eastAsia" w:ascii="宋体" w:hAnsi="宋体" w:eastAsia="宋体" w:cs="宋体"/>
          <w:b w:val="0"/>
          <w:bCs w:val="0"/>
          <w:color w:val="000000"/>
          <w:sz w:val="24"/>
          <w:szCs w:val="24"/>
          <w:highlight w:val="none"/>
          <w:lang w:val="en-US" w:eastAsia="zh-CN"/>
        </w:rPr>
        <w:t>待上级资金拨付到位后于10个工作日内支付居家养老服务（照料）中心托管运营服务金额的40%作为预付款</w:t>
      </w:r>
      <w:r>
        <w:rPr>
          <w:rFonts w:hint="eastAsia" w:ascii="宋体" w:hAnsi="宋体" w:eastAsia="宋体" w:cs="宋体"/>
          <w:b w:val="0"/>
          <w:bCs w:val="0"/>
          <w:strike w:val="0"/>
          <w:dstrike w:val="0"/>
          <w:color w:val="000000"/>
          <w:sz w:val="24"/>
          <w:szCs w:val="24"/>
          <w:highlight w:val="none"/>
          <w:lang w:val="en-US" w:eastAsia="zh-CN"/>
        </w:rPr>
        <w:t>（</w:t>
      </w:r>
      <w:r>
        <w:rPr>
          <w:rFonts w:hint="eastAsia" w:ascii="宋体" w:hAnsi="宋体" w:cs="宋体"/>
          <w:b w:val="0"/>
          <w:bCs w:val="0"/>
          <w:strike w:val="0"/>
          <w:dstrike w:val="0"/>
          <w:color w:val="000000"/>
          <w:sz w:val="24"/>
          <w:szCs w:val="24"/>
          <w:highlight w:val="none"/>
          <w:lang w:val="en-US" w:eastAsia="zh-CN"/>
        </w:rPr>
        <w:t>街道级</w:t>
      </w:r>
      <w:r>
        <w:rPr>
          <w:rFonts w:hint="eastAsia" w:ascii="宋体" w:hAnsi="宋体" w:eastAsia="宋体" w:cs="宋体"/>
          <w:b w:val="0"/>
          <w:bCs w:val="0"/>
          <w:strike w:val="0"/>
          <w:dstrike w:val="0"/>
          <w:color w:val="000000"/>
          <w:sz w:val="24"/>
          <w:szCs w:val="24"/>
          <w:highlight w:val="none"/>
          <w:lang w:val="en-US" w:eastAsia="zh-CN"/>
        </w:rPr>
        <w:t>15万元*养老服务中心实际运营家数+</w:t>
      </w:r>
      <w:r>
        <w:rPr>
          <w:rFonts w:hint="eastAsia" w:ascii="宋体" w:hAnsi="宋体" w:cs="宋体"/>
          <w:b w:val="0"/>
          <w:bCs w:val="0"/>
          <w:strike w:val="0"/>
          <w:dstrike w:val="0"/>
          <w:color w:val="000000"/>
          <w:sz w:val="24"/>
          <w:szCs w:val="24"/>
          <w:highlight w:val="none"/>
          <w:lang w:val="en-US" w:eastAsia="zh-CN"/>
        </w:rPr>
        <w:t>村居级</w:t>
      </w:r>
      <w:r>
        <w:rPr>
          <w:rFonts w:hint="eastAsia" w:ascii="宋体" w:hAnsi="宋体" w:eastAsia="宋体" w:cs="宋体"/>
          <w:b w:val="0"/>
          <w:bCs w:val="0"/>
          <w:strike w:val="0"/>
          <w:dstrike w:val="0"/>
          <w:color w:val="000000"/>
          <w:sz w:val="24"/>
          <w:szCs w:val="24"/>
          <w:highlight w:val="none"/>
          <w:lang w:val="en-US" w:eastAsia="zh-CN"/>
        </w:rPr>
        <w:t>3万元*照料中心实际运营家数，乙方需要提供相同金额的预付款保函）</w:t>
      </w:r>
      <w:r>
        <w:rPr>
          <w:rFonts w:hint="eastAsia" w:ascii="宋体" w:hAnsi="宋体" w:eastAsia="宋体" w:cs="宋体"/>
          <w:b w:val="0"/>
          <w:bCs w:val="0"/>
          <w:color w:val="000000"/>
          <w:sz w:val="24"/>
          <w:szCs w:val="24"/>
          <w:highlight w:val="none"/>
          <w:lang w:val="en-US" w:eastAsia="zh-CN"/>
        </w:rPr>
        <w:t>，合同剩余金额根据乙方实际服务数量进行结算。乙方各类违规行为处罚款在支付款项中直接予以扣除。</w:t>
      </w:r>
    </w:p>
    <w:p w14:paraId="0683070A">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40" w:lineRule="exact"/>
        <w:ind w:right="25"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支付款项均优先从预付款中扣除，若合同期满，预付款仍有结余，乙方须在7个工作日内退还至甲方指定账户。</w:t>
      </w:r>
    </w:p>
    <w:p w14:paraId="4644AC20">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40" w:lineRule="exact"/>
        <w:ind w:right="25"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（1）居家养老上门服务</w:t>
      </w:r>
    </w:p>
    <w:p w14:paraId="175959E2">
      <w:pPr>
        <w:keepNext w:val="0"/>
        <w:keepLines w:val="0"/>
        <w:pageBreakBefore w:val="0"/>
        <w:shd w:val="clear" w:color="auto" w:fill="auto"/>
        <w:kinsoku/>
        <w:wordWrap/>
        <w:overflowPunct/>
        <w:topLinePunct w:val="0"/>
        <w:bidi w:val="0"/>
        <w:snapToGrid/>
        <w:spacing w:line="440" w:lineRule="exact"/>
        <w:ind w:firstLine="480" w:firstLineChars="200"/>
        <w:textAlignment w:val="auto"/>
        <w:rPr>
          <w:rFonts w:hint="default"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根据乙方在甲方指定平台中实际有效的服务量</w:t>
      </w:r>
      <w:r>
        <w:rPr>
          <w:rFonts w:hint="eastAsia" w:ascii="宋体" w:hAnsi="宋体" w:cs="宋体"/>
          <w:b w:val="0"/>
          <w:bCs w:val="0"/>
          <w:color w:val="000000"/>
          <w:sz w:val="24"/>
          <w:szCs w:val="24"/>
          <w:highlight w:val="none"/>
          <w:lang w:val="en-US" w:eastAsia="zh-CN"/>
        </w:rPr>
        <w:t>*综合单价</w:t>
      </w:r>
      <w:r>
        <w:rPr>
          <w:rFonts w:hint="eastAsia" w:ascii="宋体" w:hAnsi="宋体" w:eastAsia="宋体" w:cs="宋体"/>
          <w:b w:val="0"/>
          <w:bCs w:val="0"/>
          <w:color w:val="000000"/>
          <w:sz w:val="24"/>
          <w:szCs w:val="24"/>
          <w:highlight w:val="none"/>
          <w:lang w:val="en-US" w:eastAsia="zh-CN"/>
        </w:rPr>
        <w:t>进行结算</w:t>
      </w:r>
      <w:r>
        <w:rPr>
          <w:rFonts w:hint="eastAsia" w:ascii="宋体" w:hAnsi="宋体" w:cs="宋体"/>
          <w:b w:val="0"/>
          <w:bCs w:val="0"/>
          <w:color w:val="000000"/>
          <w:sz w:val="24"/>
          <w:szCs w:val="24"/>
          <w:highlight w:val="none"/>
          <w:lang w:val="en-US" w:eastAsia="zh-CN"/>
        </w:rPr>
        <w:t>，</w:t>
      </w:r>
      <w:r>
        <w:rPr>
          <w:rFonts w:hint="eastAsia" w:ascii="宋体" w:hAnsi="宋体" w:cs="宋体"/>
          <w:color w:val="auto"/>
          <w:sz w:val="24"/>
          <w:szCs w:val="24"/>
          <w:highlight w:val="none"/>
          <w:lang w:val="en-US" w:eastAsia="zh-CN"/>
        </w:rPr>
        <w:t>12月底前支付已完成</w:t>
      </w:r>
      <w:r>
        <w:rPr>
          <w:rFonts w:hint="eastAsia" w:ascii="宋体" w:hAnsi="宋体" w:eastAsia="宋体" w:cs="宋体"/>
          <w:color w:val="auto"/>
          <w:sz w:val="24"/>
          <w:szCs w:val="24"/>
          <w:highlight w:val="none"/>
          <w:lang w:val="en-US" w:eastAsia="zh-CN"/>
        </w:rPr>
        <w:t>居家养老上门服务</w:t>
      </w:r>
      <w:r>
        <w:rPr>
          <w:rFonts w:hint="eastAsia" w:ascii="宋体" w:hAnsi="宋体" w:cs="宋体"/>
          <w:color w:val="auto"/>
          <w:sz w:val="24"/>
          <w:szCs w:val="24"/>
          <w:highlight w:val="none"/>
          <w:lang w:val="en-US" w:eastAsia="zh-CN"/>
        </w:rPr>
        <w:t>部分金额，</w:t>
      </w:r>
      <w:r>
        <w:rPr>
          <w:rFonts w:hint="eastAsia" w:ascii="宋体" w:hAnsi="宋体" w:eastAsia="宋体" w:cs="宋体"/>
          <w:color w:val="auto"/>
          <w:sz w:val="24"/>
          <w:szCs w:val="24"/>
          <w:highlight w:val="none"/>
          <w:lang w:val="en-US" w:eastAsia="zh-CN"/>
        </w:rPr>
        <w:t>合同期满后支付剩余金额。</w:t>
      </w:r>
    </w:p>
    <w:p w14:paraId="220E6473">
      <w:pPr>
        <w:keepNext w:val="0"/>
        <w:keepLines w:val="0"/>
        <w:pageBreakBefore w:val="0"/>
        <w:shd w:val="clear" w:color="auto" w:fill="auto"/>
        <w:kinsoku/>
        <w:wordWrap/>
        <w:overflowPunct/>
        <w:topLinePunct w:val="0"/>
        <w:bidi w:val="0"/>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（2）居家养老服务（照料）中心托管运营服务</w:t>
      </w:r>
    </w:p>
    <w:p w14:paraId="3DB1FCC5">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40" w:lineRule="exact"/>
        <w:ind w:right="25"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highlight w:val="none"/>
        </w:rPr>
        <w:t>按实际运营家数和实际运营月份数结算</w:t>
      </w:r>
      <w:r>
        <w:rPr>
          <w:rFonts w:hint="eastAsia" w:ascii="宋体" w:hAnsi="宋体" w:cs="宋体"/>
          <w:color w:val="auto"/>
          <w:sz w:val="24"/>
          <w:highlight w:val="none"/>
          <w:lang w:eastAsia="zh-CN"/>
        </w:rPr>
        <w:t>，街道级</w:t>
      </w:r>
      <w:r>
        <w:rPr>
          <w:rFonts w:hint="eastAsia" w:ascii="宋体" w:hAnsi="宋体" w:cs="宋体"/>
          <w:color w:val="auto"/>
          <w:sz w:val="24"/>
          <w:highlight w:val="none"/>
          <w:lang w:val="en-US" w:eastAsia="zh-CN"/>
        </w:rPr>
        <w:t>15</w:t>
      </w:r>
      <w:r>
        <w:rPr>
          <w:rFonts w:hint="eastAsia" w:ascii="宋体" w:hAnsi="宋体" w:eastAsia="宋体" w:cs="宋体"/>
          <w:color w:val="auto"/>
          <w:sz w:val="24"/>
          <w:szCs w:val="24"/>
          <w:highlight w:val="none"/>
          <w:lang w:val="en-US" w:eastAsia="zh-CN"/>
        </w:rPr>
        <w:t>万元/家/年（</w:t>
      </w:r>
      <w:r>
        <w:rPr>
          <w:rFonts w:hint="eastAsia" w:ascii="宋体" w:hAnsi="宋体" w:cs="宋体"/>
          <w:color w:val="auto"/>
          <w:sz w:val="24"/>
          <w:szCs w:val="24"/>
          <w:highlight w:val="none"/>
          <w:lang w:val="en-US" w:eastAsia="zh-CN"/>
        </w:rPr>
        <w:t>村居级</w:t>
      </w:r>
      <w:r>
        <w:rPr>
          <w:rFonts w:hint="eastAsia" w:ascii="宋体" w:hAnsi="宋体" w:cs="宋体"/>
          <w:color w:val="auto"/>
          <w:sz w:val="24"/>
          <w:highlight w:val="none"/>
          <w:lang w:val="en-US" w:eastAsia="zh-CN"/>
        </w:rPr>
        <w:t>3</w:t>
      </w:r>
      <w:r>
        <w:rPr>
          <w:rFonts w:hint="eastAsia" w:ascii="宋体" w:hAnsi="宋体" w:eastAsia="宋体" w:cs="宋体"/>
          <w:color w:val="auto"/>
          <w:sz w:val="24"/>
          <w:szCs w:val="24"/>
          <w:highlight w:val="none"/>
          <w:lang w:val="en-US" w:eastAsia="zh-CN"/>
        </w:rPr>
        <w:t>万元/家/年）</w:t>
      </w:r>
      <w:r>
        <w:rPr>
          <w:rFonts w:hint="eastAsia" w:ascii="宋体" w:hAnsi="宋体" w:cs="宋体"/>
          <w:color w:val="auto"/>
          <w:sz w:val="24"/>
          <w:szCs w:val="24"/>
          <w:highlight w:val="none"/>
          <w:lang w:val="en-US" w:eastAsia="zh-CN"/>
        </w:rPr>
        <w:t>*</w:t>
      </w:r>
      <w:r>
        <w:rPr>
          <w:rFonts w:hint="eastAsia" w:ascii="宋体" w:hAnsi="宋体" w:cs="宋体"/>
          <w:color w:val="auto"/>
          <w:sz w:val="24"/>
          <w:highlight w:val="none"/>
        </w:rPr>
        <w:t>实际运营家数</w:t>
      </w:r>
      <w:r>
        <w:rPr>
          <w:rFonts w:hint="eastAsia" w:ascii="宋体" w:hAnsi="宋体" w:cs="宋体"/>
          <w:color w:val="auto"/>
          <w:sz w:val="24"/>
          <w:szCs w:val="24"/>
          <w:highlight w:val="none"/>
          <w:lang w:val="en-US" w:eastAsia="zh-CN"/>
        </w:rPr>
        <w:t>*综合检查结果的结算率（</w:t>
      </w:r>
      <w:r>
        <w:rPr>
          <w:rFonts w:hint="eastAsia" w:ascii="宋体" w:hAnsi="宋体" w:eastAsia="宋体" w:cs="宋体"/>
          <w:b w:val="0"/>
          <w:bCs/>
          <w:sz w:val="24"/>
          <w:szCs w:val="24"/>
          <w:highlight w:val="none"/>
          <w:lang w:val="en-US" w:eastAsia="zh-CN"/>
        </w:rPr>
        <w:t>其中1.5万元</w:t>
      </w:r>
      <w:r>
        <w:rPr>
          <w:rFonts w:hint="eastAsia" w:ascii="宋体" w:hAnsi="宋体" w:eastAsia="宋体" w:cs="宋体"/>
          <w:color w:val="auto"/>
          <w:sz w:val="24"/>
          <w:szCs w:val="24"/>
          <w:highlight w:val="none"/>
          <w:lang w:val="en-US" w:eastAsia="zh-CN"/>
        </w:rPr>
        <w:t>/家/年</w:t>
      </w:r>
      <w:r>
        <w:rPr>
          <w:rFonts w:hint="eastAsia" w:ascii="宋体" w:hAnsi="宋体" w:cs="宋体"/>
          <w:color w:val="auto"/>
          <w:sz w:val="24"/>
          <w:highlight w:val="none"/>
          <w:lang w:eastAsia="zh-CN"/>
        </w:rPr>
        <w:t>助配餐</w:t>
      </w:r>
      <w:r>
        <w:rPr>
          <w:rFonts w:hint="eastAsia" w:ascii="宋体" w:hAnsi="宋体" w:cs="宋体"/>
          <w:color w:val="auto"/>
          <w:sz w:val="24"/>
          <w:highlight w:val="none"/>
          <w:lang w:val="en-US" w:eastAsia="zh-CN"/>
        </w:rPr>
        <w:t>配送费</w:t>
      </w:r>
      <w:r>
        <w:rPr>
          <w:rFonts w:hint="eastAsia" w:ascii="宋体" w:hAnsi="宋体" w:cs="宋体"/>
          <w:color w:val="auto"/>
          <w:sz w:val="24"/>
          <w:highlight w:val="none"/>
          <w:lang w:eastAsia="zh-CN"/>
        </w:rPr>
        <w:t>补贴</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按</w:t>
      </w:r>
      <w:r>
        <w:rPr>
          <w:rFonts w:hint="eastAsia" w:ascii="宋体" w:hAnsi="宋体" w:cs="宋体"/>
          <w:color w:val="auto"/>
          <w:sz w:val="24"/>
          <w:highlight w:val="none"/>
          <w:lang w:val="en-US" w:eastAsia="zh-CN"/>
        </w:rPr>
        <w:t>实际配送量*</w:t>
      </w:r>
      <w:r>
        <w:rPr>
          <w:rFonts w:hint="eastAsia" w:ascii="宋体" w:hAnsi="宋体" w:cs="宋体"/>
          <w:color w:val="000000"/>
          <w:sz w:val="24"/>
          <w:szCs w:val="24"/>
          <w:highlight w:val="none"/>
          <w:lang w:val="en-US" w:eastAsia="zh-CN"/>
        </w:rPr>
        <w:t>送餐上门综合单价*</w:t>
      </w:r>
      <w:r>
        <w:rPr>
          <w:rFonts w:hint="eastAsia" w:ascii="宋体" w:hAnsi="宋体" w:cs="宋体"/>
          <w:color w:val="auto"/>
          <w:sz w:val="24"/>
          <w:szCs w:val="24"/>
          <w:highlight w:val="none"/>
          <w:lang w:val="en-US" w:eastAsia="zh-CN"/>
        </w:rPr>
        <w:t>综合检查结果的结算率</w:t>
      </w:r>
      <w:r>
        <w:rPr>
          <w:rFonts w:hint="eastAsia" w:ascii="宋体" w:hAnsi="宋体" w:cs="宋体"/>
          <w:color w:val="auto"/>
          <w:sz w:val="24"/>
          <w:highlight w:val="none"/>
        </w:rPr>
        <w:t>进行结算支付</w:t>
      </w:r>
      <w:r>
        <w:rPr>
          <w:rFonts w:hint="eastAsia" w:ascii="宋体" w:hAnsi="宋体" w:cs="宋体"/>
          <w:color w:val="auto"/>
          <w:sz w:val="24"/>
          <w:highlight w:val="none"/>
          <w:lang w:eastAsia="zh-CN"/>
        </w:rPr>
        <w:t>，每家超出15000元部分由中标人自行承担</w:t>
      </w:r>
      <w:r>
        <w:rPr>
          <w:rFonts w:hint="eastAsia" w:ascii="宋体" w:hAnsi="宋体" w:cs="宋体"/>
          <w:color w:val="auto"/>
          <w:sz w:val="24"/>
          <w:szCs w:val="24"/>
          <w:highlight w:val="none"/>
          <w:lang w:val="en-US" w:eastAsia="zh-CN"/>
        </w:rPr>
        <w:t>）</w:t>
      </w:r>
      <w:r>
        <w:rPr>
          <w:rFonts w:hint="eastAsia" w:ascii="宋体" w:hAnsi="宋体" w:cs="宋体"/>
          <w:color w:val="auto"/>
          <w:sz w:val="24"/>
          <w:highlight w:val="none"/>
          <w:lang w:eastAsia="zh-CN"/>
        </w:rPr>
        <w:t>。</w:t>
      </w:r>
      <w:r>
        <w:rPr>
          <w:rFonts w:hint="eastAsia" w:ascii="宋体" w:hAnsi="宋体" w:eastAsia="宋体" w:cs="宋体"/>
          <w:color w:val="auto"/>
          <w:sz w:val="24"/>
          <w:szCs w:val="24"/>
          <w:highlight w:val="none"/>
          <w:lang w:val="en-US" w:eastAsia="zh-CN"/>
        </w:rPr>
        <w:t>合同期满后，根据日常检查和年度综合检查结果，由</w:t>
      </w:r>
      <w:r>
        <w:rPr>
          <w:rFonts w:hint="eastAsia" w:ascii="宋体" w:hAnsi="宋体" w:cs="宋体"/>
          <w:color w:val="auto"/>
          <w:sz w:val="24"/>
          <w:szCs w:val="24"/>
          <w:highlight w:val="none"/>
          <w:lang w:val="en-US" w:eastAsia="zh-CN"/>
        </w:rPr>
        <w:t>甲方组织相关人员进行评定，待上级资金拨付到位后于10个工作日内支付</w:t>
      </w:r>
      <w:r>
        <w:rPr>
          <w:rFonts w:hint="eastAsia" w:ascii="宋体" w:hAnsi="宋体" w:eastAsia="宋体" w:cs="宋体"/>
          <w:color w:val="auto"/>
          <w:sz w:val="24"/>
          <w:szCs w:val="24"/>
          <w:highlight w:val="none"/>
          <w:lang w:val="en-US" w:eastAsia="zh-CN"/>
        </w:rPr>
        <w:t>：</w:t>
      </w:r>
    </w:p>
    <w:p w14:paraId="07CFA1E1">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40" w:lineRule="exact"/>
        <w:ind w:right="25"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评定结果为优秀的，</w:t>
      </w:r>
      <w:r>
        <w:rPr>
          <w:rFonts w:hint="eastAsia" w:ascii="宋体" w:hAnsi="宋体" w:cs="宋体"/>
          <w:color w:val="auto"/>
          <w:sz w:val="24"/>
          <w:szCs w:val="24"/>
          <w:highlight w:val="none"/>
          <w:lang w:val="en-US" w:eastAsia="zh-CN"/>
        </w:rPr>
        <w:t>综合检查结果的</w:t>
      </w:r>
      <w:r>
        <w:rPr>
          <w:rFonts w:hint="eastAsia" w:ascii="宋体" w:hAnsi="宋体" w:eastAsia="宋体" w:cs="宋体"/>
          <w:b w:val="0"/>
          <w:bCs w:val="0"/>
          <w:color w:val="000000"/>
          <w:sz w:val="24"/>
          <w:szCs w:val="24"/>
          <w:highlight w:val="none"/>
          <w:lang w:val="en-US" w:eastAsia="zh-CN"/>
        </w:rPr>
        <w:t>结算率为100%</w:t>
      </w:r>
      <w:r>
        <w:rPr>
          <w:rFonts w:hint="eastAsia" w:ascii="宋体" w:hAnsi="宋体" w:eastAsia="宋体" w:cs="宋体"/>
          <w:color w:val="auto"/>
          <w:sz w:val="24"/>
          <w:szCs w:val="24"/>
          <w:highlight w:val="none"/>
          <w:lang w:val="en-US" w:eastAsia="zh-CN"/>
        </w:rPr>
        <w:t>；</w:t>
      </w:r>
    </w:p>
    <w:p w14:paraId="78DF160E">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40" w:lineRule="exact"/>
        <w:ind w:right="25"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评定结果为良好的，</w:t>
      </w:r>
      <w:r>
        <w:rPr>
          <w:rFonts w:hint="eastAsia" w:ascii="宋体" w:hAnsi="宋体" w:cs="宋体"/>
          <w:color w:val="auto"/>
          <w:sz w:val="24"/>
          <w:szCs w:val="24"/>
          <w:highlight w:val="none"/>
          <w:lang w:val="en-US" w:eastAsia="zh-CN"/>
        </w:rPr>
        <w:t>综合检查结果的</w:t>
      </w:r>
      <w:r>
        <w:rPr>
          <w:rFonts w:hint="eastAsia" w:ascii="宋体" w:hAnsi="宋体" w:eastAsia="宋体" w:cs="宋体"/>
          <w:b w:val="0"/>
          <w:bCs w:val="0"/>
          <w:color w:val="000000"/>
          <w:sz w:val="24"/>
          <w:szCs w:val="24"/>
          <w:highlight w:val="none"/>
          <w:lang w:val="en-US" w:eastAsia="zh-CN"/>
        </w:rPr>
        <w:t>结算率为80%</w:t>
      </w:r>
      <w:r>
        <w:rPr>
          <w:rFonts w:hint="eastAsia" w:ascii="宋体" w:hAnsi="宋体" w:eastAsia="宋体" w:cs="宋体"/>
          <w:color w:val="auto"/>
          <w:sz w:val="24"/>
          <w:szCs w:val="24"/>
          <w:highlight w:val="none"/>
          <w:lang w:val="en-US" w:eastAsia="zh-CN"/>
        </w:rPr>
        <w:t>；</w:t>
      </w:r>
    </w:p>
    <w:p w14:paraId="000C6E4D">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40" w:lineRule="exact"/>
        <w:ind w:right="25"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评定结果为合格的，</w:t>
      </w:r>
      <w:r>
        <w:rPr>
          <w:rFonts w:hint="eastAsia" w:ascii="宋体" w:hAnsi="宋体" w:cs="宋体"/>
          <w:color w:val="auto"/>
          <w:sz w:val="24"/>
          <w:szCs w:val="24"/>
          <w:highlight w:val="none"/>
          <w:lang w:val="en-US" w:eastAsia="zh-CN"/>
        </w:rPr>
        <w:t>综合检查结果的</w:t>
      </w:r>
      <w:r>
        <w:rPr>
          <w:rFonts w:hint="eastAsia" w:ascii="宋体" w:hAnsi="宋体" w:eastAsia="宋体" w:cs="宋体"/>
          <w:b w:val="0"/>
          <w:bCs w:val="0"/>
          <w:color w:val="000000"/>
          <w:sz w:val="24"/>
          <w:szCs w:val="24"/>
          <w:highlight w:val="none"/>
          <w:lang w:val="en-US" w:eastAsia="zh-CN"/>
        </w:rPr>
        <w:t>结算率为60%</w:t>
      </w:r>
      <w:r>
        <w:rPr>
          <w:rFonts w:hint="eastAsia" w:ascii="宋体" w:hAnsi="宋体" w:eastAsia="宋体" w:cs="宋体"/>
          <w:color w:val="auto"/>
          <w:sz w:val="24"/>
          <w:szCs w:val="24"/>
          <w:highlight w:val="none"/>
          <w:lang w:val="en-US" w:eastAsia="zh-CN"/>
        </w:rPr>
        <w:t>；</w:t>
      </w:r>
    </w:p>
    <w:p w14:paraId="08A34DF9">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40" w:lineRule="exact"/>
        <w:ind w:right="25"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评定结果为不合格的，不予支付并终止合同。</w:t>
      </w:r>
    </w:p>
    <w:p w14:paraId="3DC96A44">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40" w:lineRule="exact"/>
        <w:ind w:right="25"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甲方付款前，乙方应先按甲方要求开具发票，否则甲方有权延迟付款。</w:t>
      </w:r>
    </w:p>
    <w:p w14:paraId="27FEE34F">
      <w:pPr>
        <w:pStyle w:val="13"/>
        <w:keepNext w:val="0"/>
        <w:keepLines w:val="0"/>
        <w:pageBreakBefore w:val="0"/>
        <w:kinsoku/>
        <w:wordWrap/>
        <w:overflowPunct/>
        <w:topLinePunct w:val="0"/>
        <w:bidi w:val="0"/>
        <w:snapToGrid w:val="0"/>
        <w:spacing w:line="440" w:lineRule="exact"/>
        <w:textAlignment w:val="auto"/>
        <w:rPr>
          <w:rFonts w:hint="default" w:ascii="宋体" w:hAnsi="宋体" w:eastAsia="宋体" w:cs="宋体"/>
          <w:b/>
          <w:color w:val="auto"/>
          <w:sz w:val="24"/>
          <w:highlight w:val="none"/>
          <w:lang w:val="en-US" w:eastAsia="zh-CN"/>
        </w:rPr>
      </w:pPr>
      <w:r>
        <w:rPr>
          <w:rFonts w:hint="eastAsia"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w:t>
      </w:r>
      <w:r>
        <w:rPr>
          <w:rFonts w:hint="eastAsia" w:hAnsi="宋体" w:eastAsia="宋体" w:cs="宋体"/>
          <w:b/>
          <w:color w:val="auto"/>
          <w:sz w:val="24"/>
          <w:highlight w:val="none"/>
          <w:lang w:val="en-US" w:eastAsia="zh-CN"/>
        </w:rPr>
        <w:t>履约保证金</w:t>
      </w:r>
    </w:p>
    <w:p w14:paraId="1BB6D927">
      <w:pPr>
        <w:pStyle w:val="13"/>
        <w:keepNext w:val="0"/>
        <w:keepLines w:val="0"/>
        <w:pageBreakBefore w:val="0"/>
        <w:widowControl w:val="0"/>
        <w:kinsoku/>
        <w:wordWrap/>
        <w:overflowPunct/>
        <w:topLinePunct w:val="0"/>
        <w:autoSpaceDE/>
        <w:autoSpaceDN/>
        <w:bidi w:val="0"/>
        <w:snapToGrid w:val="0"/>
        <w:spacing w:line="440" w:lineRule="exact"/>
        <w:ind w:left="0" w:leftChars="0" w:firstLine="480" w:firstLineChars="200"/>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本项目履约保证金为合同金额的1%。</w:t>
      </w:r>
      <w:r>
        <w:rPr>
          <w:rFonts w:hint="eastAsia" w:hAnsi="宋体" w:eastAsia="宋体" w:cs="宋体"/>
          <w:bCs/>
          <w:color w:val="auto"/>
          <w:sz w:val="24"/>
          <w:highlight w:val="none"/>
          <w:lang w:eastAsia="zh-CN"/>
        </w:rPr>
        <w:t>可采用银行保函、保险机构保证保险保单、保兑支票、银行汇票或支票，服务期满后无违约情况一个月内退还，如有违约情况，退还剩余部分。采用保函保单方式的，</w:t>
      </w:r>
      <w:r>
        <w:rPr>
          <w:rFonts w:hint="eastAsia" w:ascii="宋体" w:hAnsi="宋体" w:eastAsia="宋体"/>
          <w:b w:val="0"/>
          <w:bCs/>
          <w:color w:val="auto"/>
          <w:sz w:val="24"/>
          <w:highlight w:val="none"/>
          <w:lang w:eastAsia="zh-CN"/>
        </w:rPr>
        <w:t>应当保证其有效期截止日须为所有活动结束止</w:t>
      </w:r>
      <w:r>
        <w:rPr>
          <w:rFonts w:hint="eastAsia" w:hAnsi="宋体" w:eastAsia="宋体" w:cs="宋体"/>
          <w:bCs/>
          <w:color w:val="auto"/>
          <w:sz w:val="24"/>
          <w:highlight w:val="none"/>
          <w:lang w:eastAsia="zh-CN"/>
        </w:rPr>
        <w:t>。</w:t>
      </w:r>
      <w:r>
        <w:rPr>
          <w:rFonts w:hint="eastAsia" w:hAnsi="宋体" w:eastAsia="宋体" w:cs="宋体"/>
          <w:bCs/>
          <w:color w:val="auto"/>
          <w:sz w:val="24"/>
          <w:highlight w:val="none"/>
          <w:lang w:val="en-US" w:eastAsia="zh-CN"/>
        </w:rPr>
        <w:t>保证金在合同签订前提交。</w:t>
      </w:r>
    </w:p>
    <w:p w14:paraId="24E4DDB1">
      <w:pPr>
        <w:pStyle w:val="13"/>
        <w:keepNext w:val="0"/>
        <w:keepLines w:val="0"/>
        <w:pageBreakBefore w:val="0"/>
        <w:kinsoku/>
        <w:wordWrap/>
        <w:overflowPunct/>
        <w:topLinePunct w:val="0"/>
        <w:autoSpaceDE/>
        <w:autoSpaceDN/>
        <w:bidi w:val="0"/>
        <w:adjustRightInd w:val="0"/>
        <w:snapToGrid w:val="0"/>
        <w:spacing w:line="440" w:lineRule="exact"/>
        <w:ind w:left="0"/>
        <w:textAlignment w:val="auto"/>
        <w:rPr>
          <w:rFonts w:hint="eastAsia" w:ascii="宋体" w:hAnsi="宋体" w:eastAsia="宋体" w:cs="宋体"/>
          <w:b/>
          <w:color w:val="auto"/>
          <w:sz w:val="24"/>
          <w:szCs w:val="24"/>
          <w:highlight w:val="none"/>
        </w:rPr>
      </w:pPr>
      <w:r>
        <w:rPr>
          <w:rFonts w:hint="eastAsia"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rPr>
        <w:t xml:space="preserve">、转包或分包 </w:t>
      </w:r>
    </w:p>
    <w:p w14:paraId="31835863">
      <w:pPr>
        <w:keepNext w:val="0"/>
        <w:keepLines w:val="0"/>
        <w:pageBreakBefore w:val="0"/>
        <w:kinsoku/>
        <w:wordWrap/>
        <w:overflowPunct/>
        <w:topLinePunct w:val="0"/>
        <w:autoSpaceDE/>
        <w:autoSpaceDN/>
        <w:bidi w:val="0"/>
        <w:spacing w:line="44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1、本合同范围的</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，应由乙方直接</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rPr>
        <w:t>，不得转让他人；</w:t>
      </w:r>
    </w:p>
    <w:p w14:paraId="187EA4ED">
      <w:pPr>
        <w:keepNext w:val="0"/>
        <w:keepLines w:val="0"/>
        <w:pageBreakBefore w:val="0"/>
        <w:kinsoku/>
        <w:wordWrap/>
        <w:overflowPunct/>
        <w:topLinePunct w:val="0"/>
        <w:autoSpaceDE/>
        <w:autoSpaceDN/>
        <w:bidi w:val="0"/>
        <w:spacing w:line="44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2、乙方不得将本合同范围的</w:t>
      </w:r>
      <w:r>
        <w:rPr>
          <w:rFonts w:hint="eastAsia" w:ascii="宋体" w:hAnsi="宋体" w:eastAsia="宋体" w:cs="宋体"/>
          <w:color w:val="auto"/>
          <w:sz w:val="24"/>
          <w:szCs w:val="24"/>
          <w:highlight w:val="none"/>
          <w:lang w:val="en-US" w:eastAsia="zh-CN"/>
        </w:rPr>
        <w:t>服务内容</w:t>
      </w:r>
      <w:r>
        <w:rPr>
          <w:rFonts w:hint="eastAsia" w:ascii="宋体" w:hAnsi="宋体" w:eastAsia="宋体" w:cs="宋体"/>
          <w:color w:val="auto"/>
          <w:sz w:val="24"/>
          <w:szCs w:val="24"/>
          <w:highlight w:val="none"/>
        </w:rPr>
        <w:t>全部或部分分包给他人</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rPr>
        <w:t>；</w:t>
      </w:r>
    </w:p>
    <w:p w14:paraId="3E259BEB">
      <w:pPr>
        <w:keepNext w:val="0"/>
        <w:keepLines w:val="0"/>
        <w:pageBreakBefore w:val="0"/>
        <w:kinsoku/>
        <w:wordWrap/>
        <w:overflowPunct/>
        <w:topLinePunct w:val="0"/>
        <w:autoSpaceDE/>
        <w:autoSpaceDN/>
        <w:bidi w:val="0"/>
        <w:spacing w:line="440" w:lineRule="exact"/>
        <w:ind w:left="0" w:firstLine="480"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sz w:val="24"/>
          <w:szCs w:val="24"/>
          <w:highlight w:val="none"/>
        </w:rPr>
        <w:t>3、如有</w:t>
      </w:r>
      <w:r>
        <w:rPr>
          <w:rFonts w:hint="eastAsia" w:ascii="宋体" w:hAnsi="宋体" w:eastAsia="宋体" w:cs="宋体"/>
          <w:color w:val="auto"/>
          <w:sz w:val="24"/>
          <w:szCs w:val="24"/>
          <w:highlight w:val="none"/>
          <w:lang w:val="en-US" w:eastAsia="zh-CN"/>
        </w:rPr>
        <w:t>转让和</w:t>
      </w:r>
      <w:r>
        <w:rPr>
          <w:rFonts w:hint="eastAsia" w:ascii="宋体" w:hAnsi="宋体" w:eastAsia="宋体" w:cs="宋体"/>
          <w:color w:val="auto"/>
          <w:sz w:val="24"/>
          <w:szCs w:val="24"/>
          <w:highlight w:val="none"/>
        </w:rPr>
        <w:t>分包行为，甲方有权解除合同，并追究乙方的违约责任。</w:t>
      </w:r>
    </w:p>
    <w:p w14:paraId="4B13696F">
      <w:pPr>
        <w:pageBreakBefore w:val="0"/>
        <w:widowControl/>
        <w:kinsoku/>
        <w:wordWrap/>
        <w:overflowPunct/>
        <w:topLinePunct w:val="0"/>
        <w:bidi w:val="0"/>
        <w:spacing w:line="440" w:lineRule="exact"/>
        <w:jc w:val="left"/>
        <w:textAlignment w:val="auto"/>
        <w:rPr>
          <w:rFonts w:ascii="宋体" w:hAnsi="宋体" w:cs="宋体"/>
          <w:b/>
          <w:bCs/>
          <w:sz w:val="24"/>
          <w:highlight w:val="none"/>
        </w:rPr>
      </w:pPr>
      <w:r>
        <w:rPr>
          <w:rFonts w:hint="eastAsia" w:ascii="宋体" w:hAnsi="宋体" w:eastAsia="宋体" w:cs="宋体"/>
          <w:b/>
          <w:color w:val="auto"/>
          <w:sz w:val="24"/>
          <w:szCs w:val="24"/>
          <w:highlight w:val="none"/>
          <w:lang w:val="en-US" w:eastAsia="zh-CN"/>
        </w:rPr>
        <w:t>八、</w:t>
      </w:r>
      <w:r>
        <w:rPr>
          <w:rFonts w:hint="eastAsia" w:ascii="宋体" w:hAnsi="宋体" w:cs="宋体"/>
          <w:b/>
          <w:bCs/>
          <w:sz w:val="24"/>
          <w:highlight w:val="none"/>
        </w:rPr>
        <w:t>双方的</w:t>
      </w:r>
      <w:r>
        <w:rPr>
          <w:rFonts w:hint="eastAsia" w:ascii="宋体" w:hAnsi="宋体" w:cs="宋体"/>
          <w:b/>
          <w:bCs/>
          <w:sz w:val="24"/>
          <w:highlight w:val="none"/>
          <w:lang w:eastAsia="zh-CN"/>
        </w:rPr>
        <w:t>权利</w:t>
      </w:r>
      <w:r>
        <w:rPr>
          <w:rFonts w:hint="eastAsia" w:ascii="宋体" w:hAnsi="宋体" w:cs="宋体"/>
          <w:b/>
          <w:bCs/>
          <w:sz w:val="24"/>
          <w:highlight w:val="none"/>
        </w:rPr>
        <w:t>和义务</w:t>
      </w:r>
    </w:p>
    <w:p w14:paraId="17FF038E">
      <w:pPr>
        <w:pageBreakBefore w:val="0"/>
        <w:widowControl/>
        <w:kinsoku/>
        <w:wordWrap/>
        <w:overflowPunct/>
        <w:topLinePunct w:val="0"/>
        <w:bidi w:val="0"/>
        <w:spacing w:line="440" w:lineRule="exact"/>
        <w:ind w:firstLine="482" w:firstLineChars="200"/>
        <w:jc w:val="left"/>
        <w:textAlignment w:val="auto"/>
        <w:rPr>
          <w:rFonts w:ascii="宋体" w:hAnsi="宋体" w:cs="宋体"/>
          <w:b/>
          <w:bCs/>
          <w:sz w:val="24"/>
          <w:highlight w:val="none"/>
        </w:rPr>
      </w:pPr>
      <w:r>
        <w:rPr>
          <w:rFonts w:hint="eastAsia" w:ascii="宋体" w:hAnsi="宋体" w:cs="宋体"/>
          <w:b/>
          <w:bCs/>
          <w:sz w:val="24"/>
          <w:highlight w:val="none"/>
        </w:rPr>
        <w:t>（一）甲方的</w:t>
      </w:r>
      <w:r>
        <w:rPr>
          <w:rFonts w:hint="eastAsia" w:ascii="宋体" w:hAnsi="宋体" w:cs="宋体"/>
          <w:b/>
          <w:bCs/>
          <w:sz w:val="24"/>
          <w:highlight w:val="none"/>
          <w:lang w:eastAsia="zh-CN"/>
        </w:rPr>
        <w:t>权利</w:t>
      </w:r>
      <w:r>
        <w:rPr>
          <w:rFonts w:hint="eastAsia" w:ascii="宋体" w:hAnsi="宋体" w:cs="宋体"/>
          <w:b/>
          <w:bCs/>
          <w:sz w:val="24"/>
          <w:highlight w:val="none"/>
        </w:rPr>
        <w:t>和义务</w:t>
      </w:r>
    </w:p>
    <w:p w14:paraId="6AC9D888">
      <w:pPr>
        <w:pageBreakBefore w:val="0"/>
        <w:kinsoku/>
        <w:wordWrap/>
        <w:overflowPunct/>
        <w:topLinePunct w:val="0"/>
        <w:bidi w:val="0"/>
        <w:spacing w:line="44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1、甲方与乙方签订协议后，要加强对相关服务企业或组织服务质量的检查监督。</w:t>
      </w:r>
    </w:p>
    <w:p w14:paraId="04DB6E70">
      <w:pPr>
        <w:pageBreakBefore w:val="0"/>
        <w:kinsoku/>
        <w:wordWrap/>
        <w:overflowPunct/>
        <w:topLinePunct w:val="0"/>
        <w:bidi w:val="0"/>
        <w:spacing w:line="44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2、甲方在本合同约定的项目执行过程中有权随时检查监督乙方关于本合同约定项目的工作，但甲方上述监督工作应以履行本合同需要为前提。</w:t>
      </w:r>
    </w:p>
    <w:p w14:paraId="5D218732">
      <w:pPr>
        <w:pageBreakBefore w:val="0"/>
        <w:kinsoku/>
        <w:wordWrap/>
        <w:overflowPunct/>
        <w:topLinePunct w:val="0"/>
        <w:bidi w:val="0"/>
        <w:spacing w:line="44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3、甲方有义务按照本合同的约定期限及时按双方约定的方式向乙方支付服务费。</w:t>
      </w:r>
    </w:p>
    <w:p w14:paraId="557D03A2">
      <w:pPr>
        <w:pageBreakBefore w:val="0"/>
        <w:kinsoku/>
        <w:wordWrap/>
        <w:overflowPunct/>
        <w:topLinePunct w:val="0"/>
        <w:bidi w:val="0"/>
        <w:spacing w:line="440" w:lineRule="exact"/>
        <w:ind w:firstLine="482" w:firstLineChars="200"/>
        <w:textAlignment w:val="auto"/>
        <w:rPr>
          <w:rFonts w:hint="eastAsia" w:ascii="宋体" w:hAnsi="宋体" w:cs="宋体"/>
          <w:b/>
          <w:bCs/>
          <w:sz w:val="24"/>
          <w:highlight w:val="none"/>
        </w:rPr>
      </w:pPr>
      <w:r>
        <w:rPr>
          <w:rFonts w:hint="eastAsia" w:ascii="宋体" w:hAnsi="宋体" w:cs="宋体"/>
          <w:b/>
          <w:bCs/>
          <w:sz w:val="24"/>
          <w:highlight w:val="none"/>
        </w:rPr>
        <w:t>（二）乙方的</w:t>
      </w:r>
      <w:r>
        <w:rPr>
          <w:rFonts w:hint="eastAsia" w:ascii="宋体" w:hAnsi="宋体" w:cs="宋体"/>
          <w:b/>
          <w:bCs/>
          <w:sz w:val="24"/>
          <w:highlight w:val="none"/>
          <w:lang w:eastAsia="zh-CN"/>
        </w:rPr>
        <w:t>权利</w:t>
      </w:r>
      <w:r>
        <w:rPr>
          <w:rFonts w:hint="eastAsia" w:ascii="宋体" w:hAnsi="宋体" w:cs="宋体"/>
          <w:b/>
          <w:bCs/>
          <w:sz w:val="24"/>
          <w:highlight w:val="none"/>
        </w:rPr>
        <w:t>和义务</w:t>
      </w:r>
    </w:p>
    <w:p w14:paraId="2056BDED">
      <w:pPr>
        <w:pageBreakBefore w:val="0"/>
        <w:kinsoku/>
        <w:wordWrap/>
        <w:overflowPunct/>
        <w:topLinePunct w:val="0"/>
        <w:bidi w:val="0"/>
        <w:spacing w:line="44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1、乙方应保证按照服务需求内容与服务质量标准及履约要求提供专业服务。</w:t>
      </w:r>
    </w:p>
    <w:p w14:paraId="00404947">
      <w:pPr>
        <w:pageBreakBefore w:val="0"/>
        <w:kinsoku/>
        <w:wordWrap/>
        <w:overflowPunct/>
        <w:topLinePunct w:val="0"/>
        <w:bidi w:val="0"/>
        <w:spacing w:line="44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2、乙方应对提供的总服务清单的真实性负责。</w:t>
      </w:r>
    </w:p>
    <w:p w14:paraId="2D42FDC1">
      <w:pPr>
        <w:pageBreakBefore w:val="0"/>
        <w:kinsoku/>
        <w:wordWrap/>
        <w:overflowPunct/>
        <w:topLinePunct w:val="0"/>
        <w:bidi w:val="0"/>
        <w:spacing w:line="440" w:lineRule="exact"/>
        <w:ind w:firstLine="480" w:firstLineChars="200"/>
        <w:textAlignment w:val="auto"/>
        <w:rPr>
          <w:rFonts w:hint="eastAsia" w:ascii="宋体" w:hAnsi="宋体" w:cs="宋体"/>
          <w:bCs/>
          <w:sz w:val="24"/>
          <w:highlight w:val="none"/>
        </w:rPr>
      </w:pPr>
      <w:r>
        <w:rPr>
          <w:rFonts w:hint="eastAsia" w:ascii="宋体" w:hAnsi="宋体" w:cs="宋体"/>
          <w:sz w:val="24"/>
          <w:highlight w:val="none"/>
        </w:rPr>
        <w:t>3、乙方</w:t>
      </w:r>
      <w:r>
        <w:rPr>
          <w:rFonts w:hint="eastAsia" w:ascii="宋体" w:hAnsi="宋体" w:cs="宋体"/>
          <w:bCs/>
          <w:sz w:val="24"/>
          <w:highlight w:val="none"/>
        </w:rPr>
        <w:t>须采用台州市智慧养老综合平台开展业务。</w:t>
      </w:r>
      <w:r>
        <w:rPr>
          <w:rFonts w:hint="eastAsia" w:ascii="宋体" w:hAnsi="宋体" w:cs="宋体"/>
          <w:bCs/>
          <w:sz w:val="24"/>
          <w:highlight w:val="none"/>
        </w:rPr>
        <w:tab/>
      </w:r>
    </w:p>
    <w:p w14:paraId="09498948">
      <w:pPr>
        <w:pageBreakBefore w:val="0"/>
        <w:kinsoku/>
        <w:wordWrap/>
        <w:overflowPunct/>
        <w:topLinePunct w:val="0"/>
        <w:bidi w:val="0"/>
        <w:spacing w:line="440" w:lineRule="exact"/>
        <w:ind w:firstLine="480" w:firstLineChars="200"/>
        <w:textAlignment w:val="auto"/>
        <w:rPr>
          <w:rFonts w:hint="eastAsia" w:ascii="宋体" w:hAnsi="宋体" w:cs="宋体"/>
          <w:bCs/>
          <w:sz w:val="24"/>
          <w:highlight w:val="none"/>
        </w:rPr>
      </w:pPr>
      <w:r>
        <w:rPr>
          <w:rFonts w:hint="eastAsia" w:ascii="宋体" w:hAnsi="宋体" w:cs="宋体"/>
          <w:bCs/>
          <w:sz w:val="24"/>
          <w:highlight w:val="none"/>
        </w:rPr>
        <w:t>4、</w:t>
      </w:r>
      <w:r>
        <w:rPr>
          <w:rFonts w:hint="eastAsia" w:ascii="宋体" w:hAnsi="宋体" w:cs="宋体"/>
          <w:sz w:val="24"/>
          <w:highlight w:val="none"/>
        </w:rPr>
        <w:t>乙方</w:t>
      </w:r>
      <w:r>
        <w:rPr>
          <w:rFonts w:hint="eastAsia" w:ascii="宋体" w:hAnsi="宋体" w:cs="宋体"/>
          <w:bCs/>
          <w:sz w:val="24"/>
          <w:highlight w:val="none"/>
        </w:rPr>
        <w:t>须</w:t>
      </w:r>
      <w:r>
        <w:rPr>
          <w:rFonts w:hint="eastAsia" w:ascii="宋体" w:hAnsi="宋体" w:cs="宋体"/>
          <w:bCs/>
          <w:sz w:val="24"/>
          <w:highlight w:val="none"/>
          <w:lang w:eastAsia="zh-CN"/>
        </w:rPr>
        <w:t>及时更新</w:t>
      </w:r>
      <w:r>
        <w:rPr>
          <w:rFonts w:hint="eastAsia" w:ascii="宋体" w:hAnsi="宋体" w:cs="宋体"/>
          <w:bCs/>
          <w:sz w:val="24"/>
          <w:highlight w:val="none"/>
        </w:rPr>
        <w:t>服务老人数量、现居住地、死亡信息等重要信息。</w:t>
      </w:r>
    </w:p>
    <w:p w14:paraId="5C7F553A">
      <w:pPr>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bCs/>
          <w:sz w:val="24"/>
          <w:highlight w:val="none"/>
        </w:rPr>
        <w:t>5、</w:t>
      </w:r>
      <w:r>
        <w:rPr>
          <w:rFonts w:hint="eastAsia" w:hAnsi="宋体" w:cs="Arial"/>
          <w:kern w:val="0"/>
          <w:sz w:val="24"/>
          <w:highlight w:val="none"/>
        </w:rPr>
        <w:t>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5FC20A6F">
      <w:pPr>
        <w:keepNext w:val="0"/>
        <w:keepLines w:val="0"/>
        <w:pageBreakBefore w:val="0"/>
        <w:kinsoku/>
        <w:wordWrap/>
        <w:overflowPunct/>
        <w:topLinePunct w:val="0"/>
        <w:autoSpaceDE/>
        <w:autoSpaceDN/>
        <w:bidi w:val="0"/>
        <w:snapToGrid w:val="0"/>
        <w:spacing w:line="440" w:lineRule="exact"/>
        <w:ind w:left="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九</w:t>
      </w:r>
      <w:r>
        <w:rPr>
          <w:rFonts w:hint="eastAsia" w:ascii="宋体" w:hAnsi="宋体" w:eastAsia="宋体" w:cs="宋体"/>
          <w:b/>
          <w:color w:val="auto"/>
          <w:sz w:val="24"/>
          <w:szCs w:val="24"/>
          <w:highlight w:val="none"/>
        </w:rPr>
        <w:t>、税费</w:t>
      </w:r>
    </w:p>
    <w:p w14:paraId="4EDFFF0F">
      <w:pPr>
        <w:keepNext w:val="0"/>
        <w:keepLines w:val="0"/>
        <w:pageBreakBefore w:val="0"/>
        <w:kinsoku/>
        <w:wordWrap/>
        <w:overflowPunct/>
        <w:topLinePunct w:val="0"/>
        <w:autoSpaceDE/>
        <w:autoSpaceDN/>
        <w:bidi w:val="0"/>
        <w:snapToGrid w:val="0"/>
        <w:spacing w:line="440" w:lineRule="exact"/>
        <w:ind w:left="0"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sz w:val="24"/>
          <w:szCs w:val="24"/>
          <w:highlight w:val="none"/>
        </w:rPr>
        <w:t>本合同执行中相关的一切税费均由乙方负担。</w:t>
      </w:r>
    </w:p>
    <w:p w14:paraId="2A6805BA">
      <w:pPr>
        <w:pStyle w:val="13"/>
        <w:keepNext w:val="0"/>
        <w:keepLines w:val="0"/>
        <w:pageBreakBefore w:val="0"/>
        <w:widowControl w:val="0"/>
        <w:kinsoku/>
        <w:wordWrap/>
        <w:overflowPunct/>
        <w:topLinePunct w:val="0"/>
        <w:autoSpaceDE/>
        <w:autoSpaceDN/>
        <w:bidi w:val="0"/>
        <w:snapToGrid w:val="0"/>
        <w:spacing w:line="44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十</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违约责任</w:t>
      </w:r>
    </w:p>
    <w:p w14:paraId="4AED8AA7">
      <w:pPr>
        <w:pageBreakBefore w:val="0"/>
        <w:kinsoku/>
        <w:wordWrap/>
        <w:overflowPunct/>
        <w:topLinePunct w:val="0"/>
        <w:bidi w:val="0"/>
        <w:spacing w:line="44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1、因本合同的任何一方不履行本合同中所约定的责任或义务，而造成对方损失的，责任方须承担相应的赔偿责任。</w:t>
      </w:r>
    </w:p>
    <w:p w14:paraId="36E834AF">
      <w:pPr>
        <w:pageBreakBefore w:val="0"/>
        <w:kinsoku/>
        <w:wordWrap/>
        <w:overflowPunct/>
        <w:topLinePunct w:val="0"/>
        <w:bidi w:val="0"/>
        <w:spacing w:line="440" w:lineRule="exact"/>
        <w:textAlignment w:val="auto"/>
        <w:rPr>
          <w:rFonts w:hint="eastAsia" w:ascii="宋体" w:hAnsi="宋体" w:cs="宋体"/>
          <w:sz w:val="24"/>
          <w:highlight w:val="none"/>
        </w:rPr>
      </w:pPr>
      <w:r>
        <w:rPr>
          <w:rFonts w:hint="eastAsia" w:ascii="宋体" w:hAnsi="宋体" w:cs="宋体"/>
          <w:sz w:val="24"/>
          <w:highlight w:val="none"/>
        </w:rPr>
        <w:t xml:space="preserve">    2、因本合同任何一方未遵守本合同中所约定的相关责任或义务，导致对方无法履行本合同实质性义务或实现本合同之目的时，守约方有权提前解除本合同，自守约方书面通知违约方5个工作日后发生合同解除的效力，守约方因本合同的提前终止而受到损失的，违约方应承担相应的赔偿责任。</w:t>
      </w:r>
    </w:p>
    <w:p w14:paraId="4AC172E4">
      <w:pPr>
        <w:pageBreakBefore w:val="0"/>
        <w:kinsoku/>
        <w:wordWrap/>
        <w:overflowPunct/>
        <w:topLinePunct w:val="0"/>
        <w:bidi w:val="0"/>
        <w:spacing w:line="440" w:lineRule="exact"/>
        <w:textAlignment w:val="auto"/>
        <w:rPr>
          <w:rFonts w:hint="eastAsia" w:ascii="宋体" w:hAnsi="宋体" w:cs="宋体"/>
          <w:sz w:val="24"/>
          <w:highlight w:val="none"/>
        </w:rPr>
      </w:pPr>
      <w:r>
        <w:rPr>
          <w:rFonts w:hint="eastAsia" w:ascii="宋体" w:hAnsi="宋体" w:cs="宋体"/>
          <w:sz w:val="24"/>
          <w:highlight w:val="none"/>
        </w:rPr>
        <w:t xml:space="preserve">    3、甲方违约：如因甲方原因致使本合同终止履行时，则甲方应按照乙方实际完成工作量向乙方支付相应的服务费用。</w:t>
      </w:r>
    </w:p>
    <w:p w14:paraId="20B63D79">
      <w:pPr>
        <w:pStyle w:val="13"/>
        <w:keepNext w:val="0"/>
        <w:keepLines w:val="0"/>
        <w:pageBreakBefore w:val="0"/>
        <w:widowControl w:val="0"/>
        <w:kinsoku/>
        <w:wordWrap/>
        <w:overflowPunct/>
        <w:topLinePunct w:val="0"/>
        <w:autoSpaceDE/>
        <w:autoSpaceDN/>
        <w:bidi w:val="0"/>
        <w:snapToGrid w:val="0"/>
        <w:spacing w:line="440" w:lineRule="exact"/>
        <w:ind w:left="0" w:right="0" w:rightChars="0" w:firstLine="480" w:firstLineChars="200"/>
        <w:textAlignment w:val="auto"/>
        <w:rPr>
          <w:rFonts w:hint="eastAsia" w:ascii="宋体" w:hAnsi="宋体" w:cs="宋体"/>
          <w:sz w:val="24"/>
          <w:highlight w:val="none"/>
        </w:rPr>
      </w:pPr>
      <w:r>
        <w:rPr>
          <w:rFonts w:hint="eastAsia" w:ascii="宋体" w:hAnsi="宋体" w:cs="宋体"/>
          <w:sz w:val="24"/>
          <w:highlight w:val="none"/>
        </w:rPr>
        <w:t>4、乙方违约：如因乙方原因致使本合同终止履行时，乙方应返还甲方已支付的全部费用。</w:t>
      </w:r>
    </w:p>
    <w:p w14:paraId="6FBE6160">
      <w:pPr>
        <w:pStyle w:val="14"/>
        <w:ind w:leftChars="0" w:firstLine="480" w:firstLineChars="200"/>
        <w:rPr>
          <w:rFonts w:hint="eastAsia"/>
          <w:highlight w:val="none"/>
        </w:rPr>
      </w:pPr>
      <w:r>
        <w:rPr>
          <w:rFonts w:hint="eastAsia" w:ascii="宋体" w:hAnsi="宋体" w:eastAsia="宋体" w:cs="宋体"/>
          <w:sz w:val="24"/>
          <w:szCs w:val="24"/>
          <w:highlight w:val="none"/>
          <w:lang w:val="en-US" w:eastAsia="zh-CN"/>
        </w:rPr>
        <w:t>5、其他违约责任约定：按采购文件规定执行。</w:t>
      </w:r>
    </w:p>
    <w:p w14:paraId="52DA7683">
      <w:pPr>
        <w:pStyle w:val="13"/>
        <w:keepNext w:val="0"/>
        <w:keepLines w:val="0"/>
        <w:pageBreakBefore w:val="0"/>
        <w:kinsoku/>
        <w:wordWrap/>
        <w:overflowPunct/>
        <w:topLinePunct w:val="0"/>
        <w:autoSpaceDE/>
        <w:autoSpaceDN/>
        <w:bidi w:val="0"/>
        <w:snapToGrid w:val="0"/>
        <w:spacing w:line="44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w:t>
      </w:r>
      <w:r>
        <w:rPr>
          <w:rFonts w:hint="eastAsia" w:ascii="宋体" w:hAnsi="宋体" w:eastAsia="宋体" w:cs="宋体"/>
          <w:b/>
          <w:color w:val="auto"/>
          <w:sz w:val="24"/>
          <w:highlight w:val="none"/>
          <w:lang w:val="en-US" w:eastAsia="zh-CN"/>
        </w:rPr>
        <w:t>一、</w:t>
      </w:r>
      <w:r>
        <w:rPr>
          <w:rFonts w:hint="eastAsia" w:ascii="宋体" w:hAnsi="宋体" w:eastAsia="宋体" w:cs="宋体"/>
          <w:b/>
          <w:color w:val="auto"/>
          <w:sz w:val="24"/>
          <w:highlight w:val="none"/>
        </w:rPr>
        <w:t>不可抗力事件处理</w:t>
      </w:r>
    </w:p>
    <w:p w14:paraId="58B5E5F2">
      <w:pPr>
        <w:pStyle w:val="13"/>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1、在合同有效期内，任何一方因不可抗力事件导致不能履行合同，则合同履行期可延长，其延长期与不可抗力影响期相同。</w:t>
      </w:r>
    </w:p>
    <w:p w14:paraId="3285A37D">
      <w:pPr>
        <w:pStyle w:val="13"/>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2、不可抗力事件发生后，应立即通知对方，并寄送有关权威机构出具的证明。</w:t>
      </w:r>
    </w:p>
    <w:p w14:paraId="1A6D551B">
      <w:pPr>
        <w:pStyle w:val="13"/>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3、不可抗力事件延续120天以上，双方应通过友好协商，确定是否继续履行合同。</w:t>
      </w:r>
    </w:p>
    <w:p w14:paraId="4334D842">
      <w:pPr>
        <w:pStyle w:val="13"/>
        <w:keepNext w:val="0"/>
        <w:keepLines w:val="0"/>
        <w:pageBreakBefore w:val="0"/>
        <w:kinsoku/>
        <w:wordWrap/>
        <w:overflowPunct/>
        <w:topLinePunct w:val="0"/>
        <w:autoSpaceDE/>
        <w:autoSpaceDN/>
        <w:bidi w:val="0"/>
        <w:snapToGrid w:val="0"/>
        <w:spacing w:line="44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w:t>
      </w:r>
      <w:r>
        <w:rPr>
          <w:rFonts w:hint="eastAsia" w:ascii="宋体" w:hAnsi="宋体" w:eastAsia="宋体" w:cs="宋体"/>
          <w:b/>
          <w:color w:val="auto"/>
          <w:sz w:val="24"/>
          <w:highlight w:val="none"/>
          <w:lang w:val="en-US" w:eastAsia="zh-CN"/>
        </w:rPr>
        <w:t>二</w:t>
      </w:r>
      <w:r>
        <w:rPr>
          <w:rFonts w:hint="eastAsia" w:ascii="宋体" w:hAnsi="宋体" w:eastAsia="宋体" w:cs="宋体"/>
          <w:b/>
          <w:color w:val="auto"/>
          <w:sz w:val="24"/>
          <w:highlight w:val="none"/>
        </w:rPr>
        <w:t>、解决争议的方法</w:t>
      </w:r>
    </w:p>
    <w:p w14:paraId="4E50DEFD">
      <w:pPr>
        <w:pStyle w:val="13"/>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双方在执行合同中所发生的一切争议，应通过协商解决。如协商不成，可向甲方所在地人民法院起诉。</w:t>
      </w:r>
    </w:p>
    <w:p w14:paraId="17C0BE4C">
      <w:pPr>
        <w:pStyle w:val="13"/>
        <w:keepNext w:val="0"/>
        <w:keepLines w:val="0"/>
        <w:pageBreakBefore w:val="0"/>
        <w:tabs>
          <w:tab w:val="left" w:pos="5790"/>
        </w:tabs>
        <w:kinsoku/>
        <w:wordWrap/>
        <w:overflowPunct/>
        <w:topLinePunct w:val="0"/>
        <w:autoSpaceDE/>
        <w:autoSpaceDN/>
        <w:bidi w:val="0"/>
        <w:snapToGrid w:val="0"/>
        <w:spacing w:line="44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w:t>
      </w:r>
      <w:r>
        <w:rPr>
          <w:rFonts w:hint="eastAsia" w:ascii="宋体" w:hAnsi="宋体" w:eastAsia="宋体" w:cs="宋体"/>
          <w:b/>
          <w:color w:val="auto"/>
          <w:sz w:val="24"/>
          <w:highlight w:val="none"/>
          <w:lang w:val="en-US" w:eastAsia="zh-CN"/>
        </w:rPr>
        <w:t>三</w:t>
      </w:r>
      <w:r>
        <w:rPr>
          <w:rFonts w:hint="eastAsia" w:ascii="宋体" w:hAnsi="宋体" w:eastAsia="宋体" w:cs="宋体"/>
          <w:b/>
          <w:color w:val="auto"/>
          <w:sz w:val="24"/>
          <w:highlight w:val="none"/>
        </w:rPr>
        <w:t>、合同生效及其它</w:t>
      </w:r>
    </w:p>
    <w:p w14:paraId="13FAFFC5">
      <w:pPr>
        <w:pStyle w:val="9"/>
        <w:keepNext w:val="0"/>
        <w:keepLines w:val="0"/>
        <w:pageBreakBefore w:val="0"/>
        <w:widowControl/>
        <w:kinsoku/>
        <w:wordWrap/>
        <w:overflowPunct/>
        <w:topLinePunct w:val="0"/>
        <w:autoSpaceDE/>
        <w:autoSpaceDN/>
        <w:bidi w:val="0"/>
        <w:spacing w:after="0"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1、合同经双方法定</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授权</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代表人或委托代理人签字并加盖单位公章后生效。</w:t>
      </w:r>
    </w:p>
    <w:p w14:paraId="1E3BF6D7">
      <w:pPr>
        <w:pStyle w:val="9"/>
        <w:keepNext w:val="0"/>
        <w:keepLines w:val="0"/>
        <w:pageBreakBefore w:val="0"/>
        <w:widowControl/>
        <w:kinsoku/>
        <w:wordWrap/>
        <w:overflowPunct/>
        <w:topLinePunct w:val="0"/>
        <w:autoSpaceDE/>
        <w:autoSpaceDN/>
        <w:bidi w:val="0"/>
        <w:spacing w:after="0"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2、本合同未尽事宜，遵照《</w:t>
      </w:r>
      <w:r>
        <w:rPr>
          <w:rFonts w:hint="eastAsia" w:ascii="宋体" w:hAnsi="宋体" w:eastAsia="宋体" w:cs="宋体"/>
          <w:color w:val="auto"/>
          <w:sz w:val="24"/>
          <w:highlight w:val="none"/>
          <w:lang w:eastAsia="zh-CN"/>
        </w:rPr>
        <w:t>中华人民共和国民法典</w:t>
      </w:r>
      <w:r>
        <w:rPr>
          <w:rFonts w:hint="eastAsia" w:ascii="宋体" w:hAnsi="宋体" w:eastAsia="宋体" w:cs="宋体"/>
          <w:color w:val="auto"/>
          <w:sz w:val="24"/>
          <w:highlight w:val="none"/>
        </w:rPr>
        <w:t>》有关条文执行。</w:t>
      </w:r>
    </w:p>
    <w:p w14:paraId="298C3D2A">
      <w:pPr>
        <w:pStyle w:val="9"/>
        <w:keepNext w:val="0"/>
        <w:keepLines w:val="0"/>
        <w:pageBreakBefore w:val="0"/>
        <w:widowControl/>
        <w:kinsoku/>
        <w:wordWrap/>
        <w:overflowPunct/>
        <w:topLinePunct w:val="0"/>
        <w:autoSpaceDE/>
        <w:autoSpaceDN/>
        <w:bidi w:val="0"/>
        <w:spacing w:after="0" w:line="440" w:lineRule="exact"/>
        <w:ind w:firstLine="480" w:firstLineChars="200"/>
        <w:textAlignment w:val="auto"/>
        <w:rPr>
          <w:rFonts w:hint="eastAsia" w:ascii="宋体" w:hAnsi="宋体" w:cs="宋体"/>
          <w:bCs/>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bCs/>
          <w:color w:val="auto"/>
          <w:sz w:val="24"/>
          <w:highlight w:val="none"/>
        </w:rPr>
        <w:t>本合同</w:t>
      </w:r>
      <w:r>
        <w:rPr>
          <w:rFonts w:hint="eastAsia" w:ascii="宋体" w:hAnsi="宋体" w:cs="宋体"/>
          <w:bCs/>
          <w:color w:val="auto"/>
          <w:sz w:val="24"/>
          <w:highlight w:val="none"/>
          <w:lang w:eastAsia="zh-CN"/>
        </w:rPr>
        <w:t>壹</w:t>
      </w:r>
      <w:r>
        <w:rPr>
          <w:rFonts w:hint="eastAsia" w:ascii="宋体" w:hAnsi="宋体" w:eastAsia="宋体" w:cs="宋体"/>
          <w:bCs/>
          <w:color w:val="auto"/>
          <w:sz w:val="24"/>
          <w:highlight w:val="none"/>
        </w:rPr>
        <w:t>式陆份。甲、乙双方各执</w:t>
      </w:r>
      <w:r>
        <w:rPr>
          <w:rFonts w:hint="eastAsia" w:ascii="宋体" w:hAnsi="宋体" w:eastAsia="宋体" w:cs="宋体"/>
          <w:bCs/>
          <w:color w:val="auto"/>
          <w:sz w:val="24"/>
          <w:highlight w:val="none"/>
          <w:lang w:val="en-US" w:eastAsia="zh-CN"/>
        </w:rPr>
        <w:t>叁</w:t>
      </w:r>
      <w:r>
        <w:rPr>
          <w:rFonts w:hint="eastAsia" w:ascii="宋体" w:hAnsi="宋体" w:eastAsia="宋体" w:cs="宋体"/>
          <w:bCs/>
          <w:color w:val="auto"/>
          <w:sz w:val="24"/>
          <w:highlight w:val="none"/>
        </w:rPr>
        <w:t>份</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具有同等法律效力</w:t>
      </w:r>
      <w:r>
        <w:rPr>
          <w:rFonts w:hint="eastAsia" w:ascii="宋体" w:hAnsi="宋体" w:eastAsia="宋体" w:cs="宋体"/>
          <w:bCs/>
          <w:color w:val="auto"/>
          <w:sz w:val="24"/>
          <w:highlight w:val="none"/>
        </w:rPr>
        <w:t>。本项目未尽事宜以磋商采购文件、磋商响应文件及澄清文件等为准。</w:t>
      </w:r>
    </w:p>
    <w:p w14:paraId="4929B413">
      <w:pPr>
        <w:pageBreakBefore w:val="0"/>
        <w:kinsoku/>
        <w:wordWrap/>
        <w:overflowPunct/>
        <w:topLinePunct w:val="0"/>
        <w:bidi w:val="0"/>
        <w:spacing w:line="440" w:lineRule="exact"/>
        <w:textAlignment w:val="auto"/>
        <w:rPr>
          <w:rFonts w:hint="eastAsia" w:ascii="宋体" w:hAnsi="宋体"/>
          <w:color w:val="auto"/>
          <w:sz w:val="24"/>
          <w:highlight w:val="none"/>
        </w:rPr>
      </w:pPr>
    </w:p>
    <w:p w14:paraId="52FB15E8">
      <w:pPr>
        <w:pageBreakBefore w:val="0"/>
        <w:kinsoku/>
        <w:wordWrap/>
        <w:overflowPunct/>
        <w:topLinePunct w:val="0"/>
        <w:bidi w:val="0"/>
        <w:spacing w:line="440" w:lineRule="exact"/>
        <w:textAlignment w:val="auto"/>
        <w:rPr>
          <w:rFonts w:ascii="宋体" w:hAnsi="宋体"/>
          <w:color w:val="auto"/>
          <w:sz w:val="24"/>
          <w:highlight w:val="none"/>
        </w:rPr>
      </w:pPr>
      <w:r>
        <w:rPr>
          <w:rFonts w:hint="eastAsia" w:ascii="宋体" w:hAnsi="宋体"/>
          <w:color w:val="auto"/>
          <w:sz w:val="24"/>
          <w:highlight w:val="none"/>
        </w:rPr>
        <w:t>甲方（公章）                            乙方（公章）</w:t>
      </w:r>
    </w:p>
    <w:p w14:paraId="00E282C0">
      <w:pPr>
        <w:pageBreakBefore w:val="0"/>
        <w:kinsoku/>
        <w:wordWrap/>
        <w:overflowPunct/>
        <w:topLinePunct w:val="0"/>
        <w:bidi w:val="0"/>
        <w:spacing w:line="440" w:lineRule="exact"/>
        <w:textAlignment w:val="auto"/>
        <w:rPr>
          <w:rFonts w:ascii="宋体" w:hAnsi="宋体"/>
          <w:color w:val="auto"/>
          <w:sz w:val="24"/>
          <w:highlight w:val="none"/>
        </w:rPr>
      </w:pPr>
      <w:r>
        <w:rPr>
          <w:rFonts w:hint="eastAsia" w:ascii="宋体" w:hAnsi="宋体"/>
          <w:color w:val="auto"/>
          <w:sz w:val="24"/>
          <w:highlight w:val="none"/>
        </w:rPr>
        <w:t>法定代表人或授权委托人：                法定</w:t>
      </w:r>
      <w:r>
        <w:rPr>
          <w:rFonts w:hint="eastAsia" w:ascii="宋体" w:hAnsi="宋体"/>
          <w:color w:val="auto"/>
          <w:sz w:val="24"/>
          <w:highlight w:val="none"/>
          <w:lang w:eastAsia="zh-CN"/>
        </w:rPr>
        <w:t>（</w:t>
      </w:r>
      <w:r>
        <w:rPr>
          <w:rFonts w:hint="eastAsia" w:ascii="宋体" w:hAnsi="宋体"/>
          <w:color w:val="auto"/>
          <w:sz w:val="24"/>
          <w:highlight w:val="none"/>
        </w:rPr>
        <w:t>授权</w:t>
      </w:r>
      <w:r>
        <w:rPr>
          <w:rFonts w:hint="eastAsia" w:ascii="宋体" w:hAnsi="宋体"/>
          <w:color w:val="auto"/>
          <w:sz w:val="24"/>
          <w:highlight w:val="none"/>
          <w:lang w:eastAsia="zh-CN"/>
        </w:rPr>
        <w:t>）</w:t>
      </w:r>
      <w:r>
        <w:rPr>
          <w:rFonts w:hint="eastAsia" w:ascii="宋体" w:hAnsi="宋体"/>
          <w:color w:val="auto"/>
          <w:sz w:val="24"/>
          <w:highlight w:val="none"/>
        </w:rPr>
        <w:t>代表人或授权委托人：</w:t>
      </w:r>
    </w:p>
    <w:p w14:paraId="4EADD69B">
      <w:pPr>
        <w:pageBreakBefore w:val="0"/>
        <w:kinsoku/>
        <w:wordWrap/>
        <w:overflowPunct/>
        <w:topLinePunct w:val="0"/>
        <w:bidi w:val="0"/>
        <w:spacing w:line="440" w:lineRule="exact"/>
        <w:textAlignment w:val="auto"/>
        <w:rPr>
          <w:rFonts w:hint="eastAsia" w:ascii="宋体" w:hAnsi="宋体"/>
          <w:color w:val="auto"/>
          <w:sz w:val="24"/>
          <w:highlight w:val="none"/>
        </w:rPr>
      </w:pPr>
      <w:r>
        <w:rPr>
          <w:rFonts w:hint="eastAsia" w:ascii="宋体" w:hAnsi="宋体"/>
          <w:color w:val="auto"/>
          <w:sz w:val="24"/>
          <w:highlight w:val="none"/>
        </w:rPr>
        <w:t>联系电话：                              联系电话：</w:t>
      </w:r>
    </w:p>
    <w:p w14:paraId="60550501">
      <w:pPr>
        <w:pStyle w:val="25"/>
        <w:pageBreakBefore w:val="0"/>
        <w:kinsoku/>
        <w:wordWrap/>
        <w:overflowPunct/>
        <w:topLinePunct w:val="0"/>
        <w:bidi w:val="0"/>
        <w:spacing w:line="440" w:lineRule="exact"/>
        <w:ind w:firstLine="0" w:firstLineChars="0"/>
        <w:textAlignment w:val="auto"/>
        <w:rPr>
          <w:rFonts w:hint="eastAsia" w:hAnsi="宋体"/>
          <w:color w:val="auto"/>
          <w:highlight w:val="none"/>
        </w:rPr>
      </w:pPr>
      <w:r>
        <w:rPr>
          <w:rFonts w:hint="eastAsia" w:hAnsi="宋体"/>
          <w:color w:val="auto"/>
          <w:highlight w:val="none"/>
        </w:rPr>
        <w:t>开户银行：                              开户银行：</w:t>
      </w:r>
    </w:p>
    <w:p w14:paraId="7BFD622F">
      <w:pPr>
        <w:pStyle w:val="25"/>
        <w:pageBreakBefore w:val="0"/>
        <w:kinsoku/>
        <w:wordWrap/>
        <w:overflowPunct/>
        <w:topLinePunct w:val="0"/>
        <w:bidi w:val="0"/>
        <w:spacing w:line="440" w:lineRule="exact"/>
        <w:ind w:firstLine="0" w:firstLineChars="0"/>
        <w:textAlignment w:val="auto"/>
        <w:rPr>
          <w:rFonts w:hAnsi="宋体"/>
          <w:color w:val="auto"/>
          <w:highlight w:val="none"/>
        </w:rPr>
      </w:pPr>
      <w:r>
        <w:rPr>
          <w:rFonts w:hint="eastAsia" w:hAnsi="宋体"/>
          <w:color w:val="auto"/>
          <w:highlight w:val="none"/>
        </w:rPr>
        <w:t>账号：                                  账号：</w:t>
      </w:r>
    </w:p>
    <w:p w14:paraId="5F722AF4">
      <w:pPr>
        <w:pStyle w:val="6"/>
        <w:pageBreakBefore w:val="0"/>
        <w:kinsoku/>
        <w:wordWrap/>
        <w:overflowPunct/>
        <w:topLinePunct w:val="0"/>
        <w:bidi w:val="0"/>
        <w:spacing w:line="440" w:lineRule="exact"/>
        <w:ind w:firstLine="0"/>
        <w:textAlignment w:val="auto"/>
        <w:rPr>
          <w:rFonts w:hint="eastAsia" w:ascii="宋体" w:hAnsi="宋体"/>
          <w:color w:val="auto"/>
          <w:sz w:val="24"/>
          <w:szCs w:val="24"/>
          <w:highlight w:val="none"/>
        </w:rPr>
      </w:pPr>
    </w:p>
    <w:p w14:paraId="43B18013">
      <w:pPr>
        <w:pStyle w:val="6"/>
        <w:pageBreakBefore w:val="0"/>
        <w:kinsoku/>
        <w:wordWrap/>
        <w:overflowPunct/>
        <w:topLinePunct w:val="0"/>
        <w:bidi w:val="0"/>
        <w:spacing w:line="440" w:lineRule="exact"/>
        <w:ind w:firstLine="0"/>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鉴证</w:t>
      </w:r>
      <w:r>
        <w:rPr>
          <w:rFonts w:hint="eastAsia" w:ascii="宋体" w:hAnsi="宋体"/>
          <w:color w:val="auto"/>
          <w:sz w:val="24"/>
          <w:szCs w:val="24"/>
          <w:highlight w:val="none"/>
        </w:rPr>
        <w:t>方（盖章）：</w:t>
      </w:r>
    </w:p>
    <w:p w14:paraId="487C3CEC">
      <w:pPr>
        <w:pStyle w:val="6"/>
        <w:pageBreakBefore w:val="0"/>
        <w:kinsoku/>
        <w:wordWrap/>
        <w:overflowPunct/>
        <w:topLinePunct w:val="0"/>
        <w:bidi w:val="0"/>
        <w:spacing w:line="440" w:lineRule="exact"/>
        <w:ind w:firstLine="0"/>
        <w:jc w:val="right"/>
        <w:textAlignment w:val="auto"/>
        <w:rPr>
          <w:rFonts w:hint="eastAsia" w:ascii="宋体" w:hAnsi="宋体"/>
          <w:color w:val="auto"/>
          <w:sz w:val="24"/>
          <w:highlight w:val="none"/>
        </w:rPr>
      </w:pPr>
    </w:p>
    <w:p w14:paraId="5DA39C98">
      <w:pPr>
        <w:pStyle w:val="6"/>
        <w:pageBreakBefore w:val="0"/>
        <w:kinsoku/>
        <w:wordWrap/>
        <w:overflowPunct/>
        <w:topLinePunct w:val="0"/>
        <w:bidi w:val="0"/>
        <w:spacing w:line="440" w:lineRule="exact"/>
        <w:ind w:firstLine="0"/>
        <w:jc w:val="right"/>
        <w:textAlignment w:val="auto"/>
        <w:rPr>
          <w:rFonts w:hint="eastAsia" w:ascii="宋体" w:hAnsi="宋体"/>
          <w:color w:val="auto"/>
          <w:sz w:val="24"/>
          <w:highlight w:val="none"/>
        </w:rPr>
      </w:pPr>
    </w:p>
    <w:p w14:paraId="237C2AFC">
      <w:pPr>
        <w:pStyle w:val="6"/>
        <w:pageBreakBefore w:val="0"/>
        <w:kinsoku/>
        <w:wordWrap/>
        <w:overflowPunct/>
        <w:topLinePunct w:val="0"/>
        <w:bidi w:val="0"/>
        <w:spacing w:line="440" w:lineRule="exact"/>
        <w:ind w:firstLine="0"/>
        <w:jc w:val="right"/>
        <w:textAlignment w:val="auto"/>
        <w:rPr>
          <w:rFonts w:hint="eastAsia" w:ascii="宋体" w:hAnsi="宋体"/>
          <w:color w:val="auto"/>
          <w:sz w:val="24"/>
          <w:highlight w:val="none"/>
        </w:rPr>
      </w:pPr>
      <w:r>
        <w:rPr>
          <w:rFonts w:hint="eastAsia" w:ascii="宋体" w:hAnsi="宋体"/>
          <w:color w:val="auto"/>
          <w:sz w:val="24"/>
          <w:highlight w:val="none"/>
        </w:rPr>
        <w:t>签订时间：     年    月    日</w:t>
      </w:r>
    </w:p>
    <w:p w14:paraId="46DC08F1">
      <w:pPr>
        <w:pStyle w:val="6"/>
        <w:spacing w:line="276" w:lineRule="auto"/>
        <w:ind w:firstLine="0"/>
        <w:jc w:val="center"/>
        <w:rPr>
          <w:rFonts w:hint="eastAsia" w:ascii="宋体" w:hAnsi="宋体"/>
          <w:b/>
          <w:color w:val="auto"/>
          <w:sz w:val="36"/>
          <w:szCs w:val="36"/>
          <w:highlight w:val="none"/>
        </w:rPr>
      </w:pPr>
      <w:r>
        <w:rPr>
          <w:rFonts w:hint="eastAsia" w:ascii="宋体" w:hAnsi="宋体"/>
          <w:color w:val="auto"/>
          <w:sz w:val="24"/>
          <w:highlight w:val="none"/>
        </w:rPr>
        <w:br w:type="page"/>
      </w:r>
      <w:bookmarkStart w:id="6" w:name="_Toc3375"/>
      <w:r>
        <w:rPr>
          <w:rFonts w:hint="eastAsia" w:ascii="宋体" w:hAnsi="宋体"/>
          <w:b/>
          <w:color w:val="auto"/>
          <w:sz w:val="36"/>
          <w:szCs w:val="36"/>
          <w:highlight w:val="none"/>
        </w:rPr>
        <w:t>第六章  响应文件格式附件</w:t>
      </w:r>
      <w:bookmarkEnd w:id="6"/>
    </w:p>
    <w:p w14:paraId="4E02A88F">
      <w:pPr>
        <w:tabs>
          <w:tab w:val="left" w:pos="8280"/>
        </w:tabs>
        <w:autoSpaceDE w:val="0"/>
        <w:autoSpaceDN w:val="0"/>
        <w:adjustRightInd w:val="0"/>
        <w:spacing w:line="240" w:lineRule="atLeast"/>
        <w:ind w:right="25"/>
        <w:outlineLvl w:val="0"/>
        <w:rPr>
          <w:rFonts w:hint="eastAsia" w:ascii="宋体" w:hAnsi="宋体"/>
          <w:color w:val="auto"/>
          <w:kern w:val="0"/>
          <w:sz w:val="24"/>
          <w:highlight w:val="none"/>
        </w:rPr>
      </w:pPr>
      <w:bookmarkStart w:id="7" w:name="_Toc22489"/>
      <w:r>
        <w:rPr>
          <w:rFonts w:hint="eastAsia" w:ascii="宋体" w:hAnsi="宋体"/>
          <w:b/>
          <w:color w:val="auto"/>
          <w:sz w:val="28"/>
          <w:highlight w:val="none"/>
        </w:rPr>
        <w:t>附件1</w:t>
      </w:r>
      <w:r>
        <w:rPr>
          <w:rFonts w:hint="eastAsia" w:ascii="宋体" w:hAnsi="宋体"/>
          <w:color w:val="auto"/>
          <w:sz w:val="28"/>
          <w:highlight w:val="none"/>
        </w:rPr>
        <w:t xml:space="preserve">                                                  </w:t>
      </w:r>
      <w:bookmarkEnd w:id="7"/>
    </w:p>
    <w:p w14:paraId="0F3B3BEE">
      <w:pPr>
        <w:spacing w:before="312" w:beforeLines="100" w:line="360" w:lineRule="auto"/>
        <w:jc w:val="center"/>
        <w:rPr>
          <w:rFonts w:hint="eastAsia" w:ascii="宋体" w:hAnsi="宋体" w:eastAsia="宋体"/>
          <w:color w:val="auto"/>
          <w:spacing w:val="40"/>
          <w:sz w:val="48"/>
          <w:szCs w:val="48"/>
          <w:highlight w:val="none"/>
          <w:lang w:eastAsia="zh-CN"/>
        </w:rPr>
      </w:pPr>
      <w:r>
        <w:rPr>
          <w:rFonts w:hint="eastAsia" w:ascii="宋体" w:hAnsi="宋体"/>
          <w:color w:val="auto"/>
          <w:spacing w:val="40"/>
          <w:sz w:val="44"/>
          <w:szCs w:val="44"/>
          <w:highlight w:val="none"/>
          <w:lang w:eastAsia="zh-CN"/>
        </w:rPr>
        <w:t>2025年椒江区前所街道居家养老服务采购项目</w:t>
      </w:r>
    </w:p>
    <w:p w14:paraId="2F2D449D">
      <w:pPr>
        <w:jc w:val="center"/>
        <w:rPr>
          <w:rFonts w:hint="eastAsia" w:ascii="宋体" w:hAnsi="宋体"/>
          <w:color w:val="auto"/>
          <w:szCs w:val="21"/>
          <w:highlight w:val="none"/>
        </w:rPr>
      </w:pPr>
    </w:p>
    <w:p w14:paraId="3CDEBBC7">
      <w:pPr>
        <w:spacing w:before="312" w:beforeLines="100" w:line="360" w:lineRule="auto"/>
        <w:ind w:right="-108"/>
        <w:jc w:val="center"/>
        <w:rPr>
          <w:rFonts w:hint="eastAsia" w:ascii="宋体" w:hAnsi="宋体" w:eastAsia="宋体"/>
          <w:color w:val="auto"/>
          <w:sz w:val="32"/>
          <w:szCs w:val="32"/>
          <w:highlight w:val="none"/>
          <w:lang w:eastAsia="zh-CN"/>
        </w:rPr>
      </w:pPr>
      <w:r>
        <w:rPr>
          <w:rFonts w:hint="eastAsia" w:ascii="宋体" w:hAnsi="宋体"/>
          <w:color w:val="auto"/>
          <w:sz w:val="32"/>
          <w:szCs w:val="32"/>
          <w:highlight w:val="none"/>
        </w:rPr>
        <w:t>项目编号：</w:t>
      </w:r>
      <w:r>
        <w:rPr>
          <w:rFonts w:hint="eastAsia" w:ascii="宋体" w:hAnsi="宋体"/>
          <w:color w:val="auto"/>
          <w:spacing w:val="40"/>
          <w:sz w:val="32"/>
          <w:szCs w:val="32"/>
          <w:highlight w:val="none"/>
          <w:lang w:eastAsia="zh-CN"/>
        </w:rPr>
        <w:t>YHZB-2025-0327</w:t>
      </w:r>
    </w:p>
    <w:p w14:paraId="5F3C00CA">
      <w:pPr>
        <w:spacing w:after="100" w:afterAutospacing="1"/>
        <w:ind w:right="-108"/>
        <w:jc w:val="center"/>
        <w:rPr>
          <w:rFonts w:hint="eastAsia" w:ascii="宋体" w:hAnsi="宋体"/>
          <w:b/>
          <w:color w:val="auto"/>
          <w:spacing w:val="40"/>
          <w:sz w:val="22"/>
          <w:szCs w:val="22"/>
          <w:highlight w:val="none"/>
        </w:rPr>
      </w:pPr>
    </w:p>
    <w:p w14:paraId="2FBF282E">
      <w:pPr>
        <w:spacing w:after="100" w:afterAutospacing="1" w:line="800" w:lineRule="exact"/>
        <w:ind w:right="-108"/>
        <w:jc w:val="center"/>
        <w:rPr>
          <w:rFonts w:hint="eastAsia" w:ascii="宋体" w:hAnsi="宋体"/>
          <w:b/>
          <w:color w:val="auto"/>
          <w:spacing w:val="40"/>
          <w:sz w:val="56"/>
          <w:szCs w:val="56"/>
          <w:highlight w:val="none"/>
        </w:rPr>
      </w:pPr>
      <w:r>
        <w:rPr>
          <w:rFonts w:hint="eastAsia" w:ascii="宋体" w:hAnsi="宋体"/>
          <w:b/>
          <w:color w:val="auto"/>
          <w:spacing w:val="40"/>
          <w:sz w:val="56"/>
          <w:szCs w:val="56"/>
          <w:highlight w:val="none"/>
        </w:rPr>
        <w:t>磋</w:t>
      </w:r>
    </w:p>
    <w:p w14:paraId="3D65099A">
      <w:pPr>
        <w:spacing w:after="100" w:afterAutospacing="1" w:line="800" w:lineRule="exact"/>
        <w:ind w:right="-108"/>
        <w:jc w:val="center"/>
        <w:rPr>
          <w:rFonts w:hint="eastAsia" w:ascii="宋体" w:hAnsi="宋体"/>
          <w:b/>
          <w:color w:val="auto"/>
          <w:spacing w:val="40"/>
          <w:sz w:val="56"/>
          <w:szCs w:val="56"/>
          <w:highlight w:val="none"/>
        </w:rPr>
      </w:pPr>
      <w:r>
        <w:rPr>
          <w:rFonts w:hint="eastAsia" w:ascii="宋体" w:hAnsi="宋体"/>
          <w:b/>
          <w:color w:val="auto"/>
          <w:spacing w:val="40"/>
          <w:sz w:val="56"/>
          <w:szCs w:val="56"/>
          <w:highlight w:val="none"/>
        </w:rPr>
        <w:t>商</w:t>
      </w:r>
    </w:p>
    <w:p w14:paraId="5469185C">
      <w:pPr>
        <w:spacing w:after="100" w:afterAutospacing="1" w:line="800" w:lineRule="exact"/>
        <w:ind w:right="-108"/>
        <w:jc w:val="center"/>
        <w:rPr>
          <w:rFonts w:hint="eastAsia" w:ascii="宋体" w:hAnsi="宋体"/>
          <w:b/>
          <w:color w:val="auto"/>
          <w:spacing w:val="40"/>
          <w:sz w:val="56"/>
          <w:szCs w:val="56"/>
          <w:highlight w:val="none"/>
        </w:rPr>
      </w:pPr>
      <w:r>
        <w:rPr>
          <w:rFonts w:hint="eastAsia" w:ascii="宋体" w:hAnsi="宋体"/>
          <w:b/>
          <w:color w:val="auto"/>
          <w:spacing w:val="40"/>
          <w:sz w:val="56"/>
          <w:szCs w:val="56"/>
          <w:highlight w:val="none"/>
        </w:rPr>
        <w:t>响</w:t>
      </w:r>
    </w:p>
    <w:p w14:paraId="16EDE5DC">
      <w:pPr>
        <w:spacing w:after="100" w:afterAutospacing="1" w:line="800" w:lineRule="exact"/>
        <w:ind w:right="-108"/>
        <w:jc w:val="center"/>
        <w:rPr>
          <w:rFonts w:hint="eastAsia" w:ascii="宋体" w:hAnsi="宋体"/>
          <w:b/>
          <w:color w:val="auto"/>
          <w:spacing w:val="40"/>
          <w:sz w:val="56"/>
          <w:szCs w:val="56"/>
          <w:highlight w:val="none"/>
        </w:rPr>
      </w:pPr>
      <w:r>
        <w:rPr>
          <w:rFonts w:hint="eastAsia" w:ascii="宋体" w:hAnsi="宋体"/>
          <w:b/>
          <w:color w:val="auto"/>
          <w:spacing w:val="40"/>
          <w:sz w:val="56"/>
          <w:szCs w:val="56"/>
          <w:highlight w:val="none"/>
        </w:rPr>
        <w:t>应</w:t>
      </w:r>
    </w:p>
    <w:p w14:paraId="327D7DE6">
      <w:pPr>
        <w:spacing w:after="100" w:afterAutospacing="1" w:line="800" w:lineRule="exact"/>
        <w:ind w:right="-108"/>
        <w:jc w:val="center"/>
        <w:rPr>
          <w:rFonts w:hint="eastAsia" w:ascii="宋体" w:hAnsi="宋体"/>
          <w:b/>
          <w:color w:val="auto"/>
          <w:spacing w:val="40"/>
          <w:sz w:val="56"/>
          <w:szCs w:val="56"/>
          <w:highlight w:val="none"/>
        </w:rPr>
      </w:pPr>
      <w:r>
        <w:rPr>
          <w:rFonts w:hint="eastAsia" w:ascii="宋体" w:hAnsi="宋体"/>
          <w:b/>
          <w:color w:val="auto"/>
          <w:spacing w:val="40"/>
          <w:sz w:val="56"/>
          <w:szCs w:val="56"/>
          <w:highlight w:val="none"/>
        </w:rPr>
        <w:t>文</w:t>
      </w:r>
    </w:p>
    <w:p w14:paraId="49198A3F">
      <w:pPr>
        <w:spacing w:after="100" w:afterAutospacing="1" w:line="800" w:lineRule="exact"/>
        <w:ind w:right="-108"/>
        <w:jc w:val="center"/>
        <w:rPr>
          <w:rFonts w:hint="eastAsia" w:ascii="宋体" w:hAnsi="宋体"/>
          <w:b/>
          <w:color w:val="auto"/>
          <w:spacing w:val="40"/>
          <w:sz w:val="56"/>
          <w:szCs w:val="56"/>
          <w:highlight w:val="none"/>
        </w:rPr>
      </w:pPr>
      <w:r>
        <w:rPr>
          <w:rFonts w:hint="eastAsia" w:ascii="宋体" w:hAnsi="宋体"/>
          <w:b/>
          <w:color w:val="auto"/>
          <w:spacing w:val="40"/>
          <w:sz w:val="56"/>
          <w:szCs w:val="56"/>
          <w:highlight w:val="none"/>
        </w:rPr>
        <w:t>件</w:t>
      </w:r>
    </w:p>
    <w:p w14:paraId="3854F089">
      <w:pPr>
        <w:ind w:right="532"/>
        <w:jc w:val="center"/>
        <w:rPr>
          <w:rFonts w:hint="eastAsia" w:ascii="宋体" w:hAnsi="宋体"/>
          <w:color w:val="auto"/>
          <w:szCs w:val="21"/>
          <w:highlight w:val="none"/>
        </w:rPr>
      </w:pPr>
      <w:r>
        <w:rPr>
          <w:rFonts w:hint="eastAsia" w:ascii="宋体" w:hAnsi="宋体"/>
          <w:b/>
          <w:color w:val="auto"/>
          <w:spacing w:val="40"/>
          <w:sz w:val="28"/>
          <w:szCs w:val="28"/>
          <w:highlight w:val="none"/>
          <w:lang w:val="en-US" w:eastAsia="zh-CN"/>
        </w:rPr>
        <w:t xml:space="preserve">  </w:t>
      </w:r>
      <w:r>
        <w:rPr>
          <w:rFonts w:hint="eastAsia" w:ascii="宋体" w:hAnsi="宋体"/>
          <w:b/>
          <w:color w:val="auto"/>
          <w:spacing w:val="40"/>
          <w:sz w:val="28"/>
          <w:szCs w:val="28"/>
          <w:highlight w:val="none"/>
          <w:lang w:val="zh-CN"/>
        </w:rPr>
        <w:t>（</w:t>
      </w:r>
      <w:r>
        <w:rPr>
          <w:rFonts w:hint="eastAsia" w:ascii="宋体" w:hAnsi="宋体"/>
          <w:b/>
          <w:color w:val="auto"/>
          <w:spacing w:val="40"/>
          <w:sz w:val="28"/>
          <w:szCs w:val="28"/>
          <w:highlight w:val="none"/>
        </w:rPr>
        <w:t>资格证明文件）</w:t>
      </w:r>
    </w:p>
    <w:p w14:paraId="5354BAF6">
      <w:pPr>
        <w:ind w:right="532" w:firstLine="640" w:firstLineChars="200"/>
        <w:rPr>
          <w:rFonts w:hint="eastAsia" w:ascii="宋体" w:hAnsi="宋体"/>
          <w:color w:val="auto"/>
          <w:sz w:val="32"/>
          <w:szCs w:val="32"/>
          <w:highlight w:val="none"/>
        </w:rPr>
      </w:pPr>
      <w:r>
        <w:rPr>
          <w:rFonts w:hint="eastAsia" w:ascii="宋体" w:hAnsi="宋体"/>
          <w:color w:val="auto"/>
          <w:sz w:val="32"/>
          <w:szCs w:val="32"/>
          <w:highlight w:val="none"/>
        </w:rPr>
        <w:t>供应商全称（公章）：</w:t>
      </w:r>
    </w:p>
    <w:p w14:paraId="52765DD0">
      <w:pPr>
        <w:wordWrap w:val="0"/>
        <w:ind w:right="-108" w:firstLine="640" w:firstLineChars="200"/>
        <w:rPr>
          <w:rFonts w:hint="eastAsia" w:ascii="宋体" w:hAnsi="宋体"/>
          <w:color w:val="auto"/>
          <w:sz w:val="32"/>
          <w:szCs w:val="32"/>
          <w:highlight w:val="none"/>
        </w:rPr>
      </w:pPr>
      <w:r>
        <w:rPr>
          <w:rFonts w:hint="eastAsia" w:ascii="宋体" w:hAnsi="宋体"/>
          <w:color w:val="auto"/>
          <w:sz w:val="32"/>
          <w:szCs w:val="32"/>
          <w:highlight w:val="none"/>
        </w:rPr>
        <w:t>地    址：</w:t>
      </w:r>
    </w:p>
    <w:p w14:paraId="59305696">
      <w:pPr>
        <w:wordWrap w:val="0"/>
        <w:ind w:right="-108" w:firstLine="640" w:firstLineChars="200"/>
        <w:rPr>
          <w:rFonts w:hint="eastAsia" w:ascii="宋体" w:hAnsi="宋体"/>
          <w:color w:val="auto"/>
          <w:sz w:val="32"/>
          <w:szCs w:val="32"/>
          <w:highlight w:val="none"/>
        </w:rPr>
      </w:pPr>
      <w:r>
        <w:rPr>
          <w:rFonts w:hint="eastAsia" w:ascii="宋体" w:hAnsi="宋体"/>
          <w:color w:val="auto"/>
          <w:sz w:val="32"/>
          <w:szCs w:val="32"/>
          <w:highlight w:val="none"/>
        </w:rPr>
        <w:t>时    间：</w:t>
      </w:r>
    </w:p>
    <w:p w14:paraId="5D5E6426">
      <w:pPr>
        <w:snapToGrid w:val="0"/>
        <w:spacing w:line="420" w:lineRule="exact"/>
        <w:jc w:val="center"/>
        <w:rPr>
          <w:rFonts w:hint="eastAsia" w:ascii="宋体" w:hAnsi="宋体"/>
          <w:b/>
          <w:bCs/>
          <w:color w:val="auto"/>
          <w:sz w:val="36"/>
          <w:szCs w:val="36"/>
          <w:highlight w:val="none"/>
        </w:rPr>
      </w:pPr>
    </w:p>
    <w:p w14:paraId="6AB6136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b/>
          <w:bCs/>
          <w:color w:val="auto"/>
          <w:sz w:val="36"/>
          <w:szCs w:val="36"/>
          <w:highlight w:val="none"/>
        </w:rPr>
      </w:pPr>
    </w:p>
    <w:p w14:paraId="5B81DC5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b/>
          <w:bCs/>
          <w:color w:val="auto"/>
          <w:sz w:val="36"/>
          <w:szCs w:val="36"/>
          <w:highlight w:val="none"/>
        </w:rPr>
      </w:pPr>
      <w:r>
        <w:rPr>
          <w:rFonts w:hint="eastAsia" w:ascii="宋体" w:hAnsi="宋体"/>
          <w:b/>
          <w:bCs/>
          <w:color w:val="auto"/>
          <w:sz w:val="36"/>
          <w:szCs w:val="36"/>
          <w:highlight w:val="none"/>
        </w:rPr>
        <w:t>资格证明文件目录</w:t>
      </w:r>
    </w:p>
    <w:p w14:paraId="529EF22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磋商声明书（附件2）</w:t>
      </w:r>
    </w:p>
    <w:p w14:paraId="4EF1286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rPr>
        <w:t>授权委托书（附件3）</w:t>
      </w:r>
    </w:p>
    <w:p w14:paraId="1A00D9A3">
      <w:pPr>
        <w:keepNext w:val="0"/>
        <w:keepLines w:val="0"/>
        <w:pageBreakBefore w:val="0"/>
        <w:widowControl w:val="0"/>
        <w:kinsoku/>
        <w:wordWrap/>
        <w:overflowPunct/>
        <w:topLinePunct w:val="0"/>
        <w:autoSpaceDE/>
        <w:autoSpaceDN/>
        <w:bidi w:val="0"/>
        <w:adjustRightInd/>
        <w:snapToGrid w:val="0"/>
        <w:spacing w:line="360" w:lineRule="auto"/>
        <w:ind w:firstLine="470" w:firstLineChars="196"/>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3、法人或者其他组织的营业执照等证明文件，自然人的身份证明</w:t>
      </w:r>
    </w:p>
    <w:p w14:paraId="5BC2B6E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kern w:val="0"/>
          <w:sz w:val="24"/>
          <w:highlight w:val="none"/>
        </w:rPr>
        <w:t>具有良好的商业信誉和健全的财务会计制度的承诺函</w:t>
      </w:r>
      <w:r>
        <w:rPr>
          <w:rFonts w:hint="eastAsia" w:ascii="宋体" w:hAnsi="宋体" w:eastAsia="宋体" w:cs="宋体"/>
          <w:color w:val="auto"/>
          <w:sz w:val="24"/>
          <w:highlight w:val="none"/>
        </w:rPr>
        <w:t>（附件4）</w:t>
      </w:r>
    </w:p>
    <w:p w14:paraId="5952300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5、依法缴纳税收和社会保障资金证明的承诺函</w:t>
      </w:r>
      <w:r>
        <w:rPr>
          <w:rFonts w:hint="eastAsia" w:ascii="宋体" w:hAnsi="宋体" w:eastAsia="宋体" w:cs="宋体"/>
          <w:color w:val="auto"/>
          <w:sz w:val="24"/>
          <w:highlight w:val="none"/>
        </w:rPr>
        <w:t>（附件5）</w:t>
      </w:r>
    </w:p>
    <w:p w14:paraId="3FDB3E9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val="en-US" w:eastAsia="zh-CN"/>
        </w:rPr>
        <w:t>具备履行合同所必需的设备和专业技术能力的承诺函（附件6）</w:t>
      </w:r>
    </w:p>
    <w:p w14:paraId="0E85B94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highlight w:val="none"/>
          <w:lang w:val="en-US" w:eastAsia="zh-CN"/>
        </w:rPr>
      </w:pPr>
      <w:r>
        <w:rPr>
          <w:rFonts w:hint="eastAsia" w:ascii="宋体" w:hAnsi="宋体" w:eastAsia="宋体" w:cs="宋体"/>
          <w:color w:val="auto"/>
          <w:sz w:val="24"/>
          <w:highlight w:val="none"/>
          <w:lang w:val="en-US" w:eastAsia="zh-CN"/>
        </w:rPr>
        <w:t>7、参加政府采购项目前三年内，在经营活动中没有重大违法记录（承诺函）（附件7）</w:t>
      </w:r>
    </w:p>
    <w:p w14:paraId="4E35577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、中小企业声明函</w:t>
      </w:r>
      <w:r>
        <w:rPr>
          <w:rFonts w:hint="eastAsia" w:ascii="宋体" w:hAnsi="宋体" w:eastAsia="宋体" w:cs="宋体"/>
          <w:color w:val="auto"/>
          <w:kern w:val="0"/>
          <w:sz w:val="24"/>
          <w:highlight w:val="none"/>
          <w:lang w:val="en-US" w:eastAsia="zh-CN"/>
        </w:rPr>
        <w:t>等中小企业证明材料</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附件8</w:t>
      </w:r>
      <w:r>
        <w:rPr>
          <w:rFonts w:hint="eastAsia" w:ascii="宋体" w:hAnsi="宋体" w:eastAsia="宋体" w:cs="宋体"/>
          <w:color w:val="auto"/>
          <w:kern w:val="0"/>
          <w:sz w:val="24"/>
          <w:highlight w:val="none"/>
          <w:lang w:eastAsia="zh-CN"/>
        </w:rPr>
        <w:t>）</w:t>
      </w:r>
    </w:p>
    <w:p w14:paraId="43E8BCB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rPr>
        <w:t>、投标供应商需要说明的其他资料</w:t>
      </w:r>
      <w:r>
        <w:rPr>
          <w:rFonts w:hint="eastAsia" w:ascii="宋体" w:hAnsi="宋体" w:eastAsia="宋体" w:cs="宋体"/>
          <w:color w:val="auto"/>
          <w:kern w:val="0"/>
          <w:sz w:val="24"/>
          <w:highlight w:val="none"/>
          <w:lang w:eastAsia="zh-CN"/>
        </w:rPr>
        <w:t>。</w:t>
      </w:r>
    </w:p>
    <w:p w14:paraId="021CCCFD">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b/>
          <w:color w:val="auto"/>
          <w:sz w:val="28"/>
          <w:highlight w:val="none"/>
        </w:rPr>
      </w:pPr>
      <w:r>
        <w:rPr>
          <w:rFonts w:hint="eastAsia" w:ascii="宋体" w:hAnsi="宋体" w:eastAsia="宋体" w:cs="宋体"/>
          <w:color w:val="auto"/>
          <w:kern w:val="0"/>
          <w:sz w:val="24"/>
          <w:highlight w:val="none"/>
          <w:lang w:eastAsia="zh-CN"/>
        </w:rPr>
        <w:br w:type="page"/>
      </w:r>
      <w:bookmarkStart w:id="8" w:name="_Toc15893"/>
      <w:r>
        <w:rPr>
          <w:rFonts w:hint="eastAsia" w:ascii="宋体" w:hAnsi="宋体"/>
          <w:b/>
          <w:color w:val="auto"/>
          <w:sz w:val="28"/>
          <w:highlight w:val="none"/>
        </w:rPr>
        <w:t>附件2</w:t>
      </w:r>
      <w:bookmarkEnd w:id="8"/>
    </w:p>
    <w:p w14:paraId="75652DE0">
      <w:pPr>
        <w:snapToGrid w:val="0"/>
        <w:spacing w:before="156" w:beforeLines="50" w:after="50" w:line="360" w:lineRule="auto"/>
        <w:jc w:val="center"/>
        <w:rPr>
          <w:rStyle w:val="30"/>
          <w:rFonts w:hint="eastAsia"/>
          <w:b/>
          <w:color w:val="auto"/>
          <w:sz w:val="32"/>
          <w:szCs w:val="32"/>
          <w:highlight w:val="none"/>
        </w:rPr>
      </w:pPr>
      <w:r>
        <w:rPr>
          <w:rStyle w:val="30"/>
          <w:rFonts w:hint="eastAsia"/>
          <w:b/>
          <w:color w:val="auto"/>
          <w:sz w:val="32"/>
          <w:szCs w:val="32"/>
          <w:highlight w:val="none"/>
          <w:u w:val="none"/>
        </w:rPr>
        <w:t>磋商声明书</w:t>
      </w:r>
    </w:p>
    <w:p w14:paraId="7F644BC8">
      <w:pPr>
        <w:snapToGrid w:val="0"/>
        <w:spacing w:before="156" w:beforeLines="50" w:after="50" w:line="360" w:lineRule="auto"/>
        <w:ind w:firstLine="480" w:firstLineChars="200"/>
        <w:rPr>
          <w:rFonts w:hint="eastAsia" w:ascii="Arial" w:hAnsi="Arial" w:cs="Arial"/>
          <w:color w:val="auto"/>
          <w:sz w:val="24"/>
          <w:highlight w:val="none"/>
        </w:rPr>
      </w:pPr>
      <w:r>
        <w:rPr>
          <w:rFonts w:hint="eastAsia" w:ascii="Arial" w:hAnsi="Arial" w:cs="Arial"/>
          <w:color w:val="auto"/>
          <w:sz w:val="24"/>
          <w:highlight w:val="none"/>
          <w:lang w:eastAsia="zh-CN"/>
        </w:rPr>
        <w:t>赢海招标代理（台州）有限公司</w:t>
      </w:r>
      <w:r>
        <w:rPr>
          <w:rFonts w:hint="eastAsia" w:ascii="Arial" w:hAnsi="Arial" w:cs="Arial"/>
          <w:color w:val="auto"/>
          <w:sz w:val="24"/>
          <w:highlight w:val="none"/>
        </w:rPr>
        <w:t>：</w:t>
      </w:r>
    </w:p>
    <w:p w14:paraId="08C69578">
      <w:pPr>
        <w:snapToGrid w:val="0"/>
        <w:spacing w:before="156" w:beforeLines="50" w:after="50" w:line="288"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系中华人民共和国合法企业，经营地址</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7804DB1">
      <w:pPr>
        <w:snapToGrid w:val="0"/>
        <w:spacing w:before="156" w:beforeLines="50" w:after="50" w:line="288"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xml:space="preserve"> 姓名 </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 供应商名称 </w:t>
      </w:r>
      <w:r>
        <w:rPr>
          <w:rFonts w:hint="eastAsia" w:ascii="宋体" w:hAnsi="宋体" w:cs="宋体"/>
          <w:color w:val="auto"/>
          <w:kern w:val="0"/>
          <w:sz w:val="24"/>
          <w:highlight w:val="none"/>
        </w:rPr>
        <w:t>）的法定代表人，我公司自愿参加贵方组织的××（磋商</w:t>
      </w:r>
      <w:r>
        <w:rPr>
          <w:rFonts w:hint="eastAsia" w:ascii="宋体" w:hAnsi="宋体" w:cs="宋体"/>
          <w:color w:val="auto"/>
          <w:kern w:val="0"/>
          <w:sz w:val="24"/>
          <w:highlight w:val="none"/>
          <w:u w:val="single"/>
        </w:rPr>
        <w:t>项目名称</w:t>
      </w:r>
      <w:r>
        <w:rPr>
          <w:rFonts w:hint="eastAsia" w:ascii="宋体" w:hAnsi="宋体" w:cs="宋体"/>
          <w:color w:val="auto"/>
          <w:kern w:val="0"/>
          <w:sz w:val="24"/>
          <w:highlight w:val="none"/>
        </w:rPr>
        <w:t>）（编号为××）的磋商，为此，我公司就本次磋商有关事项郑重声明如下：</w:t>
      </w:r>
    </w:p>
    <w:p w14:paraId="7809F356">
      <w:pPr>
        <w:numPr>
          <w:ilvl w:val="0"/>
          <w:numId w:val="5"/>
        </w:numPr>
        <w:snapToGrid w:val="0"/>
        <w:spacing w:before="156" w:beforeLines="50" w:after="50" w:line="288" w:lineRule="auto"/>
        <w:ind w:firstLine="480" w:firstLineChars="200"/>
        <w:rPr>
          <w:rFonts w:ascii="宋体" w:hAnsi="宋体" w:cs="宋体"/>
          <w:color w:val="auto"/>
          <w:kern w:val="0"/>
          <w:sz w:val="24"/>
          <w:highlight w:val="none"/>
        </w:rPr>
      </w:pPr>
      <w:r>
        <w:rPr>
          <w:rFonts w:hint="eastAsia" w:ascii="Arial" w:hAnsi="Arial" w:cs="Arial"/>
          <w:color w:val="auto"/>
          <w:sz w:val="24"/>
          <w:highlight w:val="none"/>
        </w:rPr>
        <w:t>我公司声明截止磋商时间近三年以来：在参加政府采购活动过程中无任何不良行为记录；无重大违法记录（重大违法记录是指供应商因违法经营受到刑事处罚或者责令停产停业、吊销许可证或者执照、较大数额罚款等行政处罚）。</w:t>
      </w:r>
    </w:p>
    <w:p w14:paraId="1D5FA9A3">
      <w:pPr>
        <w:numPr>
          <w:ilvl w:val="0"/>
          <w:numId w:val="5"/>
        </w:numPr>
        <w:snapToGrid w:val="0"/>
        <w:spacing w:before="156" w:beforeLines="50" w:after="50" w:line="288"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我公司</w:t>
      </w:r>
      <w:r>
        <w:rPr>
          <w:rFonts w:ascii="宋体" w:hAnsi="宋体" w:cs="宋体"/>
          <w:color w:val="auto"/>
          <w:kern w:val="0"/>
          <w:sz w:val="24"/>
          <w:highlight w:val="none"/>
        </w:rPr>
        <w:t>在参与</w:t>
      </w:r>
      <w:r>
        <w:rPr>
          <w:rFonts w:hint="eastAsia" w:ascii="宋体" w:hAnsi="宋体" w:cs="宋体"/>
          <w:color w:val="auto"/>
          <w:kern w:val="0"/>
          <w:sz w:val="24"/>
          <w:highlight w:val="none"/>
        </w:rPr>
        <w:t>磋商</w:t>
      </w:r>
      <w:r>
        <w:rPr>
          <w:rFonts w:ascii="宋体" w:hAnsi="宋体" w:cs="宋体"/>
          <w:color w:val="auto"/>
          <w:kern w:val="0"/>
          <w:sz w:val="24"/>
          <w:highlight w:val="none"/>
        </w:rPr>
        <w:t>前已</w:t>
      </w:r>
      <w:r>
        <w:rPr>
          <w:rFonts w:hint="eastAsia" w:ascii="宋体" w:hAnsi="宋体" w:cs="宋体"/>
          <w:color w:val="auto"/>
          <w:kern w:val="0"/>
          <w:sz w:val="24"/>
          <w:highlight w:val="none"/>
        </w:rPr>
        <w:t>详细审查</w:t>
      </w:r>
      <w:r>
        <w:rPr>
          <w:rFonts w:ascii="宋体" w:hAnsi="宋体" w:cs="宋体"/>
          <w:color w:val="auto"/>
          <w:kern w:val="0"/>
          <w:sz w:val="24"/>
          <w:highlight w:val="none"/>
        </w:rPr>
        <w:t>了</w:t>
      </w:r>
      <w:r>
        <w:rPr>
          <w:rFonts w:hint="eastAsia" w:ascii="宋体" w:hAnsi="宋体" w:cs="宋体"/>
          <w:color w:val="auto"/>
          <w:kern w:val="0"/>
          <w:sz w:val="24"/>
          <w:highlight w:val="none"/>
        </w:rPr>
        <w:t>磋商采购</w:t>
      </w:r>
      <w:r>
        <w:rPr>
          <w:rFonts w:ascii="宋体" w:hAnsi="宋体" w:cs="宋体"/>
          <w:color w:val="auto"/>
          <w:kern w:val="0"/>
          <w:sz w:val="24"/>
          <w:highlight w:val="none"/>
        </w:rPr>
        <w:t>文件和所有相关资料，我方完全明白并认为此</w:t>
      </w:r>
      <w:r>
        <w:rPr>
          <w:rFonts w:hint="eastAsia" w:ascii="宋体" w:hAnsi="宋体" w:cs="宋体"/>
          <w:color w:val="auto"/>
          <w:kern w:val="0"/>
          <w:sz w:val="24"/>
          <w:highlight w:val="none"/>
        </w:rPr>
        <w:t>磋商采购</w:t>
      </w:r>
      <w:r>
        <w:rPr>
          <w:rFonts w:ascii="宋体" w:hAnsi="宋体" w:cs="宋体"/>
          <w:color w:val="auto"/>
          <w:kern w:val="0"/>
          <w:sz w:val="24"/>
          <w:highlight w:val="none"/>
        </w:rPr>
        <w:t>文件没有倾向性，也没有存在排斥潜在</w:t>
      </w:r>
      <w:r>
        <w:rPr>
          <w:rFonts w:hint="eastAsia" w:ascii="宋体" w:hAnsi="宋体" w:cs="宋体"/>
          <w:color w:val="auto"/>
          <w:kern w:val="0"/>
          <w:sz w:val="24"/>
          <w:highlight w:val="none"/>
        </w:rPr>
        <w:t>供应商</w:t>
      </w:r>
      <w:r>
        <w:rPr>
          <w:rFonts w:ascii="宋体" w:hAnsi="宋体" w:cs="宋体"/>
          <w:color w:val="auto"/>
          <w:kern w:val="0"/>
          <w:sz w:val="24"/>
          <w:highlight w:val="none"/>
        </w:rPr>
        <w:t>的内容，我方同意</w:t>
      </w:r>
      <w:r>
        <w:rPr>
          <w:rFonts w:hint="eastAsia" w:ascii="宋体" w:hAnsi="宋体" w:cs="宋体"/>
          <w:color w:val="auto"/>
          <w:kern w:val="0"/>
          <w:sz w:val="24"/>
          <w:highlight w:val="none"/>
        </w:rPr>
        <w:t>磋商采购</w:t>
      </w:r>
      <w:r>
        <w:rPr>
          <w:rFonts w:ascii="宋体" w:hAnsi="宋体" w:cs="宋体"/>
          <w:color w:val="auto"/>
          <w:kern w:val="0"/>
          <w:sz w:val="24"/>
          <w:highlight w:val="none"/>
        </w:rPr>
        <w:t>文件的相关条款，放弃对</w:t>
      </w:r>
      <w:r>
        <w:rPr>
          <w:rFonts w:hint="eastAsia" w:ascii="宋体" w:hAnsi="宋体" w:cs="宋体"/>
          <w:color w:val="auto"/>
          <w:kern w:val="0"/>
          <w:sz w:val="24"/>
          <w:highlight w:val="none"/>
        </w:rPr>
        <w:t>磋商采购</w:t>
      </w:r>
      <w:r>
        <w:rPr>
          <w:rFonts w:ascii="宋体" w:hAnsi="宋体" w:cs="宋体"/>
          <w:color w:val="auto"/>
          <w:kern w:val="0"/>
          <w:sz w:val="24"/>
          <w:highlight w:val="none"/>
        </w:rPr>
        <w:t>文件提出误解和质疑的一切权</w:t>
      </w:r>
      <w:r>
        <w:rPr>
          <w:rFonts w:hint="eastAsia" w:ascii="宋体" w:hAnsi="宋体" w:cs="宋体"/>
          <w:color w:val="auto"/>
          <w:kern w:val="0"/>
          <w:sz w:val="24"/>
          <w:highlight w:val="none"/>
        </w:rPr>
        <w:t>利。</w:t>
      </w:r>
    </w:p>
    <w:p w14:paraId="40F3054B">
      <w:pPr>
        <w:snapToGrid w:val="0"/>
        <w:spacing w:before="156" w:beforeLines="50" w:after="50" w:line="288" w:lineRule="auto"/>
        <w:ind w:firstLine="480" w:firstLineChars="200"/>
        <w:rPr>
          <w:rFonts w:ascii="宋体" w:hAnsi="宋体"/>
          <w:color w:val="auto"/>
          <w:sz w:val="24"/>
          <w:highlight w:val="none"/>
        </w:rPr>
      </w:pPr>
      <w:r>
        <w:rPr>
          <w:rFonts w:hint="eastAsia" w:ascii="宋体" w:hAnsi="宋体"/>
          <w:color w:val="auto"/>
          <w:sz w:val="24"/>
          <w:highlight w:val="none"/>
        </w:rPr>
        <w:t>3、我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不是采购人的附属机构；在获知本项目采购信息后，与采购人聘请的为此项目提供咨询服务的公司及其附属机构没有任何联系。</w:t>
      </w:r>
    </w:p>
    <w:p w14:paraId="2D31C8CA">
      <w:pPr>
        <w:snapToGrid w:val="0"/>
        <w:spacing w:before="156" w:beforeLines="50" w:after="50" w:line="288" w:lineRule="auto"/>
        <w:ind w:firstLine="480" w:firstLineChars="200"/>
        <w:rPr>
          <w:rFonts w:ascii="宋体" w:hAnsi="宋体"/>
          <w:color w:val="auto"/>
          <w:kern w:val="0"/>
          <w:sz w:val="24"/>
          <w:highlight w:val="none"/>
          <w:lang w:val="af-ZA"/>
        </w:rPr>
      </w:pPr>
      <w:r>
        <w:rPr>
          <w:rFonts w:hint="eastAsia" w:ascii="宋体" w:hAnsi="宋体"/>
          <w:color w:val="auto"/>
          <w:sz w:val="24"/>
          <w:highlight w:val="none"/>
        </w:rPr>
        <w:t>4、</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olor w:val="auto"/>
          <w:kern w:val="0"/>
          <w:sz w:val="24"/>
          <w:highlight w:val="none"/>
          <w:lang w:val="af-ZA"/>
        </w:rPr>
        <w:t>采购人在中华人民共和国境内使用</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olor w:val="auto"/>
          <w:kern w:val="0"/>
          <w:sz w:val="24"/>
          <w:highlight w:val="none"/>
          <w:lang w:val="af-ZA"/>
        </w:rPr>
        <w:t>磋商响应的货物、资料、技术、服务或其任何一部分时，享有不受限制的无偿使用权，如有第三方向采购人提出侵犯其专利权、商标权或其它知识产权的主张，该责任由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highlight w:val="none"/>
          <w:lang w:val="af-ZA"/>
        </w:rPr>
        <w:t>我方</w:t>
      </w:r>
      <w:r>
        <w:rPr>
          <w:rFonts w:hint="eastAsia" w:ascii="宋体" w:hAnsi="宋体"/>
          <w:color w:val="auto"/>
          <w:kern w:val="0"/>
          <w:sz w:val="24"/>
          <w:highlight w:val="none"/>
          <w:lang w:val="af-ZA"/>
        </w:rPr>
        <w:t>承担。</w:t>
      </w:r>
      <w:r>
        <w:rPr>
          <w:rFonts w:hint="eastAsia" w:ascii="宋体" w:hAnsi="宋体" w:cs="宋体"/>
          <w:color w:val="auto"/>
          <w:kern w:val="0"/>
          <w:sz w:val="24"/>
          <w:highlight w:val="none"/>
          <w:lang w:val="af-ZA"/>
        </w:rPr>
        <w:t>我方的</w:t>
      </w:r>
      <w:r>
        <w:rPr>
          <w:rFonts w:hint="eastAsia" w:ascii="宋体" w:hAnsi="宋体"/>
          <w:color w:val="auto"/>
          <w:kern w:val="0"/>
          <w:sz w:val="24"/>
          <w:highlight w:val="none"/>
          <w:lang w:val="af-ZA"/>
        </w:rPr>
        <w:t>总报价</w:t>
      </w:r>
      <w:r>
        <w:rPr>
          <w:rFonts w:hint="eastAsia" w:ascii="宋体" w:hAnsi="宋体" w:cs="宋体"/>
          <w:color w:val="auto"/>
          <w:kern w:val="0"/>
          <w:sz w:val="24"/>
          <w:highlight w:val="none"/>
          <w:lang w:val="af-ZA"/>
        </w:rPr>
        <w:t>已</w:t>
      </w:r>
      <w:r>
        <w:rPr>
          <w:rFonts w:hint="eastAsia" w:ascii="宋体" w:hAnsi="宋体"/>
          <w:color w:val="auto"/>
          <w:kern w:val="0"/>
          <w:sz w:val="24"/>
          <w:highlight w:val="none"/>
          <w:lang w:val="af-ZA"/>
        </w:rPr>
        <w:t>包含所有应向所有权人支付的专利权、商标权或其它知识产权的一切相关费用。</w:t>
      </w:r>
    </w:p>
    <w:p w14:paraId="3BC11CE9">
      <w:pPr>
        <w:snapToGrid w:val="0"/>
        <w:spacing w:before="156" w:beforeLines="50" w:after="50" w:line="288" w:lineRule="auto"/>
        <w:ind w:firstLine="480" w:firstLineChars="200"/>
        <w:rPr>
          <w:rFonts w:hint="eastAsia" w:ascii="宋体" w:hAnsi="宋体" w:cs="宋体"/>
          <w:color w:val="auto"/>
          <w:kern w:val="0"/>
          <w:sz w:val="24"/>
          <w:highlight w:val="none"/>
          <w:lang w:val="af-ZA"/>
        </w:rPr>
      </w:pPr>
      <w:r>
        <w:rPr>
          <w:rFonts w:hint="eastAsia" w:ascii="宋体" w:hAnsi="宋体" w:cs="宋体"/>
          <w:color w:val="auto"/>
          <w:kern w:val="0"/>
          <w:sz w:val="24"/>
          <w:highlight w:val="none"/>
          <w:lang w:val="af-ZA"/>
        </w:rPr>
        <w:t>5、我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严格履行政府采购合同，除</w:t>
      </w:r>
      <w:r>
        <w:rPr>
          <w:rFonts w:hint="eastAsia" w:ascii="宋体" w:hAnsi="宋体" w:cs="宋体"/>
          <w:color w:val="auto"/>
          <w:kern w:val="0"/>
          <w:sz w:val="24"/>
          <w:highlight w:val="none"/>
          <w:lang w:val="en-US" w:eastAsia="zh-CN"/>
        </w:rPr>
        <w:t>磋商响应</w:t>
      </w:r>
      <w:r>
        <w:rPr>
          <w:rFonts w:hint="eastAsia" w:ascii="宋体" w:hAnsi="宋体" w:cs="宋体"/>
          <w:color w:val="auto"/>
          <w:kern w:val="0"/>
          <w:sz w:val="24"/>
          <w:highlight w:val="none"/>
          <w:lang w:val="af-ZA"/>
        </w:rPr>
        <w:t>文件中明确拒绝的之外，均接受招标文件中的一切条件，不降低合同约定的产品质量和服务，不擅自变更、中止、终止合同，或拒绝履行合同义务；</w:t>
      </w:r>
    </w:p>
    <w:p w14:paraId="3C70F946">
      <w:pPr>
        <w:snapToGrid w:val="0"/>
        <w:spacing w:before="156" w:beforeLines="50" w:after="50" w:line="288" w:lineRule="auto"/>
        <w:ind w:firstLine="480" w:firstLineChars="200"/>
        <w:rPr>
          <w:rFonts w:hint="eastAsia" w:ascii="宋体" w:hAnsi="宋体" w:cs="宋体"/>
          <w:color w:val="auto"/>
          <w:kern w:val="0"/>
          <w:sz w:val="24"/>
          <w:highlight w:val="none"/>
          <w:lang w:val="af-ZA"/>
        </w:rPr>
      </w:pPr>
      <w:r>
        <w:rPr>
          <w:rFonts w:hint="eastAsia" w:ascii="宋体" w:hAnsi="宋体" w:cs="宋体"/>
          <w:color w:val="auto"/>
          <w:kern w:val="0"/>
          <w:sz w:val="24"/>
          <w:highlight w:val="none"/>
          <w:lang w:val="af-ZA"/>
        </w:rPr>
        <w:t>6、</w:t>
      </w:r>
      <w:r>
        <w:rPr>
          <w:rFonts w:hint="eastAsia" w:ascii="宋体" w:hAnsi="宋体" w:cs="宋体"/>
          <w:color w:val="auto"/>
          <w:kern w:val="0"/>
          <w:sz w:val="24"/>
          <w:highlight w:val="none"/>
        </w:rPr>
        <w:t>以上事项如有虚假或隐瞒，我公司愿意承担一切后果，并不再寻求任何旨在减轻或免除法律责任的辩解。</w:t>
      </w:r>
    </w:p>
    <w:p w14:paraId="2FF5A21B">
      <w:pPr>
        <w:adjustRightInd w:val="0"/>
        <w:snapToGrid w:val="0"/>
        <w:spacing w:line="360" w:lineRule="auto"/>
        <w:ind w:firstLine="480"/>
        <w:rPr>
          <w:rFonts w:ascii="宋体" w:hAnsi="宋体" w:cs="仿宋_GB2312"/>
          <w:color w:val="auto"/>
          <w:kern w:val="0"/>
          <w:sz w:val="24"/>
          <w:highlight w:val="none"/>
        </w:rPr>
      </w:pPr>
    </w:p>
    <w:p w14:paraId="42F5DD68">
      <w:pPr>
        <w:pStyle w:val="6"/>
        <w:rPr>
          <w:color w:val="auto"/>
          <w:highlight w:val="none"/>
        </w:rPr>
      </w:pPr>
    </w:p>
    <w:p w14:paraId="04F1CA58">
      <w:pPr>
        <w:adjustRightInd w:val="0"/>
        <w:snapToGrid w:val="0"/>
        <w:spacing w:line="360" w:lineRule="auto"/>
        <w:ind w:firstLine="4680" w:firstLineChars="19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w:t>
      </w:r>
      <w:r>
        <w:rPr>
          <w:rFonts w:hint="eastAsia" w:ascii="宋体" w:hAnsi="宋体" w:cs="仿宋_GB2312"/>
          <w:color w:val="auto"/>
          <w:kern w:val="0"/>
          <w:sz w:val="24"/>
          <w:highlight w:val="none"/>
          <w:lang w:val="en-US" w:eastAsia="zh-CN"/>
        </w:rPr>
        <w:t>磋商</w:t>
      </w:r>
      <w:r>
        <w:rPr>
          <w:rFonts w:hint="eastAsia" w:ascii="宋体" w:hAnsi="宋体" w:cs="仿宋_GB2312"/>
          <w:color w:val="auto"/>
          <w:kern w:val="0"/>
          <w:sz w:val="24"/>
          <w:highlight w:val="none"/>
          <w:lang w:val="zh-CN"/>
        </w:rPr>
        <w:t>供应商名称（公章）：</w:t>
      </w:r>
    </w:p>
    <w:p w14:paraId="4C80CFD1">
      <w:pPr>
        <w:adjustRightInd w:val="0"/>
        <w:snapToGrid w:val="0"/>
        <w:spacing w:line="360" w:lineRule="auto"/>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法定代表人或授权委托人（签字）：</w:t>
      </w:r>
    </w:p>
    <w:p w14:paraId="1839F259">
      <w:pPr>
        <w:adjustRightInd w:val="0"/>
        <w:snapToGrid w:val="0"/>
        <w:spacing w:line="360" w:lineRule="auto"/>
        <w:ind w:right="480"/>
        <w:jc w:val="center"/>
        <w:rPr>
          <w:rFonts w:hint="eastAsia"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日期：</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年  月   日</w:t>
      </w:r>
    </w:p>
    <w:p w14:paraId="197D9A83">
      <w:pPr>
        <w:adjustRightInd w:val="0"/>
        <w:snapToGrid w:val="0"/>
        <w:spacing w:line="360" w:lineRule="auto"/>
        <w:ind w:right="480"/>
        <w:outlineLvl w:val="0"/>
        <w:rPr>
          <w:rFonts w:hint="eastAsia" w:ascii="宋体"/>
          <w:b/>
          <w:color w:val="auto"/>
          <w:sz w:val="30"/>
          <w:szCs w:val="30"/>
          <w:highlight w:val="none"/>
        </w:rPr>
      </w:pPr>
      <w:bookmarkStart w:id="9" w:name="_Toc20392"/>
      <w:r>
        <w:rPr>
          <w:rFonts w:hint="eastAsia" w:ascii="宋体" w:hAnsi="宋体"/>
          <w:b/>
          <w:color w:val="auto"/>
          <w:sz w:val="28"/>
          <w:highlight w:val="none"/>
        </w:rPr>
        <w:t>附件3</w:t>
      </w:r>
      <w:bookmarkEnd w:id="9"/>
    </w:p>
    <w:p w14:paraId="5CF4DE52">
      <w:pPr>
        <w:spacing w:line="360" w:lineRule="auto"/>
        <w:ind w:firstLine="321" w:firstLineChars="100"/>
        <w:jc w:val="center"/>
        <w:rPr>
          <w:rFonts w:hAnsi="宋体"/>
          <w:b/>
          <w:color w:val="auto"/>
          <w:sz w:val="32"/>
          <w:szCs w:val="32"/>
          <w:highlight w:val="none"/>
          <w:u w:val="single"/>
        </w:rPr>
      </w:pPr>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p>
    <w:p w14:paraId="5921A33D">
      <w:pPr>
        <w:snapToGrid w:val="0"/>
        <w:spacing w:before="156" w:beforeLines="50" w:after="50" w:line="360" w:lineRule="auto"/>
        <w:ind w:firstLine="480" w:firstLineChars="200"/>
        <w:rPr>
          <w:rFonts w:hAnsi="宋体"/>
          <w:b/>
          <w:color w:val="auto"/>
          <w:sz w:val="24"/>
          <w:highlight w:val="none"/>
        </w:rPr>
      </w:pPr>
      <w:r>
        <w:rPr>
          <w:rFonts w:hint="eastAsia" w:ascii="Arial" w:hAnsi="Arial" w:cs="Arial"/>
          <w:color w:val="auto"/>
          <w:sz w:val="24"/>
          <w:highlight w:val="none"/>
          <w:u w:val="single"/>
          <w:lang w:eastAsia="zh-CN"/>
        </w:rPr>
        <w:t>赢海招标代理（台州）有限公司</w:t>
      </w:r>
      <w:r>
        <w:rPr>
          <w:rFonts w:hint="eastAsia" w:ascii="Arial" w:hAnsi="Arial" w:cs="Arial"/>
          <w:color w:val="auto"/>
          <w:sz w:val="24"/>
          <w:highlight w:val="none"/>
        </w:rPr>
        <w:t>：</w:t>
      </w:r>
    </w:p>
    <w:p w14:paraId="1FFAFE17">
      <w:pPr>
        <w:pStyle w:val="13"/>
        <w:spacing w:line="500" w:lineRule="exact"/>
        <w:ind w:left="240" w:hanging="240" w:hangingChars="100"/>
        <w:rPr>
          <w:rFonts w:hAnsi="宋体"/>
          <w:color w:val="auto"/>
          <w:sz w:val="24"/>
          <w:highlight w:val="none"/>
        </w:rPr>
      </w:pPr>
      <w:r>
        <w:rPr>
          <w:rFonts w:hAnsi="宋体"/>
          <w:color w:val="auto"/>
          <w:sz w:val="24"/>
          <w:highlight w:val="none"/>
        </w:rPr>
        <w:t xml:space="preserve">    </w:t>
      </w:r>
      <w:r>
        <w:rPr>
          <w:rFonts w:hAnsi="宋体"/>
          <w:color w:val="auto"/>
          <w:sz w:val="24"/>
          <w:highlight w:val="none"/>
          <w:u w:val="single"/>
        </w:rPr>
        <w:t xml:space="preserve">  （</w:t>
      </w:r>
      <w:r>
        <w:rPr>
          <w:rFonts w:hint="eastAsia" w:hAnsi="宋体"/>
          <w:color w:val="auto"/>
          <w:sz w:val="24"/>
          <w:highlight w:val="none"/>
          <w:u w:val="single"/>
        </w:rPr>
        <w:t>供应商</w:t>
      </w:r>
      <w:r>
        <w:rPr>
          <w:rFonts w:hAnsi="宋体"/>
          <w:color w:val="auto"/>
          <w:sz w:val="24"/>
          <w:highlight w:val="none"/>
          <w:u w:val="single"/>
        </w:rPr>
        <w:t xml:space="preserve">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Ansi="宋体"/>
          <w:color w:val="auto"/>
          <w:sz w:val="24"/>
          <w:highlight w:val="none"/>
          <w:u w:val="single"/>
        </w:rPr>
        <w:tab/>
      </w:r>
      <w:r>
        <w:rPr>
          <w:rFonts w:hint="eastAsia" w:hAnsi="宋体"/>
          <w:color w:val="auto"/>
          <w:sz w:val="24"/>
          <w:highlight w:val="none"/>
          <w:u w:val="single"/>
        </w:rPr>
        <w:t xml:space="preserve">              </w:t>
      </w:r>
      <w:r>
        <w:rPr>
          <w:rFonts w:hAnsi="宋体"/>
          <w:color w:val="auto"/>
          <w:sz w:val="24"/>
          <w:highlight w:val="none"/>
        </w:rPr>
        <w:t>项目的采购活动，并代表我方全权办理针对上述项目的磋商、签约等具体事务和签署相关文件。</w:t>
      </w:r>
      <w:r>
        <w:rPr>
          <w:rFonts w:hint="eastAsia" w:hAnsi="宋体"/>
          <w:color w:val="auto"/>
          <w:sz w:val="24"/>
          <w:highlight w:val="none"/>
        </w:rPr>
        <w:t>我方对全权代表的签字事项负全部责任。</w:t>
      </w:r>
    </w:p>
    <w:p w14:paraId="3C11281C">
      <w:pPr>
        <w:pStyle w:val="13"/>
        <w:spacing w:line="500" w:lineRule="exact"/>
        <w:ind w:left="139" w:leftChars="66"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14:paraId="55B1E54A">
      <w:pPr>
        <w:pStyle w:val="13"/>
        <w:spacing w:line="500" w:lineRule="exact"/>
        <w:ind w:left="139" w:leftChars="66" w:firstLine="480" w:firstLineChars="200"/>
        <w:rPr>
          <w:color w:val="auto"/>
          <w:sz w:val="24"/>
          <w:highlight w:val="none"/>
        </w:rPr>
      </w:pPr>
      <w:r>
        <w:rPr>
          <w:rFonts w:hint="eastAsia" w:hAnsi="宋体"/>
          <w:color w:val="auto"/>
          <w:sz w:val="24"/>
          <w:highlight w:val="none"/>
        </w:rPr>
        <w:t>全权代表无转委托权，特此委托。</w:t>
      </w:r>
    </w:p>
    <w:p w14:paraId="20D2A785">
      <w:pPr>
        <w:spacing w:line="360" w:lineRule="auto"/>
        <w:rPr>
          <w:rFonts w:hint="eastAsia" w:ascii="宋体"/>
          <w:color w:val="auto"/>
          <w:sz w:val="24"/>
          <w:highlight w:val="none"/>
        </w:rPr>
      </w:pPr>
    </w:p>
    <w:p w14:paraId="76253E60">
      <w:pPr>
        <w:spacing w:line="360" w:lineRule="auto"/>
        <w:rPr>
          <w:color w:val="auto"/>
          <w:sz w:val="24"/>
          <w:highlight w:val="none"/>
        </w:rPr>
      </w:pPr>
      <w:r>
        <w:rPr>
          <w:rFonts w:hint="eastAsia" w:ascii="宋体"/>
          <w:color w:val="auto"/>
          <w:sz w:val="24"/>
          <w:highlight w:val="none"/>
        </w:rPr>
        <w:t>法定代表人签字或盖章：</w:t>
      </w:r>
    </w:p>
    <w:p w14:paraId="70BCB0F4">
      <w:pPr>
        <w:spacing w:line="360" w:lineRule="auto"/>
        <w:rPr>
          <w:color w:val="auto"/>
          <w:sz w:val="24"/>
          <w:highlight w:val="none"/>
        </w:rPr>
      </w:pPr>
      <w:r>
        <w:rPr>
          <w:rFonts w:hint="eastAsia" w:ascii="宋体"/>
          <w:color w:val="auto"/>
          <w:sz w:val="24"/>
          <w:highlight w:val="none"/>
          <w:lang w:val="en-US" w:eastAsia="zh-CN"/>
        </w:rPr>
        <w:t>磋商</w:t>
      </w:r>
      <w:r>
        <w:rPr>
          <w:rFonts w:hint="eastAsia" w:ascii="宋体"/>
          <w:color w:val="auto"/>
          <w:sz w:val="24"/>
          <w:highlight w:val="none"/>
        </w:rPr>
        <w:t>供应商全称（公章）：                              日期：</w:t>
      </w:r>
    </w:p>
    <w:p w14:paraId="1E0E6A42">
      <w:pPr>
        <w:spacing w:line="360" w:lineRule="auto"/>
        <w:rPr>
          <w:color w:val="auto"/>
          <w:sz w:val="24"/>
          <w:highlight w:val="none"/>
        </w:rPr>
      </w:pPr>
    </w:p>
    <w:p w14:paraId="0CCDE4D3">
      <w:pPr>
        <w:spacing w:line="360" w:lineRule="auto"/>
        <w:rPr>
          <w:b/>
          <w:color w:val="auto"/>
          <w:sz w:val="24"/>
          <w:highlight w:val="none"/>
        </w:rPr>
      </w:pPr>
      <w:r>
        <w:rPr>
          <w:rFonts w:hint="eastAsia" w:ascii="宋体"/>
          <w:b/>
          <w:color w:val="auto"/>
          <w:sz w:val="24"/>
          <w:highlight w:val="none"/>
        </w:rPr>
        <w:t>附：</w:t>
      </w:r>
    </w:p>
    <w:tbl>
      <w:tblPr>
        <w:tblStyle w:val="26"/>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0C51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65F203AF">
            <w:pPr>
              <w:spacing w:line="360" w:lineRule="auto"/>
              <w:rPr>
                <w:rFonts w:ascii="宋体"/>
                <w:b/>
                <w:color w:val="auto"/>
                <w:sz w:val="24"/>
                <w:highlight w:val="none"/>
              </w:rPr>
            </w:pPr>
          </w:p>
          <w:p w14:paraId="415154FA">
            <w:pPr>
              <w:spacing w:line="360" w:lineRule="auto"/>
              <w:ind w:firstLine="361" w:firstLineChars="150"/>
              <w:rPr>
                <w:rFonts w:ascii="宋体"/>
                <w:b/>
                <w:color w:val="auto"/>
                <w:sz w:val="24"/>
                <w:highlight w:val="none"/>
              </w:rPr>
            </w:pPr>
            <w:r>
              <w:rPr>
                <w:rFonts w:hint="eastAsia" w:ascii="宋体"/>
                <w:b/>
                <w:color w:val="auto"/>
                <w:sz w:val="24"/>
                <w:highlight w:val="none"/>
              </w:rPr>
              <w:t>法定代表身份证复印件</w:t>
            </w:r>
            <w:r>
              <w:rPr>
                <w:rFonts w:hint="eastAsia" w:ascii="宋体"/>
                <w:b/>
                <w:color w:val="auto"/>
                <w:sz w:val="24"/>
                <w:highlight w:val="none"/>
                <w:lang w:val="en-US" w:eastAsia="zh-CN"/>
              </w:rPr>
              <w:t>粘贴</w:t>
            </w:r>
            <w:r>
              <w:rPr>
                <w:rFonts w:hint="eastAsia" w:ascii="宋体"/>
                <w:b/>
                <w:color w:val="auto"/>
                <w:sz w:val="24"/>
                <w:highlight w:val="none"/>
              </w:rPr>
              <w:t>处</w:t>
            </w:r>
          </w:p>
        </w:tc>
      </w:tr>
    </w:tbl>
    <w:p w14:paraId="4E080541">
      <w:pPr>
        <w:spacing w:line="360" w:lineRule="auto"/>
        <w:rPr>
          <w:color w:val="auto"/>
          <w:sz w:val="24"/>
          <w:highlight w:val="none"/>
        </w:rPr>
      </w:pPr>
      <w:r>
        <w:rPr>
          <w:rFonts w:hint="eastAsia" w:ascii="宋体"/>
          <w:color w:val="auto"/>
          <w:sz w:val="24"/>
          <w:highlight w:val="none"/>
        </w:rPr>
        <w:t>法定代表人姓名：</w:t>
      </w:r>
    </w:p>
    <w:p w14:paraId="06BF177F">
      <w:pPr>
        <w:spacing w:line="360" w:lineRule="auto"/>
        <w:rPr>
          <w:color w:val="auto"/>
          <w:sz w:val="24"/>
          <w:highlight w:val="none"/>
        </w:rPr>
      </w:pPr>
      <w:r>
        <w:rPr>
          <w:rFonts w:hint="eastAsia" w:ascii="宋体"/>
          <w:color w:val="auto"/>
          <w:sz w:val="24"/>
          <w:highlight w:val="none"/>
        </w:rPr>
        <w:t>传真：</w:t>
      </w:r>
    </w:p>
    <w:p w14:paraId="7AC2B071">
      <w:pPr>
        <w:spacing w:line="360" w:lineRule="auto"/>
        <w:rPr>
          <w:rFonts w:ascii="宋体"/>
          <w:color w:val="auto"/>
          <w:sz w:val="24"/>
          <w:highlight w:val="none"/>
        </w:rPr>
      </w:pPr>
      <w:r>
        <w:rPr>
          <w:rFonts w:hint="eastAsia" w:ascii="宋体"/>
          <w:color w:val="auto"/>
          <w:sz w:val="24"/>
          <w:highlight w:val="none"/>
        </w:rPr>
        <w:t>电话：</w:t>
      </w:r>
    </w:p>
    <w:p w14:paraId="5A44B624">
      <w:pPr>
        <w:spacing w:line="360" w:lineRule="auto"/>
        <w:rPr>
          <w:color w:val="auto"/>
          <w:sz w:val="24"/>
          <w:highlight w:val="none"/>
        </w:rPr>
      </w:pPr>
      <w:r>
        <w:rPr>
          <w:rFonts w:hint="eastAsia" w:ascii="宋体"/>
          <w:color w:val="auto"/>
          <w:sz w:val="24"/>
          <w:highlight w:val="none"/>
          <w:lang w:eastAsia="zh-CN"/>
        </w:rPr>
        <w:t>详细通信地址</w:t>
      </w:r>
      <w:r>
        <w:rPr>
          <w:rFonts w:hint="eastAsia" w:ascii="宋体"/>
          <w:color w:val="auto"/>
          <w:sz w:val="24"/>
          <w:highlight w:val="none"/>
        </w:rPr>
        <w:t>：</w:t>
      </w:r>
    </w:p>
    <w:p w14:paraId="4DA75543">
      <w:pPr>
        <w:spacing w:line="360" w:lineRule="auto"/>
        <w:rPr>
          <w:rFonts w:ascii="宋体"/>
          <w:color w:val="auto"/>
          <w:sz w:val="24"/>
          <w:highlight w:val="none"/>
        </w:rPr>
      </w:pPr>
      <w:r>
        <w:rPr>
          <w:rFonts w:hint="eastAsia" w:ascii="宋体"/>
          <w:color w:val="auto"/>
          <w:sz w:val="24"/>
          <w:highlight w:val="none"/>
        </w:rPr>
        <w:t>邮政编码：</w:t>
      </w:r>
    </w:p>
    <w:p w14:paraId="1D3FF0F6">
      <w:pPr>
        <w:spacing w:line="360" w:lineRule="auto"/>
        <w:rPr>
          <w:b/>
          <w:color w:val="auto"/>
          <w:sz w:val="24"/>
          <w:highlight w:val="none"/>
        </w:rPr>
      </w:pPr>
    </w:p>
    <w:tbl>
      <w:tblPr>
        <w:tblStyle w:val="26"/>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5327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0576274D">
            <w:pPr>
              <w:spacing w:line="360" w:lineRule="auto"/>
              <w:rPr>
                <w:rFonts w:ascii="宋体"/>
                <w:b/>
                <w:color w:val="auto"/>
                <w:sz w:val="24"/>
                <w:highlight w:val="none"/>
              </w:rPr>
            </w:pPr>
          </w:p>
          <w:p w14:paraId="0554642F">
            <w:pPr>
              <w:spacing w:line="360" w:lineRule="auto"/>
              <w:ind w:firstLine="361" w:firstLineChars="150"/>
              <w:rPr>
                <w:rFonts w:ascii="宋体"/>
                <w:b/>
                <w:color w:val="auto"/>
                <w:sz w:val="24"/>
                <w:highlight w:val="none"/>
              </w:rPr>
            </w:pPr>
            <w:r>
              <w:rPr>
                <w:rFonts w:hint="eastAsia" w:ascii="宋体"/>
                <w:b/>
                <w:color w:val="auto"/>
                <w:sz w:val="24"/>
                <w:highlight w:val="none"/>
              </w:rPr>
              <w:t>全权代表身份证复印件</w:t>
            </w:r>
            <w:r>
              <w:rPr>
                <w:rFonts w:hint="eastAsia" w:ascii="宋体"/>
                <w:b/>
                <w:color w:val="auto"/>
                <w:sz w:val="24"/>
                <w:highlight w:val="none"/>
                <w:lang w:eastAsia="zh-CN"/>
              </w:rPr>
              <w:t>粘贴</w:t>
            </w:r>
            <w:r>
              <w:rPr>
                <w:rFonts w:hint="eastAsia" w:ascii="宋体"/>
                <w:b/>
                <w:color w:val="auto"/>
                <w:sz w:val="24"/>
                <w:highlight w:val="none"/>
              </w:rPr>
              <w:t>处</w:t>
            </w:r>
          </w:p>
        </w:tc>
      </w:tr>
    </w:tbl>
    <w:p w14:paraId="0CA48500">
      <w:pPr>
        <w:spacing w:line="360" w:lineRule="auto"/>
        <w:rPr>
          <w:rFonts w:ascii="宋体"/>
          <w:color w:val="auto"/>
          <w:sz w:val="24"/>
          <w:highlight w:val="none"/>
        </w:rPr>
      </w:pPr>
      <w:r>
        <w:rPr>
          <w:rFonts w:hint="eastAsia" w:ascii="宋体"/>
          <w:color w:val="auto"/>
          <w:sz w:val="24"/>
          <w:highlight w:val="none"/>
        </w:rPr>
        <w:t>全权代表姓名：</w:t>
      </w:r>
    </w:p>
    <w:p w14:paraId="0B9D2EA5">
      <w:pPr>
        <w:spacing w:line="360" w:lineRule="auto"/>
        <w:rPr>
          <w:color w:val="auto"/>
          <w:sz w:val="24"/>
          <w:highlight w:val="none"/>
        </w:rPr>
      </w:pPr>
      <w:r>
        <w:rPr>
          <w:rFonts w:hint="eastAsia" w:ascii="宋体"/>
          <w:color w:val="auto"/>
          <w:sz w:val="24"/>
          <w:highlight w:val="none"/>
        </w:rPr>
        <w:t>职务：</w:t>
      </w:r>
    </w:p>
    <w:p w14:paraId="31EB3ABC">
      <w:pPr>
        <w:spacing w:line="360" w:lineRule="auto"/>
        <w:rPr>
          <w:color w:val="auto"/>
          <w:sz w:val="24"/>
          <w:highlight w:val="none"/>
        </w:rPr>
      </w:pPr>
      <w:r>
        <w:rPr>
          <w:rFonts w:hint="eastAsia" w:ascii="宋体"/>
          <w:color w:val="auto"/>
          <w:sz w:val="24"/>
          <w:highlight w:val="none"/>
        </w:rPr>
        <w:t>传真：</w:t>
      </w:r>
    </w:p>
    <w:p w14:paraId="497344B2">
      <w:pPr>
        <w:spacing w:line="360" w:lineRule="auto"/>
        <w:rPr>
          <w:rFonts w:ascii="宋体"/>
          <w:color w:val="auto"/>
          <w:sz w:val="24"/>
          <w:highlight w:val="none"/>
        </w:rPr>
      </w:pPr>
      <w:r>
        <w:rPr>
          <w:rFonts w:hint="eastAsia" w:ascii="宋体"/>
          <w:color w:val="auto"/>
          <w:sz w:val="24"/>
          <w:highlight w:val="none"/>
        </w:rPr>
        <w:t>电话：</w:t>
      </w:r>
    </w:p>
    <w:p w14:paraId="3EF3EDB0">
      <w:pPr>
        <w:spacing w:line="360" w:lineRule="auto"/>
        <w:rPr>
          <w:color w:val="auto"/>
          <w:sz w:val="24"/>
          <w:highlight w:val="none"/>
        </w:rPr>
      </w:pPr>
      <w:r>
        <w:rPr>
          <w:rFonts w:hint="eastAsia" w:ascii="宋体"/>
          <w:color w:val="auto"/>
          <w:sz w:val="24"/>
          <w:highlight w:val="none"/>
          <w:lang w:eastAsia="zh-CN"/>
        </w:rPr>
        <w:t>详细通信地址</w:t>
      </w:r>
      <w:r>
        <w:rPr>
          <w:rFonts w:hint="eastAsia" w:ascii="宋体"/>
          <w:color w:val="auto"/>
          <w:sz w:val="24"/>
          <w:highlight w:val="none"/>
        </w:rPr>
        <w:t>：</w:t>
      </w:r>
    </w:p>
    <w:p w14:paraId="5A6EF82B">
      <w:pPr>
        <w:spacing w:line="360" w:lineRule="auto"/>
        <w:rPr>
          <w:rFonts w:ascii="宋体"/>
          <w:color w:val="auto"/>
          <w:sz w:val="24"/>
          <w:highlight w:val="none"/>
        </w:rPr>
      </w:pPr>
      <w:r>
        <w:rPr>
          <w:rFonts w:hint="eastAsia" w:ascii="宋体"/>
          <w:color w:val="auto"/>
          <w:sz w:val="24"/>
          <w:highlight w:val="none"/>
        </w:rPr>
        <w:t>邮政编码：</w:t>
      </w:r>
    </w:p>
    <w:p w14:paraId="4B6BDCA7">
      <w:pPr>
        <w:tabs>
          <w:tab w:val="left" w:pos="8280"/>
        </w:tabs>
        <w:autoSpaceDE w:val="0"/>
        <w:autoSpaceDN w:val="0"/>
        <w:adjustRightInd w:val="0"/>
        <w:spacing w:line="240" w:lineRule="atLeast"/>
        <w:ind w:right="25"/>
        <w:rPr>
          <w:rFonts w:hint="eastAsia" w:ascii="宋体" w:hAnsi="宋体"/>
          <w:b/>
          <w:color w:val="auto"/>
          <w:sz w:val="28"/>
          <w:highlight w:val="none"/>
        </w:rPr>
      </w:pPr>
      <w:bookmarkStart w:id="10" w:name="_Toc18767"/>
      <w:r>
        <w:rPr>
          <w:rFonts w:hint="eastAsia" w:ascii="宋体" w:hAnsi="宋体"/>
          <w:b/>
          <w:color w:val="auto"/>
          <w:sz w:val="28"/>
          <w:highlight w:val="none"/>
        </w:rPr>
        <w:t>附件4</w:t>
      </w:r>
      <w:r>
        <w:rPr>
          <w:rFonts w:hint="eastAsia" w:ascii="宋体" w:hAnsi="宋体"/>
          <w:color w:val="auto"/>
          <w:sz w:val="28"/>
          <w:highlight w:val="none"/>
        </w:rPr>
        <w:t xml:space="preserve"> </w:t>
      </w:r>
    </w:p>
    <w:p w14:paraId="7D94B245">
      <w:pPr>
        <w:spacing w:after="312" w:afterLines="100" w:line="480" w:lineRule="auto"/>
        <w:jc w:val="center"/>
        <w:rPr>
          <w:rFonts w:hint="eastAsia" w:ascii="宋体" w:hAnsi="宋体" w:cs="宋体"/>
          <w:color w:val="auto"/>
          <w:sz w:val="30"/>
          <w:szCs w:val="30"/>
          <w:highlight w:val="none"/>
        </w:rPr>
      </w:pPr>
      <w:r>
        <w:rPr>
          <w:rFonts w:hint="eastAsia" w:ascii="宋体" w:hAnsi="宋体" w:cs="宋体"/>
          <w:b/>
          <w:bCs/>
          <w:color w:val="auto"/>
          <w:kern w:val="0"/>
          <w:sz w:val="30"/>
          <w:szCs w:val="30"/>
          <w:highlight w:val="none"/>
          <w:lang w:val="zh-CN"/>
        </w:rPr>
        <w:t>具有良好的商业信誉和健全的财务会计制度的承诺函</w:t>
      </w:r>
    </w:p>
    <w:p w14:paraId="561A0C95">
      <w:pPr>
        <w:spacing w:after="240" w:afterLines="100" w:line="360" w:lineRule="auto"/>
        <w:jc w:val="left"/>
        <w:rPr>
          <w:rFonts w:hint="eastAsia" w:ascii="宋体" w:hAnsi="宋体" w:cs="宋体"/>
          <w:color w:val="auto"/>
          <w:sz w:val="24"/>
          <w:highlight w:val="none"/>
        </w:rPr>
      </w:pPr>
      <w:r>
        <w:rPr>
          <w:rFonts w:hint="eastAsia" w:ascii="宋体" w:hAnsi="宋体" w:cs="仿宋_GB2312"/>
          <w:bCs/>
          <w:kern w:val="0"/>
          <w:sz w:val="24"/>
          <w:highlight w:val="none"/>
          <w:lang w:val="zh-CN"/>
        </w:rPr>
        <w:t>致：</w:t>
      </w:r>
      <w:r>
        <w:rPr>
          <w:rFonts w:hint="eastAsia" w:ascii="宋体" w:hAnsi="宋体" w:cs="宋体"/>
          <w:sz w:val="24"/>
          <w:highlight w:val="none"/>
          <w:u w:val="single"/>
        </w:rPr>
        <w:t xml:space="preserve">                         </w:t>
      </w:r>
      <w:r>
        <w:rPr>
          <w:rFonts w:hint="eastAsia" w:ascii="宋体" w:hAnsi="宋体" w:cs="仿宋_GB2312"/>
          <w:bCs/>
          <w:kern w:val="0"/>
          <w:sz w:val="24"/>
          <w:highlight w:val="none"/>
          <w:lang w:val="zh-CN"/>
        </w:rPr>
        <w:t>（采购人）</w:t>
      </w:r>
      <w:r>
        <w:rPr>
          <w:rFonts w:hint="eastAsia" w:ascii="宋体" w:hAnsi="宋体" w:cs="宋体"/>
          <w:color w:val="auto"/>
          <w:sz w:val="24"/>
          <w:highlight w:val="none"/>
        </w:rPr>
        <w:t xml:space="preserve"> </w:t>
      </w:r>
    </w:p>
    <w:p w14:paraId="73053DF3">
      <w:pPr>
        <w:pStyle w:val="9"/>
        <w:spacing w:after="0"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本公司参加</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（项目名称）</w:t>
      </w:r>
      <w:r>
        <w:rPr>
          <w:rFonts w:hint="eastAsia" w:ascii="宋体" w:hAnsi="宋体" w:cs="宋体"/>
          <w:color w:val="auto"/>
          <w:sz w:val="24"/>
          <w:highlight w:val="none"/>
        </w:rPr>
        <w:t>的采购活动，现承诺我公司在参加本项目政府采购活动前，</w:t>
      </w:r>
      <w:r>
        <w:rPr>
          <w:rFonts w:hint="eastAsia" w:ascii="宋体" w:hAnsi="宋体" w:cs="宋体"/>
          <w:color w:val="auto"/>
          <w:kern w:val="0"/>
          <w:sz w:val="24"/>
          <w:highlight w:val="none"/>
        </w:rPr>
        <w:t>没有处于被责令停产、财产被接管、冻结或破产状态，具有足够的流动资金，有能力履行合同；我公司</w:t>
      </w:r>
      <w:r>
        <w:rPr>
          <w:rFonts w:hint="eastAsia" w:ascii="宋体" w:hAnsi="宋体" w:cs="宋体"/>
          <w:color w:val="auto"/>
          <w:sz w:val="24"/>
          <w:highlight w:val="none"/>
        </w:rPr>
        <w:t>具有良好的商业信誉和健全的财务会计制度。</w:t>
      </w:r>
    </w:p>
    <w:p w14:paraId="42F7D55A">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如本公司对以上条款提供虚假承诺，愿承担一切法律责任。</w:t>
      </w:r>
    </w:p>
    <w:p w14:paraId="5F6A20D0">
      <w:pPr>
        <w:pStyle w:val="9"/>
        <w:spacing w:after="0" w:line="360" w:lineRule="auto"/>
        <w:rPr>
          <w:rFonts w:hint="eastAsia" w:ascii="宋体" w:hAnsi="宋体" w:cs="宋体"/>
          <w:color w:val="auto"/>
          <w:sz w:val="24"/>
          <w:highlight w:val="none"/>
        </w:rPr>
      </w:pPr>
    </w:p>
    <w:p w14:paraId="3A160907">
      <w:pPr>
        <w:pStyle w:val="9"/>
        <w:spacing w:after="0" w:line="360" w:lineRule="auto"/>
        <w:rPr>
          <w:rFonts w:hint="eastAsia" w:ascii="宋体" w:hAnsi="宋体" w:cs="宋体"/>
          <w:color w:val="auto"/>
          <w:sz w:val="24"/>
          <w:highlight w:val="none"/>
        </w:rPr>
      </w:pPr>
    </w:p>
    <w:p w14:paraId="697F7361">
      <w:pPr>
        <w:ind w:firstLine="424" w:firstLineChars="177"/>
        <w:rPr>
          <w:rFonts w:ascii="宋体" w:hAnsi="宋体"/>
          <w:color w:val="auto"/>
          <w:sz w:val="24"/>
          <w:highlight w:val="none"/>
          <w:u w:val="single"/>
        </w:rPr>
      </w:pPr>
      <w:r>
        <w:rPr>
          <w:rFonts w:hint="eastAsia" w:ascii="宋体" w:hAnsi="宋体" w:cs="宋体"/>
          <w:color w:val="auto"/>
          <w:sz w:val="24"/>
          <w:highlight w:val="none"/>
        </w:rPr>
        <w:t xml:space="preserve">                            </w:t>
      </w:r>
      <w:r>
        <w:rPr>
          <w:rFonts w:hint="eastAsia" w:ascii="宋体" w:hAnsi="宋体"/>
          <w:color w:val="auto"/>
          <w:sz w:val="24"/>
          <w:highlight w:val="none"/>
          <w:lang w:val="en-US" w:eastAsia="zh-CN"/>
        </w:rPr>
        <w:t>磋商</w:t>
      </w:r>
      <w:r>
        <w:rPr>
          <w:rFonts w:hint="eastAsia" w:ascii="宋体" w:hAnsi="宋体"/>
          <w:color w:val="auto"/>
          <w:sz w:val="24"/>
          <w:highlight w:val="none"/>
        </w:rPr>
        <w:t>供应商名称（盖章）：</w:t>
      </w:r>
    </w:p>
    <w:p w14:paraId="7E11F23E">
      <w:pPr>
        <w:ind w:left="420"/>
        <w:rPr>
          <w:rFonts w:ascii="宋体" w:hAnsi="宋体"/>
          <w:color w:val="auto"/>
          <w:sz w:val="24"/>
          <w:highlight w:val="none"/>
        </w:rPr>
      </w:pPr>
    </w:p>
    <w:p w14:paraId="0F0D0582">
      <w:pPr>
        <w:ind w:left="3360" w:firstLine="424" w:firstLineChars="177"/>
        <w:rPr>
          <w:rFonts w:hint="eastAsia" w:ascii="宋体" w:hAnsi="宋体"/>
          <w:color w:val="auto"/>
          <w:sz w:val="24"/>
          <w:highlight w:val="none"/>
        </w:rPr>
      </w:pPr>
    </w:p>
    <w:p w14:paraId="7A73AD3F">
      <w:pPr>
        <w:ind w:left="3360" w:firstLine="424" w:firstLineChars="177"/>
        <w:rPr>
          <w:rFonts w:ascii="宋体" w:hAnsi="宋体"/>
          <w:color w:val="auto"/>
          <w:sz w:val="24"/>
          <w:highlight w:val="none"/>
        </w:rPr>
      </w:pPr>
      <w:r>
        <w:rPr>
          <w:rFonts w:hint="eastAsia" w:ascii="宋体" w:hAnsi="宋体"/>
          <w:color w:val="auto"/>
          <w:sz w:val="24"/>
          <w:highlight w:val="none"/>
          <w:lang w:eastAsia="zh-CN"/>
        </w:rPr>
        <w:t>法定代表人或授权委托代理人</w:t>
      </w:r>
      <w:r>
        <w:rPr>
          <w:rFonts w:hint="eastAsia" w:ascii="宋体" w:hAnsi="宋体"/>
          <w:color w:val="auto"/>
          <w:sz w:val="24"/>
          <w:highlight w:val="none"/>
        </w:rPr>
        <w:t>签字：</w:t>
      </w:r>
    </w:p>
    <w:p w14:paraId="11C4547B">
      <w:pPr>
        <w:ind w:firstLine="435"/>
        <w:rPr>
          <w:rFonts w:ascii="宋体" w:hAnsi="宋体"/>
          <w:color w:val="auto"/>
          <w:sz w:val="24"/>
          <w:highlight w:val="none"/>
        </w:rPr>
      </w:pPr>
    </w:p>
    <w:p w14:paraId="2BFE4BD5">
      <w:pPr>
        <w:ind w:left="3360" w:firstLine="424" w:firstLineChars="177"/>
        <w:rPr>
          <w:rFonts w:hint="eastAsia" w:ascii="宋体" w:hAnsi="宋体"/>
          <w:color w:val="auto"/>
          <w:sz w:val="24"/>
          <w:highlight w:val="none"/>
        </w:rPr>
      </w:pPr>
    </w:p>
    <w:p w14:paraId="0E9599BA">
      <w:pPr>
        <w:ind w:left="3360" w:firstLine="424" w:firstLineChars="177"/>
        <w:rPr>
          <w:rFonts w:ascii="宋体" w:hAnsi="宋体"/>
          <w:color w:val="auto"/>
          <w:sz w:val="24"/>
          <w:highlight w:val="none"/>
          <w:u w:val="single"/>
        </w:rPr>
      </w:pPr>
      <w:r>
        <w:rPr>
          <w:rFonts w:hint="eastAsia" w:ascii="宋体" w:hAnsi="宋体"/>
          <w:color w:val="auto"/>
          <w:sz w:val="24"/>
          <w:highlight w:val="none"/>
        </w:rPr>
        <w:t>职        务：</w:t>
      </w:r>
    </w:p>
    <w:p w14:paraId="1AD083ED">
      <w:pPr>
        <w:rPr>
          <w:rFonts w:ascii="宋体" w:hAnsi="宋体"/>
          <w:color w:val="auto"/>
          <w:sz w:val="24"/>
          <w:highlight w:val="none"/>
        </w:rPr>
      </w:pPr>
    </w:p>
    <w:p w14:paraId="31C8D742">
      <w:pPr>
        <w:pStyle w:val="53"/>
        <w:shd w:val="clear" w:color="auto" w:fill="FFFFFF"/>
        <w:spacing w:before="0" w:beforeAutospacing="0" w:after="0" w:afterAutospacing="0"/>
        <w:ind w:left="3360" w:firstLine="424" w:firstLineChars="177"/>
        <w:rPr>
          <w:rFonts w:hint="eastAsia"/>
          <w:color w:val="auto"/>
          <w:highlight w:val="none"/>
        </w:rPr>
      </w:pPr>
    </w:p>
    <w:p w14:paraId="52F279C5">
      <w:pPr>
        <w:pStyle w:val="53"/>
        <w:shd w:val="clear" w:color="auto" w:fill="FFFFFF"/>
        <w:spacing w:before="0" w:beforeAutospacing="0" w:after="0" w:afterAutospacing="0"/>
        <w:ind w:left="3360" w:firstLine="424" w:firstLineChars="177"/>
        <w:rPr>
          <w:rFonts w:hint="eastAsia"/>
          <w:b/>
          <w:color w:val="auto"/>
          <w:sz w:val="28"/>
          <w:highlight w:val="none"/>
        </w:rPr>
      </w:pPr>
      <w:r>
        <w:rPr>
          <w:rFonts w:hint="eastAsia"/>
          <w:color w:val="auto"/>
          <w:highlight w:val="none"/>
        </w:rPr>
        <w:t>日        期：</w:t>
      </w:r>
    </w:p>
    <w:p w14:paraId="0DE77FB7">
      <w:pPr>
        <w:pStyle w:val="53"/>
        <w:shd w:val="clear" w:color="auto" w:fill="FFFFFF"/>
        <w:spacing w:before="0" w:beforeAutospacing="0" w:after="0" w:afterAutospacing="0"/>
        <w:outlineLvl w:val="0"/>
        <w:rPr>
          <w:rFonts w:hint="eastAsia"/>
          <w:b/>
          <w:color w:val="auto"/>
          <w:sz w:val="28"/>
          <w:highlight w:val="none"/>
        </w:rPr>
      </w:pPr>
    </w:p>
    <w:p w14:paraId="27CDA9EA">
      <w:pPr>
        <w:pStyle w:val="53"/>
        <w:shd w:val="clear" w:color="auto" w:fill="FFFFFF"/>
        <w:spacing w:before="0" w:beforeAutospacing="0" w:after="0" w:afterAutospacing="0"/>
        <w:outlineLvl w:val="0"/>
        <w:rPr>
          <w:rFonts w:hint="eastAsia"/>
          <w:b/>
          <w:color w:val="auto"/>
          <w:sz w:val="28"/>
          <w:highlight w:val="none"/>
        </w:rPr>
      </w:pPr>
    </w:p>
    <w:p w14:paraId="6BFB1458">
      <w:pPr>
        <w:pStyle w:val="53"/>
        <w:shd w:val="clear" w:color="auto" w:fill="FFFFFF"/>
        <w:spacing w:before="0" w:beforeAutospacing="0" w:after="0" w:afterAutospacing="0"/>
        <w:outlineLvl w:val="0"/>
        <w:rPr>
          <w:rFonts w:hint="eastAsia"/>
          <w:b/>
          <w:color w:val="auto"/>
          <w:sz w:val="28"/>
          <w:highlight w:val="none"/>
        </w:rPr>
      </w:pPr>
    </w:p>
    <w:p w14:paraId="1C64CCE2">
      <w:pPr>
        <w:pStyle w:val="53"/>
        <w:shd w:val="clear" w:color="auto" w:fill="FFFFFF"/>
        <w:spacing w:before="0" w:beforeAutospacing="0" w:after="0" w:afterAutospacing="0"/>
        <w:outlineLvl w:val="0"/>
        <w:rPr>
          <w:rFonts w:hint="eastAsia"/>
          <w:b/>
          <w:color w:val="auto"/>
          <w:sz w:val="28"/>
          <w:highlight w:val="none"/>
        </w:rPr>
      </w:pPr>
    </w:p>
    <w:p w14:paraId="7C3C355B">
      <w:pPr>
        <w:pStyle w:val="53"/>
        <w:shd w:val="clear" w:color="auto" w:fill="FFFFFF"/>
        <w:spacing w:before="0" w:beforeAutospacing="0" w:after="0" w:afterAutospacing="0"/>
        <w:outlineLvl w:val="0"/>
        <w:rPr>
          <w:rFonts w:hint="eastAsia"/>
          <w:b/>
          <w:color w:val="auto"/>
          <w:sz w:val="28"/>
          <w:highlight w:val="none"/>
        </w:rPr>
      </w:pPr>
    </w:p>
    <w:p w14:paraId="75993E36">
      <w:pPr>
        <w:pStyle w:val="53"/>
        <w:shd w:val="clear" w:color="auto" w:fill="FFFFFF"/>
        <w:spacing w:before="0" w:beforeAutospacing="0" w:after="0" w:afterAutospacing="0"/>
        <w:outlineLvl w:val="0"/>
        <w:rPr>
          <w:rFonts w:hint="eastAsia"/>
          <w:b/>
          <w:color w:val="auto"/>
          <w:sz w:val="28"/>
          <w:highlight w:val="none"/>
        </w:rPr>
      </w:pPr>
    </w:p>
    <w:p w14:paraId="4F36B961">
      <w:pPr>
        <w:pStyle w:val="53"/>
        <w:shd w:val="clear" w:color="auto" w:fill="FFFFFF"/>
        <w:spacing w:before="0" w:beforeAutospacing="0" w:after="0" w:afterAutospacing="0"/>
        <w:outlineLvl w:val="0"/>
        <w:rPr>
          <w:rFonts w:hint="eastAsia"/>
          <w:b/>
          <w:color w:val="auto"/>
          <w:sz w:val="28"/>
          <w:highlight w:val="none"/>
        </w:rPr>
      </w:pPr>
    </w:p>
    <w:p w14:paraId="03577D41">
      <w:pPr>
        <w:pStyle w:val="53"/>
        <w:shd w:val="clear" w:color="auto" w:fill="FFFFFF"/>
        <w:spacing w:before="0" w:beforeAutospacing="0" w:after="0" w:afterAutospacing="0"/>
        <w:outlineLvl w:val="0"/>
        <w:rPr>
          <w:rFonts w:hint="eastAsia"/>
          <w:b/>
          <w:color w:val="auto"/>
          <w:sz w:val="28"/>
          <w:highlight w:val="none"/>
        </w:rPr>
      </w:pPr>
    </w:p>
    <w:p w14:paraId="596B092D">
      <w:pPr>
        <w:tabs>
          <w:tab w:val="left" w:pos="8280"/>
        </w:tabs>
        <w:autoSpaceDE w:val="0"/>
        <w:autoSpaceDN w:val="0"/>
        <w:adjustRightInd w:val="0"/>
        <w:spacing w:line="240" w:lineRule="atLeast"/>
        <w:ind w:right="25"/>
        <w:rPr>
          <w:rFonts w:hint="eastAsia" w:ascii="宋体" w:hAnsi="宋体"/>
          <w:b/>
          <w:color w:val="auto"/>
          <w:sz w:val="28"/>
          <w:highlight w:val="none"/>
        </w:rPr>
      </w:pPr>
      <w:r>
        <w:rPr>
          <w:rFonts w:hint="eastAsia" w:ascii="宋体" w:hAnsi="宋体"/>
          <w:b/>
          <w:color w:val="auto"/>
          <w:sz w:val="28"/>
          <w:highlight w:val="none"/>
        </w:rPr>
        <w:t>附件5</w:t>
      </w:r>
    </w:p>
    <w:p w14:paraId="6CC19093">
      <w:pPr>
        <w:spacing w:line="360" w:lineRule="auto"/>
        <w:jc w:val="center"/>
        <w:rPr>
          <w:rFonts w:ascii="宋体" w:hAnsi="宋体"/>
          <w:b/>
          <w:color w:val="auto"/>
          <w:sz w:val="30"/>
          <w:szCs w:val="30"/>
          <w:highlight w:val="none"/>
        </w:rPr>
      </w:pPr>
      <w:r>
        <w:rPr>
          <w:rFonts w:hint="eastAsia" w:ascii="宋体" w:hAnsi="宋体"/>
          <w:b/>
          <w:color w:val="auto"/>
          <w:sz w:val="30"/>
          <w:szCs w:val="30"/>
          <w:highlight w:val="none"/>
        </w:rPr>
        <w:t>依法缴纳税收和社会保障资金的承诺函</w:t>
      </w:r>
    </w:p>
    <w:p w14:paraId="1AC9309E">
      <w:pPr>
        <w:spacing w:line="360" w:lineRule="auto"/>
        <w:rPr>
          <w:rFonts w:ascii="宋体" w:hAnsi="宋体" w:cs="Arial"/>
          <w:b/>
          <w:color w:val="auto"/>
          <w:kern w:val="0"/>
          <w:sz w:val="24"/>
          <w:szCs w:val="28"/>
          <w:highlight w:val="none"/>
          <w:u w:val="single"/>
        </w:rPr>
      </w:pPr>
    </w:p>
    <w:p w14:paraId="280F80BC">
      <w:pPr>
        <w:spacing w:after="240" w:afterLines="100" w:line="360" w:lineRule="auto"/>
        <w:jc w:val="left"/>
        <w:rPr>
          <w:rFonts w:ascii="宋体" w:hAnsi="宋体" w:cs="仿宋_GB2312"/>
          <w:bCs/>
          <w:kern w:val="0"/>
          <w:sz w:val="24"/>
          <w:highlight w:val="none"/>
          <w:lang w:val="zh-CN"/>
        </w:rPr>
      </w:pPr>
      <w:r>
        <w:rPr>
          <w:rFonts w:hint="eastAsia" w:ascii="宋体" w:hAnsi="宋体" w:cs="仿宋_GB2312"/>
          <w:bCs/>
          <w:kern w:val="0"/>
          <w:sz w:val="24"/>
          <w:highlight w:val="none"/>
          <w:lang w:val="zh-CN"/>
        </w:rPr>
        <w:t>致：</w:t>
      </w:r>
      <w:r>
        <w:rPr>
          <w:rFonts w:hint="eastAsia" w:ascii="宋体" w:hAnsi="宋体" w:cs="宋体"/>
          <w:sz w:val="24"/>
          <w:highlight w:val="none"/>
          <w:u w:val="single"/>
        </w:rPr>
        <w:t xml:space="preserve">                         </w:t>
      </w:r>
      <w:r>
        <w:rPr>
          <w:rFonts w:hint="eastAsia" w:ascii="宋体" w:hAnsi="宋体" w:cs="仿宋_GB2312"/>
          <w:bCs/>
          <w:kern w:val="0"/>
          <w:sz w:val="24"/>
          <w:highlight w:val="none"/>
          <w:lang w:val="zh-CN"/>
        </w:rPr>
        <w:t>（采购人）</w:t>
      </w:r>
    </w:p>
    <w:p w14:paraId="3C0FD7B5">
      <w:pPr>
        <w:spacing w:line="360" w:lineRule="auto"/>
        <w:ind w:firstLine="480" w:firstLineChars="200"/>
        <w:rPr>
          <w:rFonts w:ascii="宋体" w:hAnsi="宋体" w:cs="Arial"/>
          <w:color w:val="auto"/>
          <w:kern w:val="0"/>
          <w:sz w:val="24"/>
          <w:highlight w:val="none"/>
        </w:rPr>
      </w:pPr>
      <w:r>
        <w:rPr>
          <w:rFonts w:hint="eastAsia" w:ascii="宋体" w:hAnsi="宋体" w:cs="Arial"/>
          <w:color w:val="auto"/>
          <w:kern w:val="0"/>
          <w:sz w:val="24"/>
          <w:highlight w:val="none"/>
        </w:rPr>
        <w:t>我公司郑重声明，我公司严格依法缴纳税收和社会保障资金，本文件中所提供的相关材料均真实有效，不存在虚假、造假行为。如有违反，愿承担一切责任。</w:t>
      </w:r>
    </w:p>
    <w:p w14:paraId="09ED8BD5">
      <w:pPr>
        <w:spacing w:line="360" w:lineRule="auto"/>
        <w:ind w:firstLine="480" w:firstLineChars="200"/>
        <w:rPr>
          <w:rFonts w:ascii="宋体" w:hAnsi="宋体" w:cs="Arial"/>
          <w:color w:val="auto"/>
          <w:kern w:val="0"/>
          <w:sz w:val="24"/>
          <w:highlight w:val="none"/>
        </w:rPr>
      </w:pPr>
    </w:p>
    <w:p w14:paraId="75F11A1F">
      <w:pPr>
        <w:spacing w:line="360" w:lineRule="auto"/>
        <w:ind w:firstLine="480" w:firstLineChars="200"/>
        <w:rPr>
          <w:rFonts w:ascii="宋体" w:hAnsi="宋体" w:cs="Arial"/>
          <w:color w:val="auto"/>
          <w:kern w:val="0"/>
          <w:sz w:val="24"/>
          <w:highlight w:val="none"/>
        </w:rPr>
      </w:pPr>
      <w:r>
        <w:rPr>
          <w:rFonts w:hint="eastAsia" w:ascii="宋体" w:hAnsi="宋体" w:cs="Arial"/>
          <w:color w:val="auto"/>
          <w:kern w:val="0"/>
          <w:sz w:val="24"/>
          <w:highlight w:val="none"/>
        </w:rPr>
        <w:t>特此承诺！</w:t>
      </w:r>
    </w:p>
    <w:p w14:paraId="03F64839">
      <w:pPr>
        <w:pStyle w:val="53"/>
        <w:shd w:val="clear" w:color="auto" w:fill="FFFFFF"/>
        <w:spacing w:before="0" w:beforeAutospacing="0" w:after="0" w:afterAutospacing="0" w:line="360" w:lineRule="auto"/>
        <w:rPr>
          <w:b/>
          <w:color w:val="auto"/>
          <w:sz w:val="28"/>
          <w:highlight w:val="none"/>
        </w:rPr>
      </w:pPr>
    </w:p>
    <w:p w14:paraId="4C8A11DC">
      <w:pPr>
        <w:rPr>
          <w:rFonts w:ascii="宋体" w:hAnsi="宋体"/>
          <w:color w:val="auto"/>
          <w:sz w:val="24"/>
          <w:highlight w:val="none"/>
        </w:rPr>
      </w:pPr>
    </w:p>
    <w:p w14:paraId="112AAE37">
      <w:pPr>
        <w:ind w:left="3360" w:firstLine="424" w:firstLineChars="177"/>
        <w:rPr>
          <w:rFonts w:ascii="宋体" w:hAnsi="宋体"/>
          <w:color w:val="auto"/>
          <w:sz w:val="24"/>
          <w:highlight w:val="none"/>
          <w:u w:val="single"/>
        </w:rPr>
      </w:pPr>
      <w:r>
        <w:rPr>
          <w:rFonts w:hint="eastAsia" w:ascii="宋体" w:hAnsi="宋体"/>
          <w:color w:val="auto"/>
          <w:sz w:val="24"/>
          <w:highlight w:val="none"/>
          <w:lang w:val="en-US" w:eastAsia="zh-CN"/>
        </w:rPr>
        <w:t>磋商</w:t>
      </w:r>
      <w:r>
        <w:rPr>
          <w:rFonts w:hint="eastAsia" w:ascii="宋体" w:hAnsi="宋体"/>
          <w:color w:val="auto"/>
          <w:sz w:val="24"/>
          <w:highlight w:val="none"/>
        </w:rPr>
        <w:t>供应商名称（盖章）：</w:t>
      </w:r>
    </w:p>
    <w:p w14:paraId="0A2448B5">
      <w:pPr>
        <w:ind w:left="420"/>
        <w:rPr>
          <w:rFonts w:ascii="宋体" w:hAnsi="宋体"/>
          <w:color w:val="auto"/>
          <w:sz w:val="24"/>
          <w:highlight w:val="none"/>
        </w:rPr>
      </w:pPr>
    </w:p>
    <w:p w14:paraId="3D51E0E6">
      <w:pPr>
        <w:ind w:left="3360" w:firstLine="424" w:firstLineChars="177"/>
        <w:rPr>
          <w:rFonts w:hint="eastAsia" w:ascii="宋体" w:hAnsi="宋体"/>
          <w:color w:val="auto"/>
          <w:sz w:val="24"/>
          <w:highlight w:val="none"/>
        </w:rPr>
      </w:pPr>
    </w:p>
    <w:p w14:paraId="60F75F8B">
      <w:pPr>
        <w:ind w:left="3360" w:firstLine="424" w:firstLineChars="177"/>
        <w:rPr>
          <w:rFonts w:ascii="宋体" w:hAnsi="宋体"/>
          <w:color w:val="auto"/>
          <w:sz w:val="24"/>
          <w:highlight w:val="none"/>
        </w:rPr>
      </w:pPr>
      <w:r>
        <w:rPr>
          <w:rFonts w:hint="eastAsia" w:ascii="宋体" w:hAnsi="宋体"/>
          <w:color w:val="auto"/>
          <w:sz w:val="24"/>
          <w:highlight w:val="none"/>
          <w:lang w:eastAsia="zh-CN"/>
        </w:rPr>
        <w:t>法定代表人或授权委托代理人</w:t>
      </w:r>
      <w:r>
        <w:rPr>
          <w:rFonts w:hint="eastAsia" w:ascii="宋体" w:hAnsi="宋体"/>
          <w:color w:val="auto"/>
          <w:sz w:val="24"/>
          <w:highlight w:val="none"/>
        </w:rPr>
        <w:t>签字：</w:t>
      </w:r>
    </w:p>
    <w:p w14:paraId="0EA7B7E0">
      <w:pPr>
        <w:ind w:firstLine="435"/>
        <w:rPr>
          <w:rFonts w:ascii="宋体" w:hAnsi="宋体"/>
          <w:color w:val="auto"/>
          <w:sz w:val="24"/>
          <w:highlight w:val="none"/>
        </w:rPr>
      </w:pPr>
    </w:p>
    <w:p w14:paraId="74662400">
      <w:pPr>
        <w:ind w:left="3360" w:firstLine="424" w:firstLineChars="177"/>
        <w:rPr>
          <w:rFonts w:hint="eastAsia" w:ascii="宋体" w:hAnsi="宋体"/>
          <w:color w:val="auto"/>
          <w:sz w:val="24"/>
          <w:highlight w:val="none"/>
        </w:rPr>
      </w:pPr>
    </w:p>
    <w:p w14:paraId="48BC286B">
      <w:pPr>
        <w:ind w:left="3360" w:firstLine="424" w:firstLineChars="177"/>
        <w:rPr>
          <w:rFonts w:ascii="宋体" w:hAnsi="宋体"/>
          <w:color w:val="auto"/>
          <w:sz w:val="24"/>
          <w:highlight w:val="none"/>
          <w:u w:val="single"/>
        </w:rPr>
      </w:pPr>
      <w:r>
        <w:rPr>
          <w:rFonts w:hint="eastAsia" w:ascii="宋体" w:hAnsi="宋体"/>
          <w:color w:val="auto"/>
          <w:sz w:val="24"/>
          <w:highlight w:val="none"/>
        </w:rPr>
        <w:t>职        务：</w:t>
      </w:r>
    </w:p>
    <w:p w14:paraId="333F9D9E">
      <w:pPr>
        <w:rPr>
          <w:rFonts w:ascii="宋体" w:hAnsi="宋体"/>
          <w:color w:val="auto"/>
          <w:sz w:val="24"/>
          <w:highlight w:val="none"/>
        </w:rPr>
      </w:pPr>
    </w:p>
    <w:p w14:paraId="3A75F3ED">
      <w:pPr>
        <w:pStyle w:val="53"/>
        <w:shd w:val="clear" w:color="auto" w:fill="FFFFFF"/>
        <w:spacing w:before="0" w:beforeAutospacing="0" w:after="0" w:afterAutospacing="0"/>
        <w:ind w:left="3360" w:firstLine="424" w:firstLineChars="177"/>
        <w:rPr>
          <w:rFonts w:hint="eastAsia"/>
          <w:color w:val="auto"/>
          <w:highlight w:val="none"/>
        </w:rPr>
      </w:pPr>
    </w:p>
    <w:p w14:paraId="74F439B2">
      <w:pPr>
        <w:pStyle w:val="53"/>
        <w:shd w:val="clear" w:color="auto" w:fill="FFFFFF"/>
        <w:spacing w:before="0" w:beforeAutospacing="0" w:after="0" w:afterAutospacing="0"/>
        <w:ind w:left="3360" w:firstLine="424" w:firstLineChars="177"/>
        <w:rPr>
          <w:rFonts w:hint="eastAsia"/>
          <w:b/>
          <w:color w:val="auto"/>
          <w:sz w:val="28"/>
          <w:highlight w:val="none"/>
        </w:rPr>
      </w:pPr>
      <w:r>
        <w:rPr>
          <w:rFonts w:hint="eastAsia"/>
          <w:color w:val="auto"/>
          <w:highlight w:val="none"/>
        </w:rPr>
        <w:t>日        期：</w:t>
      </w:r>
    </w:p>
    <w:p w14:paraId="3247801C">
      <w:pPr>
        <w:pStyle w:val="53"/>
        <w:shd w:val="clear" w:color="auto" w:fill="FFFFFF"/>
        <w:spacing w:before="0" w:beforeAutospacing="0" w:after="0" w:afterAutospacing="0"/>
        <w:outlineLvl w:val="0"/>
        <w:rPr>
          <w:rFonts w:hint="eastAsia"/>
          <w:b/>
          <w:color w:val="auto"/>
          <w:sz w:val="28"/>
          <w:highlight w:val="none"/>
        </w:rPr>
      </w:pPr>
    </w:p>
    <w:p w14:paraId="1A9A44D4">
      <w:pPr>
        <w:pStyle w:val="53"/>
        <w:shd w:val="clear" w:color="auto" w:fill="FFFFFF"/>
        <w:spacing w:before="0" w:beforeAutospacing="0" w:after="0" w:afterAutospacing="0"/>
        <w:outlineLvl w:val="0"/>
        <w:rPr>
          <w:rFonts w:hint="eastAsia"/>
          <w:b/>
          <w:color w:val="auto"/>
          <w:sz w:val="28"/>
          <w:highlight w:val="none"/>
        </w:rPr>
      </w:pPr>
    </w:p>
    <w:p w14:paraId="4A623475">
      <w:pPr>
        <w:pStyle w:val="53"/>
        <w:shd w:val="clear" w:color="auto" w:fill="FFFFFF"/>
        <w:spacing w:before="0" w:beforeAutospacing="0" w:after="0" w:afterAutospacing="0"/>
        <w:outlineLvl w:val="0"/>
        <w:rPr>
          <w:rFonts w:hint="eastAsia"/>
          <w:b/>
          <w:color w:val="auto"/>
          <w:sz w:val="28"/>
          <w:highlight w:val="none"/>
        </w:rPr>
      </w:pPr>
    </w:p>
    <w:p w14:paraId="12CFE09C">
      <w:pPr>
        <w:pStyle w:val="53"/>
        <w:shd w:val="clear" w:color="auto" w:fill="FFFFFF"/>
        <w:spacing w:before="0" w:beforeAutospacing="0" w:after="0" w:afterAutospacing="0"/>
        <w:outlineLvl w:val="0"/>
        <w:rPr>
          <w:rFonts w:hint="eastAsia"/>
          <w:b/>
          <w:color w:val="auto"/>
          <w:sz w:val="28"/>
          <w:highlight w:val="none"/>
        </w:rPr>
      </w:pPr>
    </w:p>
    <w:p w14:paraId="0D25283F">
      <w:pPr>
        <w:pStyle w:val="53"/>
        <w:shd w:val="clear" w:color="auto" w:fill="FFFFFF"/>
        <w:spacing w:before="0" w:beforeAutospacing="0" w:after="0" w:afterAutospacing="0"/>
        <w:outlineLvl w:val="0"/>
        <w:rPr>
          <w:rFonts w:hint="eastAsia"/>
          <w:b/>
          <w:color w:val="auto"/>
          <w:sz w:val="28"/>
          <w:highlight w:val="none"/>
        </w:rPr>
      </w:pPr>
    </w:p>
    <w:p w14:paraId="35264515">
      <w:pPr>
        <w:pStyle w:val="53"/>
        <w:shd w:val="clear" w:color="auto" w:fill="FFFFFF"/>
        <w:spacing w:before="0" w:beforeAutospacing="0" w:after="0" w:afterAutospacing="0"/>
        <w:outlineLvl w:val="0"/>
        <w:rPr>
          <w:rFonts w:hint="eastAsia"/>
          <w:b/>
          <w:color w:val="auto"/>
          <w:sz w:val="28"/>
          <w:highlight w:val="none"/>
        </w:rPr>
      </w:pPr>
    </w:p>
    <w:p w14:paraId="57B1EA54">
      <w:pPr>
        <w:pStyle w:val="53"/>
        <w:shd w:val="clear" w:color="auto" w:fill="FFFFFF"/>
        <w:spacing w:before="0" w:beforeAutospacing="0" w:after="0" w:afterAutospacing="0"/>
        <w:outlineLvl w:val="0"/>
        <w:rPr>
          <w:rFonts w:hint="eastAsia"/>
          <w:b/>
          <w:color w:val="auto"/>
          <w:sz w:val="28"/>
          <w:highlight w:val="none"/>
        </w:rPr>
      </w:pPr>
    </w:p>
    <w:p w14:paraId="287F40B9">
      <w:pPr>
        <w:pStyle w:val="53"/>
        <w:shd w:val="clear" w:color="auto" w:fill="FFFFFF"/>
        <w:spacing w:before="0" w:beforeAutospacing="0" w:after="0" w:afterAutospacing="0"/>
        <w:outlineLvl w:val="0"/>
        <w:rPr>
          <w:rFonts w:hint="eastAsia"/>
          <w:b/>
          <w:color w:val="auto"/>
          <w:sz w:val="28"/>
          <w:highlight w:val="none"/>
        </w:rPr>
      </w:pPr>
    </w:p>
    <w:p w14:paraId="47319248">
      <w:pPr>
        <w:tabs>
          <w:tab w:val="left" w:pos="8280"/>
        </w:tabs>
        <w:autoSpaceDE w:val="0"/>
        <w:autoSpaceDN w:val="0"/>
        <w:adjustRightInd w:val="0"/>
        <w:spacing w:line="240" w:lineRule="atLeast"/>
        <w:ind w:right="25"/>
        <w:rPr>
          <w:rFonts w:hint="eastAsia" w:ascii="宋体" w:hAnsi="宋体"/>
          <w:b/>
          <w:color w:val="auto"/>
          <w:sz w:val="28"/>
          <w:highlight w:val="none"/>
        </w:rPr>
      </w:pPr>
    </w:p>
    <w:p w14:paraId="4A913BD8">
      <w:pPr>
        <w:tabs>
          <w:tab w:val="left" w:pos="8280"/>
        </w:tabs>
        <w:autoSpaceDE w:val="0"/>
        <w:autoSpaceDN w:val="0"/>
        <w:adjustRightInd w:val="0"/>
        <w:spacing w:line="240" w:lineRule="atLeast"/>
        <w:ind w:right="25"/>
        <w:rPr>
          <w:rFonts w:hint="eastAsia" w:ascii="宋体" w:hAnsi="宋体"/>
          <w:b/>
          <w:color w:val="auto"/>
          <w:sz w:val="28"/>
          <w:highlight w:val="none"/>
        </w:rPr>
      </w:pPr>
      <w:r>
        <w:rPr>
          <w:rFonts w:hint="eastAsia" w:ascii="宋体" w:hAnsi="宋体"/>
          <w:b/>
          <w:color w:val="auto"/>
          <w:sz w:val="28"/>
          <w:highlight w:val="none"/>
        </w:rPr>
        <w:t>附件6</w:t>
      </w:r>
      <w:r>
        <w:rPr>
          <w:rFonts w:hint="eastAsia" w:ascii="宋体" w:hAnsi="宋体"/>
          <w:color w:val="auto"/>
          <w:sz w:val="28"/>
          <w:highlight w:val="none"/>
        </w:rPr>
        <w:t xml:space="preserve">  </w:t>
      </w:r>
    </w:p>
    <w:p w14:paraId="729A6D1E">
      <w:pPr>
        <w:spacing w:line="52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具有履行合同所必需的设备和</w:t>
      </w:r>
    </w:p>
    <w:p w14:paraId="3ECC15A8">
      <w:pPr>
        <w:spacing w:line="52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专业技术能力的承诺函</w:t>
      </w:r>
    </w:p>
    <w:p w14:paraId="677454D9">
      <w:pPr>
        <w:spacing w:line="520" w:lineRule="exact"/>
        <w:jc w:val="center"/>
        <w:rPr>
          <w:rFonts w:hint="eastAsia" w:ascii="宋体" w:hAnsi="宋体" w:eastAsia="宋体" w:cs="宋体"/>
          <w:bCs/>
          <w:color w:val="auto"/>
          <w:sz w:val="40"/>
          <w:szCs w:val="40"/>
          <w:highlight w:val="none"/>
        </w:rPr>
      </w:pPr>
    </w:p>
    <w:p w14:paraId="58F9F3B4">
      <w:pPr>
        <w:spacing w:after="240" w:afterLines="100" w:line="360" w:lineRule="auto"/>
        <w:jc w:val="left"/>
        <w:rPr>
          <w:rFonts w:ascii="宋体" w:hAnsi="宋体" w:cs="仿宋_GB2312"/>
          <w:bCs/>
          <w:kern w:val="0"/>
          <w:sz w:val="24"/>
          <w:highlight w:val="none"/>
          <w:lang w:val="zh-CN"/>
        </w:rPr>
      </w:pPr>
      <w:r>
        <w:rPr>
          <w:rFonts w:hint="eastAsia" w:ascii="宋体" w:hAnsi="宋体" w:cs="仿宋_GB2312"/>
          <w:bCs/>
          <w:kern w:val="0"/>
          <w:sz w:val="24"/>
          <w:highlight w:val="none"/>
          <w:lang w:val="zh-CN"/>
        </w:rPr>
        <w:t>致：</w:t>
      </w:r>
      <w:r>
        <w:rPr>
          <w:rFonts w:hint="eastAsia" w:ascii="宋体" w:hAnsi="宋体" w:cs="宋体"/>
          <w:sz w:val="24"/>
          <w:highlight w:val="none"/>
          <w:u w:val="single"/>
        </w:rPr>
        <w:t xml:space="preserve">                         </w:t>
      </w:r>
      <w:r>
        <w:rPr>
          <w:rFonts w:hint="eastAsia" w:ascii="宋体" w:hAnsi="宋体" w:cs="仿宋_GB2312"/>
          <w:bCs/>
          <w:kern w:val="0"/>
          <w:sz w:val="24"/>
          <w:highlight w:val="none"/>
          <w:lang w:val="zh-CN"/>
        </w:rPr>
        <w:t>（采购人）</w:t>
      </w:r>
    </w:p>
    <w:p w14:paraId="7FAFE372">
      <w:pPr>
        <w:snapToGrid w:val="0"/>
        <w:spacing w:before="156" w:beforeLines="50" w:after="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我方郑重承诺，我方具有履行</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（项目名称）</w:t>
      </w: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合同所必需的设备和专业技术能力，如中标，我方将按我方投标文件承诺，保证合同顺利履行。如有虚假或隐瞒，愿意承担一切后果</w:t>
      </w:r>
      <w:r>
        <w:rPr>
          <w:rFonts w:hint="eastAsia" w:ascii="宋体" w:hAnsi="宋体" w:eastAsia="宋体" w:cs="宋体"/>
          <w:color w:val="auto"/>
          <w:sz w:val="24"/>
          <w:szCs w:val="24"/>
          <w:highlight w:val="none"/>
        </w:rPr>
        <w:t>。</w:t>
      </w:r>
    </w:p>
    <w:p w14:paraId="450C083C">
      <w:pPr>
        <w:snapToGrid w:val="0"/>
        <w:spacing w:before="156" w:beforeLines="50" w:after="50" w:line="360" w:lineRule="auto"/>
        <w:ind w:firstLine="480" w:firstLineChars="200"/>
        <w:rPr>
          <w:rFonts w:hint="eastAsia" w:ascii="宋体" w:hAnsi="宋体" w:eastAsia="宋体" w:cs="宋体"/>
          <w:color w:val="auto"/>
          <w:sz w:val="24"/>
          <w:szCs w:val="24"/>
          <w:highlight w:val="none"/>
        </w:rPr>
      </w:pPr>
    </w:p>
    <w:p w14:paraId="62F688CC">
      <w:pPr>
        <w:snapToGrid w:val="0"/>
        <w:spacing w:before="156" w:beforeLines="50" w:after="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w:t>
      </w:r>
      <w:r>
        <w:rPr>
          <w:rFonts w:hint="eastAsia" w:ascii="宋体" w:hAnsi="宋体" w:eastAsia="宋体" w:cs="宋体"/>
          <w:color w:val="auto"/>
          <w:kern w:val="0"/>
          <w:sz w:val="24"/>
          <w:szCs w:val="24"/>
          <w:highlight w:val="none"/>
        </w:rPr>
        <w:t>承诺</w:t>
      </w:r>
      <w:r>
        <w:rPr>
          <w:rFonts w:hint="eastAsia" w:ascii="宋体" w:hAnsi="宋体" w:eastAsia="宋体" w:cs="宋体"/>
          <w:color w:val="auto"/>
          <w:sz w:val="24"/>
          <w:szCs w:val="24"/>
          <w:highlight w:val="none"/>
        </w:rPr>
        <w:t>！</w:t>
      </w:r>
    </w:p>
    <w:p w14:paraId="788D42DB">
      <w:pPr>
        <w:snapToGrid w:val="0"/>
        <w:spacing w:before="156" w:beforeLines="50" w:after="50" w:line="360" w:lineRule="auto"/>
        <w:ind w:firstLine="480" w:firstLineChars="200"/>
        <w:rPr>
          <w:rFonts w:hint="eastAsia" w:ascii="宋体" w:hAnsi="宋体" w:eastAsia="宋体" w:cs="宋体"/>
          <w:color w:val="auto"/>
          <w:sz w:val="24"/>
          <w:szCs w:val="24"/>
          <w:highlight w:val="none"/>
        </w:rPr>
      </w:pPr>
    </w:p>
    <w:p w14:paraId="1A69A554">
      <w:pPr>
        <w:snapToGrid w:val="0"/>
        <w:spacing w:before="156" w:beforeLines="50" w:after="50" w:line="360" w:lineRule="auto"/>
        <w:rPr>
          <w:rFonts w:hint="eastAsia" w:ascii="宋体" w:hAnsi="宋体" w:eastAsia="宋体" w:cs="宋体"/>
          <w:color w:val="auto"/>
          <w:sz w:val="24"/>
          <w:szCs w:val="24"/>
          <w:highlight w:val="none"/>
        </w:rPr>
      </w:pPr>
    </w:p>
    <w:p w14:paraId="1D5E7AF1">
      <w:pPr>
        <w:pStyle w:val="6"/>
        <w:rPr>
          <w:rFonts w:hint="eastAsia" w:ascii="宋体" w:hAnsi="宋体" w:eastAsia="宋体" w:cs="宋体"/>
          <w:color w:val="auto"/>
          <w:sz w:val="24"/>
          <w:szCs w:val="24"/>
          <w:highlight w:val="none"/>
        </w:rPr>
      </w:pPr>
    </w:p>
    <w:p w14:paraId="10A1D629">
      <w:pPr>
        <w:pStyle w:val="6"/>
        <w:rPr>
          <w:rFonts w:hint="eastAsia" w:ascii="宋体" w:hAnsi="宋体" w:eastAsia="宋体" w:cs="宋体"/>
          <w:color w:val="auto"/>
          <w:sz w:val="24"/>
          <w:szCs w:val="24"/>
          <w:highlight w:val="none"/>
        </w:rPr>
      </w:pPr>
    </w:p>
    <w:p w14:paraId="16E82C4E">
      <w:pPr>
        <w:spacing w:line="460" w:lineRule="exact"/>
        <w:ind w:firstLine="3000" w:firstLineChars="1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（盖公章）</w:t>
      </w:r>
    </w:p>
    <w:p w14:paraId="30D77B2F">
      <w:pPr>
        <w:spacing w:line="460" w:lineRule="exact"/>
        <w:ind w:firstLine="3000" w:firstLineChars="1250"/>
        <w:rPr>
          <w:rFonts w:hint="eastAsia" w:ascii="宋体" w:hAnsi="宋体" w:eastAsia="宋体" w:cs="宋体"/>
          <w:color w:val="auto"/>
          <w:sz w:val="24"/>
          <w:szCs w:val="24"/>
          <w:highlight w:val="none"/>
        </w:rPr>
      </w:pPr>
    </w:p>
    <w:p w14:paraId="739C572C">
      <w:pPr>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法定代表人（负责人）或委托代理人：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6B7F49BD">
      <w:pPr>
        <w:spacing w:line="460" w:lineRule="exact"/>
        <w:ind w:firstLine="3000" w:firstLineChars="1250"/>
        <w:rPr>
          <w:rFonts w:hint="eastAsia" w:ascii="宋体" w:hAnsi="宋体" w:eastAsia="宋体" w:cs="宋体"/>
          <w:color w:val="auto"/>
          <w:sz w:val="24"/>
          <w:szCs w:val="24"/>
          <w:highlight w:val="none"/>
        </w:rPr>
      </w:pPr>
    </w:p>
    <w:p w14:paraId="046210C4">
      <w:pPr>
        <w:spacing w:line="460" w:lineRule="exact"/>
        <w:ind w:firstLine="3000" w:firstLineChars="1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0F3CE6F3">
      <w:pPr>
        <w:pStyle w:val="53"/>
        <w:shd w:val="clear" w:color="auto" w:fill="FFFFFF"/>
        <w:spacing w:before="0" w:beforeAutospacing="0" w:after="0" w:afterAutospacing="0"/>
        <w:outlineLvl w:val="0"/>
        <w:rPr>
          <w:rFonts w:hint="eastAsia"/>
          <w:b/>
          <w:color w:val="auto"/>
          <w:sz w:val="28"/>
          <w:highlight w:val="none"/>
        </w:rPr>
      </w:pPr>
    </w:p>
    <w:p w14:paraId="617794D7">
      <w:pPr>
        <w:pStyle w:val="53"/>
        <w:shd w:val="clear" w:color="auto" w:fill="FFFFFF"/>
        <w:spacing w:before="0" w:beforeAutospacing="0" w:after="0" w:afterAutospacing="0"/>
        <w:outlineLvl w:val="0"/>
        <w:rPr>
          <w:rFonts w:hint="eastAsia"/>
          <w:b/>
          <w:color w:val="auto"/>
          <w:sz w:val="28"/>
          <w:highlight w:val="none"/>
        </w:rPr>
      </w:pPr>
    </w:p>
    <w:p w14:paraId="5841DDFF">
      <w:pPr>
        <w:pStyle w:val="53"/>
        <w:shd w:val="clear" w:color="auto" w:fill="FFFFFF"/>
        <w:spacing w:before="0" w:beforeAutospacing="0" w:after="0" w:afterAutospacing="0"/>
        <w:outlineLvl w:val="0"/>
        <w:rPr>
          <w:rFonts w:hint="eastAsia"/>
          <w:b/>
          <w:color w:val="auto"/>
          <w:sz w:val="28"/>
          <w:highlight w:val="none"/>
        </w:rPr>
      </w:pPr>
    </w:p>
    <w:p w14:paraId="0F114161">
      <w:pPr>
        <w:keepNext w:val="0"/>
        <w:keepLines w:val="0"/>
        <w:pageBreakBefore w:val="0"/>
        <w:widowControl w:val="0"/>
        <w:kinsoku/>
        <w:wordWrap/>
        <w:overflowPunct/>
        <w:topLinePunct w:val="0"/>
        <w:autoSpaceDE/>
        <w:autoSpaceDN/>
        <w:bidi w:val="0"/>
        <w:adjustRightInd/>
        <w:spacing w:line="420" w:lineRule="exact"/>
        <w:ind w:right="-108" w:firstLine="422" w:firstLineChars="150"/>
        <w:textAlignment w:val="auto"/>
        <w:rPr>
          <w:rFonts w:hint="eastAsia" w:ascii="宋体" w:hAnsi="宋体" w:cs="宋体"/>
          <w:b/>
          <w:bCs/>
          <w:color w:val="auto"/>
          <w:sz w:val="28"/>
          <w:szCs w:val="28"/>
          <w:highlight w:val="none"/>
          <w:lang w:val="zh-CN"/>
        </w:rPr>
      </w:pPr>
    </w:p>
    <w:p w14:paraId="3CABC980">
      <w:pPr>
        <w:keepNext w:val="0"/>
        <w:keepLines w:val="0"/>
        <w:pageBreakBefore w:val="0"/>
        <w:widowControl w:val="0"/>
        <w:kinsoku/>
        <w:wordWrap/>
        <w:overflowPunct/>
        <w:topLinePunct w:val="0"/>
        <w:autoSpaceDE/>
        <w:autoSpaceDN/>
        <w:bidi w:val="0"/>
        <w:adjustRightInd/>
        <w:spacing w:line="420" w:lineRule="exact"/>
        <w:ind w:right="-108" w:firstLine="422" w:firstLineChars="150"/>
        <w:textAlignment w:val="auto"/>
        <w:rPr>
          <w:rFonts w:hint="eastAsia" w:ascii="宋体" w:hAnsi="宋体" w:cs="宋体"/>
          <w:b/>
          <w:bCs/>
          <w:color w:val="auto"/>
          <w:sz w:val="28"/>
          <w:szCs w:val="28"/>
          <w:highlight w:val="none"/>
          <w:lang w:val="zh-CN"/>
        </w:rPr>
      </w:pPr>
    </w:p>
    <w:p w14:paraId="242083FA">
      <w:pPr>
        <w:keepNext w:val="0"/>
        <w:keepLines w:val="0"/>
        <w:pageBreakBefore w:val="0"/>
        <w:widowControl w:val="0"/>
        <w:kinsoku/>
        <w:wordWrap/>
        <w:overflowPunct/>
        <w:topLinePunct w:val="0"/>
        <w:autoSpaceDE/>
        <w:autoSpaceDN/>
        <w:bidi w:val="0"/>
        <w:adjustRightInd/>
        <w:spacing w:line="420" w:lineRule="exact"/>
        <w:ind w:right="-108" w:firstLine="422" w:firstLineChars="150"/>
        <w:textAlignment w:val="auto"/>
        <w:rPr>
          <w:rFonts w:hint="eastAsia" w:ascii="宋体" w:hAnsi="宋体" w:cs="宋体"/>
          <w:b/>
          <w:bCs/>
          <w:color w:val="auto"/>
          <w:sz w:val="28"/>
          <w:szCs w:val="28"/>
          <w:highlight w:val="none"/>
          <w:lang w:val="zh-CN"/>
        </w:rPr>
      </w:pPr>
    </w:p>
    <w:p w14:paraId="3D4C2926">
      <w:pPr>
        <w:keepNext w:val="0"/>
        <w:keepLines w:val="0"/>
        <w:pageBreakBefore w:val="0"/>
        <w:widowControl w:val="0"/>
        <w:kinsoku/>
        <w:wordWrap/>
        <w:overflowPunct/>
        <w:topLinePunct w:val="0"/>
        <w:autoSpaceDE/>
        <w:autoSpaceDN/>
        <w:bidi w:val="0"/>
        <w:adjustRightInd/>
        <w:spacing w:line="420" w:lineRule="exact"/>
        <w:ind w:right="-108" w:firstLine="422" w:firstLineChars="150"/>
        <w:textAlignment w:val="auto"/>
        <w:rPr>
          <w:rFonts w:hint="eastAsia" w:ascii="宋体" w:hAnsi="宋体" w:cs="宋体"/>
          <w:b/>
          <w:bCs/>
          <w:color w:val="auto"/>
          <w:sz w:val="28"/>
          <w:szCs w:val="28"/>
          <w:highlight w:val="none"/>
          <w:lang w:val="zh-CN"/>
        </w:rPr>
      </w:pPr>
    </w:p>
    <w:p w14:paraId="7006ED85">
      <w:pPr>
        <w:pStyle w:val="13"/>
        <w:snapToGrid w:val="0"/>
        <w:spacing w:before="120" w:beforeLines="0" w:after="120" w:afterLines="0" w:line="240" w:lineRule="auto"/>
        <w:jc w:val="left"/>
        <w:rPr>
          <w:rFonts w:hint="eastAsia" w:ascii="宋体" w:hAnsi="宋体"/>
          <w:b/>
          <w:color w:val="auto"/>
          <w:sz w:val="28"/>
          <w:highlight w:val="none"/>
        </w:rPr>
      </w:pPr>
    </w:p>
    <w:p w14:paraId="66D89E75">
      <w:pPr>
        <w:pStyle w:val="13"/>
        <w:snapToGrid w:val="0"/>
        <w:spacing w:before="120" w:beforeLines="0" w:after="120" w:afterLines="0" w:line="240" w:lineRule="auto"/>
        <w:jc w:val="left"/>
        <w:rPr>
          <w:rFonts w:hint="eastAsia" w:ascii="宋体" w:hAnsi="宋体"/>
          <w:b/>
          <w:color w:val="auto"/>
          <w:sz w:val="28"/>
          <w:highlight w:val="none"/>
        </w:rPr>
        <w:sectPr>
          <w:footerReference r:id="rId4" w:type="default"/>
          <w:pgSz w:w="11906" w:h="16838"/>
          <w:pgMar w:top="1440" w:right="1576" w:bottom="1440" w:left="1576"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4BB3A7B9">
      <w:pPr>
        <w:pStyle w:val="13"/>
        <w:snapToGrid w:val="0"/>
        <w:spacing w:before="120" w:beforeLines="0" w:after="120" w:afterLines="0" w:line="240" w:lineRule="auto"/>
        <w:jc w:val="left"/>
        <w:rPr>
          <w:rFonts w:hint="eastAsia" w:ascii="宋体" w:hAnsi="宋体" w:eastAsia="宋体" w:cs="Times New Roman"/>
          <w:b/>
          <w:color w:val="auto"/>
          <w:sz w:val="28"/>
          <w:highlight w:val="none"/>
          <w:lang w:val="en-US" w:eastAsia="zh-CN"/>
        </w:rPr>
      </w:pPr>
      <w:r>
        <w:rPr>
          <w:rFonts w:hint="eastAsia" w:ascii="宋体" w:hAnsi="宋体" w:eastAsia="宋体" w:cs="Times New Roman"/>
          <w:b/>
          <w:color w:val="auto"/>
          <w:sz w:val="28"/>
          <w:highlight w:val="none"/>
          <w:lang w:val="en-US" w:eastAsia="zh-CN"/>
        </w:rPr>
        <w:t>附件7</w:t>
      </w:r>
    </w:p>
    <w:p w14:paraId="0986CD8F">
      <w:pPr>
        <w:spacing w:line="52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参</w:t>
      </w:r>
      <w:r>
        <w:rPr>
          <w:rFonts w:hint="eastAsia" w:ascii="宋体" w:hAnsi="宋体" w:eastAsia="宋体" w:cs="宋体"/>
          <w:b/>
          <w:color w:val="auto"/>
          <w:sz w:val="30"/>
          <w:szCs w:val="30"/>
          <w:highlight w:val="none"/>
        </w:rPr>
        <w:t>加政府采购项目前三年内在经营活动中</w:t>
      </w:r>
    </w:p>
    <w:p w14:paraId="25FD30B6">
      <w:pPr>
        <w:spacing w:line="52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没有重大违法记录的承诺函</w:t>
      </w:r>
    </w:p>
    <w:p w14:paraId="7838C00E">
      <w:pPr>
        <w:spacing w:line="520" w:lineRule="exact"/>
        <w:jc w:val="center"/>
        <w:rPr>
          <w:rFonts w:hint="eastAsia" w:ascii="宋体" w:hAnsi="宋体" w:eastAsia="宋体" w:cs="宋体"/>
          <w:bCs/>
          <w:color w:val="auto"/>
          <w:sz w:val="40"/>
          <w:szCs w:val="40"/>
          <w:highlight w:val="none"/>
        </w:rPr>
      </w:pPr>
    </w:p>
    <w:p w14:paraId="1718F83D">
      <w:pPr>
        <w:spacing w:line="520" w:lineRule="exact"/>
        <w:jc w:val="center"/>
        <w:rPr>
          <w:rFonts w:hint="eastAsia" w:ascii="宋体" w:hAnsi="宋体" w:eastAsia="宋体" w:cs="宋体"/>
          <w:bCs/>
          <w:color w:val="auto"/>
          <w:sz w:val="40"/>
          <w:szCs w:val="40"/>
          <w:highlight w:val="none"/>
        </w:rPr>
      </w:pPr>
    </w:p>
    <w:p w14:paraId="61FF2C50">
      <w:pPr>
        <w:spacing w:after="240" w:afterLines="100" w:line="360" w:lineRule="auto"/>
        <w:jc w:val="left"/>
        <w:rPr>
          <w:rFonts w:ascii="宋体" w:hAnsi="宋体" w:cs="仿宋_GB2312"/>
          <w:bCs/>
          <w:kern w:val="0"/>
          <w:sz w:val="24"/>
          <w:highlight w:val="none"/>
          <w:lang w:val="zh-CN"/>
        </w:rPr>
      </w:pPr>
      <w:r>
        <w:rPr>
          <w:rFonts w:hint="eastAsia" w:ascii="宋体" w:hAnsi="宋体" w:cs="仿宋_GB2312"/>
          <w:bCs/>
          <w:kern w:val="0"/>
          <w:sz w:val="24"/>
          <w:highlight w:val="none"/>
          <w:lang w:val="zh-CN"/>
        </w:rPr>
        <w:t>致：</w:t>
      </w:r>
      <w:r>
        <w:rPr>
          <w:rFonts w:hint="eastAsia" w:ascii="宋体" w:hAnsi="宋体" w:cs="宋体"/>
          <w:sz w:val="24"/>
          <w:highlight w:val="none"/>
          <w:u w:val="single"/>
        </w:rPr>
        <w:t xml:space="preserve">                         </w:t>
      </w:r>
      <w:r>
        <w:rPr>
          <w:rFonts w:hint="eastAsia" w:ascii="宋体" w:hAnsi="宋体" w:cs="仿宋_GB2312"/>
          <w:bCs/>
          <w:kern w:val="0"/>
          <w:sz w:val="24"/>
          <w:highlight w:val="none"/>
          <w:lang w:val="zh-CN"/>
        </w:rPr>
        <w:t>（采购人）</w:t>
      </w:r>
    </w:p>
    <w:p w14:paraId="18B07659">
      <w:pPr>
        <w:snapToGrid w:val="0"/>
        <w:spacing w:before="156" w:beforeLines="50" w:after="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我方郑重承诺，我方在参加</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（项目名称）</w:t>
      </w: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谈判/中标（成交）/签订合同），我方对此无任何异议，并愿意承担一切后果和责任。</w:t>
      </w:r>
    </w:p>
    <w:p w14:paraId="6952A20C">
      <w:pPr>
        <w:pStyle w:val="6"/>
        <w:rPr>
          <w:rFonts w:hint="eastAsia" w:ascii="宋体" w:hAnsi="宋体" w:eastAsia="宋体" w:cs="宋体"/>
          <w:color w:val="auto"/>
          <w:sz w:val="20"/>
          <w:szCs w:val="18"/>
          <w:highlight w:val="none"/>
        </w:rPr>
      </w:pPr>
    </w:p>
    <w:p w14:paraId="4BA1DC36">
      <w:pPr>
        <w:snapToGrid w:val="0"/>
        <w:spacing w:before="156" w:beforeLines="50" w:after="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w:t>
      </w:r>
      <w:r>
        <w:rPr>
          <w:rFonts w:hint="eastAsia" w:ascii="宋体" w:hAnsi="宋体" w:eastAsia="宋体" w:cs="宋体"/>
          <w:color w:val="auto"/>
          <w:kern w:val="0"/>
          <w:sz w:val="24"/>
          <w:szCs w:val="24"/>
          <w:highlight w:val="none"/>
        </w:rPr>
        <w:t>承诺</w:t>
      </w:r>
      <w:r>
        <w:rPr>
          <w:rFonts w:hint="eastAsia" w:ascii="宋体" w:hAnsi="宋体" w:eastAsia="宋体" w:cs="宋体"/>
          <w:color w:val="auto"/>
          <w:sz w:val="24"/>
          <w:szCs w:val="24"/>
          <w:highlight w:val="none"/>
        </w:rPr>
        <w:t>！</w:t>
      </w:r>
    </w:p>
    <w:p w14:paraId="292F6563">
      <w:pPr>
        <w:pStyle w:val="6"/>
        <w:rPr>
          <w:rFonts w:hint="eastAsia" w:ascii="宋体" w:hAnsi="宋体" w:eastAsia="宋体" w:cs="宋体"/>
          <w:color w:val="auto"/>
          <w:sz w:val="24"/>
          <w:szCs w:val="24"/>
          <w:highlight w:val="none"/>
        </w:rPr>
      </w:pPr>
    </w:p>
    <w:p w14:paraId="191E6B98">
      <w:pPr>
        <w:spacing w:line="460" w:lineRule="exact"/>
        <w:ind w:firstLine="3000" w:firstLineChars="1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（盖公章）</w:t>
      </w:r>
    </w:p>
    <w:p w14:paraId="5BD96961">
      <w:pPr>
        <w:spacing w:line="460" w:lineRule="exact"/>
        <w:ind w:firstLine="1980" w:firstLineChars="825"/>
        <w:rPr>
          <w:rFonts w:hint="eastAsia" w:ascii="宋体" w:hAnsi="宋体" w:eastAsia="宋体" w:cs="宋体"/>
          <w:color w:val="auto"/>
          <w:sz w:val="24"/>
          <w:szCs w:val="24"/>
          <w:highlight w:val="none"/>
          <w:u w:val="single"/>
        </w:rPr>
      </w:pPr>
    </w:p>
    <w:p w14:paraId="5B538AA7">
      <w:pPr>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法定代表人（负责人）或委托代理人：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46CDAF10">
      <w:pPr>
        <w:spacing w:line="460" w:lineRule="exact"/>
        <w:ind w:firstLine="1980" w:firstLineChars="825"/>
        <w:rPr>
          <w:rFonts w:hint="eastAsia" w:ascii="宋体" w:hAnsi="宋体" w:eastAsia="宋体" w:cs="宋体"/>
          <w:color w:val="auto"/>
          <w:sz w:val="24"/>
          <w:szCs w:val="24"/>
          <w:highlight w:val="none"/>
        </w:rPr>
      </w:pPr>
    </w:p>
    <w:p w14:paraId="081A0520">
      <w:pPr>
        <w:spacing w:line="52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75582D2C">
      <w:pPr>
        <w:pStyle w:val="13"/>
        <w:snapToGrid w:val="0"/>
        <w:spacing w:before="120" w:beforeLines="0" w:after="120" w:afterLines="0" w:line="240" w:lineRule="auto"/>
        <w:jc w:val="left"/>
        <w:rPr>
          <w:rFonts w:hint="default"/>
          <w:highlight w:val="none"/>
          <w:lang w:val="en-US" w:eastAsia="zh-CN"/>
        </w:rPr>
        <w:sectPr>
          <w:pgSz w:w="11906" w:h="16838"/>
          <w:pgMar w:top="1440" w:right="1576" w:bottom="1440" w:left="1576"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0FA89385">
      <w:pPr>
        <w:pStyle w:val="13"/>
        <w:snapToGrid w:val="0"/>
        <w:spacing w:before="120" w:beforeLines="0" w:after="120" w:afterLines="0" w:line="240" w:lineRule="auto"/>
        <w:jc w:val="left"/>
        <w:rPr>
          <w:rFonts w:hint="default"/>
          <w:b/>
          <w:color w:val="auto"/>
          <w:sz w:val="28"/>
          <w:szCs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8</w:t>
      </w:r>
    </w:p>
    <w:p w14:paraId="34933471">
      <w:pPr>
        <w:keepNext w:val="0"/>
        <w:keepLines w:val="0"/>
        <w:pageBreakBefore w:val="0"/>
        <w:kinsoku/>
        <w:overflowPunct/>
        <w:topLinePunct w:val="0"/>
        <w:bidi w:val="0"/>
        <w:spacing w:line="400" w:lineRule="exact"/>
        <w:jc w:val="center"/>
        <w:outlineLvl w:val="9"/>
        <w:rPr>
          <w:rFonts w:hAnsi="宋体" w:cs="宋体"/>
          <w:b/>
          <w:bCs/>
          <w:snapToGrid w:val="0"/>
          <w:color w:val="auto"/>
          <w:sz w:val="28"/>
          <w:szCs w:val="28"/>
          <w:highlight w:val="none"/>
        </w:rPr>
      </w:pPr>
      <w:r>
        <w:rPr>
          <w:rFonts w:hint="eastAsia" w:hAnsi="宋体" w:cs="宋体"/>
          <w:b/>
          <w:bCs/>
          <w:snapToGrid w:val="0"/>
          <w:color w:val="auto"/>
          <w:sz w:val="28"/>
          <w:szCs w:val="28"/>
          <w:highlight w:val="none"/>
        </w:rPr>
        <w:t>中小企业声明函</w:t>
      </w:r>
    </w:p>
    <w:p w14:paraId="7FB1AE21">
      <w:pPr>
        <w:pStyle w:val="9"/>
        <w:keepNext w:val="0"/>
        <w:keepLines w:val="0"/>
        <w:pageBreakBefore w:val="0"/>
        <w:kinsoku/>
        <w:overflowPunct/>
        <w:topLinePunct w:val="0"/>
        <w:bidi w:val="0"/>
        <w:spacing w:before="5"/>
        <w:outlineLvl w:val="9"/>
        <w:rPr>
          <w:rFonts w:ascii="宋体"/>
          <w:b/>
          <w:color w:val="auto"/>
          <w:sz w:val="18"/>
          <w:szCs w:val="18"/>
          <w:highlight w:val="none"/>
        </w:rPr>
      </w:pPr>
    </w:p>
    <w:p w14:paraId="0085F3B0">
      <w:pPr>
        <w:pStyle w:val="9"/>
        <w:keepNext w:val="0"/>
        <w:keepLines w:val="0"/>
        <w:pageBreakBefore w:val="0"/>
        <w:kinsoku/>
        <w:overflowPunct/>
        <w:topLinePunct w:val="0"/>
        <w:autoSpaceDE w:val="0"/>
        <w:autoSpaceDN w:val="0"/>
        <w:bidi w:val="0"/>
        <w:adjustRightInd/>
        <w:spacing w:line="360" w:lineRule="auto"/>
        <w:ind w:right="-54" w:firstLine="480" w:firstLineChars="200"/>
        <w:jc w:val="both"/>
        <w:textAlignment w:val="auto"/>
        <w:outlineLvl w:val="9"/>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本公司（联合体）郑重声明，根据《政府采购促进中小企业发展管理办法》（财库﹝2020﹞46号）的规定，本公司（联合体）参加</w:t>
      </w:r>
      <w:r>
        <w:rPr>
          <w:rFonts w:hint="eastAsia" w:ascii="宋体" w:hAnsi="宋体" w:eastAsia="宋体" w:cs="宋体"/>
          <w:i w:val="0"/>
          <w:iCs/>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i w:val="0"/>
          <w:iCs/>
          <w:color w:val="auto"/>
          <w:sz w:val="24"/>
          <w:szCs w:val="24"/>
          <w:highlight w:val="none"/>
          <w:u w:val="single"/>
        </w:rPr>
        <w:t>（项目名称）</w:t>
      </w:r>
      <w:r>
        <w:rPr>
          <w:rFonts w:hint="eastAsia" w:ascii="宋体" w:hAnsi="宋体" w:eastAsia="宋体" w:cs="宋体"/>
          <w:color w:val="auto"/>
          <w:sz w:val="24"/>
          <w:szCs w:val="24"/>
          <w:highlight w:val="none"/>
        </w:rPr>
        <w:t>采购活动，</w:t>
      </w:r>
      <w:r>
        <w:rPr>
          <w:rFonts w:hint="eastAsia" w:ascii="宋体" w:hAnsi="宋体" w:eastAsia="宋体" w:cs="宋体"/>
          <w:color w:val="auto"/>
          <w:kern w:val="2"/>
          <w:sz w:val="24"/>
          <w:szCs w:val="24"/>
          <w:highlight w:val="none"/>
          <w:lang w:val="zh-CN" w:eastAsia="zh-CN" w:bidi="ar-SA"/>
        </w:rPr>
        <w:t>服务全部由符合政策要求的中小企业承接。相关企业（含联合体中的中小企业、签订分包意向协议的中小企业）的具体情况如下：</w:t>
      </w:r>
    </w:p>
    <w:p w14:paraId="4BEC0892">
      <w:pPr>
        <w:pStyle w:val="9"/>
        <w:keepNext w:val="0"/>
        <w:keepLines w:val="0"/>
        <w:pageBreakBefore w:val="0"/>
        <w:kinsoku/>
        <w:overflowPunct/>
        <w:topLinePunct w:val="0"/>
        <w:autoSpaceDE w:val="0"/>
        <w:autoSpaceDN w:val="0"/>
        <w:bidi w:val="0"/>
        <w:adjustRightInd/>
        <w:spacing w:line="360" w:lineRule="auto"/>
        <w:ind w:right="-54" w:firstLine="480" w:firstLineChars="200"/>
        <w:jc w:val="both"/>
        <w:textAlignment w:val="auto"/>
        <w:outlineLvl w:val="9"/>
        <w:rPr>
          <w:rFonts w:hint="eastAsia" w:ascii="宋体" w:hAnsi="宋体" w:eastAsia="宋体" w:cs="宋体"/>
          <w:i w:val="0"/>
          <w:iCs/>
          <w:color w:val="auto"/>
          <w:w w:val="99"/>
          <w:sz w:val="24"/>
          <w:szCs w:val="24"/>
          <w:highlight w:val="none"/>
        </w:rPr>
      </w:pPr>
      <w:r>
        <w:rPr>
          <w:rFonts w:hint="eastAsia" w:ascii="宋体" w:hAnsi="宋体" w:eastAsia="宋体" w:cs="宋体"/>
          <w:color w:val="auto"/>
          <w:kern w:val="2"/>
          <w:sz w:val="24"/>
          <w:szCs w:val="24"/>
          <w:highlight w:val="none"/>
          <w:lang w:val="en-US" w:eastAsia="zh-CN" w:bidi="ar-SA"/>
        </w:rPr>
        <w:t>一、</w:t>
      </w:r>
      <w:r>
        <w:rPr>
          <w:rFonts w:hint="eastAsia" w:ascii="宋体" w:hAnsi="宋体" w:eastAsia="宋体" w:cs="宋体"/>
          <w:color w:val="auto"/>
          <w:kern w:val="2"/>
          <w:sz w:val="24"/>
          <w:szCs w:val="24"/>
          <w:highlight w:val="none"/>
          <w:u w:val="single"/>
          <w:lang w:val="zh-CN" w:eastAsia="zh-CN" w:bidi="ar-SA"/>
        </w:rPr>
        <w:t>（标的名称）</w:t>
      </w:r>
      <w:r>
        <w:rPr>
          <w:rFonts w:hint="eastAsia" w:ascii="宋体" w:hAnsi="宋体" w:eastAsia="宋体" w:cs="宋体"/>
          <w:color w:val="auto"/>
          <w:kern w:val="2"/>
          <w:sz w:val="24"/>
          <w:szCs w:val="24"/>
          <w:highlight w:val="none"/>
          <w:lang w:val="zh-CN" w:eastAsia="zh-CN" w:bidi="ar-SA"/>
        </w:rPr>
        <w:t>，属于</w:t>
      </w:r>
      <w:r>
        <w:rPr>
          <w:rFonts w:hint="eastAsia" w:ascii="宋体" w:hAnsi="宋体" w:eastAsia="宋体" w:cs="宋体"/>
          <w:color w:val="auto"/>
          <w:kern w:val="2"/>
          <w:sz w:val="24"/>
          <w:szCs w:val="24"/>
          <w:highlight w:val="none"/>
          <w:u w:val="single"/>
          <w:lang w:val="zh-CN" w:eastAsia="zh-CN" w:bidi="ar-SA"/>
        </w:rPr>
        <w:t>（采购文件中明确的所属行业）</w:t>
      </w:r>
      <w:r>
        <w:rPr>
          <w:rFonts w:hint="eastAsia" w:ascii="宋体" w:hAnsi="宋体" w:eastAsia="宋体" w:cs="宋体"/>
          <w:color w:val="auto"/>
          <w:kern w:val="2"/>
          <w:sz w:val="24"/>
          <w:szCs w:val="24"/>
          <w:highlight w:val="none"/>
          <w:lang w:val="zh-CN" w:eastAsia="zh-CN" w:bidi="ar-SA"/>
        </w:rPr>
        <w:t>；承建（承接）企业为</w:t>
      </w:r>
      <w:r>
        <w:rPr>
          <w:rFonts w:hint="eastAsia" w:ascii="宋体" w:hAnsi="宋体" w:eastAsia="宋体" w:cs="宋体"/>
          <w:color w:val="auto"/>
          <w:kern w:val="2"/>
          <w:sz w:val="24"/>
          <w:szCs w:val="24"/>
          <w:highlight w:val="none"/>
          <w:u w:val="single"/>
          <w:lang w:val="zh-CN" w:eastAsia="zh-CN" w:bidi="ar-SA"/>
        </w:rPr>
        <w:t>（企业名称）</w:t>
      </w:r>
      <w:r>
        <w:rPr>
          <w:rFonts w:hint="eastAsia" w:ascii="宋体" w:hAnsi="宋体" w:eastAsia="宋体" w:cs="宋体"/>
          <w:color w:val="auto"/>
          <w:kern w:val="2"/>
          <w:sz w:val="24"/>
          <w:szCs w:val="24"/>
          <w:highlight w:val="none"/>
          <w:lang w:val="zh-CN" w:eastAsia="zh-CN" w:bidi="ar-SA"/>
        </w:rPr>
        <w:t>，从业人员</w:t>
      </w:r>
      <w:r>
        <w:rPr>
          <w:rFonts w:hint="eastAsia" w:ascii="宋体" w:hAnsi="宋体" w:eastAsia="宋体" w:cs="宋体"/>
          <w:color w:val="auto"/>
          <w:kern w:val="2"/>
          <w:sz w:val="24"/>
          <w:szCs w:val="24"/>
          <w:highlight w:val="none"/>
          <w:u w:val="single"/>
          <w:lang w:val="zh-CN" w:eastAsia="zh-CN" w:bidi="ar-SA"/>
        </w:rPr>
        <w:t xml:space="preserve">  </w:t>
      </w:r>
      <w:r>
        <w:rPr>
          <w:rFonts w:hint="eastAsia" w:ascii="宋体" w:hAnsi="宋体" w:eastAsia="宋体" w:cs="宋体"/>
          <w:color w:val="auto"/>
          <w:kern w:val="2"/>
          <w:sz w:val="24"/>
          <w:szCs w:val="24"/>
          <w:highlight w:val="none"/>
          <w:lang w:val="zh-CN" w:eastAsia="zh-CN" w:bidi="ar-SA"/>
        </w:rPr>
        <w:t>人</w:t>
      </w:r>
      <w:r>
        <w:rPr>
          <w:rFonts w:hint="eastAsia" w:ascii="宋体" w:hAnsi="宋体" w:eastAsia="宋体" w:cs="宋体"/>
          <w:color w:val="auto"/>
          <w:w w:val="99"/>
          <w:sz w:val="24"/>
          <w:szCs w:val="24"/>
          <w:highlight w:val="none"/>
        </w:rPr>
        <w:t>，</w:t>
      </w:r>
      <w:r>
        <w:rPr>
          <w:rFonts w:hint="eastAsia" w:ascii="宋体" w:hAnsi="宋体" w:eastAsia="宋体" w:cs="宋体"/>
          <w:color w:val="auto"/>
          <w:kern w:val="2"/>
          <w:sz w:val="24"/>
          <w:szCs w:val="24"/>
          <w:highlight w:val="none"/>
          <w:lang w:val="zh-CN" w:eastAsia="zh-CN" w:bidi="ar-SA"/>
        </w:rPr>
        <w:t>营业收入为</w:t>
      </w:r>
      <w:r>
        <w:rPr>
          <w:rFonts w:hint="eastAsia" w:ascii="宋体" w:hAnsi="宋体" w:eastAsia="宋体" w:cs="宋体"/>
          <w:color w:val="auto"/>
          <w:kern w:val="2"/>
          <w:sz w:val="24"/>
          <w:szCs w:val="24"/>
          <w:highlight w:val="none"/>
          <w:u w:val="single"/>
          <w:lang w:val="zh-CN" w:eastAsia="zh-CN" w:bidi="ar-SA"/>
        </w:rPr>
        <w:t xml:space="preserve">  </w:t>
      </w:r>
      <w:r>
        <w:rPr>
          <w:rFonts w:hint="eastAsia" w:ascii="宋体" w:hAnsi="宋体" w:eastAsia="宋体" w:cs="宋体"/>
          <w:color w:val="auto"/>
          <w:kern w:val="2"/>
          <w:sz w:val="24"/>
          <w:szCs w:val="24"/>
          <w:highlight w:val="none"/>
          <w:lang w:val="zh-CN" w:eastAsia="zh-CN" w:bidi="ar-SA"/>
        </w:rPr>
        <w:t>万元，资产总额为</w:t>
      </w:r>
      <w:r>
        <w:rPr>
          <w:rFonts w:hint="eastAsia" w:ascii="宋体" w:hAnsi="宋体" w:eastAsia="宋体" w:cs="宋体"/>
          <w:color w:val="auto"/>
          <w:kern w:val="2"/>
          <w:sz w:val="24"/>
          <w:szCs w:val="24"/>
          <w:highlight w:val="none"/>
          <w:u w:val="single"/>
          <w:lang w:val="zh-CN" w:eastAsia="zh-CN" w:bidi="ar-SA"/>
        </w:rPr>
        <w:t xml:space="preserve">  </w:t>
      </w:r>
      <w:r>
        <w:rPr>
          <w:rFonts w:hint="eastAsia" w:ascii="宋体" w:hAnsi="宋体" w:eastAsia="宋体" w:cs="宋体"/>
          <w:color w:val="auto"/>
          <w:kern w:val="2"/>
          <w:sz w:val="24"/>
          <w:szCs w:val="24"/>
          <w:highlight w:val="none"/>
          <w:u w:val="single"/>
          <w:lang w:val="zh-CN" w:eastAsia="zh-CN" w:bidi="ar-SA"/>
        </w:rPr>
        <w:tab/>
      </w:r>
      <w:r>
        <w:rPr>
          <w:rFonts w:hint="eastAsia" w:ascii="宋体" w:hAnsi="宋体" w:eastAsia="宋体" w:cs="宋体"/>
          <w:color w:val="auto"/>
          <w:kern w:val="2"/>
          <w:sz w:val="24"/>
          <w:szCs w:val="24"/>
          <w:highlight w:val="none"/>
          <w:lang w:val="zh-CN" w:eastAsia="zh-CN" w:bidi="ar-SA"/>
        </w:rPr>
        <w:t>万元</w:t>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z w:val="24"/>
          <w:szCs w:val="24"/>
          <w:highlight w:val="none"/>
        </w:rPr>
        <w:t>，属</w:t>
      </w:r>
      <w:r>
        <w:rPr>
          <w:rFonts w:hint="eastAsia" w:ascii="宋体" w:hAnsi="宋体" w:eastAsia="宋体" w:cs="宋体"/>
          <w:color w:val="auto"/>
          <w:kern w:val="2"/>
          <w:sz w:val="24"/>
          <w:szCs w:val="24"/>
          <w:highlight w:val="none"/>
          <w:lang w:val="zh-CN" w:eastAsia="zh-CN" w:bidi="ar-SA"/>
        </w:rPr>
        <w:t>于</w:t>
      </w:r>
      <w:r>
        <w:rPr>
          <w:rFonts w:hint="eastAsia" w:ascii="宋体" w:hAnsi="宋体" w:eastAsia="宋体" w:cs="宋体"/>
          <w:color w:val="auto"/>
          <w:kern w:val="2"/>
          <w:sz w:val="24"/>
          <w:szCs w:val="24"/>
          <w:highlight w:val="none"/>
          <w:u w:val="single"/>
          <w:lang w:val="zh-CN" w:eastAsia="zh-CN" w:bidi="ar-SA"/>
        </w:rPr>
        <w:t>（中型企业、小型企业、微型企业）</w:t>
      </w:r>
      <w:r>
        <w:rPr>
          <w:rFonts w:hint="eastAsia" w:ascii="宋体" w:hAnsi="宋体" w:eastAsia="宋体" w:cs="宋体"/>
          <w:color w:val="auto"/>
          <w:kern w:val="2"/>
          <w:sz w:val="24"/>
          <w:szCs w:val="24"/>
          <w:highlight w:val="none"/>
          <w:lang w:val="zh-CN" w:eastAsia="zh-CN" w:bidi="ar-SA"/>
        </w:rPr>
        <w:t>；</w:t>
      </w:r>
    </w:p>
    <w:p w14:paraId="7EB65472">
      <w:pPr>
        <w:pStyle w:val="9"/>
        <w:keepNext w:val="0"/>
        <w:keepLines w:val="0"/>
        <w:pageBreakBefore w:val="0"/>
        <w:kinsoku/>
        <w:overflowPunct/>
        <w:topLinePunct w:val="0"/>
        <w:autoSpaceDE w:val="0"/>
        <w:autoSpaceDN w:val="0"/>
        <w:bidi w:val="0"/>
        <w:adjustRightInd/>
        <w:spacing w:line="360" w:lineRule="auto"/>
        <w:ind w:right="-54" w:firstLine="460" w:firstLineChars="200"/>
        <w:jc w:val="both"/>
        <w:textAlignment w:val="auto"/>
        <w:outlineLvl w:val="9"/>
        <w:rPr>
          <w:rFonts w:hint="eastAsia" w:ascii="宋体" w:hAnsi="宋体" w:eastAsia="宋体" w:cs="宋体"/>
          <w:i w:val="0"/>
          <w:iCs/>
          <w:color w:val="auto"/>
          <w:w w:val="99"/>
          <w:sz w:val="24"/>
          <w:szCs w:val="24"/>
          <w:highlight w:val="none"/>
        </w:rPr>
      </w:pPr>
      <w:r>
        <w:rPr>
          <w:rFonts w:hint="eastAsia" w:ascii="宋体" w:hAnsi="宋体" w:eastAsia="宋体" w:cs="宋体"/>
          <w:iCs/>
          <w:color w:val="auto"/>
          <w:w w:val="96"/>
          <w:sz w:val="24"/>
          <w:szCs w:val="24"/>
          <w:highlight w:val="none"/>
          <w:lang w:val="en-US" w:eastAsia="zh-CN"/>
        </w:rPr>
        <w:t>二、</w:t>
      </w:r>
      <w:r>
        <w:rPr>
          <w:rFonts w:hint="eastAsia" w:ascii="宋体" w:hAnsi="宋体" w:eastAsia="宋体" w:cs="宋体"/>
          <w:color w:val="auto"/>
          <w:kern w:val="2"/>
          <w:sz w:val="24"/>
          <w:szCs w:val="24"/>
          <w:highlight w:val="none"/>
          <w:u w:val="single"/>
          <w:lang w:val="zh-CN" w:eastAsia="zh-CN" w:bidi="ar-SA"/>
        </w:rPr>
        <w:t>（标的名称）</w:t>
      </w:r>
      <w:r>
        <w:rPr>
          <w:rFonts w:hint="eastAsia" w:ascii="宋体" w:hAnsi="宋体" w:eastAsia="宋体" w:cs="宋体"/>
          <w:color w:val="auto"/>
          <w:kern w:val="2"/>
          <w:sz w:val="24"/>
          <w:szCs w:val="24"/>
          <w:highlight w:val="none"/>
          <w:lang w:val="zh-CN" w:eastAsia="zh-CN" w:bidi="ar-SA"/>
        </w:rPr>
        <w:t>，属于</w:t>
      </w:r>
      <w:r>
        <w:rPr>
          <w:rFonts w:hint="eastAsia" w:ascii="宋体" w:hAnsi="宋体" w:eastAsia="宋体" w:cs="宋体"/>
          <w:color w:val="auto"/>
          <w:kern w:val="2"/>
          <w:sz w:val="24"/>
          <w:szCs w:val="24"/>
          <w:highlight w:val="none"/>
          <w:u w:val="single"/>
          <w:lang w:val="zh-CN" w:eastAsia="zh-CN" w:bidi="ar-SA"/>
        </w:rPr>
        <w:t>（采购文件中明确的所属行业）</w:t>
      </w:r>
      <w:r>
        <w:rPr>
          <w:rFonts w:hint="eastAsia" w:ascii="宋体" w:hAnsi="宋体" w:eastAsia="宋体" w:cs="宋体"/>
          <w:color w:val="auto"/>
          <w:kern w:val="2"/>
          <w:sz w:val="24"/>
          <w:szCs w:val="24"/>
          <w:highlight w:val="none"/>
          <w:lang w:val="zh-CN" w:eastAsia="zh-CN" w:bidi="ar-SA"/>
        </w:rPr>
        <w:t>；承建（承接）企业为</w:t>
      </w:r>
      <w:r>
        <w:rPr>
          <w:rFonts w:hint="eastAsia" w:ascii="宋体" w:hAnsi="宋体" w:eastAsia="宋体" w:cs="宋体"/>
          <w:color w:val="auto"/>
          <w:kern w:val="2"/>
          <w:sz w:val="24"/>
          <w:szCs w:val="24"/>
          <w:highlight w:val="none"/>
          <w:u w:val="single"/>
          <w:lang w:val="zh-CN" w:eastAsia="zh-CN" w:bidi="ar-SA"/>
        </w:rPr>
        <w:t>（企业名称）</w:t>
      </w:r>
      <w:r>
        <w:rPr>
          <w:rFonts w:hint="eastAsia" w:ascii="宋体" w:hAnsi="宋体" w:eastAsia="宋体" w:cs="宋体"/>
          <w:color w:val="auto"/>
          <w:kern w:val="2"/>
          <w:sz w:val="24"/>
          <w:szCs w:val="24"/>
          <w:highlight w:val="none"/>
          <w:lang w:val="zh-CN" w:eastAsia="zh-CN" w:bidi="ar-SA"/>
        </w:rPr>
        <w:t>，从业人员</w:t>
      </w:r>
      <w:r>
        <w:rPr>
          <w:rFonts w:hint="eastAsia" w:ascii="宋体" w:hAnsi="宋体" w:eastAsia="宋体" w:cs="宋体"/>
          <w:color w:val="auto"/>
          <w:kern w:val="2"/>
          <w:sz w:val="24"/>
          <w:szCs w:val="24"/>
          <w:highlight w:val="none"/>
          <w:u w:val="single"/>
          <w:lang w:val="zh-CN" w:eastAsia="zh-CN" w:bidi="ar-SA"/>
        </w:rPr>
        <w:t xml:space="preserve">  </w:t>
      </w:r>
      <w:r>
        <w:rPr>
          <w:rFonts w:hint="eastAsia" w:ascii="宋体" w:hAnsi="宋体" w:eastAsia="宋体" w:cs="宋体"/>
          <w:color w:val="auto"/>
          <w:kern w:val="2"/>
          <w:sz w:val="24"/>
          <w:szCs w:val="24"/>
          <w:highlight w:val="none"/>
          <w:lang w:val="zh-CN" w:eastAsia="zh-CN" w:bidi="ar-SA"/>
        </w:rPr>
        <w:t>人</w:t>
      </w:r>
      <w:r>
        <w:rPr>
          <w:rFonts w:hint="eastAsia" w:ascii="宋体" w:hAnsi="宋体" w:eastAsia="宋体" w:cs="宋体"/>
          <w:color w:val="auto"/>
          <w:w w:val="99"/>
          <w:sz w:val="24"/>
          <w:szCs w:val="24"/>
          <w:highlight w:val="none"/>
        </w:rPr>
        <w:t>，</w:t>
      </w:r>
      <w:r>
        <w:rPr>
          <w:rFonts w:hint="eastAsia" w:ascii="宋体" w:hAnsi="宋体" w:eastAsia="宋体" w:cs="宋体"/>
          <w:color w:val="auto"/>
          <w:kern w:val="2"/>
          <w:sz w:val="24"/>
          <w:szCs w:val="24"/>
          <w:highlight w:val="none"/>
          <w:lang w:val="zh-CN" w:eastAsia="zh-CN" w:bidi="ar-SA"/>
        </w:rPr>
        <w:t>营业收入为</w:t>
      </w:r>
      <w:r>
        <w:rPr>
          <w:rFonts w:hint="eastAsia" w:ascii="宋体" w:hAnsi="宋体" w:eastAsia="宋体" w:cs="宋体"/>
          <w:color w:val="auto"/>
          <w:kern w:val="2"/>
          <w:sz w:val="24"/>
          <w:szCs w:val="24"/>
          <w:highlight w:val="none"/>
          <w:u w:val="single"/>
          <w:lang w:val="zh-CN" w:eastAsia="zh-CN" w:bidi="ar-SA"/>
        </w:rPr>
        <w:t xml:space="preserve">  </w:t>
      </w:r>
      <w:r>
        <w:rPr>
          <w:rFonts w:hint="eastAsia" w:ascii="宋体" w:hAnsi="宋体" w:eastAsia="宋体" w:cs="宋体"/>
          <w:color w:val="auto"/>
          <w:kern w:val="2"/>
          <w:sz w:val="24"/>
          <w:szCs w:val="24"/>
          <w:highlight w:val="none"/>
          <w:lang w:val="zh-CN" w:eastAsia="zh-CN" w:bidi="ar-SA"/>
        </w:rPr>
        <w:t>万元，资产总额为</w:t>
      </w:r>
      <w:r>
        <w:rPr>
          <w:rFonts w:hint="eastAsia" w:ascii="宋体" w:hAnsi="宋体" w:eastAsia="宋体" w:cs="宋体"/>
          <w:color w:val="auto"/>
          <w:kern w:val="2"/>
          <w:sz w:val="24"/>
          <w:szCs w:val="24"/>
          <w:highlight w:val="none"/>
          <w:u w:val="single"/>
          <w:lang w:val="zh-CN" w:eastAsia="zh-CN" w:bidi="ar-SA"/>
        </w:rPr>
        <w:t xml:space="preserve">  </w:t>
      </w:r>
      <w:r>
        <w:rPr>
          <w:rFonts w:hint="eastAsia" w:ascii="宋体" w:hAnsi="宋体" w:eastAsia="宋体" w:cs="宋体"/>
          <w:color w:val="auto"/>
          <w:kern w:val="2"/>
          <w:sz w:val="24"/>
          <w:szCs w:val="24"/>
          <w:highlight w:val="none"/>
          <w:u w:val="single"/>
          <w:lang w:val="zh-CN" w:eastAsia="zh-CN" w:bidi="ar-SA"/>
        </w:rPr>
        <w:tab/>
      </w:r>
      <w:r>
        <w:rPr>
          <w:rFonts w:hint="eastAsia" w:ascii="宋体" w:hAnsi="宋体" w:eastAsia="宋体" w:cs="宋体"/>
          <w:color w:val="auto"/>
          <w:kern w:val="2"/>
          <w:sz w:val="24"/>
          <w:szCs w:val="24"/>
          <w:highlight w:val="none"/>
          <w:lang w:val="zh-CN" w:eastAsia="zh-CN" w:bidi="ar-SA"/>
        </w:rPr>
        <w:t>万元</w:t>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z w:val="24"/>
          <w:szCs w:val="24"/>
          <w:highlight w:val="none"/>
        </w:rPr>
        <w:t>，属</w:t>
      </w:r>
      <w:r>
        <w:rPr>
          <w:rFonts w:hint="eastAsia" w:ascii="宋体" w:hAnsi="宋体" w:eastAsia="宋体" w:cs="宋体"/>
          <w:color w:val="auto"/>
          <w:kern w:val="2"/>
          <w:sz w:val="24"/>
          <w:szCs w:val="24"/>
          <w:highlight w:val="none"/>
          <w:lang w:val="zh-CN" w:eastAsia="zh-CN" w:bidi="ar-SA"/>
        </w:rPr>
        <w:t>于</w:t>
      </w:r>
      <w:r>
        <w:rPr>
          <w:rFonts w:hint="eastAsia" w:ascii="宋体" w:hAnsi="宋体" w:eastAsia="宋体" w:cs="宋体"/>
          <w:color w:val="auto"/>
          <w:kern w:val="2"/>
          <w:sz w:val="24"/>
          <w:szCs w:val="24"/>
          <w:highlight w:val="none"/>
          <w:u w:val="single"/>
          <w:lang w:val="zh-CN" w:eastAsia="zh-CN" w:bidi="ar-SA"/>
        </w:rPr>
        <w:t>（中型企业、小型企业、微型企业）</w:t>
      </w:r>
      <w:r>
        <w:rPr>
          <w:rFonts w:hint="eastAsia" w:ascii="宋体" w:hAnsi="宋体" w:eastAsia="宋体" w:cs="宋体"/>
          <w:color w:val="auto"/>
          <w:kern w:val="2"/>
          <w:sz w:val="24"/>
          <w:szCs w:val="24"/>
          <w:highlight w:val="none"/>
          <w:lang w:val="zh-CN" w:eastAsia="zh-CN" w:bidi="ar-SA"/>
        </w:rPr>
        <w:t>；</w:t>
      </w:r>
    </w:p>
    <w:p w14:paraId="37072996">
      <w:pPr>
        <w:pStyle w:val="9"/>
        <w:keepNext w:val="0"/>
        <w:keepLines w:val="0"/>
        <w:pageBreakBefore w:val="0"/>
        <w:kinsoku/>
        <w:overflowPunct/>
        <w:topLinePunct w:val="0"/>
        <w:autoSpaceDE w:val="0"/>
        <w:autoSpaceDN w:val="0"/>
        <w:bidi w:val="0"/>
        <w:adjustRightInd/>
        <w:spacing w:line="360" w:lineRule="auto"/>
        <w:ind w:right="-54"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5102F675">
      <w:pPr>
        <w:pStyle w:val="9"/>
        <w:keepNext w:val="0"/>
        <w:keepLines w:val="0"/>
        <w:pageBreakBefore w:val="0"/>
        <w:kinsoku/>
        <w:overflowPunct/>
        <w:topLinePunct w:val="0"/>
        <w:autoSpaceDE w:val="0"/>
        <w:autoSpaceDN w:val="0"/>
        <w:bidi w:val="0"/>
        <w:adjustRightInd/>
        <w:spacing w:line="360" w:lineRule="auto"/>
        <w:ind w:right="-54"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64C5CC6B">
      <w:pPr>
        <w:pStyle w:val="9"/>
        <w:keepNext w:val="0"/>
        <w:keepLines w:val="0"/>
        <w:pageBreakBefore w:val="0"/>
        <w:kinsoku/>
        <w:overflowPunct/>
        <w:topLinePunct w:val="0"/>
        <w:autoSpaceDE w:val="0"/>
        <w:autoSpaceDN w:val="0"/>
        <w:bidi w:val="0"/>
        <w:adjustRightInd/>
        <w:spacing w:line="360" w:lineRule="auto"/>
        <w:ind w:right="-54"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2741B5D0">
      <w:pPr>
        <w:pStyle w:val="9"/>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4"/>
          <w:szCs w:val="24"/>
          <w:highlight w:val="none"/>
        </w:rPr>
      </w:pPr>
    </w:p>
    <w:p w14:paraId="58BB13C5">
      <w:pPr>
        <w:pStyle w:val="9"/>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4"/>
          <w:szCs w:val="24"/>
          <w:highlight w:val="none"/>
        </w:rPr>
      </w:pPr>
    </w:p>
    <w:p w14:paraId="6172030D">
      <w:pPr>
        <w:pStyle w:val="9"/>
        <w:keepNext w:val="0"/>
        <w:keepLines w:val="0"/>
        <w:pageBreakBefore w:val="0"/>
        <w:kinsoku/>
        <w:overflowPunct/>
        <w:topLinePunct w:val="0"/>
        <w:autoSpaceDE w:val="0"/>
        <w:autoSpaceDN w:val="0"/>
        <w:bidi w:val="0"/>
        <w:adjustRightInd/>
        <w:spacing w:before="29" w:line="360" w:lineRule="auto"/>
        <w:ind w:right="-54" w:firstLine="4560" w:firstLineChars="19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企业名称（盖章）：</w:t>
      </w:r>
    </w:p>
    <w:p w14:paraId="5365A3C6">
      <w:pPr>
        <w:pStyle w:val="9"/>
        <w:keepNext w:val="0"/>
        <w:keepLines w:val="0"/>
        <w:pageBreakBefore w:val="0"/>
        <w:kinsoku/>
        <w:overflowPunct/>
        <w:topLinePunct w:val="0"/>
        <w:autoSpaceDE w:val="0"/>
        <w:autoSpaceDN w:val="0"/>
        <w:bidi w:val="0"/>
        <w:adjustRightInd/>
        <w:spacing w:before="29" w:line="360" w:lineRule="auto"/>
        <w:ind w:right="-54" w:firstLine="4560" w:firstLineChars="190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日期：</w:t>
      </w:r>
    </w:p>
    <w:p w14:paraId="3A289B89">
      <w:pPr>
        <w:pStyle w:val="13"/>
        <w:keepNext w:val="0"/>
        <w:keepLines w:val="0"/>
        <w:pageBreakBefore w:val="0"/>
        <w:kinsoku/>
        <w:overflowPunct/>
        <w:topLinePunct w:val="0"/>
        <w:bidi w:val="0"/>
        <w:spacing w:line="360" w:lineRule="auto"/>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注：1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从业人员、营业收入、资产总额填报上一年度数据，无上一年度数据的新成立企业可不填报。</w:t>
      </w:r>
    </w:p>
    <w:p w14:paraId="383A6971">
      <w:pPr>
        <w:tabs>
          <w:tab w:val="left" w:pos="8280"/>
        </w:tabs>
        <w:autoSpaceDE w:val="0"/>
        <w:autoSpaceDN w:val="0"/>
        <w:adjustRightInd w:val="0"/>
        <w:spacing w:line="240" w:lineRule="atLeast"/>
        <w:ind w:right="25"/>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pacing w:val="20"/>
          <w:kern w:val="0"/>
          <w:sz w:val="24"/>
          <w:szCs w:val="24"/>
          <w:highlight w:val="none"/>
        </w:rPr>
        <w:t>投标人按各自参加投标的对应标包分别编制、分别成册、分别提交</w:t>
      </w:r>
      <w:r>
        <w:rPr>
          <w:rFonts w:hint="eastAsia" w:ascii="宋体" w:hAnsi="宋体" w:eastAsia="宋体" w:cs="宋体"/>
          <w:color w:val="auto"/>
          <w:spacing w:val="20"/>
          <w:kern w:val="0"/>
          <w:sz w:val="24"/>
          <w:szCs w:val="24"/>
          <w:highlight w:val="none"/>
          <w:lang w:eastAsia="zh-CN"/>
        </w:rPr>
        <w:t>。</w:t>
      </w:r>
    </w:p>
    <w:p w14:paraId="5A7C1477">
      <w:pPr>
        <w:snapToGrid w:val="0"/>
        <w:spacing w:line="360" w:lineRule="auto"/>
        <w:jc w:val="center"/>
        <w:rPr>
          <w:rFonts w:hint="eastAsia"/>
          <w:color w:val="auto"/>
          <w:sz w:val="24"/>
          <w:szCs w:val="24"/>
          <w:highlight w:val="none"/>
        </w:rPr>
      </w:pPr>
    </w:p>
    <w:p w14:paraId="60890C3D">
      <w:pPr>
        <w:pStyle w:val="53"/>
        <w:shd w:val="clear" w:color="auto" w:fill="FFFFFF"/>
        <w:spacing w:before="0" w:beforeAutospacing="0" w:after="0" w:afterAutospacing="0"/>
        <w:rPr>
          <w:rFonts w:hint="eastAsia" w:ascii="宋体" w:hAnsi="宋体"/>
          <w:b/>
          <w:color w:val="auto"/>
          <w:sz w:val="28"/>
          <w:highlight w:val="none"/>
        </w:rPr>
      </w:pPr>
    </w:p>
    <w:p w14:paraId="14029754">
      <w:pPr>
        <w:pStyle w:val="53"/>
        <w:shd w:val="clear" w:color="auto" w:fill="FFFFFF"/>
        <w:spacing w:before="0" w:beforeAutospacing="0" w:after="0" w:afterAutospacing="0"/>
        <w:rPr>
          <w:rFonts w:hint="eastAsia" w:ascii="宋体" w:hAnsi="宋体"/>
          <w:b/>
          <w:color w:val="auto"/>
          <w:sz w:val="28"/>
          <w:highlight w:val="none"/>
        </w:rPr>
      </w:pPr>
    </w:p>
    <w:p w14:paraId="10D827BF">
      <w:pPr>
        <w:tabs>
          <w:tab w:val="left" w:pos="8280"/>
        </w:tabs>
        <w:autoSpaceDE w:val="0"/>
        <w:autoSpaceDN w:val="0"/>
        <w:adjustRightInd w:val="0"/>
        <w:spacing w:line="240" w:lineRule="atLeast"/>
        <w:ind w:right="25"/>
        <w:outlineLvl w:val="0"/>
        <w:rPr>
          <w:rFonts w:hint="eastAsia" w:ascii="宋体" w:hAnsi="宋体"/>
          <w:color w:val="auto"/>
          <w:kern w:val="0"/>
          <w:sz w:val="24"/>
          <w:highlight w:val="none"/>
        </w:rPr>
      </w:pPr>
      <w:r>
        <w:rPr>
          <w:rFonts w:hint="eastAsia" w:ascii="宋体" w:hAnsi="宋体"/>
          <w:b/>
          <w:color w:val="auto"/>
          <w:sz w:val="28"/>
          <w:highlight w:val="none"/>
        </w:rPr>
        <w:t>附件</w:t>
      </w:r>
      <w:r>
        <w:rPr>
          <w:rFonts w:hint="eastAsia" w:ascii="宋体" w:hAnsi="宋体"/>
          <w:b/>
          <w:color w:val="auto"/>
          <w:sz w:val="28"/>
          <w:highlight w:val="none"/>
          <w:lang w:val="en-US" w:eastAsia="zh-CN"/>
        </w:rPr>
        <w:t>9</w:t>
      </w:r>
      <w:r>
        <w:rPr>
          <w:rFonts w:hint="eastAsia" w:ascii="宋体" w:hAnsi="宋体"/>
          <w:color w:val="auto"/>
          <w:sz w:val="28"/>
          <w:highlight w:val="none"/>
        </w:rPr>
        <w:t xml:space="preserve">                                                 </w:t>
      </w:r>
    </w:p>
    <w:p w14:paraId="65276C7B">
      <w:pPr>
        <w:spacing w:before="312" w:beforeLines="100" w:line="360" w:lineRule="auto"/>
        <w:jc w:val="center"/>
        <w:rPr>
          <w:rFonts w:hint="eastAsia" w:ascii="宋体" w:hAnsi="宋体" w:eastAsia="宋体"/>
          <w:color w:val="auto"/>
          <w:spacing w:val="40"/>
          <w:sz w:val="48"/>
          <w:szCs w:val="48"/>
          <w:highlight w:val="none"/>
          <w:lang w:eastAsia="zh-CN"/>
        </w:rPr>
      </w:pPr>
      <w:r>
        <w:rPr>
          <w:rFonts w:hint="eastAsia" w:ascii="宋体" w:hAnsi="宋体"/>
          <w:color w:val="auto"/>
          <w:spacing w:val="40"/>
          <w:sz w:val="44"/>
          <w:szCs w:val="44"/>
          <w:highlight w:val="none"/>
          <w:lang w:eastAsia="zh-CN"/>
        </w:rPr>
        <w:t>2025年椒江区前所街道居家养老服务采购项目</w:t>
      </w:r>
    </w:p>
    <w:p w14:paraId="21F30FB1">
      <w:pPr>
        <w:jc w:val="center"/>
        <w:rPr>
          <w:rFonts w:hint="eastAsia" w:ascii="宋体" w:hAnsi="宋体"/>
          <w:color w:val="auto"/>
          <w:szCs w:val="21"/>
          <w:highlight w:val="none"/>
        </w:rPr>
      </w:pPr>
    </w:p>
    <w:p w14:paraId="515A820E">
      <w:pPr>
        <w:spacing w:before="312" w:beforeLines="100" w:line="360" w:lineRule="auto"/>
        <w:ind w:right="-108"/>
        <w:jc w:val="center"/>
        <w:rPr>
          <w:rFonts w:hint="eastAsia" w:ascii="宋体" w:hAnsi="宋体" w:eastAsia="宋体"/>
          <w:color w:val="auto"/>
          <w:sz w:val="32"/>
          <w:szCs w:val="32"/>
          <w:highlight w:val="none"/>
          <w:lang w:eastAsia="zh-CN"/>
        </w:rPr>
      </w:pPr>
      <w:r>
        <w:rPr>
          <w:rFonts w:hint="eastAsia" w:ascii="宋体" w:hAnsi="宋体"/>
          <w:color w:val="auto"/>
          <w:sz w:val="32"/>
          <w:szCs w:val="32"/>
          <w:highlight w:val="none"/>
        </w:rPr>
        <w:t>项目编号：</w:t>
      </w:r>
      <w:r>
        <w:rPr>
          <w:rFonts w:hint="eastAsia" w:ascii="宋体" w:hAnsi="宋体"/>
          <w:color w:val="auto"/>
          <w:spacing w:val="40"/>
          <w:sz w:val="32"/>
          <w:szCs w:val="32"/>
          <w:highlight w:val="none"/>
          <w:lang w:eastAsia="zh-CN"/>
        </w:rPr>
        <w:t>YHZB-2025-0327</w:t>
      </w:r>
    </w:p>
    <w:p w14:paraId="299E2CE2">
      <w:pPr>
        <w:spacing w:after="100" w:afterAutospacing="1"/>
        <w:ind w:right="-108"/>
        <w:jc w:val="center"/>
        <w:rPr>
          <w:rFonts w:hint="eastAsia" w:ascii="宋体" w:hAnsi="宋体"/>
          <w:b/>
          <w:color w:val="auto"/>
          <w:spacing w:val="40"/>
          <w:sz w:val="22"/>
          <w:szCs w:val="22"/>
          <w:highlight w:val="none"/>
        </w:rPr>
      </w:pPr>
    </w:p>
    <w:p w14:paraId="6AF55B32">
      <w:pPr>
        <w:spacing w:after="100" w:afterAutospacing="1" w:line="800" w:lineRule="exact"/>
        <w:ind w:right="-108"/>
        <w:jc w:val="center"/>
        <w:rPr>
          <w:rFonts w:hint="eastAsia" w:ascii="宋体" w:hAnsi="宋体"/>
          <w:b/>
          <w:color w:val="auto"/>
          <w:spacing w:val="40"/>
          <w:sz w:val="56"/>
          <w:szCs w:val="56"/>
          <w:highlight w:val="none"/>
        </w:rPr>
      </w:pPr>
      <w:r>
        <w:rPr>
          <w:rFonts w:hint="eastAsia" w:ascii="宋体" w:hAnsi="宋体"/>
          <w:b/>
          <w:color w:val="auto"/>
          <w:spacing w:val="40"/>
          <w:sz w:val="56"/>
          <w:szCs w:val="56"/>
          <w:highlight w:val="none"/>
        </w:rPr>
        <w:t>磋</w:t>
      </w:r>
    </w:p>
    <w:p w14:paraId="519A2426">
      <w:pPr>
        <w:spacing w:after="100" w:afterAutospacing="1" w:line="800" w:lineRule="exact"/>
        <w:ind w:right="-108"/>
        <w:jc w:val="center"/>
        <w:rPr>
          <w:rFonts w:hint="eastAsia" w:ascii="宋体" w:hAnsi="宋体"/>
          <w:b/>
          <w:color w:val="auto"/>
          <w:spacing w:val="40"/>
          <w:sz w:val="56"/>
          <w:szCs w:val="56"/>
          <w:highlight w:val="none"/>
        </w:rPr>
      </w:pPr>
      <w:r>
        <w:rPr>
          <w:rFonts w:hint="eastAsia" w:ascii="宋体" w:hAnsi="宋体"/>
          <w:b/>
          <w:color w:val="auto"/>
          <w:spacing w:val="40"/>
          <w:sz w:val="56"/>
          <w:szCs w:val="56"/>
          <w:highlight w:val="none"/>
        </w:rPr>
        <w:t>商</w:t>
      </w:r>
    </w:p>
    <w:p w14:paraId="5B41AC9B">
      <w:pPr>
        <w:spacing w:after="100" w:afterAutospacing="1" w:line="800" w:lineRule="exact"/>
        <w:ind w:right="-108"/>
        <w:jc w:val="center"/>
        <w:rPr>
          <w:rFonts w:hint="eastAsia" w:ascii="宋体" w:hAnsi="宋体"/>
          <w:b/>
          <w:color w:val="auto"/>
          <w:spacing w:val="40"/>
          <w:sz w:val="56"/>
          <w:szCs w:val="56"/>
          <w:highlight w:val="none"/>
        </w:rPr>
      </w:pPr>
      <w:r>
        <w:rPr>
          <w:rFonts w:hint="eastAsia" w:ascii="宋体" w:hAnsi="宋体"/>
          <w:b/>
          <w:color w:val="auto"/>
          <w:spacing w:val="40"/>
          <w:sz w:val="56"/>
          <w:szCs w:val="56"/>
          <w:highlight w:val="none"/>
        </w:rPr>
        <w:t>响</w:t>
      </w:r>
    </w:p>
    <w:p w14:paraId="1478828B">
      <w:pPr>
        <w:spacing w:after="100" w:afterAutospacing="1" w:line="800" w:lineRule="exact"/>
        <w:ind w:right="-108"/>
        <w:jc w:val="center"/>
        <w:rPr>
          <w:rFonts w:hint="eastAsia" w:ascii="宋体" w:hAnsi="宋体"/>
          <w:b/>
          <w:color w:val="auto"/>
          <w:spacing w:val="40"/>
          <w:sz w:val="56"/>
          <w:szCs w:val="56"/>
          <w:highlight w:val="none"/>
        </w:rPr>
      </w:pPr>
      <w:r>
        <w:rPr>
          <w:rFonts w:hint="eastAsia" w:ascii="宋体" w:hAnsi="宋体"/>
          <w:b/>
          <w:color w:val="auto"/>
          <w:spacing w:val="40"/>
          <w:sz w:val="56"/>
          <w:szCs w:val="56"/>
          <w:highlight w:val="none"/>
        </w:rPr>
        <w:t>应</w:t>
      </w:r>
    </w:p>
    <w:p w14:paraId="672EA185">
      <w:pPr>
        <w:spacing w:after="100" w:afterAutospacing="1" w:line="800" w:lineRule="exact"/>
        <w:ind w:right="-108"/>
        <w:jc w:val="center"/>
        <w:rPr>
          <w:rFonts w:hint="eastAsia" w:ascii="宋体" w:hAnsi="宋体"/>
          <w:b/>
          <w:color w:val="auto"/>
          <w:spacing w:val="40"/>
          <w:sz w:val="56"/>
          <w:szCs w:val="56"/>
          <w:highlight w:val="none"/>
        </w:rPr>
      </w:pPr>
      <w:r>
        <w:rPr>
          <w:rFonts w:hint="eastAsia" w:ascii="宋体" w:hAnsi="宋体"/>
          <w:b/>
          <w:color w:val="auto"/>
          <w:spacing w:val="40"/>
          <w:sz w:val="56"/>
          <w:szCs w:val="56"/>
          <w:highlight w:val="none"/>
        </w:rPr>
        <w:t>文</w:t>
      </w:r>
    </w:p>
    <w:p w14:paraId="1C5F221B">
      <w:pPr>
        <w:spacing w:after="100" w:afterAutospacing="1" w:line="800" w:lineRule="exact"/>
        <w:ind w:right="-108"/>
        <w:jc w:val="center"/>
        <w:rPr>
          <w:rFonts w:hint="eastAsia" w:ascii="宋体" w:hAnsi="宋体"/>
          <w:b/>
          <w:color w:val="auto"/>
          <w:spacing w:val="40"/>
          <w:sz w:val="56"/>
          <w:szCs w:val="56"/>
          <w:highlight w:val="none"/>
        </w:rPr>
      </w:pPr>
      <w:r>
        <w:rPr>
          <w:rFonts w:hint="eastAsia" w:ascii="宋体" w:hAnsi="宋体"/>
          <w:b/>
          <w:color w:val="auto"/>
          <w:spacing w:val="40"/>
          <w:sz w:val="56"/>
          <w:szCs w:val="56"/>
          <w:highlight w:val="none"/>
        </w:rPr>
        <w:t>件</w:t>
      </w:r>
    </w:p>
    <w:p w14:paraId="444F0187">
      <w:pPr>
        <w:ind w:right="532"/>
        <w:jc w:val="center"/>
        <w:rPr>
          <w:rFonts w:hint="eastAsia" w:ascii="宋体" w:hAnsi="宋体"/>
          <w:color w:val="auto"/>
          <w:szCs w:val="21"/>
          <w:highlight w:val="none"/>
        </w:rPr>
      </w:pPr>
      <w:r>
        <w:rPr>
          <w:rFonts w:hint="eastAsia" w:ascii="宋体" w:hAnsi="宋体"/>
          <w:b/>
          <w:color w:val="auto"/>
          <w:spacing w:val="40"/>
          <w:sz w:val="28"/>
          <w:szCs w:val="28"/>
          <w:highlight w:val="none"/>
          <w:lang w:val="en-US" w:eastAsia="zh-CN"/>
        </w:rPr>
        <w:t xml:space="preserve">  </w:t>
      </w:r>
      <w:r>
        <w:rPr>
          <w:rFonts w:hint="eastAsia" w:ascii="宋体" w:hAnsi="宋体"/>
          <w:b/>
          <w:color w:val="auto"/>
          <w:spacing w:val="40"/>
          <w:sz w:val="28"/>
          <w:szCs w:val="28"/>
          <w:highlight w:val="none"/>
          <w:lang w:val="zh-CN"/>
        </w:rPr>
        <w:t>（</w:t>
      </w:r>
      <w:r>
        <w:rPr>
          <w:rFonts w:hint="eastAsia" w:ascii="宋体" w:hAnsi="宋体"/>
          <w:b/>
          <w:color w:val="auto"/>
          <w:spacing w:val="40"/>
          <w:sz w:val="28"/>
          <w:szCs w:val="28"/>
          <w:highlight w:val="none"/>
          <w:lang w:val="en-US" w:eastAsia="zh-CN"/>
        </w:rPr>
        <w:t>商务与技术</w:t>
      </w:r>
      <w:r>
        <w:rPr>
          <w:rFonts w:hint="eastAsia" w:ascii="宋体" w:hAnsi="宋体"/>
          <w:b/>
          <w:color w:val="auto"/>
          <w:spacing w:val="40"/>
          <w:sz w:val="28"/>
          <w:szCs w:val="28"/>
          <w:highlight w:val="none"/>
        </w:rPr>
        <w:t>文件）</w:t>
      </w:r>
    </w:p>
    <w:p w14:paraId="36B5B91A">
      <w:pPr>
        <w:ind w:right="532" w:firstLine="640" w:firstLineChars="200"/>
        <w:rPr>
          <w:rFonts w:hint="eastAsia" w:ascii="宋体" w:hAnsi="宋体"/>
          <w:color w:val="auto"/>
          <w:sz w:val="32"/>
          <w:szCs w:val="32"/>
          <w:highlight w:val="none"/>
        </w:rPr>
      </w:pPr>
      <w:r>
        <w:rPr>
          <w:rFonts w:hint="eastAsia" w:ascii="宋体" w:hAnsi="宋体"/>
          <w:color w:val="auto"/>
          <w:sz w:val="32"/>
          <w:szCs w:val="32"/>
          <w:highlight w:val="none"/>
        </w:rPr>
        <w:t>供应商全称（公章）：</w:t>
      </w:r>
    </w:p>
    <w:p w14:paraId="73B3E579">
      <w:pPr>
        <w:wordWrap w:val="0"/>
        <w:ind w:right="-108" w:firstLine="640" w:firstLineChars="200"/>
        <w:rPr>
          <w:rFonts w:hint="eastAsia" w:ascii="宋体" w:hAnsi="宋体"/>
          <w:color w:val="auto"/>
          <w:sz w:val="32"/>
          <w:szCs w:val="32"/>
          <w:highlight w:val="none"/>
        </w:rPr>
      </w:pPr>
      <w:r>
        <w:rPr>
          <w:rFonts w:hint="eastAsia" w:ascii="宋体" w:hAnsi="宋体"/>
          <w:color w:val="auto"/>
          <w:sz w:val="32"/>
          <w:szCs w:val="32"/>
          <w:highlight w:val="none"/>
        </w:rPr>
        <w:t>地    址：</w:t>
      </w:r>
    </w:p>
    <w:p w14:paraId="77F64F5E">
      <w:pPr>
        <w:wordWrap w:val="0"/>
        <w:ind w:right="-108" w:firstLine="640" w:firstLineChars="200"/>
        <w:rPr>
          <w:rFonts w:hint="eastAsia" w:ascii="宋体" w:hAnsi="宋体"/>
          <w:color w:val="auto"/>
          <w:sz w:val="32"/>
          <w:szCs w:val="32"/>
          <w:highlight w:val="none"/>
        </w:rPr>
      </w:pPr>
      <w:r>
        <w:rPr>
          <w:rFonts w:hint="eastAsia" w:ascii="宋体" w:hAnsi="宋体"/>
          <w:color w:val="auto"/>
          <w:sz w:val="32"/>
          <w:szCs w:val="32"/>
          <w:highlight w:val="none"/>
        </w:rPr>
        <w:t>时    间：</w:t>
      </w:r>
    </w:p>
    <w:p w14:paraId="363245CD">
      <w:pPr>
        <w:keepNext w:val="0"/>
        <w:keepLines w:val="0"/>
        <w:pageBreakBefore w:val="0"/>
        <w:widowControl w:val="0"/>
        <w:kinsoku/>
        <w:wordWrap/>
        <w:overflowPunct/>
        <w:topLinePunct w:val="0"/>
        <w:autoSpaceDE/>
        <w:autoSpaceDN/>
        <w:bidi w:val="0"/>
        <w:adjustRightInd/>
        <w:spacing w:line="420" w:lineRule="exact"/>
        <w:ind w:right="-108" w:firstLine="422" w:firstLineChars="150"/>
        <w:textAlignment w:val="auto"/>
        <w:rPr>
          <w:rFonts w:hint="eastAsia" w:ascii="宋体" w:hAnsi="宋体" w:cs="宋体"/>
          <w:b/>
          <w:bCs/>
          <w:color w:val="auto"/>
          <w:sz w:val="28"/>
          <w:szCs w:val="28"/>
          <w:highlight w:val="none"/>
          <w:lang w:val="zh-CN"/>
        </w:rPr>
      </w:pPr>
    </w:p>
    <w:p w14:paraId="5B87979C">
      <w:pPr>
        <w:keepNext w:val="0"/>
        <w:keepLines w:val="0"/>
        <w:pageBreakBefore w:val="0"/>
        <w:widowControl w:val="0"/>
        <w:kinsoku/>
        <w:wordWrap/>
        <w:overflowPunct/>
        <w:topLinePunct w:val="0"/>
        <w:autoSpaceDE/>
        <w:autoSpaceDN/>
        <w:bidi w:val="0"/>
        <w:adjustRightInd/>
        <w:spacing w:line="420" w:lineRule="exact"/>
        <w:ind w:right="-108" w:firstLine="422" w:firstLineChars="150"/>
        <w:textAlignment w:val="auto"/>
        <w:rPr>
          <w:rFonts w:hint="eastAsia" w:ascii="宋体" w:hAnsi="宋体" w:cs="宋体"/>
          <w:b/>
          <w:bCs/>
          <w:color w:val="auto"/>
          <w:sz w:val="28"/>
          <w:szCs w:val="28"/>
          <w:highlight w:val="none"/>
          <w:lang w:val="zh-CN"/>
        </w:rPr>
      </w:pPr>
    </w:p>
    <w:p w14:paraId="6A6BCE10">
      <w:pPr>
        <w:keepNext w:val="0"/>
        <w:keepLines w:val="0"/>
        <w:pageBreakBefore w:val="0"/>
        <w:widowControl w:val="0"/>
        <w:kinsoku/>
        <w:wordWrap/>
        <w:overflowPunct/>
        <w:topLinePunct w:val="0"/>
        <w:autoSpaceDE/>
        <w:autoSpaceDN/>
        <w:bidi w:val="0"/>
        <w:adjustRightInd/>
        <w:snapToGrid w:val="0"/>
        <w:spacing w:before="0" w:after="0" w:line="360" w:lineRule="auto"/>
        <w:jc w:val="center"/>
        <w:textAlignment w:val="auto"/>
        <w:outlineLvl w:val="1"/>
        <w:rPr>
          <w:rFonts w:hint="eastAsia" w:ascii="宋体" w:hAnsi="宋体"/>
          <w:b/>
          <w:bCs/>
          <w:color w:val="auto"/>
          <w:sz w:val="32"/>
          <w:szCs w:val="32"/>
          <w:highlight w:val="none"/>
          <w:lang w:val="zh-CN"/>
        </w:rPr>
      </w:pPr>
    </w:p>
    <w:p w14:paraId="294B797E">
      <w:pPr>
        <w:keepNext w:val="0"/>
        <w:keepLines w:val="0"/>
        <w:pageBreakBefore w:val="0"/>
        <w:widowControl w:val="0"/>
        <w:kinsoku/>
        <w:wordWrap/>
        <w:overflowPunct/>
        <w:topLinePunct w:val="0"/>
        <w:autoSpaceDE/>
        <w:autoSpaceDN/>
        <w:bidi w:val="0"/>
        <w:adjustRightInd/>
        <w:snapToGrid w:val="0"/>
        <w:spacing w:before="0" w:after="0" w:line="360" w:lineRule="auto"/>
        <w:jc w:val="center"/>
        <w:textAlignment w:val="auto"/>
        <w:outlineLvl w:val="1"/>
        <w:rPr>
          <w:rFonts w:hint="eastAsia" w:ascii="宋体" w:hAnsi="宋体" w:cs="宋体"/>
          <w:b/>
          <w:bCs/>
          <w:color w:val="auto"/>
          <w:sz w:val="28"/>
          <w:szCs w:val="28"/>
          <w:highlight w:val="none"/>
        </w:rPr>
      </w:pPr>
      <w:r>
        <w:rPr>
          <w:rFonts w:hint="eastAsia" w:ascii="宋体" w:hAnsi="宋体"/>
          <w:b/>
          <w:bCs/>
          <w:color w:val="auto"/>
          <w:sz w:val="32"/>
          <w:szCs w:val="32"/>
          <w:highlight w:val="none"/>
          <w:lang w:val="zh-CN"/>
        </w:rPr>
        <w:t>商务与技术文件</w:t>
      </w:r>
      <w:r>
        <w:rPr>
          <w:rFonts w:hint="eastAsia" w:ascii="宋体" w:hAnsi="宋体"/>
          <w:b/>
          <w:bCs/>
          <w:color w:val="auto"/>
          <w:sz w:val="32"/>
          <w:szCs w:val="32"/>
          <w:highlight w:val="none"/>
        </w:rPr>
        <w:t>目录</w:t>
      </w:r>
    </w:p>
    <w:p w14:paraId="6930E5E8">
      <w:pPr>
        <w:pStyle w:val="6"/>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1、评标索引表（附件</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w:t>
      </w:r>
    </w:p>
    <w:p w14:paraId="37DDB14F">
      <w:pPr>
        <w:pStyle w:val="6"/>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2、供应商情况介绍（附件</w:t>
      </w: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w:t>
      </w:r>
    </w:p>
    <w:p w14:paraId="31E7E609">
      <w:pPr>
        <w:pStyle w:val="6"/>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、项目实施人员一览表(附件</w:t>
      </w:r>
      <w:r>
        <w:rPr>
          <w:rFonts w:hint="eastAsia" w:ascii="宋体" w:hAnsi="宋体" w:eastAsia="宋体" w:cs="宋体"/>
          <w:color w:val="auto"/>
          <w:sz w:val="24"/>
          <w:highlight w:val="none"/>
          <w:lang w:val="en-US" w:eastAsia="zh-CN"/>
        </w:rPr>
        <w:t>12</w:t>
      </w:r>
      <w:r>
        <w:rPr>
          <w:rFonts w:hint="eastAsia" w:ascii="宋体" w:hAnsi="宋体" w:eastAsia="宋体" w:cs="宋体"/>
          <w:color w:val="auto"/>
          <w:sz w:val="24"/>
          <w:highlight w:val="none"/>
        </w:rPr>
        <w:t>）</w:t>
      </w:r>
    </w:p>
    <w:p w14:paraId="6C84DFEE">
      <w:pPr>
        <w:pStyle w:val="6"/>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、项目负责人资格情况表(附件</w:t>
      </w:r>
      <w:r>
        <w:rPr>
          <w:rFonts w:hint="eastAsia" w:ascii="宋体" w:hAnsi="宋体" w:eastAsia="宋体" w:cs="宋体"/>
          <w:color w:val="auto"/>
          <w:sz w:val="24"/>
          <w:highlight w:val="none"/>
          <w:lang w:val="en-US" w:eastAsia="zh-CN"/>
        </w:rPr>
        <w:t>13</w:t>
      </w:r>
      <w:r>
        <w:rPr>
          <w:rFonts w:hint="eastAsia" w:ascii="宋体" w:hAnsi="宋体" w:eastAsia="宋体" w:cs="宋体"/>
          <w:color w:val="auto"/>
          <w:sz w:val="24"/>
          <w:highlight w:val="none"/>
        </w:rPr>
        <w:t>)</w:t>
      </w:r>
    </w:p>
    <w:p w14:paraId="75F516A3">
      <w:pPr>
        <w:pStyle w:val="6"/>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、商务及技术响应表（附件</w:t>
      </w:r>
      <w:r>
        <w:rPr>
          <w:rFonts w:hint="eastAsia" w:ascii="宋体" w:hAnsi="宋体" w:eastAsia="宋体" w:cs="宋体"/>
          <w:color w:val="auto"/>
          <w:sz w:val="24"/>
          <w:highlight w:val="none"/>
          <w:lang w:val="en-US" w:eastAsia="zh-CN"/>
        </w:rPr>
        <w:t>14</w:t>
      </w:r>
      <w:r>
        <w:rPr>
          <w:rFonts w:hint="eastAsia" w:ascii="宋体" w:hAnsi="宋体" w:eastAsia="宋体" w:cs="宋体"/>
          <w:color w:val="auto"/>
          <w:sz w:val="24"/>
          <w:highlight w:val="none"/>
        </w:rPr>
        <w:t>）</w:t>
      </w:r>
    </w:p>
    <w:p w14:paraId="6CC402C9">
      <w:pPr>
        <w:pStyle w:val="6"/>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、证书一览表（附件</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w:t>
      </w:r>
    </w:p>
    <w:p w14:paraId="6DC45FD6">
      <w:pPr>
        <w:pStyle w:val="6"/>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、类似项目实施情况一览表（附件</w:t>
      </w:r>
      <w:r>
        <w:rPr>
          <w:rFonts w:hint="eastAsia" w:ascii="宋体" w:hAnsi="宋体" w:eastAsia="宋体" w:cs="宋体"/>
          <w:color w:val="auto"/>
          <w:sz w:val="24"/>
          <w:highlight w:val="none"/>
          <w:lang w:val="en-US" w:eastAsia="zh-CN"/>
        </w:rPr>
        <w:t>16</w:t>
      </w:r>
      <w:r>
        <w:rPr>
          <w:rFonts w:hint="eastAsia" w:ascii="宋体" w:hAnsi="宋体" w:eastAsia="宋体" w:cs="宋体"/>
          <w:color w:val="auto"/>
          <w:sz w:val="24"/>
          <w:highlight w:val="none"/>
        </w:rPr>
        <w:t>）</w:t>
      </w:r>
    </w:p>
    <w:p w14:paraId="63888155">
      <w:pPr>
        <w:pStyle w:val="6"/>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r>
        <w:rPr>
          <w:rFonts w:hint="eastAsia" w:ascii="宋体" w:hAnsi="宋体" w:cs="宋体"/>
          <w:color w:val="auto"/>
          <w:sz w:val="24"/>
          <w:szCs w:val="24"/>
          <w:highlight w:val="none"/>
        </w:rPr>
        <w:t>服务</w:t>
      </w:r>
      <w:r>
        <w:rPr>
          <w:rFonts w:hint="eastAsia" w:ascii="宋体" w:hAnsi="宋体" w:cs="宋体"/>
          <w:color w:val="auto"/>
          <w:sz w:val="24"/>
          <w:szCs w:val="24"/>
          <w:highlight w:val="none"/>
          <w:lang w:val="en-US" w:eastAsia="zh-CN"/>
        </w:rPr>
        <w:t>措施</w:t>
      </w:r>
      <w:r>
        <w:rPr>
          <w:rFonts w:hint="eastAsia" w:ascii="宋体" w:hAnsi="宋体" w:cs="宋体"/>
          <w:color w:val="auto"/>
          <w:sz w:val="24"/>
          <w:szCs w:val="24"/>
          <w:highlight w:val="none"/>
        </w:rPr>
        <w:t>及承诺</w:t>
      </w:r>
      <w:r>
        <w:rPr>
          <w:rFonts w:hint="eastAsia" w:ascii="宋体" w:hAnsi="宋体" w:cs="宋体"/>
          <w:color w:val="auto"/>
          <w:sz w:val="24"/>
          <w:szCs w:val="24"/>
          <w:highlight w:val="none"/>
          <w:lang w:eastAsia="zh-CN"/>
        </w:rPr>
        <w:t>（</w:t>
      </w:r>
      <w:r>
        <w:rPr>
          <w:rFonts w:hint="eastAsia" w:ascii="宋体" w:hAnsi="宋体" w:eastAsia="宋体" w:cs="宋体"/>
          <w:bCs/>
          <w:color w:val="auto"/>
          <w:sz w:val="24"/>
          <w:highlight w:val="none"/>
          <w:lang w:val="en-US" w:eastAsia="zh-CN"/>
        </w:rPr>
        <w:t>可视情选用</w:t>
      </w:r>
      <w:r>
        <w:rPr>
          <w:rFonts w:hint="eastAsia" w:ascii="宋体" w:hAnsi="宋体" w:cs="宋体"/>
          <w:color w:val="auto"/>
          <w:sz w:val="24"/>
          <w:szCs w:val="24"/>
          <w:highlight w:val="none"/>
          <w:lang w:val="en-US" w:eastAsia="zh-CN"/>
        </w:rPr>
        <w:t>附件17</w:t>
      </w:r>
      <w:r>
        <w:rPr>
          <w:rFonts w:hint="eastAsia" w:ascii="宋体" w:hAnsi="宋体" w:cs="宋体"/>
          <w:color w:val="auto"/>
          <w:sz w:val="24"/>
          <w:szCs w:val="24"/>
          <w:highlight w:val="none"/>
          <w:lang w:eastAsia="zh-CN"/>
        </w:rPr>
        <w:t>）</w:t>
      </w:r>
    </w:p>
    <w:p w14:paraId="7CC145F3">
      <w:pPr>
        <w:pStyle w:val="6"/>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、针对磋商，响应供应商认为其他需要说明的</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包括可能影响供应商商务与技术内容评分的各类证明材料</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25CC4E14">
      <w:pPr>
        <w:pStyle w:val="53"/>
        <w:shd w:val="clear" w:color="auto" w:fill="FFFFFF"/>
        <w:spacing w:before="0" w:beforeAutospacing="0" w:after="0" w:afterAutospacing="0"/>
        <w:rPr>
          <w:rFonts w:hint="eastAsia" w:ascii="宋体" w:hAnsi="宋体"/>
          <w:b/>
          <w:color w:val="auto"/>
          <w:sz w:val="28"/>
          <w:highlight w:val="none"/>
        </w:rPr>
      </w:pPr>
    </w:p>
    <w:p w14:paraId="59731CE3">
      <w:pPr>
        <w:keepNext w:val="0"/>
        <w:keepLines w:val="0"/>
        <w:pageBreakBefore w:val="0"/>
        <w:widowControl w:val="0"/>
        <w:kinsoku/>
        <w:wordWrap/>
        <w:overflowPunct/>
        <w:topLinePunct w:val="0"/>
        <w:autoSpaceDE/>
        <w:autoSpaceDN/>
        <w:bidi w:val="0"/>
        <w:adjustRightInd/>
        <w:spacing w:line="420" w:lineRule="exact"/>
        <w:ind w:right="-108" w:firstLine="422" w:firstLineChars="150"/>
        <w:textAlignment w:val="auto"/>
        <w:rPr>
          <w:rFonts w:hint="eastAsia" w:ascii="宋体" w:hAnsi="宋体" w:cs="宋体"/>
          <w:b/>
          <w:bCs/>
          <w:color w:val="auto"/>
          <w:sz w:val="28"/>
          <w:szCs w:val="28"/>
          <w:highlight w:val="none"/>
          <w:lang w:val="zh-CN"/>
        </w:rPr>
      </w:pPr>
    </w:p>
    <w:p w14:paraId="22FBFC60">
      <w:pPr>
        <w:pStyle w:val="53"/>
        <w:shd w:val="clear" w:color="auto" w:fill="FFFFFF"/>
        <w:spacing w:before="0" w:beforeAutospacing="0" w:after="0" w:afterAutospacing="0"/>
        <w:outlineLvl w:val="0"/>
        <w:rPr>
          <w:rFonts w:hint="eastAsia"/>
          <w:b/>
          <w:color w:val="auto"/>
          <w:sz w:val="28"/>
          <w:highlight w:val="none"/>
        </w:rPr>
      </w:pPr>
    </w:p>
    <w:p w14:paraId="7B15DCEA">
      <w:pPr>
        <w:pStyle w:val="53"/>
        <w:shd w:val="clear" w:color="auto" w:fill="FFFFFF"/>
        <w:spacing w:before="0" w:beforeAutospacing="0" w:after="0" w:afterAutospacing="0"/>
        <w:outlineLvl w:val="0"/>
        <w:rPr>
          <w:rFonts w:hint="eastAsia"/>
          <w:b/>
          <w:color w:val="auto"/>
          <w:sz w:val="28"/>
          <w:highlight w:val="none"/>
        </w:rPr>
      </w:pPr>
    </w:p>
    <w:p w14:paraId="4E9612BD">
      <w:pPr>
        <w:pStyle w:val="53"/>
        <w:shd w:val="clear" w:color="auto" w:fill="FFFFFF"/>
        <w:spacing w:before="0" w:beforeAutospacing="0" w:after="0" w:afterAutospacing="0"/>
        <w:outlineLvl w:val="0"/>
        <w:rPr>
          <w:rFonts w:hint="eastAsia"/>
          <w:b/>
          <w:color w:val="auto"/>
          <w:sz w:val="28"/>
          <w:highlight w:val="none"/>
        </w:rPr>
      </w:pPr>
    </w:p>
    <w:p w14:paraId="4FD45D9B">
      <w:pPr>
        <w:pStyle w:val="53"/>
        <w:shd w:val="clear" w:color="auto" w:fill="FFFFFF"/>
        <w:spacing w:before="0" w:beforeAutospacing="0" w:after="0" w:afterAutospacing="0"/>
        <w:outlineLvl w:val="0"/>
        <w:rPr>
          <w:rFonts w:hint="eastAsia"/>
          <w:b/>
          <w:color w:val="auto"/>
          <w:sz w:val="28"/>
          <w:highlight w:val="none"/>
        </w:rPr>
      </w:pPr>
    </w:p>
    <w:p w14:paraId="35432965">
      <w:pPr>
        <w:pStyle w:val="53"/>
        <w:shd w:val="clear" w:color="auto" w:fill="FFFFFF"/>
        <w:spacing w:before="0" w:beforeAutospacing="0" w:after="0" w:afterAutospacing="0"/>
        <w:outlineLvl w:val="0"/>
        <w:rPr>
          <w:rFonts w:hint="eastAsia"/>
          <w:b/>
          <w:color w:val="auto"/>
          <w:sz w:val="28"/>
          <w:highlight w:val="none"/>
        </w:rPr>
      </w:pPr>
    </w:p>
    <w:p w14:paraId="7D134249">
      <w:pPr>
        <w:pStyle w:val="53"/>
        <w:shd w:val="clear" w:color="auto" w:fill="FFFFFF"/>
        <w:spacing w:before="0" w:beforeAutospacing="0" w:after="0" w:afterAutospacing="0"/>
        <w:outlineLvl w:val="0"/>
        <w:rPr>
          <w:rFonts w:hint="eastAsia"/>
          <w:b/>
          <w:color w:val="auto"/>
          <w:sz w:val="28"/>
          <w:highlight w:val="none"/>
        </w:rPr>
      </w:pPr>
    </w:p>
    <w:p w14:paraId="2CAC1EB3">
      <w:pPr>
        <w:pStyle w:val="53"/>
        <w:shd w:val="clear" w:color="auto" w:fill="FFFFFF"/>
        <w:spacing w:before="0" w:beforeAutospacing="0" w:after="0" w:afterAutospacing="0"/>
        <w:outlineLvl w:val="0"/>
        <w:rPr>
          <w:rFonts w:hint="eastAsia"/>
          <w:b/>
          <w:color w:val="auto"/>
          <w:sz w:val="28"/>
          <w:highlight w:val="none"/>
        </w:rPr>
      </w:pPr>
    </w:p>
    <w:p w14:paraId="1FF737D4">
      <w:pPr>
        <w:pStyle w:val="53"/>
        <w:shd w:val="clear" w:color="auto" w:fill="FFFFFF"/>
        <w:spacing w:before="0" w:beforeAutospacing="0" w:after="0" w:afterAutospacing="0"/>
        <w:outlineLvl w:val="0"/>
        <w:rPr>
          <w:rFonts w:hint="eastAsia"/>
          <w:b/>
          <w:color w:val="auto"/>
          <w:sz w:val="28"/>
          <w:highlight w:val="none"/>
        </w:rPr>
      </w:pPr>
    </w:p>
    <w:bookmarkEnd w:id="10"/>
    <w:p w14:paraId="31A435A6">
      <w:pPr>
        <w:adjustRightInd w:val="0"/>
        <w:snapToGrid w:val="0"/>
        <w:spacing w:line="360" w:lineRule="auto"/>
        <w:ind w:right="480"/>
        <w:outlineLvl w:val="0"/>
        <w:rPr>
          <w:rFonts w:hint="eastAsia" w:ascii="宋体" w:hAnsi="宋体"/>
          <w:b/>
          <w:color w:val="auto"/>
          <w:sz w:val="28"/>
          <w:highlight w:val="none"/>
        </w:rPr>
      </w:pPr>
      <w:bookmarkStart w:id="11" w:name="_Toc8102"/>
    </w:p>
    <w:p w14:paraId="756A400E">
      <w:pPr>
        <w:adjustRightInd w:val="0"/>
        <w:snapToGrid w:val="0"/>
        <w:spacing w:line="360" w:lineRule="auto"/>
        <w:ind w:right="480"/>
        <w:outlineLvl w:val="0"/>
        <w:rPr>
          <w:rFonts w:hint="eastAsia" w:ascii="宋体" w:hAnsi="宋体"/>
          <w:b/>
          <w:color w:val="auto"/>
          <w:sz w:val="28"/>
          <w:highlight w:val="none"/>
        </w:rPr>
      </w:pPr>
    </w:p>
    <w:p w14:paraId="1A4C8C9F">
      <w:pPr>
        <w:adjustRightInd w:val="0"/>
        <w:snapToGrid w:val="0"/>
        <w:spacing w:line="360" w:lineRule="auto"/>
        <w:ind w:right="480"/>
        <w:outlineLvl w:val="0"/>
        <w:rPr>
          <w:rFonts w:hint="eastAsia" w:ascii="宋体" w:hAnsi="宋体"/>
          <w:b/>
          <w:color w:val="auto"/>
          <w:sz w:val="28"/>
          <w:highlight w:val="none"/>
        </w:rPr>
      </w:pPr>
    </w:p>
    <w:p w14:paraId="72FA38E9">
      <w:pPr>
        <w:adjustRightInd w:val="0"/>
        <w:snapToGrid w:val="0"/>
        <w:spacing w:line="360" w:lineRule="auto"/>
        <w:ind w:right="480"/>
        <w:outlineLvl w:val="0"/>
        <w:rPr>
          <w:rFonts w:hint="eastAsia" w:ascii="宋体" w:hAnsi="宋体"/>
          <w:b/>
          <w:color w:val="auto"/>
          <w:sz w:val="28"/>
          <w:highlight w:val="none"/>
        </w:rPr>
      </w:pPr>
    </w:p>
    <w:p w14:paraId="15A97D5D">
      <w:pPr>
        <w:pStyle w:val="53"/>
        <w:shd w:val="clear" w:color="auto" w:fill="FFFFFF"/>
        <w:spacing w:before="0" w:beforeAutospacing="0" w:after="0" w:afterAutospacing="0"/>
        <w:outlineLvl w:val="0"/>
        <w:rPr>
          <w:rFonts w:hint="default" w:eastAsia="宋体"/>
          <w:b/>
          <w:color w:val="auto"/>
          <w:sz w:val="28"/>
          <w:highlight w:val="none"/>
          <w:lang w:val="en-US" w:eastAsia="zh-CN"/>
        </w:rPr>
      </w:pPr>
      <w:r>
        <w:rPr>
          <w:rFonts w:hint="eastAsia"/>
          <w:b/>
          <w:color w:val="auto"/>
          <w:sz w:val="28"/>
          <w:highlight w:val="none"/>
        </w:rPr>
        <w:t>附件</w:t>
      </w:r>
      <w:r>
        <w:rPr>
          <w:rFonts w:hint="eastAsia"/>
          <w:b/>
          <w:color w:val="auto"/>
          <w:sz w:val="28"/>
          <w:highlight w:val="none"/>
          <w:lang w:val="en-US" w:eastAsia="zh-CN"/>
        </w:rPr>
        <w:t>10</w:t>
      </w:r>
    </w:p>
    <w:p w14:paraId="664E6BC8">
      <w:pPr>
        <w:pStyle w:val="53"/>
        <w:shd w:val="clear" w:color="auto" w:fill="FFFFFF"/>
        <w:spacing w:before="0" w:beforeAutospacing="0" w:after="0" w:afterAutospacing="0"/>
        <w:jc w:val="center"/>
        <w:rPr>
          <w:b/>
          <w:color w:val="auto"/>
          <w:sz w:val="32"/>
          <w:szCs w:val="32"/>
          <w:highlight w:val="none"/>
        </w:rPr>
      </w:pPr>
      <w:r>
        <w:rPr>
          <w:rFonts w:hint="eastAsia"/>
          <w:b/>
          <w:color w:val="auto"/>
          <w:highlight w:val="none"/>
        </w:rPr>
        <w:t>评标索引表</w:t>
      </w:r>
    </w:p>
    <w:tbl>
      <w:tblPr>
        <w:tblStyle w:val="26"/>
        <w:tblW w:w="0" w:type="auto"/>
        <w:jc w:val="center"/>
        <w:tblLayout w:type="fixed"/>
        <w:tblCellMar>
          <w:top w:w="0" w:type="dxa"/>
          <w:left w:w="0" w:type="dxa"/>
          <w:bottom w:w="0" w:type="dxa"/>
          <w:right w:w="0" w:type="dxa"/>
        </w:tblCellMar>
      </w:tblPr>
      <w:tblGrid>
        <w:gridCol w:w="819"/>
        <w:gridCol w:w="4565"/>
        <w:gridCol w:w="1117"/>
        <w:gridCol w:w="2017"/>
      </w:tblGrid>
      <w:tr w14:paraId="0B434BE6">
        <w:tblPrEx>
          <w:tblCellMar>
            <w:top w:w="0" w:type="dxa"/>
            <w:left w:w="0" w:type="dxa"/>
            <w:bottom w:w="0" w:type="dxa"/>
            <w:right w:w="0" w:type="dxa"/>
          </w:tblCellMar>
        </w:tblPrEx>
        <w:trPr>
          <w:trHeight w:val="850" w:hRule="atLeast"/>
          <w:jc w:val="center"/>
        </w:trPr>
        <w:tc>
          <w:tcPr>
            <w:tcW w:w="8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C208FC">
            <w:pPr>
              <w:spacing w:line="360" w:lineRule="exact"/>
              <w:jc w:val="center"/>
              <w:rPr>
                <w:rFonts w:ascii="宋体" w:hAnsi="宋体"/>
                <w:b/>
                <w:color w:val="auto"/>
                <w:highlight w:val="none"/>
              </w:rPr>
            </w:pPr>
            <w:r>
              <w:rPr>
                <w:rFonts w:hint="eastAsia" w:ascii="宋体" w:hAnsi="宋体"/>
                <w:b/>
                <w:color w:val="auto"/>
                <w:highlight w:val="none"/>
              </w:rPr>
              <w:t>序号</w:t>
            </w:r>
          </w:p>
        </w:tc>
        <w:tc>
          <w:tcPr>
            <w:tcW w:w="45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E8BE35">
            <w:pPr>
              <w:spacing w:line="360" w:lineRule="exact"/>
              <w:jc w:val="center"/>
              <w:rPr>
                <w:rFonts w:ascii="宋体" w:hAnsi="宋体"/>
                <w:b/>
                <w:color w:val="auto"/>
                <w:highlight w:val="none"/>
              </w:rPr>
            </w:pPr>
            <w:r>
              <w:rPr>
                <w:rFonts w:hint="eastAsia" w:ascii="宋体" w:hAnsi="宋体"/>
                <w:b/>
                <w:color w:val="auto"/>
                <w:szCs w:val="21"/>
                <w:highlight w:val="none"/>
              </w:rPr>
              <w:t>评分项目和评分细则</w:t>
            </w:r>
          </w:p>
        </w:tc>
        <w:tc>
          <w:tcPr>
            <w:tcW w:w="11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0CD1D2">
            <w:pPr>
              <w:spacing w:line="360" w:lineRule="exact"/>
              <w:jc w:val="center"/>
              <w:rPr>
                <w:rFonts w:ascii="宋体" w:hAnsi="宋体"/>
                <w:b/>
                <w:color w:val="auto"/>
                <w:highlight w:val="none"/>
              </w:rPr>
            </w:pPr>
            <w:r>
              <w:rPr>
                <w:rFonts w:hint="eastAsia" w:ascii="宋体" w:hAnsi="宋体"/>
                <w:b/>
                <w:color w:val="auto"/>
                <w:highlight w:val="none"/>
              </w:rPr>
              <w:t>自评分</w:t>
            </w:r>
          </w:p>
        </w:tc>
        <w:tc>
          <w:tcPr>
            <w:tcW w:w="20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2D686E">
            <w:pPr>
              <w:spacing w:line="360" w:lineRule="exact"/>
              <w:jc w:val="center"/>
              <w:rPr>
                <w:rFonts w:ascii="宋体" w:hAnsi="宋体"/>
                <w:b/>
                <w:color w:val="auto"/>
                <w:highlight w:val="none"/>
              </w:rPr>
            </w:pPr>
            <w:r>
              <w:rPr>
                <w:rFonts w:hint="eastAsia" w:ascii="宋体" w:hAnsi="宋体"/>
                <w:b/>
                <w:color w:val="auto"/>
                <w:highlight w:val="none"/>
              </w:rPr>
              <w:t>在投标文件中所对应的</w:t>
            </w:r>
            <w:r>
              <w:rPr>
                <w:rFonts w:ascii="宋体" w:hAnsi="宋体"/>
                <w:b/>
                <w:color w:val="auto"/>
                <w:highlight w:val="none"/>
              </w:rPr>
              <w:t>页码</w:t>
            </w:r>
          </w:p>
        </w:tc>
      </w:tr>
      <w:tr w14:paraId="023B149A">
        <w:tblPrEx>
          <w:tblCellMar>
            <w:top w:w="0" w:type="dxa"/>
            <w:left w:w="0" w:type="dxa"/>
            <w:bottom w:w="0" w:type="dxa"/>
            <w:right w:w="0" w:type="dxa"/>
          </w:tblCellMar>
        </w:tblPrEx>
        <w:trPr>
          <w:trHeight w:val="580" w:hRule="atLeast"/>
          <w:jc w:val="center"/>
        </w:trPr>
        <w:tc>
          <w:tcPr>
            <w:tcW w:w="8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D1A769">
            <w:pPr>
              <w:spacing w:line="290" w:lineRule="exact"/>
              <w:jc w:val="center"/>
              <w:rPr>
                <w:rFonts w:ascii="宋体" w:hAnsi="宋体"/>
                <w:color w:val="auto"/>
                <w:highlight w:val="none"/>
              </w:rPr>
            </w:pPr>
            <w:r>
              <w:rPr>
                <w:rFonts w:ascii="宋体" w:hAnsi="宋体"/>
                <w:b/>
                <w:color w:val="auto"/>
                <w:sz w:val="24"/>
                <w:highlight w:val="none"/>
              </w:rPr>
              <w:t>…</w:t>
            </w:r>
          </w:p>
        </w:tc>
        <w:tc>
          <w:tcPr>
            <w:tcW w:w="45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5EA72A">
            <w:pPr>
              <w:spacing w:line="290" w:lineRule="exact"/>
              <w:jc w:val="center"/>
              <w:rPr>
                <w:rFonts w:ascii="宋体" w:hAnsi="宋体"/>
                <w:b/>
                <w:color w:val="auto"/>
                <w:highlight w:val="none"/>
              </w:rPr>
            </w:pPr>
          </w:p>
        </w:tc>
        <w:tc>
          <w:tcPr>
            <w:tcW w:w="11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AFFCA9">
            <w:pPr>
              <w:snapToGrid w:val="0"/>
              <w:spacing w:line="360" w:lineRule="exact"/>
              <w:jc w:val="center"/>
              <w:rPr>
                <w:rFonts w:ascii="宋体" w:hAnsi="宋体"/>
                <w:color w:val="auto"/>
                <w:highlight w:val="none"/>
              </w:rPr>
            </w:pPr>
          </w:p>
        </w:tc>
        <w:tc>
          <w:tcPr>
            <w:tcW w:w="20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C6B777">
            <w:pPr>
              <w:spacing w:line="360" w:lineRule="exact"/>
              <w:rPr>
                <w:rFonts w:ascii="宋体" w:hAnsi="宋体"/>
                <w:color w:val="auto"/>
                <w:highlight w:val="none"/>
              </w:rPr>
            </w:pPr>
          </w:p>
        </w:tc>
      </w:tr>
      <w:tr w14:paraId="4A1171A3">
        <w:tblPrEx>
          <w:tblCellMar>
            <w:top w:w="0" w:type="dxa"/>
            <w:left w:w="0" w:type="dxa"/>
            <w:bottom w:w="0" w:type="dxa"/>
            <w:right w:w="0" w:type="dxa"/>
          </w:tblCellMar>
        </w:tblPrEx>
        <w:trPr>
          <w:trHeight w:val="580" w:hRule="atLeast"/>
          <w:jc w:val="center"/>
        </w:trPr>
        <w:tc>
          <w:tcPr>
            <w:tcW w:w="8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B7D503">
            <w:pPr>
              <w:spacing w:line="290" w:lineRule="exact"/>
              <w:jc w:val="center"/>
              <w:rPr>
                <w:rFonts w:ascii="宋体" w:hAnsi="宋体"/>
                <w:color w:val="auto"/>
                <w:highlight w:val="none"/>
              </w:rPr>
            </w:pPr>
          </w:p>
        </w:tc>
        <w:tc>
          <w:tcPr>
            <w:tcW w:w="45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C8D5B7">
            <w:pPr>
              <w:spacing w:line="290" w:lineRule="exact"/>
              <w:jc w:val="center"/>
              <w:rPr>
                <w:rFonts w:ascii="宋体" w:hAnsi="宋体"/>
                <w:b/>
                <w:color w:val="auto"/>
                <w:highlight w:val="none"/>
              </w:rPr>
            </w:pPr>
          </w:p>
        </w:tc>
        <w:tc>
          <w:tcPr>
            <w:tcW w:w="11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E0869E">
            <w:pPr>
              <w:snapToGrid w:val="0"/>
              <w:spacing w:line="360" w:lineRule="exact"/>
              <w:jc w:val="center"/>
              <w:rPr>
                <w:rFonts w:ascii="宋体" w:hAnsi="宋体"/>
                <w:color w:val="auto"/>
                <w:highlight w:val="none"/>
              </w:rPr>
            </w:pPr>
          </w:p>
        </w:tc>
        <w:tc>
          <w:tcPr>
            <w:tcW w:w="20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33A9F1">
            <w:pPr>
              <w:spacing w:line="360" w:lineRule="exact"/>
              <w:rPr>
                <w:rFonts w:ascii="宋体" w:hAnsi="宋体"/>
                <w:color w:val="auto"/>
                <w:highlight w:val="none"/>
              </w:rPr>
            </w:pPr>
          </w:p>
        </w:tc>
      </w:tr>
      <w:tr w14:paraId="3E7BEA4D">
        <w:tblPrEx>
          <w:tblCellMar>
            <w:top w:w="0" w:type="dxa"/>
            <w:left w:w="0" w:type="dxa"/>
            <w:bottom w:w="0" w:type="dxa"/>
            <w:right w:w="0" w:type="dxa"/>
          </w:tblCellMar>
        </w:tblPrEx>
        <w:trPr>
          <w:trHeight w:val="580" w:hRule="atLeast"/>
          <w:jc w:val="center"/>
        </w:trPr>
        <w:tc>
          <w:tcPr>
            <w:tcW w:w="8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E32C8F">
            <w:pPr>
              <w:spacing w:line="290" w:lineRule="exact"/>
              <w:jc w:val="center"/>
              <w:rPr>
                <w:rFonts w:ascii="宋体" w:hAnsi="宋体"/>
                <w:color w:val="auto"/>
                <w:highlight w:val="none"/>
              </w:rPr>
            </w:pPr>
          </w:p>
        </w:tc>
        <w:tc>
          <w:tcPr>
            <w:tcW w:w="45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4E5780">
            <w:pPr>
              <w:spacing w:line="290" w:lineRule="exact"/>
              <w:jc w:val="center"/>
              <w:rPr>
                <w:rFonts w:ascii="宋体" w:hAnsi="宋体"/>
                <w:b/>
                <w:color w:val="auto"/>
                <w:highlight w:val="none"/>
              </w:rPr>
            </w:pPr>
          </w:p>
        </w:tc>
        <w:tc>
          <w:tcPr>
            <w:tcW w:w="11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034EB1">
            <w:pPr>
              <w:snapToGrid w:val="0"/>
              <w:spacing w:line="360" w:lineRule="exact"/>
              <w:jc w:val="center"/>
              <w:rPr>
                <w:rFonts w:ascii="宋体" w:hAnsi="宋体"/>
                <w:color w:val="auto"/>
                <w:highlight w:val="none"/>
              </w:rPr>
            </w:pPr>
          </w:p>
        </w:tc>
        <w:tc>
          <w:tcPr>
            <w:tcW w:w="20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4E9020">
            <w:pPr>
              <w:spacing w:line="360" w:lineRule="exact"/>
              <w:rPr>
                <w:rFonts w:ascii="宋体" w:hAnsi="宋体"/>
                <w:color w:val="auto"/>
                <w:highlight w:val="none"/>
              </w:rPr>
            </w:pPr>
          </w:p>
        </w:tc>
      </w:tr>
      <w:tr w14:paraId="4600F964">
        <w:tblPrEx>
          <w:tblCellMar>
            <w:top w:w="0" w:type="dxa"/>
            <w:left w:w="0" w:type="dxa"/>
            <w:bottom w:w="0" w:type="dxa"/>
            <w:right w:w="0" w:type="dxa"/>
          </w:tblCellMar>
        </w:tblPrEx>
        <w:trPr>
          <w:trHeight w:val="580" w:hRule="atLeast"/>
          <w:jc w:val="center"/>
        </w:trPr>
        <w:tc>
          <w:tcPr>
            <w:tcW w:w="8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1887E8">
            <w:pPr>
              <w:spacing w:line="290" w:lineRule="exact"/>
              <w:jc w:val="center"/>
              <w:rPr>
                <w:rFonts w:ascii="宋体" w:hAnsi="宋体"/>
                <w:color w:val="auto"/>
                <w:highlight w:val="none"/>
              </w:rPr>
            </w:pPr>
          </w:p>
        </w:tc>
        <w:tc>
          <w:tcPr>
            <w:tcW w:w="45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0A4A6A">
            <w:pPr>
              <w:spacing w:line="290" w:lineRule="exact"/>
              <w:jc w:val="center"/>
              <w:rPr>
                <w:rFonts w:ascii="宋体" w:hAnsi="宋体"/>
                <w:b/>
                <w:color w:val="auto"/>
                <w:highlight w:val="none"/>
              </w:rPr>
            </w:pPr>
          </w:p>
        </w:tc>
        <w:tc>
          <w:tcPr>
            <w:tcW w:w="11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189851">
            <w:pPr>
              <w:snapToGrid w:val="0"/>
              <w:spacing w:line="360" w:lineRule="exact"/>
              <w:jc w:val="center"/>
              <w:rPr>
                <w:rFonts w:ascii="宋体" w:hAnsi="宋体"/>
                <w:color w:val="auto"/>
                <w:highlight w:val="none"/>
              </w:rPr>
            </w:pPr>
          </w:p>
        </w:tc>
        <w:tc>
          <w:tcPr>
            <w:tcW w:w="20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9B1A9F">
            <w:pPr>
              <w:spacing w:line="360" w:lineRule="exact"/>
              <w:rPr>
                <w:rFonts w:ascii="宋体" w:hAnsi="宋体"/>
                <w:color w:val="auto"/>
                <w:highlight w:val="none"/>
              </w:rPr>
            </w:pPr>
          </w:p>
        </w:tc>
      </w:tr>
      <w:tr w14:paraId="0AD53141">
        <w:tblPrEx>
          <w:tblCellMar>
            <w:top w:w="0" w:type="dxa"/>
            <w:left w:w="0" w:type="dxa"/>
            <w:bottom w:w="0" w:type="dxa"/>
            <w:right w:w="0" w:type="dxa"/>
          </w:tblCellMar>
        </w:tblPrEx>
        <w:trPr>
          <w:trHeight w:val="580" w:hRule="atLeast"/>
          <w:jc w:val="center"/>
        </w:trPr>
        <w:tc>
          <w:tcPr>
            <w:tcW w:w="8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060909">
            <w:pPr>
              <w:spacing w:line="290" w:lineRule="exact"/>
              <w:jc w:val="center"/>
              <w:rPr>
                <w:rFonts w:ascii="宋体" w:hAnsi="宋体"/>
                <w:color w:val="auto"/>
                <w:highlight w:val="none"/>
              </w:rPr>
            </w:pPr>
          </w:p>
        </w:tc>
        <w:tc>
          <w:tcPr>
            <w:tcW w:w="45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8D8725">
            <w:pPr>
              <w:spacing w:line="290" w:lineRule="exact"/>
              <w:jc w:val="center"/>
              <w:rPr>
                <w:rFonts w:ascii="宋体" w:hAnsi="宋体"/>
                <w:b/>
                <w:color w:val="auto"/>
                <w:highlight w:val="none"/>
              </w:rPr>
            </w:pPr>
          </w:p>
        </w:tc>
        <w:tc>
          <w:tcPr>
            <w:tcW w:w="11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DD0EAA">
            <w:pPr>
              <w:snapToGrid w:val="0"/>
              <w:spacing w:line="360" w:lineRule="exact"/>
              <w:jc w:val="center"/>
              <w:rPr>
                <w:rFonts w:ascii="宋体" w:hAnsi="宋体"/>
                <w:color w:val="auto"/>
                <w:highlight w:val="none"/>
              </w:rPr>
            </w:pPr>
          </w:p>
        </w:tc>
        <w:tc>
          <w:tcPr>
            <w:tcW w:w="20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330005">
            <w:pPr>
              <w:spacing w:line="360" w:lineRule="exact"/>
              <w:rPr>
                <w:rFonts w:ascii="宋体" w:hAnsi="宋体"/>
                <w:color w:val="auto"/>
                <w:highlight w:val="none"/>
              </w:rPr>
            </w:pPr>
          </w:p>
        </w:tc>
      </w:tr>
      <w:tr w14:paraId="76AC9636">
        <w:tblPrEx>
          <w:tblCellMar>
            <w:top w:w="0" w:type="dxa"/>
            <w:left w:w="0" w:type="dxa"/>
            <w:bottom w:w="0" w:type="dxa"/>
            <w:right w:w="0" w:type="dxa"/>
          </w:tblCellMar>
        </w:tblPrEx>
        <w:trPr>
          <w:trHeight w:val="580" w:hRule="atLeast"/>
          <w:jc w:val="center"/>
        </w:trPr>
        <w:tc>
          <w:tcPr>
            <w:tcW w:w="8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5135C6">
            <w:pPr>
              <w:spacing w:line="290" w:lineRule="exact"/>
              <w:jc w:val="center"/>
              <w:rPr>
                <w:rFonts w:ascii="宋体" w:hAnsi="宋体"/>
                <w:color w:val="auto"/>
                <w:highlight w:val="none"/>
              </w:rPr>
            </w:pPr>
          </w:p>
        </w:tc>
        <w:tc>
          <w:tcPr>
            <w:tcW w:w="45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6E510D">
            <w:pPr>
              <w:spacing w:line="290" w:lineRule="exact"/>
              <w:jc w:val="center"/>
              <w:rPr>
                <w:rFonts w:ascii="宋体" w:hAnsi="宋体"/>
                <w:b/>
                <w:color w:val="auto"/>
                <w:highlight w:val="none"/>
              </w:rPr>
            </w:pPr>
          </w:p>
        </w:tc>
        <w:tc>
          <w:tcPr>
            <w:tcW w:w="11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09A78D">
            <w:pPr>
              <w:snapToGrid w:val="0"/>
              <w:spacing w:line="360" w:lineRule="exact"/>
              <w:jc w:val="center"/>
              <w:rPr>
                <w:rFonts w:ascii="宋体" w:hAnsi="宋体"/>
                <w:color w:val="auto"/>
                <w:highlight w:val="none"/>
              </w:rPr>
            </w:pPr>
          </w:p>
        </w:tc>
        <w:tc>
          <w:tcPr>
            <w:tcW w:w="20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2FF875">
            <w:pPr>
              <w:spacing w:line="360" w:lineRule="exact"/>
              <w:rPr>
                <w:rFonts w:ascii="宋体" w:hAnsi="宋体"/>
                <w:color w:val="auto"/>
                <w:highlight w:val="none"/>
              </w:rPr>
            </w:pPr>
          </w:p>
        </w:tc>
      </w:tr>
      <w:tr w14:paraId="56300C66">
        <w:tblPrEx>
          <w:tblCellMar>
            <w:top w:w="0" w:type="dxa"/>
            <w:left w:w="0" w:type="dxa"/>
            <w:bottom w:w="0" w:type="dxa"/>
            <w:right w:w="0" w:type="dxa"/>
          </w:tblCellMar>
        </w:tblPrEx>
        <w:trPr>
          <w:trHeight w:val="580" w:hRule="atLeast"/>
          <w:jc w:val="center"/>
        </w:trPr>
        <w:tc>
          <w:tcPr>
            <w:tcW w:w="8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79AAB7">
            <w:pPr>
              <w:spacing w:line="290" w:lineRule="exact"/>
              <w:jc w:val="center"/>
              <w:rPr>
                <w:rFonts w:ascii="宋体" w:hAnsi="宋体"/>
                <w:color w:val="auto"/>
                <w:highlight w:val="none"/>
              </w:rPr>
            </w:pPr>
          </w:p>
        </w:tc>
        <w:tc>
          <w:tcPr>
            <w:tcW w:w="45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95CBE0">
            <w:pPr>
              <w:spacing w:line="290" w:lineRule="exact"/>
              <w:jc w:val="center"/>
              <w:rPr>
                <w:rFonts w:ascii="宋体" w:hAnsi="宋体"/>
                <w:b/>
                <w:color w:val="auto"/>
                <w:highlight w:val="none"/>
              </w:rPr>
            </w:pPr>
          </w:p>
        </w:tc>
        <w:tc>
          <w:tcPr>
            <w:tcW w:w="11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16B9C0">
            <w:pPr>
              <w:snapToGrid w:val="0"/>
              <w:spacing w:line="360" w:lineRule="exact"/>
              <w:jc w:val="center"/>
              <w:rPr>
                <w:rFonts w:ascii="宋体" w:hAnsi="宋体"/>
                <w:color w:val="auto"/>
                <w:highlight w:val="none"/>
              </w:rPr>
            </w:pPr>
          </w:p>
        </w:tc>
        <w:tc>
          <w:tcPr>
            <w:tcW w:w="20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BE188E">
            <w:pPr>
              <w:spacing w:line="360" w:lineRule="exact"/>
              <w:rPr>
                <w:rFonts w:ascii="宋体" w:hAnsi="宋体"/>
                <w:color w:val="auto"/>
                <w:highlight w:val="none"/>
              </w:rPr>
            </w:pPr>
          </w:p>
        </w:tc>
      </w:tr>
      <w:tr w14:paraId="5104D117">
        <w:tblPrEx>
          <w:tblCellMar>
            <w:top w:w="0" w:type="dxa"/>
            <w:left w:w="0" w:type="dxa"/>
            <w:bottom w:w="0" w:type="dxa"/>
            <w:right w:w="0" w:type="dxa"/>
          </w:tblCellMar>
        </w:tblPrEx>
        <w:trPr>
          <w:trHeight w:val="580" w:hRule="atLeast"/>
          <w:jc w:val="center"/>
        </w:trPr>
        <w:tc>
          <w:tcPr>
            <w:tcW w:w="8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DF1EB4">
            <w:pPr>
              <w:spacing w:line="290" w:lineRule="exact"/>
              <w:jc w:val="center"/>
              <w:rPr>
                <w:rFonts w:ascii="宋体" w:hAnsi="宋体"/>
                <w:color w:val="auto"/>
                <w:highlight w:val="none"/>
              </w:rPr>
            </w:pPr>
          </w:p>
        </w:tc>
        <w:tc>
          <w:tcPr>
            <w:tcW w:w="45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A9C165">
            <w:pPr>
              <w:spacing w:line="290" w:lineRule="exact"/>
              <w:jc w:val="center"/>
              <w:rPr>
                <w:rFonts w:ascii="宋体" w:hAnsi="宋体"/>
                <w:b/>
                <w:color w:val="auto"/>
                <w:highlight w:val="none"/>
              </w:rPr>
            </w:pPr>
          </w:p>
        </w:tc>
        <w:tc>
          <w:tcPr>
            <w:tcW w:w="11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7160CD">
            <w:pPr>
              <w:snapToGrid w:val="0"/>
              <w:spacing w:line="360" w:lineRule="exact"/>
              <w:jc w:val="center"/>
              <w:rPr>
                <w:rFonts w:ascii="宋体" w:hAnsi="宋体"/>
                <w:color w:val="auto"/>
                <w:highlight w:val="none"/>
              </w:rPr>
            </w:pPr>
          </w:p>
        </w:tc>
        <w:tc>
          <w:tcPr>
            <w:tcW w:w="20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298DEB">
            <w:pPr>
              <w:spacing w:line="360" w:lineRule="exact"/>
              <w:rPr>
                <w:rFonts w:ascii="宋体" w:hAnsi="宋体"/>
                <w:color w:val="auto"/>
                <w:highlight w:val="none"/>
              </w:rPr>
            </w:pPr>
          </w:p>
        </w:tc>
      </w:tr>
      <w:tr w14:paraId="14E9A806">
        <w:tblPrEx>
          <w:tblCellMar>
            <w:top w:w="0" w:type="dxa"/>
            <w:left w:w="0" w:type="dxa"/>
            <w:bottom w:w="0" w:type="dxa"/>
            <w:right w:w="0" w:type="dxa"/>
          </w:tblCellMar>
        </w:tblPrEx>
        <w:trPr>
          <w:trHeight w:val="580" w:hRule="atLeast"/>
          <w:jc w:val="center"/>
        </w:trPr>
        <w:tc>
          <w:tcPr>
            <w:tcW w:w="8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59E9D91">
            <w:pPr>
              <w:spacing w:line="290" w:lineRule="exact"/>
              <w:jc w:val="center"/>
              <w:rPr>
                <w:rFonts w:ascii="宋体" w:hAnsi="宋体"/>
                <w:color w:val="auto"/>
                <w:highlight w:val="none"/>
              </w:rPr>
            </w:pPr>
          </w:p>
        </w:tc>
        <w:tc>
          <w:tcPr>
            <w:tcW w:w="45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79FEB2">
            <w:pPr>
              <w:spacing w:line="290" w:lineRule="exact"/>
              <w:jc w:val="center"/>
              <w:rPr>
                <w:rFonts w:ascii="宋体" w:hAnsi="宋体"/>
                <w:b/>
                <w:color w:val="auto"/>
                <w:highlight w:val="none"/>
              </w:rPr>
            </w:pPr>
          </w:p>
        </w:tc>
        <w:tc>
          <w:tcPr>
            <w:tcW w:w="11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60D9FA">
            <w:pPr>
              <w:snapToGrid w:val="0"/>
              <w:spacing w:line="360" w:lineRule="exact"/>
              <w:jc w:val="center"/>
              <w:rPr>
                <w:rFonts w:ascii="宋体" w:hAnsi="宋体"/>
                <w:color w:val="auto"/>
                <w:highlight w:val="none"/>
              </w:rPr>
            </w:pPr>
          </w:p>
        </w:tc>
        <w:tc>
          <w:tcPr>
            <w:tcW w:w="20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632C73">
            <w:pPr>
              <w:spacing w:line="360" w:lineRule="exact"/>
              <w:rPr>
                <w:rFonts w:ascii="宋体" w:hAnsi="宋体"/>
                <w:color w:val="auto"/>
                <w:highlight w:val="none"/>
              </w:rPr>
            </w:pPr>
          </w:p>
        </w:tc>
      </w:tr>
      <w:tr w14:paraId="64ED14D9">
        <w:tblPrEx>
          <w:tblCellMar>
            <w:top w:w="0" w:type="dxa"/>
            <w:left w:w="0" w:type="dxa"/>
            <w:bottom w:w="0" w:type="dxa"/>
            <w:right w:w="0" w:type="dxa"/>
          </w:tblCellMar>
        </w:tblPrEx>
        <w:trPr>
          <w:trHeight w:val="580" w:hRule="atLeast"/>
          <w:jc w:val="center"/>
        </w:trPr>
        <w:tc>
          <w:tcPr>
            <w:tcW w:w="8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FD12C4">
            <w:pPr>
              <w:spacing w:line="290" w:lineRule="exact"/>
              <w:jc w:val="center"/>
              <w:rPr>
                <w:rFonts w:ascii="宋体" w:hAnsi="宋体"/>
                <w:color w:val="auto"/>
                <w:highlight w:val="none"/>
              </w:rPr>
            </w:pPr>
          </w:p>
        </w:tc>
        <w:tc>
          <w:tcPr>
            <w:tcW w:w="45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4573E2">
            <w:pPr>
              <w:spacing w:line="290" w:lineRule="exact"/>
              <w:jc w:val="center"/>
              <w:rPr>
                <w:rFonts w:ascii="宋体" w:hAnsi="宋体"/>
                <w:b/>
                <w:color w:val="auto"/>
                <w:highlight w:val="none"/>
              </w:rPr>
            </w:pPr>
          </w:p>
        </w:tc>
        <w:tc>
          <w:tcPr>
            <w:tcW w:w="11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3BD103">
            <w:pPr>
              <w:snapToGrid w:val="0"/>
              <w:spacing w:line="360" w:lineRule="exact"/>
              <w:jc w:val="center"/>
              <w:rPr>
                <w:rFonts w:ascii="宋体" w:hAnsi="宋体"/>
                <w:color w:val="auto"/>
                <w:highlight w:val="none"/>
              </w:rPr>
            </w:pPr>
          </w:p>
        </w:tc>
        <w:tc>
          <w:tcPr>
            <w:tcW w:w="20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D15E90">
            <w:pPr>
              <w:spacing w:line="360" w:lineRule="exact"/>
              <w:rPr>
                <w:rFonts w:ascii="宋体" w:hAnsi="宋体"/>
                <w:color w:val="auto"/>
                <w:highlight w:val="none"/>
              </w:rPr>
            </w:pPr>
          </w:p>
        </w:tc>
      </w:tr>
      <w:tr w14:paraId="329B9E83">
        <w:tblPrEx>
          <w:tblCellMar>
            <w:top w:w="0" w:type="dxa"/>
            <w:left w:w="0" w:type="dxa"/>
            <w:bottom w:w="0" w:type="dxa"/>
            <w:right w:w="0" w:type="dxa"/>
          </w:tblCellMar>
        </w:tblPrEx>
        <w:trPr>
          <w:trHeight w:val="580" w:hRule="atLeast"/>
          <w:jc w:val="center"/>
        </w:trPr>
        <w:tc>
          <w:tcPr>
            <w:tcW w:w="8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FB42FF">
            <w:pPr>
              <w:spacing w:line="290" w:lineRule="exact"/>
              <w:jc w:val="center"/>
              <w:rPr>
                <w:rFonts w:ascii="宋体" w:hAnsi="宋体"/>
                <w:color w:val="auto"/>
                <w:highlight w:val="none"/>
              </w:rPr>
            </w:pPr>
          </w:p>
        </w:tc>
        <w:tc>
          <w:tcPr>
            <w:tcW w:w="45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BD7FB2">
            <w:pPr>
              <w:spacing w:line="290" w:lineRule="exact"/>
              <w:jc w:val="center"/>
              <w:rPr>
                <w:rFonts w:ascii="宋体" w:hAnsi="宋体"/>
                <w:b/>
                <w:color w:val="auto"/>
                <w:highlight w:val="none"/>
              </w:rPr>
            </w:pPr>
          </w:p>
        </w:tc>
        <w:tc>
          <w:tcPr>
            <w:tcW w:w="11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027F0B">
            <w:pPr>
              <w:snapToGrid w:val="0"/>
              <w:spacing w:line="360" w:lineRule="exact"/>
              <w:jc w:val="center"/>
              <w:rPr>
                <w:rFonts w:ascii="宋体" w:hAnsi="宋体"/>
                <w:color w:val="auto"/>
                <w:highlight w:val="none"/>
              </w:rPr>
            </w:pPr>
          </w:p>
        </w:tc>
        <w:tc>
          <w:tcPr>
            <w:tcW w:w="20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241E22">
            <w:pPr>
              <w:spacing w:line="360" w:lineRule="exact"/>
              <w:rPr>
                <w:rFonts w:ascii="宋体" w:hAnsi="宋体"/>
                <w:color w:val="auto"/>
                <w:highlight w:val="none"/>
              </w:rPr>
            </w:pPr>
          </w:p>
        </w:tc>
      </w:tr>
      <w:tr w14:paraId="05487F0C">
        <w:tblPrEx>
          <w:tblCellMar>
            <w:top w:w="0" w:type="dxa"/>
            <w:left w:w="0" w:type="dxa"/>
            <w:bottom w:w="0" w:type="dxa"/>
            <w:right w:w="0" w:type="dxa"/>
          </w:tblCellMar>
        </w:tblPrEx>
        <w:trPr>
          <w:trHeight w:val="580" w:hRule="atLeast"/>
          <w:jc w:val="center"/>
        </w:trPr>
        <w:tc>
          <w:tcPr>
            <w:tcW w:w="8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9DFE9F">
            <w:pPr>
              <w:spacing w:line="290" w:lineRule="exact"/>
              <w:jc w:val="center"/>
              <w:rPr>
                <w:rFonts w:ascii="宋体" w:hAnsi="宋体"/>
                <w:color w:val="auto"/>
                <w:highlight w:val="none"/>
              </w:rPr>
            </w:pPr>
          </w:p>
        </w:tc>
        <w:tc>
          <w:tcPr>
            <w:tcW w:w="45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CDA7AB">
            <w:pPr>
              <w:spacing w:line="290" w:lineRule="exact"/>
              <w:jc w:val="center"/>
              <w:rPr>
                <w:rFonts w:ascii="宋体" w:hAnsi="宋体"/>
                <w:b/>
                <w:color w:val="auto"/>
                <w:highlight w:val="none"/>
              </w:rPr>
            </w:pPr>
          </w:p>
        </w:tc>
        <w:tc>
          <w:tcPr>
            <w:tcW w:w="11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2DD0BA">
            <w:pPr>
              <w:snapToGrid w:val="0"/>
              <w:spacing w:line="360" w:lineRule="exact"/>
              <w:jc w:val="center"/>
              <w:rPr>
                <w:rFonts w:ascii="宋体" w:hAnsi="宋体"/>
                <w:color w:val="auto"/>
                <w:highlight w:val="none"/>
              </w:rPr>
            </w:pPr>
          </w:p>
        </w:tc>
        <w:tc>
          <w:tcPr>
            <w:tcW w:w="20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753DD1">
            <w:pPr>
              <w:spacing w:line="360" w:lineRule="exact"/>
              <w:rPr>
                <w:rFonts w:ascii="宋体" w:hAnsi="宋体"/>
                <w:color w:val="auto"/>
                <w:highlight w:val="none"/>
              </w:rPr>
            </w:pPr>
          </w:p>
        </w:tc>
      </w:tr>
      <w:tr w14:paraId="62EE9FA2">
        <w:tblPrEx>
          <w:tblCellMar>
            <w:top w:w="0" w:type="dxa"/>
            <w:left w:w="0" w:type="dxa"/>
            <w:bottom w:w="0" w:type="dxa"/>
            <w:right w:w="0" w:type="dxa"/>
          </w:tblCellMar>
        </w:tblPrEx>
        <w:trPr>
          <w:trHeight w:val="591" w:hRule="atLeast"/>
          <w:jc w:val="center"/>
        </w:trPr>
        <w:tc>
          <w:tcPr>
            <w:tcW w:w="8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EF6B89">
            <w:pPr>
              <w:spacing w:line="290" w:lineRule="exact"/>
              <w:jc w:val="center"/>
              <w:rPr>
                <w:rFonts w:ascii="宋体" w:hAnsi="宋体"/>
                <w:b/>
                <w:color w:val="auto"/>
                <w:sz w:val="24"/>
                <w:highlight w:val="none"/>
              </w:rPr>
            </w:pPr>
          </w:p>
        </w:tc>
        <w:tc>
          <w:tcPr>
            <w:tcW w:w="45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2E5851">
            <w:pPr>
              <w:spacing w:line="290" w:lineRule="exact"/>
              <w:jc w:val="center"/>
              <w:rPr>
                <w:rFonts w:ascii="宋体" w:hAnsi="宋体"/>
                <w:b/>
                <w:color w:val="auto"/>
                <w:highlight w:val="none"/>
              </w:rPr>
            </w:pPr>
          </w:p>
        </w:tc>
        <w:tc>
          <w:tcPr>
            <w:tcW w:w="11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EFCE0C">
            <w:pPr>
              <w:snapToGrid w:val="0"/>
              <w:spacing w:line="360" w:lineRule="exact"/>
              <w:jc w:val="center"/>
              <w:rPr>
                <w:rFonts w:ascii="宋体" w:hAnsi="宋体"/>
                <w:color w:val="auto"/>
                <w:highlight w:val="none"/>
              </w:rPr>
            </w:pPr>
          </w:p>
        </w:tc>
        <w:tc>
          <w:tcPr>
            <w:tcW w:w="20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82C153">
            <w:pPr>
              <w:spacing w:line="360" w:lineRule="exact"/>
              <w:rPr>
                <w:rFonts w:ascii="宋体" w:hAnsi="宋体"/>
                <w:color w:val="auto"/>
                <w:highlight w:val="none"/>
              </w:rPr>
            </w:pPr>
          </w:p>
        </w:tc>
      </w:tr>
    </w:tbl>
    <w:p w14:paraId="2AA93913">
      <w:pPr>
        <w:spacing w:line="360" w:lineRule="auto"/>
        <w:rPr>
          <w:rFonts w:hint="eastAsia" w:ascii="宋体" w:hAnsi="宋体" w:cs="宋体"/>
          <w:b/>
          <w:color w:val="auto"/>
          <w:highlight w:val="none"/>
        </w:rPr>
      </w:pPr>
      <w:r>
        <w:rPr>
          <w:rFonts w:hint="eastAsia" w:ascii="宋体" w:hAnsi="宋体" w:cs="宋体"/>
          <w:b/>
          <w:color w:val="auto"/>
          <w:highlight w:val="none"/>
        </w:rPr>
        <w:t>注：1、</w:t>
      </w:r>
      <w:r>
        <w:rPr>
          <w:rFonts w:hint="eastAsia" w:ascii="宋体" w:hAnsi="宋体" w:cs="宋体"/>
          <w:b/>
          <w:color w:val="auto"/>
          <w:highlight w:val="none"/>
          <w:lang w:val="en-US" w:eastAsia="zh-CN"/>
        </w:rPr>
        <w:t>磋商</w:t>
      </w:r>
      <w:r>
        <w:rPr>
          <w:rFonts w:hint="eastAsia" w:ascii="宋体" w:hAnsi="宋体" w:cs="宋体"/>
          <w:b/>
          <w:color w:val="auto"/>
          <w:highlight w:val="none"/>
        </w:rPr>
        <w:t>供应商应结合本招标文件评分细则认真填制相关内容，以及在投标文件中所对应的页码，如未提供，评委有权认为不具备或不符合，有可能影响</w:t>
      </w:r>
      <w:r>
        <w:rPr>
          <w:rFonts w:hint="eastAsia" w:ascii="宋体" w:hAnsi="宋体" w:cs="宋体"/>
          <w:b/>
          <w:color w:val="auto"/>
          <w:highlight w:val="none"/>
          <w:lang w:val="en-US" w:eastAsia="zh-CN"/>
        </w:rPr>
        <w:t>磋商供应商</w:t>
      </w:r>
      <w:r>
        <w:rPr>
          <w:rFonts w:hint="eastAsia" w:ascii="宋体" w:hAnsi="宋体" w:cs="宋体"/>
          <w:b/>
          <w:color w:val="auto"/>
          <w:highlight w:val="none"/>
        </w:rPr>
        <w:t>的得分。</w:t>
      </w:r>
    </w:p>
    <w:p w14:paraId="39820A76">
      <w:pPr>
        <w:spacing w:line="360" w:lineRule="auto"/>
        <w:rPr>
          <w:rFonts w:hint="eastAsia" w:ascii="宋体" w:hAnsi="宋体" w:cs="宋体"/>
          <w:b/>
          <w:color w:val="auto"/>
          <w:highlight w:val="none"/>
        </w:rPr>
      </w:pPr>
      <w:r>
        <w:rPr>
          <w:rFonts w:hint="eastAsia" w:ascii="宋体" w:hAnsi="宋体" w:cs="宋体"/>
          <w:b/>
          <w:color w:val="auto"/>
          <w:highlight w:val="none"/>
        </w:rPr>
        <w:t>2、如本表格不适合</w:t>
      </w:r>
      <w:r>
        <w:rPr>
          <w:rFonts w:hint="eastAsia" w:ascii="宋体" w:hAnsi="宋体" w:cs="宋体"/>
          <w:b/>
          <w:color w:val="auto"/>
          <w:highlight w:val="none"/>
          <w:lang w:val="en-US" w:eastAsia="zh-CN"/>
        </w:rPr>
        <w:t>磋商供应商</w:t>
      </w:r>
      <w:r>
        <w:rPr>
          <w:rFonts w:hint="eastAsia" w:ascii="宋体" w:hAnsi="宋体" w:cs="宋体"/>
          <w:b/>
          <w:color w:val="auto"/>
          <w:highlight w:val="none"/>
        </w:rPr>
        <w:t>的实际情况，可根据本表格式自行制表填写。</w:t>
      </w:r>
    </w:p>
    <w:p w14:paraId="624B9085">
      <w:pPr>
        <w:pStyle w:val="53"/>
        <w:shd w:val="clear" w:color="auto" w:fill="FFFFFF"/>
        <w:spacing w:before="0" w:beforeAutospacing="0" w:after="0" w:afterAutospacing="0" w:line="360" w:lineRule="auto"/>
        <w:jc w:val="center"/>
        <w:rPr>
          <w:rFonts w:hint="eastAsia"/>
          <w:b/>
          <w:color w:val="auto"/>
          <w:sz w:val="32"/>
          <w:szCs w:val="32"/>
          <w:highlight w:val="none"/>
        </w:rPr>
      </w:pPr>
    </w:p>
    <w:p w14:paraId="10D39B61">
      <w:pPr>
        <w:pStyle w:val="53"/>
        <w:shd w:val="clear" w:color="auto" w:fill="FFFFFF"/>
        <w:spacing w:before="0" w:beforeAutospacing="0" w:after="0" w:afterAutospacing="0" w:line="360" w:lineRule="auto"/>
        <w:jc w:val="center"/>
        <w:rPr>
          <w:rFonts w:hint="eastAsia"/>
          <w:b/>
          <w:color w:val="auto"/>
          <w:sz w:val="32"/>
          <w:szCs w:val="32"/>
          <w:highlight w:val="none"/>
        </w:rPr>
      </w:pPr>
    </w:p>
    <w:p w14:paraId="1C1E0187">
      <w:pPr>
        <w:pStyle w:val="53"/>
        <w:shd w:val="clear" w:color="auto" w:fill="FFFFFF"/>
        <w:spacing w:before="0" w:beforeAutospacing="0" w:after="0" w:afterAutospacing="0" w:line="360" w:lineRule="auto"/>
        <w:jc w:val="center"/>
        <w:rPr>
          <w:rFonts w:hint="eastAsia"/>
          <w:b/>
          <w:color w:val="auto"/>
          <w:sz w:val="32"/>
          <w:szCs w:val="32"/>
          <w:highlight w:val="none"/>
        </w:rPr>
      </w:pPr>
    </w:p>
    <w:p w14:paraId="51075FD0">
      <w:pPr>
        <w:pStyle w:val="53"/>
        <w:shd w:val="clear" w:color="auto" w:fill="FFFFFF"/>
        <w:spacing w:before="0" w:beforeAutospacing="0" w:after="0" w:afterAutospacing="0" w:line="360" w:lineRule="auto"/>
        <w:jc w:val="center"/>
        <w:rPr>
          <w:rFonts w:hint="eastAsia"/>
          <w:b/>
          <w:color w:val="auto"/>
          <w:sz w:val="32"/>
          <w:szCs w:val="32"/>
          <w:highlight w:val="none"/>
        </w:rPr>
      </w:pPr>
    </w:p>
    <w:p w14:paraId="1CCC96AB">
      <w:pPr>
        <w:pStyle w:val="53"/>
        <w:shd w:val="clear" w:color="auto" w:fill="FFFFFF"/>
        <w:spacing w:before="0" w:beforeAutospacing="0" w:after="0" w:afterAutospacing="0" w:line="360" w:lineRule="auto"/>
        <w:jc w:val="center"/>
        <w:rPr>
          <w:rFonts w:hint="eastAsia"/>
          <w:b/>
          <w:color w:val="auto"/>
          <w:sz w:val="32"/>
          <w:szCs w:val="32"/>
          <w:highlight w:val="none"/>
        </w:rPr>
      </w:pPr>
    </w:p>
    <w:p w14:paraId="18D20B95">
      <w:pPr>
        <w:adjustRightInd w:val="0"/>
        <w:snapToGrid w:val="0"/>
        <w:spacing w:line="360" w:lineRule="auto"/>
        <w:ind w:right="480"/>
        <w:outlineLvl w:val="0"/>
        <w:rPr>
          <w:rFonts w:hint="default" w:ascii="宋体" w:eastAsia="宋体"/>
          <w:b/>
          <w:color w:val="auto"/>
          <w:sz w:val="30"/>
          <w:szCs w:val="30"/>
          <w:highlight w:val="none"/>
          <w:lang w:val="en-US" w:eastAsia="zh-CN"/>
        </w:rPr>
      </w:pPr>
      <w:r>
        <w:rPr>
          <w:rFonts w:hint="eastAsia" w:ascii="宋体" w:hAnsi="宋体"/>
          <w:b/>
          <w:color w:val="auto"/>
          <w:sz w:val="28"/>
          <w:highlight w:val="none"/>
        </w:rPr>
        <w:t>附件</w:t>
      </w:r>
      <w:bookmarkEnd w:id="11"/>
      <w:r>
        <w:rPr>
          <w:rFonts w:hint="eastAsia" w:ascii="宋体" w:hAnsi="宋体"/>
          <w:b/>
          <w:color w:val="auto"/>
          <w:sz w:val="28"/>
          <w:highlight w:val="none"/>
          <w:lang w:val="en-US" w:eastAsia="zh-CN"/>
        </w:rPr>
        <w:t>11</w:t>
      </w:r>
    </w:p>
    <w:p w14:paraId="187AC0BA">
      <w:pPr>
        <w:pStyle w:val="53"/>
        <w:shd w:val="clear" w:color="auto" w:fill="FFFFFF"/>
        <w:spacing w:before="0" w:beforeAutospacing="0" w:after="0" w:afterAutospacing="0" w:line="360" w:lineRule="auto"/>
        <w:jc w:val="center"/>
        <w:rPr>
          <w:b/>
          <w:bCs/>
          <w:color w:val="auto"/>
          <w:spacing w:val="21"/>
          <w:sz w:val="32"/>
          <w:szCs w:val="32"/>
          <w:highlight w:val="none"/>
        </w:rPr>
      </w:pPr>
      <w:r>
        <w:rPr>
          <w:rFonts w:hint="eastAsia"/>
          <w:b/>
          <w:color w:val="auto"/>
          <w:sz w:val="32"/>
          <w:szCs w:val="32"/>
          <w:highlight w:val="none"/>
        </w:rPr>
        <w:t>供应商</w:t>
      </w:r>
      <w:r>
        <w:rPr>
          <w:rFonts w:hint="eastAsia"/>
          <w:b/>
          <w:bCs/>
          <w:color w:val="auto"/>
          <w:spacing w:val="21"/>
          <w:sz w:val="32"/>
          <w:szCs w:val="32"/>
          <w:highlight w:val="none"/>
        </w:rPr>
        <w:t>基本情况表</w:t>
      </w:r>
    </w:p>
    <w:p w14:paraId="62BE5F33">
      <w:pPr>
        <w:pStyle w:val="53"/>
        <w:shd w:val="clear" w:color="auto" w:fill="FFFFFF"/>
        <w:spacing w:before="0" w:beforeAutospacing="0" w:after="0" w:afterAutospacing="0" w:line="360" w:lineRule="auto"/>
        <w:jc w:val="center"/>
        <w:rPr>
          <w:rFonts w:eastAsia="微软雅黑"/>
          <w:color w:val="auto"/>
          <w:sz w:val="36"/>
          <w:szCs w:val="36"/>
          <w:highlight w:val="none"/>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14:paraId="1B588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82" w:type="dxa"/>
            <w:noWrap w:val="0"/>
            <w:vAlign w:val="center"/>
          </w:tcPr>
          <w:p w14:paraId="72D635B2">
            <w:pPr>
              <w:pStyle w:val="53"/>
              <w:shd w:val="clear" w:color="auto" w:fill="FFFFFF"/>
              <w:spacing w:before="0" w:beforeAutospacing="0" w:after="0" w:afterAutospacing="0" w:line="360" w:lineRule="auto"/>
              <w:jc w:val="center"/>
              <w:rPr>
                <w:rFonts w:hint="eastAsia" w:ascii="宋体" w:hAnsi="宋体" w:eastAsia="宋体" w:cs="宋体"/>
                <w:bCs/>
                <w:color w:val="auto"/>
                <w:highlight w:val="none"/>
              </w:rPr>
            </w:pPr>
            <w:r>
              <w:rPr>
                <w:rFonts w:hint="eastAsia" w:ascii="宋体" w:hAnsi="宋体" w:eastAsia="宋体" w:cs="宋体"/>
                <w:bCs/>
                <w:color w:val="auto"/>
                <w:spacing w:val="27"/>
                <w:highlight w:val="none"/>
              </w:rPr>
              <w:t>企业名称</w:t>
            </w:r>
          </w:p>
        </w:tc>
        <w:tc>
          <w:tcPr>
            <w:tcW w:w="3979" w:type="dxa"/>
            <w:gridSpan w:val="6"/>
            <w:noWrap w:val="0"/>
            <w:vAlign w:val="center"/>
          </w:tcPr>
          <w:p w14:paraId="5F1C2A46">
            <w:pPr>
              <w:pStyle w:val="53"/>
              <w:shd w:val="clear" w:color="auto" w:fill="FFFFFF"/>
              <w:spacing w:before="0" w:beforeAutospacing="0" w:after="0" w:afterAutospacing="0" w:line="360" w:lineRule="auto"/>
              <w:jc w:val="center"/>
              <w:rPr>
                <w:rFonts w:hint="eastAsia" w:ascii="宋体" w:hAnsi="宋体" w:eastAsia="宋体" w:cs="宋体"/>
                <w:bCs/>
                <w:color w:val="auto"/>
                <w:highlight w:val="none"/>
              </w:rPr>
            </w:pPr>
          </w:p>
        </w:tc>
        <w:tc>
          <w:tcPr>
            <w:tcW w:w="2001" w:type="dxa"/>
            <w:gridSpan w:val="3"/>
            <w:noWrap w:val="0"/>
            <w:vAlign w:val="center"/>
          </w:tcPr>
          <w:p w14:paraId="2332916A">
            <w:pPr>
              <w:pStyle w:val="53"/>
              <w:shd w:val="clear" w:color="auto" w:fill="FFFFFF"/>
              <w:spacing w:before="0" w:beforeAutospacing="0" w:after="0" w:afterAutospacing="0" w:line="360" w:lineRule="auto"/>
              <w:jc w:val="center"/>
              <w:rPr>
                <w:rFonts w:hint="eastAsia" w:ascii="宋体" w:hAnsi="宋体" w:eastAsia="宋体" w:cs="宋体"/>
                <w:bCs/>
                <w:color w:val="auto"/>
                <w:highlight w:val="none"/>
              </w:rPr>
            </w:pPr>
            <w:r>
              <w:rPr>
                <w:rFonts w:hint="eastAsia" w:ascii="宋体" w:hAnsi="宋体" w:eastAsia="宋体" w:cs="宋体"/>
                <w:bCs/>
                <w:color w:val="auto"/>
                <w:spacing w:val="16"/>
                <w:highlight w:val="none"/>
              </w:rPr>
              <w:t>法人代表</w:t>
            </w:r>
          </w:p>
        </w:tc>
        <w:tc>
          <w:tcPr>
            <w:tcW w:w="2151" w:type="dxa"/>
            <w:gridSpan w:val="2"/>
            <w:noWrap w:val="0"/>
            <w:vAlign w:val="center"/>
          </w:tcPr>
          <w:p w14:paraId="6149C2D1">
            <w:pPr>
              <w:pStyle w:val="53"/>
              <w:shd w:val="clear" w:color="auto" w:fill="FFFFFF"/>
              <w:spacing w:before="0" w:beforeAutospacing="0" w:after="0" w:afterAutospacing="0" w:line="360" w:lineRule="auto"/>
              <w:jc w:val="center"/>
              <w:rPr>
                <w:rFonts w:hint="eastAsia" w:ascii="宋体" w:hAnsi="宋体" w:eastAsia="宋体" w:cs="宋体"/>
                <w:bCs/>
                <w:color w:val="auto"/>
                <w:highlight w:val="none"/>
              </w:rPr>
            </w:pPr>
          </w:p>
        </w:tc>
      </w:tr>
      <w:tr w14:paraId="6BFCE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82" w:type="dxa"/>
            <w:noWrap w:val="0"/>
            <w:vAlign w:val="center"/>
          </w:tcPr>
          <w:p w14:paraId="147540EB">
            <w:pPr>
              <w:pStyle w:val="53"/>
              <w:shd w:val="clear" w:color="auto" w:fill="FFFFFF"/>
              <w:spacing w:before="0" w:beforeAutospacing="0" w:after="0" w:afterAutospacing="0" w:line="360" w:lineRule="auto"/>
              <w:jc w:val="center"/>
              <w:rPr>
                <w:rFonts w:hint="eastAsia" w:ascii="宋体" w:hAnsi="宋体" w:eastAsia="宋体" w:cs="宋体"/>
                <w:bCs/>
                <w:color w:val="auto"/>
                <w:spacing w:val="16"/>
                <w:highlight w:val="none"/>
              </w:rPr>
            </w:pPr>
            <w:r>
              <w:rPr>
                <w:rFonts w:hint="eastAsia" w:ascii="宋体" w:hAnsi="宋体" w:eastAsia="宋体" w:cs="宋体"/>
                <w:bCs/>
                <w:color w:val="auto"/>
                <w:spacing w:val="27"/>
                <w:highlight w:val="none"/>
              </w:rPr>
              <w:t>地址</w:t>
            </w:r>
          </w:p>
        </w:tc>
        <w:tc>
          <w:tcPr>
            <w:tcW w:w="3979" w:type="dxa"/>
            <w:gridSpan w:val="6"/>
            <w:tcBorders>
              <w:bottom w:val="single" w:color="auto" w:sz="4" w:space="0"/>
            </w:tcBorders>
            <w:noWrap w:val="0"/>
            <w:vAlign w:val="center"/>
          </w:tcPr>
          <w:p w14:paraId="4C3F3DFE">
            <w:pPr>
              <w:pStyle w:val="53"/>
              <w:shd w:val="clear" w:color="auto" w:fill="FFFFFF"/>
              <w:spacing w:before="0" w:beforeAutospacing="0" w:after="0" w:afterAutospacing="0" w:line="360" w:lineRule="auto"/>
              <w:jc w:val="center"/>
              <w:rPr>
                <w:rFonts w:hint="eastAsia" w:ascii="宋体" w:hAnsi="宋体" w:eastAsia="宋体" w:cs="宋体"/>
                <w:bCs/>
                <w:color w:val="auto"/>
                <w:spacing w:val="16"/>
                <w:highlight w:val="none"/>
              </w:rPr>
            </w:pPr>
          </w:p>
        </w:tc>
        <w:tc>
          <w:tcPr>
            <w:tcW w:w="2001" w:type="dxa"/>
            <w:gridSpan w:val="3"/>
            <w:noWrap w:val="0"/>
            <w:vAlign w:val="center"/>
          </w:tcPr>
          <w:p w14:paraId="1846AEC0">
            <w:pPr>
              <w:pStyle w:val="53"/>
              <w:shd w:val="clear" w:color="auto" w:fill="FFFFFF"/>
              <w:spacing w:before="0" w:beforeAutospacing="0" w:after="0" w:afterAutospacing="0" w:line="360" w:lineRule="auto"/>
              <w:jc w:val="center"/>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企业性质</w:t>
            </w:r>
          </w:p>
        </w:tc>
        <w:tc>
          <w:tcPr>
            <w:tcW w:w="2151" w:type="dxa"/>
            <w:gridSpan w:val="2"/>
            <w:noWrap w:val="0"/>
            <w:vAlign w:val="center"/>
          </w:tcPr>
          <w:p w14:paraId="4DDE4F54">
            <w:pPr>
              <w:pStyle w:val="53"/>
              <w:shd w:val="clear" w:color="auto" w:fill="FFFFFF"/>
              <w:spacing w:before="0" w:beforeAutospacing="0" w:after="0" w:afterAutospacing="0" w:line="360" w:lineRule="auto"/>
              <w:jc w:val="center"/>
              <w:rPr>
                <w:rFonts w:hint="eastAsia" w:ascii="宋体" w:hAnsi="宋体" w:eastAsia="宋体" w:cs="宋体"/>
                <w:bCs/>
                <w:color w:val="auto"/>
                <w:spacing w:val="16"/>
                <w:highlight w:val="none"/>
              </w:rPr>
            </w:pPr>
          </w:p>
        </w:tc>
      </w:tr>
      <w:tr w14:paraId="0A15E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82" w:type="dxa"/>
            <w:tcBorders>
              <w:bottom w:val="single" w:color="auto" w:sz="4" w:space="0"/>
            </w:tcBorders>
            <w:noWrap w:val="0"/>
            <w:vAlign w:val="center"/>
          </w:tcPr>
          <w:p w14:paraId="06B00602">
            <w:pPr>
              <w:pStyle w:val="53"/>
              <w:shd w:val="clear" w:color="auto" w:fill="FFFFFF"/>
              <w:spacing w:before="0" w:beforeAutospacing="0" w:after="0" w:afterAutospacing="0" w:line="360" w:lineRule="auto"/>
              <w:jc w:val="center"/>
              <w:rPr>
                <w:rFonts w:hint="eastAsia" w:ascii="宋体" w:hAnsi="宋体" w:eastAsia="宋体" w:cs="宋体"/>
                <w:bCs/>
                <w:color w:val="auto"/>
                <w:spacing w:val="16"/>
                <w:highlight w:val="none"/>
              </w:rPr>
            </w:pPr>
            <w:r>
              <w:rPr>
                <w:rFonts w:hint="eastAsia" w:ascii="宋体" w:hAnsi="宋体" w:eastAsia="宋体" w:cs="宋体"/>
                <w:bCs/>
                <w:color w:val="auto"/>
                <w:spacing w:val="27"/>
                <w:highlight w:val="none"/>
              </w:rPr>
              <w:t>股东姓名</w:t>
            </w:r>
          </w:p>
        </w:tc>
        <w:tc>
          <w:tcPr>
            <w:tcW w:w="701" w:type="dxa"/>
            <w:tcBorders>
              <w:bottom w:val="single" w:color="auto" w:sz="4" w:space="0"/>
            </w:tcBorders>
            <w:noWrap w:val="0"/>
            <w:vAlign w:val="center"/>
          </w:tcPr>
          <w:p w14:paraId="20100698">
            <w:pPr>
              <w:pStyle w:val="53"/>
              <w:shd w:val="clear" w:color="auto" w:fill="FFFFFF"/>
              <w:spacing w:before="0" w:beforeAutospacing="0" w:after="0" w:afterAutospacing="0" w:line="360" w:lineRule="auto"/>
              <w:jc w:val="center"/>
              <w:rPr>
                <w:rFonts w:hint="eastAsia" w:ascii="宋体" w:hAnsi="宋体" w:eastAsia="宋体" w:cs="宋体"/>
                <w:bCs/>
                <w:color w:val="auto"/>
                <w:spacing w:val="16"/>
                <w:highlight w:val="none"/>
              </w:rPr>
            </w:pPr>
          </w:p>
        </w:tc>
        <w:tc>
          <w:tcPr>
            <w:tcW w:w="910" w:type="dxa"/>
            <w:gridSpan w:val="2"/>
            <w:tcBorders>
              <w:bottom w:val="single" w:color="auto" w:sz="4" w:space="0"/>
            </w:tcBorders>
            <w:noWrap w:val="0"/>
            <w:vAlign w:val="center"/>
          </w:tcPr>
          <w:p w14:paraId="3785CDCF">
            <w:pPr>
              <w:pStyle w:val="53"/>
              <w:shd w:val="clear" w:color="auto" w:fill="FFFFFF"/>
              <w:spacing w:before="0" w:beforeAutospacing="0" w:after="0" w:afterAutospacing="0" w:line="360" w:lineRule="auto"/>
              <w:jc w:val="center"/>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股权结构（%）</w:t>
            </w:r>
          </w:p>
        </w:tc>
        <w:tc>
          <w:tcPr>
            <w:tcW w:w="2368" w:type="dxa"/>
            <w:gridSpan w:val="3"/>
            <w:tcBorders>
              <w:bottom w:val="single" w:color="auto" w:sz="4" w:space="0"/>
            </w:tcBorders>
            <w:noWrap w:val="0"/>
            <w:vAlign w:val="center"/>
          </w:tcPr>
          <w:p w14:paraId="5D9B5978">
            <w:pPr>
              <w:widowControl/>
              <w:spacing w:line="360" w:lineRule="auto"/>
              <w:jc w:val="center"/>
              <w:rPr>
                <w:rFonts w:hint="eastAsia" w:ascii="宋体" w:hAnsi="宋体" w:eastAsia="宋体" w:cs="宋体"/>
                <w:bCs/>
                <w:color w:val="auto"/>
                <w:spacing w:val="16"/>
                <w:kern w:val="0"/>
                <w:sz w:val="24"/>
                <w:highlight w:val="none"/>
              </w:rPr>
            </w:pPr>
          </w:p>
          <w:p w14:paraId="684EABE3">
            <w:pPr>
              <w:pStyle w:val="53"/>
              <w:shd w:val="clear" w:color="auto" w:fill="FFFFFF"/>
              <w:spacing w:before="0" w:beforeAutospacing="0" w:after="0" w:afterAutospacing="0" w:line="360" w:lineRule="auto"/>
              <w:jc w:val="center"/>
              <w:rPr>
                <w:rFonts w:hint="eastAsia" w:ascii="宋体" w:hAnsi="宋体" w:eastAsia="宋体" w:cs="宋体"/>
                <w:bCs/>
                <w:color w:val="auto"/>
                <w:spacing w:val="16"/>
                <w:highlight w:val="none"/>
              </w:rPr>
            </w:pPr>
          </w:p>
        </w:tc>
        <w:tc>
          <w:tcPr>
            <w:tcW w:w="2001" w:type="dxa"/>
            <w:gridSpan w:val="3"/>
            <w:noWrap w:val="0"/>
            <w:vAlign w:val="center"/>
          </w:tcPr>
          <w:p w14:paraId="6BB2CA9F">
            <w:pPr>
              <w:pStyle w:val="53"/>
              <w:shd w:val="clear" w:color="auto" w:fill="FFFFFF"/>
              <w:spacing w:before="0" w:beforeAutospacing="0" w:after="0" w:afterAutospacing="0" w:line="360" w:lineRule="auto"/>
              <w:ind w:left="0"/>
              <w:jc w:val="center"/>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股东关系</w:t>
            </w:r>
          </w:p>
        </w:tc>
        <w:tc>
          <w:tcPr>
            <w:tcW w:w="2151" w:type="dxa"/>
            <w:gridSpan w:val="2"/>
            <w:noWrap w:val="0"/>
            <w:vAlign w:val="center"/>
          </w:tcPr>
          <w:p w14:paraId="2E30F11D">
            <w:pPr>
              <w:pStyle w:val="53"/>
              <w:shd w:val="clear" w:color="auto" w:fill="FFFFFF"/>
              <w:spacing w:before="0" w:beforeAutospacing="0" w:after="0" w:afterAutospacing="0" w:line="360" w:lineRule="auto"/>
              <w:ind w:left="0"/>
              <w:jc w:val="center"/>
              <w:rPr>
                <w:rFonts w:hint="eastAsia" w:ascii="宋体" w:hAnsi="宋体" w:eastAsia="宋体" w:cs="宋体"/>
                <w:bCs/>
                <w:color w:val="auto"/>
                <w:spacing w:val="16"/>
                <w:highlight w:val="none"/>
              </w:rPr>
            </w:pPr>
          </w:p>
        </w:tc>
      </w:tr>
      <w:tr w14:paraId="0CAC1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2" w:type="dxa"/>
            <w:vMerge w:val="restart"/>
            <w:noWrap w:val="0"/>
            <w:vAlign w:val="center"/>
          </w:tcPr>
          <w:p w14:paraId="45345B38">
            <w:pPr>
              <w:pStyle w:val="53"/>
              <w:shd w:val="clear" w:color="auto" w:fill="FFFFFF"/>
              <w:spacing w:before="0" w:beforeAutospacing="0" w:after="0" w:afterAutospacing="0" w:line="360" w:lineRule="auto"/>
              <w:jc w:val="center"/>
              <w:rPr>
                <w:rFonts w:hint="eastAsia" w:ascii="宋体" w:hAnsi="宋体" w:eastAsia="宋体" w:cs="宋体"/>
                <w:bCs/>
                <w:color w:val="auto"/>
                <w:spacing w:val="16"/>
                <w:highlight w:val="none"/>
              </w:rPr>
            </w:pPr>
            <w:r>
              <w:rPr>
                <w:rFonts w:hint="eastAsia" w:ascii="宋体" w:hAnsi="宋体" w:eastAsia="宋体" w:cs="宋体"/>
                <w:bCs/>
                <w:color w:val="auto"/>
                <w:spacing w:val="12"/>
                <w:highlight w:val="none"/>
              </w:rPr>
              <w:t>联系人</w:t>
            </w:r>
            <w:r>
              <w:rPr>
                <w:rFonts w:hint="eastAsia" w:ascii="宋体" w:hAnsi="宋体" w:eastAsia="宋体" w:cs="宋体"/>
                <w:bCs/>
                <w:color w:val="auto"/>
                <w:spacing w:val="27"/>
                <w:highlight w:val="none"/>
              </w:rPr>
              <w:t>姓名</w:t>
            </w:r>
          </w:p>
        </w:tc>
        <w:tc>
          <w:tcPr>
            <w:tcW w:w="701" w:type="dxa"/>
            <w:vMerge w:val="restart"/>
            <w:tcBorders>
              <w:top w:val="nil"/>
            </w:tcBorders>
            <w:noWrap w:val="0"/>
            <w:vAlign w:val="center"/>
          </w:tcPr>
          <w:p w14:paraId="7C726CA7">
            <w:pPr>
              <w:pStyle w:val="53"/>
              <w:shd w:val="clear" w:color="auto" w:fill="FFFFFF"/>
              <w:spacing w:before="0" w:beforeAutospacing="0" w:after="0" w:afterAutospacing="0" w:line="360" w:lineRule="auto"/>
              <w:jc w:val="center"/>
              <w:rPr>
                <w:rFonts w:hint="eastAsia" w:ascii="宋体" w:hAnsi="宋体" w:eastAsia="宋体" w:cs="宋体"/>
                <w:bCs/>
                <w:color w:val="auto"/>
                <w:spacing w:val="16"/>
                <w:highlight w:val="none"/>
              </w:rPr>
            </w:pPr>
          </w:p>
        </w:tc>
        <w:tc>
          <w:tcPr>
            <w:tcW w:w="910" w:type="dxa"/>
            <w:gridSpan w:val="2"/>
            <w:tcBorders>
              <w:top w:val="nil"/>
              <w:bottom w:val="single" w:color="auto" w:sz="4" w:space="0"/>
            </w:tcBorders>
            <w:noWrap w:val="0"/>
            <w:vAlign w:val="center"/>
          </w:tcPr>
          <w:p w14:paraId="6075D471">
            <w:pPr>
              <w:pStyle w:val="53"/>
              <w:shd w:val="clear" w:color="auto" w:fill="FFFFFF"/>
              <w:spacing w:before="0" w:beforeAutospacing="0" w:after="0" w:afterAutospacing="0" w:line="360" w:lineRule="auto"/>
              <w:jc w:val="center"/>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固定电话</w:t>
            </w:r>
          </w:p>
        </w:tc>
        <w:tc>
          <w:tcPr>
            <w:tcW w:w="2368" w:type="dxa"/>
            <w:gridSpan w:val="3"/>
            <w:tcBorders>
              <w:top w:val="nil"/>
              <w:bottom w:val="single" w:color="auto" w:sz="4" w:space="0"/>
            </w:tcBorders>
            <w:noWrap w:val="0"/>
            <w:vAlign w:val="center"/>
          </w:tcPr>
          <w:p w14:paraId="283B0275">
            <w:pPr>
              <w:widowControl/>
              <w:spacing w:line="360" w:lineRule="auto"/>
              <w:jc w:val="center"/>
              <w:rPr>
                <w:rFonts w:hint="eastAsia" w:ascii="宋体" w:hAnsi="宋体" w:eastAsia="宋体" w:cs="宋体"/>
                <w:bCs/>
                <w:color w:val="auto"/>
                <w:spacing w:val="16"/>
                <w:kern w:val="0"/>
                <w:sz w:val="24"/>
                <w:highlight w:val="none"/>
              </w:rPr>
            </w:pPr>
          </w:p>
          <w:p w14:paraId="48F9A249">
            <w:pPr>
              <w:pStyle w:val="53"/>
              <w:shd w:val="clear" w:color="auto" w:fill="FFFFFF"/>
              <w:spacing w:before="0" w:beforeAutospacing="0" w:after="0" w:afterAutospacing="0" w:line="360" w:lineRule="auto"/>
              <w:jc w:val="center"/>
              <w:rPr>
                <w:rFonts w:hint="eastAsia" w:ascii="宋体" w:hAnsi="宋体" w:eastAsia="宋体" w:cs="宋体"/>
                <w:bCs/>
                <w:color w:val="auto"/>
                <w:spacing w:val="16"/>
                <w:highlight w:val="none"/>
              </w:rPr>
            </w:pPr>
          </w:p>
        </w:tc>
        <w:tc>
          <w:tcPr>
            <w:tcW w:w="2001" w:type="dxa"/>
            <w:gridSpan w:val="3"/>
            <w:vMerge w:val="restart"/>
            <w:noWrap w:val="0"/>
            <w:vAlign w:val="center"/>
          </w:tcPr>
          <w:p w14:paraId="4047654B">
            <w:pPr>
              <w:pStyle w:val="53"/>
              <w:shd w:val="clear" w:color="auto" w:fill="FFFFFF"/>
              <w:spacing w:before="0" w:beforeAutospacing="0" w:after="0" w:afterAutospacing="0" w:line="360" w:lineRule="auto"/>
              <w:jc w:val="center"/>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传真</w:t>
            </w:r>
          </w:p>
        </w:tc>
        <w:tc>
          <w:tcPr>
            <w:tcW w:w="2151" w:type="dxa"/>
            <w:gridSpan w:val="2"/>
            <w:vMerge w:val="restart"/>
            <w:noWrap w:val="0"/>
            <w:vAlign w:val="center"/>
          </w:tcPr>
          <w:p w14:paraId="223BFC94">
            <w:pPr>
              <w:pStyle w:val="53"/>
              <w:shd w:val="clear" w:color="auto" w:fill="FFFFFF"/>
              <w:spacing w:before="0" w:beforeAutospacing="0" w:after="0" w:afterAutospacing="0" w:line="360" w:lineRule="auto"/>
              <w:jc w:val="center"/>
              <w:rPr>
                <w:rFonts w:hint="eastAsia" w:ascii="宋体" w:hAnsi="宋体" w:eastAsia="宋体" w:cs="宋体"/>
                <w:bCs/>
                <w:color w:val="auto"/>
                <w:spacing w:val="16"/>
                <w:highlight w:val="none"/>
              </w:rPr>
            </w:pPr>
          </w:p>
        </w:tc>
      </w:tr>
      <w:tr w14:paraId="2F76D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82" w:type="dxa"/>
            <w:vMerge w:val="continue"/>
            <w:tcBorders>
              <w:bottom w:val="single" w:color="auto" w:sz="4" w:space="0"/>
            </w:tcBorders>
            <w:noWrap w:val="0"/>
            <w:vAlign w:val="center"/>
          </w:tcPr>
          <w:p w14:paraId="56DAAFDC">
            <w:pPr>
              <w:pStyle w:val="53"/>
              <w:shd w:val="clear" w:color="auto" w:fill="FFFFFF"/>
              <w:spacing w:before="0" w:beforeAutospacing="0" w:after="0" w:afterAutospacing="0" w:line="360" w:lineRule="auto"/>
              <w:ind w:left="0"/>
              <w:jc w:val="center"/>
              <w:rPr>
                <w:rFonts w:hint="eastAsia" w:ascii="宋体" w:hAnsi="宋体" w:eastAsia="宋体" w:cs="宋体"/>
                <w:bCs/>
                <w:color w:val="auto"/>
                <w:highlight w:val="none"/>
              </w:rPr>
            </w:pPr>
          </w:p>
        </w:tc>
        <w:tc>
          <w:tcPr>
            <w:tcW w:w="701" w:type="dxa"/>
            <w:vMerge w:val="continue"/>
            <w:tcBorders>
              <w:bottom w:val="single" w:color="auto" w:sz="4" w:space="0"/>
            </w:tcBorders>
            <w:noWrap w:val="0"/>
            <w:vAlign w:val="center"/>
          </w:tcPr>
          <w:p w14:paraId="62406524">
            <w:pPr>
              <w:pStyle w:val="53"/>
              <w:shd w:val="clear" w:color="auto" w:fill="FFFFFF"/>
              <w:spacing w:before="0" w:beforeAutospacing="0" w:after="0" w:afterAutospacing="0" w:line="360" w:lineRule="auto"/>
              <w:jc w:val="center"/>
              <w:rPr>
                <w:rFonts w:hint="eastAsia" w:ascii="宋体" w:hAnsi="宋体" w:eastAsia="宋体" w:cs="宋体"/>
                <w:bCs/>
                <w:color w:val="auto"/>
                <w:spacing w:val="16"/>
                <w:highlight w:val="none"/>
              </w:rPr>
            </w:pPr>
          </w:p>
        </w:tc>
        <w:tc>
          <w:tcPr>
            <w:tcW w:w="910" w:type="dxa"/>
            <w:gridSpan w:val="2"/>
            <w:tcBorders>
              <w:bottom w:val="single" w:color="auto" w:sz="4" w:space="0"/>
            </w:tcBorders>
            <w:noWrap w:val="0"/>
            <w:vAlign w:val="center"/>
          </w:tcPr>
          <w:p w14:paraId="350EEE4B">
            <w:pPr>
              <w:pStyle w:val="53"/>
              <w:shd w:val="clear" w:color="auto" w:fill="FFFFFF"/>
              <w:spacing w:before="0" w:beforeAutospacing="0" w:after="0" w:afterAutospacing="0" w:line="360" w:lineRule="auto"/>
              <w:jc w:val="center"/>
              <w:rPr>
                <w:rFonts w:hint="eastAsia" w:ascii="宋体" w:hAnsi="宋体" w:eastAsia="宋体" w:cs="宋体"/>
                <w:bCs/>
                <w:color w:val="auto"/>
                <w:spacing w:val="16"/>
                <w:highlight w:val="none"/>
              </w:rPr>
            </w:pPr>
            <w:r>
              <w:rPr>
                <w:rFonts w:hint="eastAsia" w:ascii="宋体" w:hAnsi="宋体" w:eastAsia="宋体" w:cs="宋体"/>
                <w:bCs/>
                <w:color w:val="auto"/>
                <w:spacing w:val="27"/>
                <w:highlight w:val="none"/>
              </w:rPr>
              <w:t>手机</w:t>
            </w:r>
          </w:p>
        </w:tc>
        <w:tc>
          <w:tcPr>
            <w:tcW w:w="2368" w:type="dxa"/>
            <w:gridSpan w:val="3"/>
            <w:tcBorders>
              <w:bottom w:val="single" w:color="auto" w:sz="4" w:space="0"/>
            </w:tcBorders>
            <w:noWrap w:val="0"/>
            <w:vAlign w:val="center"/>
          </w:tcPr>
          <w:p w14:paraId="2B8EAA46">
            <w:pPr>
              <w:pStyle w:val="53"/>
              <w:shd w:val="clear" w:color="auto" w:fill="FFFFFF"/>
              <w:spacing w:before="0" w:beforeAutospacing="0" w:after="0" w:afterAutospacing="0" w:line="360" w:lineRule="auto"/>
              <w:jc w:val="center"/>
              <w:rPr>
                <w:rFonts w:hint="eastAsia" w:ascii="宋体" w:hAnsi="宋体" w:eastAsia="宋体" w:cs="宋体"/>
                <w:bCs/>
                <w:color w:val="auto"/>
                <w:spacing w:val="16"/>
                <w:highlight w:val="none"/>
              </w:rPr>
            </w:pPr>
          </w:p>
        </w:tc>
        <w:tc>
          <w:tcPr>
            <w:tcW w:w="2001" w:type="dxa"/>
            <w:gridSpan w:val="3"/>
            <w:vMerge w:val="continue"/>
            <w:tcBorders>
              <w:bottom w:val="single" w:color="auto" w:sz="4" w:space="0"/>
            </w:tcBorders>
            <w:noWrap w:val="0"/>
            <w:vAlign w:val="center"/>
          </w:tcPr>
          <w:p w14:paraId="041F593A">
            <w:pPr>
              <w:pStyle w:val="53"/>
              <w:shd w:val="clear" w:color="auto" w:fill="FFFFFF"/>
              <w:spacing w:before="0" w:beforeAutospacing="0" w:after="0" w:afterAutospacing="0" w:line="360" w:lineRule="auto"/>
              <w:jc w:val="center"/>
              <w:rPr>
                <w:rFonts w:hint="eastAsia" w:ascii="宋体" w:hAnsi="宋体" w:eastAsia="宋体" w:cs="宋体"/>
                <w:bCs/>
                <w:color w:val="auto"/>
                <w:spacing w:val="16"/>
                <w:highlight w:val="none"/>
              </w:rPr>
            </w:pPr>
          </w:p>
        </w:tc>
        <w:tc>
          <w:tcPr>
            <w:tcW w:w="2151" w:type="dxa"/>
            <w:gridSpan w:val="2"/>
            <w:vMerge w:val="continue"/>
            <w:tcBorders>
              <w:bottom w:val="single" w:color="auto" w:sz="4" w:space="0"/>
            </w:tcBorders>
            <w:noWrap w:val="0"/>
            <w:vAlign w:val="center"/>
          </w:tcPr>
          <w:p w14:paraId="075FB644">
            <w:pPr>
              <w:pStyle w:val="53"/>
              <w:shd w:val="clear" w:color="auto" w:fill="FFFFFF"/>
              <w:spacing w:before="0" w:beforeAutospacing="0" w:after="0" w:afterAutospacing="0" w:line="360" w:lineRule="auto"/>
              <w:jc w:val="center"/>
              <w:rPr>
                <w:rFonts w:hint="eastAsia" w:ascii="宋体" w:hAnsi="宋体" w:eastAsia="宋体" w:cs="宋体"/>
                <w:bCs/>
                <w:color w:val="auto"/>
                <w:spacing w:val="16"/>
                <w:highlight w:val="none"/>
              </w:rPr>
            </w:pPr>
          </w:p>
        </w:tc>
      </w:tr>
      <w:tr w14:paraId="0F0BF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82" w:type="dxa"/>
            <w:vMerge w:val="restart"/>
            <w:tcBorders>
              <w:top w:val="single" w:color="auto" w:sz="4" w:space="0"/>
            </w:tcBorders>
            <w:noWrap w:val="0"/>
            <w:vAlign w:val="center"/>
          </w:tcPr>
          <w:p w14:paraId="458FEFB1">
            <w:pPr>
              <w:pStyle w:val="53"/>
              <w:shd w:val="clear" w:color="auto" w:fill="FFFFFF"/>
              <w:spacing w:before="0" w:beforeAutospacing="0" w:after="0" w:afterAutospacing="0" w:line="360" w:lineRule="auto"/>
              <w:ind w:left="0"/>
              <w:jc w:val="center"/>
              <w:rPr>
                <w:rFonts w:hint="eastAsia" w:ascii="宋体" w:hAnsi="宋体" w:eastAsia="宋体" w:cs="宋体"/>
                <w:bCs/>
                <w:color w:val="auto"/>
                <w:highlight w:val="none"/>
              </w:rPr>
            </w:pPr>
            <w:r>
              <w:rPr>
                <w:rFonts w:hint="eastAsia" w:ascii="宋体" w:hAnsi="宋体" w:eastAsia="宋体" w:cs="宋体"/>
                <w:bCs/>
                <w:color w:val="auto"/>
                <w:highlight w:val="none"/>
              </w:rPr>
              <w:t>1.</w:t>
            </w:r>
          </w:p>
          <w:p w14:paraId="596537B4">
            <w:pPr>
              <w:pStyle w:val="53"/>
              <w:shd w:val="clear" w:color="auto" w:fill="FFFFFF"/>
              <w:spacing w:before="0" w:beforeAutospacing="0" w:after="0" w:afterAutospacing="0" w:line="360" w:lineRule="auto"/>
              <w:ind w:left="0"/>
              <w:jc w:val="center"/>
              <w:rPr>
                <w:rFonts w:hint="eastAsia" w:ascii="宋体" w:hAnsi="宋体" w:eastAsia="宋体" w:cs="宋体"/>
                <w:bCs/>
                <w:color w:val="auto"/>
                <w:highlight w:val="none"/>
              </w:rPr>
            </w:pPr>
            <w:r>
              <w:rPr>
                <w:rFonts w:hint="eastAsia" w:ascii="宋体" w:hAnsi="宋体" w:eastAsia="宋体" w:cs="宋体"/>
                <w:bCs/>
                <w:color w:val="auto"/>
                <w:highlight w:val="none"/>
              </w:rPr>
              <w:t>企</w:t>
            </w:r>
          </w:p>
          <w:p w14:paraId="1F928884">
            <w:pPr>
              <w:pStyle w:val="53"/>
              <w:shd w:val="clear" w:color="auto" w:fill="FFFFFF"/>
              <w:spacing w:before="0" w:beforeAutospacing="0" w:after="0" w:afterAutospacing="0" w:line="360" w:lineRule="auto"/>
              <w:ind w:left="0"/>
              <w:jc w:val="center"/>
              <w:rPr>
                <w:rFonts w:hint="eastAsia" w:ascii="宋体" w:hAnsi="宋体" w:eastAsia="宋体" w:cs="宋体"/>
                <w:bCs/>
                <w:color w:val="auto"/>
                <w:highlight w:val="none"/>
              </w:rPr>
            </w:pPr>
            <w:r>
              <w:rPr>
                <w:rFonts w:hint="eastAsia" w:ascii="宋体" w:hAnsi="宋体" w:eastAsia="宋体" w:cs="宋体"/>
                <w:bCs/>
                <w:color w:val="auto"/>
                <w:highlight w:val="none"/>
              </w:rPr>
              <w:t>业</w:t>
            </w:r>
          </w:p>
          <w:p w14:paraId="72C22066">
            <w:pPr>
              <w:pStyle w:val="53"/>
              <w:shd w:val="clear" w:color="auto" w:fill="FFFFFF"/>
              <w:spacing w:before="0" w:beforeAutospacing="0" w:after="0" w:afterAutospacing="0" w:line="360" w:lineRule="auto"/>
              <w:ind w:left="0"/>
              <w:jc w:val="center"/>
              <w:rPr>
                <w:rFonts w:hint="eastAsia" w:ascii="宋体" w:hAnsi="宋体" w:eastAsia="宋体" w:cs="宋体"/>
                <w:bCs/>
                <w:color w:val="auto"/>
                <w:spacing w:val="27"/>
                <w:highlight w:val="none"/>
              </w:rPr>
            </w:pPr>
            <w:r>
              <w:rPr>
                <w:rFonts w:hint="eastAsia" w:ascii="宋体" w:hAnsi="宋体" w:eastAsia="宋体" w:cs="宋体"/>
                <w:bCs/>
                <w:color w:val="auto"/>
                <w:spacing w:val="27"/>
                <w:highlight w:val="none"/>
              </w:rPr>
              <w:t>概</w:t>
            </w:r>
          </w:p>
          <w:p w14:paraId="5E626725">
            <w:pPr>
              <w:pStyle w:val="53"/>
              <w:shd w:val="clear" w:color="auto" w:fill="FFFFFF"/>
              <w:spacing w:before="0" w:beforeAutospacing="0" w:after="0" w:afterAutospacing="0" w:line="360" w:lineRule="auto"/>
              <w:ind w:left="0"/>
              <w:jc w:val="center"/>
              <w:rPr>
                <w:rFonts w:hint="eastAsia" w:ascii="宋体" w:hAnsi="宋体" w:eastAsia="宋体" w:cs="宋体"/>
                <w:bCs/>
                <w:color w:val="auto"/>
                <w:highlight w:val="none"/>
              </w:rPr>
            </w:pPr>
            <w:r>
              <w:rPr>
                <w:rFonts w:hint="eastAsia" w:ascii="宋体" w:hAnsi="宋体" w:eastAsia="宋体" w:cs="宋体"/>
                <w:bCs/>
                <w:color w:val="auto"/>
                <w:spacing w:val="27"/>
                <w:highlight w:val="none"/>
              </w:rPr>
              <w:t>况</w:t>
            </w:r>
          </w:p>
        </w:tc>
        <w:tc>
          <w:tcPr>
            <w:tcW w:w="701" w:type="dxa"/>
            <w:tcBorders>
              <w:top w:val="single" w:color="auto" w:sz="4" w:space="0"/>
            </w:tcBorders>
            <w:noWrap w:val="0"/>
            <w:vAlign w:val="center"/>
          </w:tcPr>
          <w:p w14:paraId="5B2B1F25">
            <w:pPr>
              <w:pStyle w:val="53"/>
              <w:shd w:val="clear" w:color="auto" w:fill="FFFFFF"/>
              <w:spacing w:before="0" w:beforeAutospacing="0" w:after="0" w:afterAutospacing="0" w:line="360" w:lineRule="auto"/>
              <w:jc w:val="center"/>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职工人数</w:t>
            </w:r>
          </w:p>
        </w:tc>
        <w:tc>
          <w:tcPr>
            <w:tcW w:w="910" w:type="dxa"/>
            <w:gridSpan w:val="2"/>
            <w:tcBorders>
              <w:top w:val="single" w:color="auto" w:sz="4" w:space="0"/>
            </w:tcBorders>
            <w:noWrap w:val="0"/>
            <w:vAlign w:val="center"/>
          </w:tcPr>
          <w:p w14:paraId="5E72BC8F">
            <w:pPr>
              <w:pStyle w:val="53"/>
              <w:shd w:val="clear" w:color="auto" w:fill="FFFFFF"/>
              <w:spacing w:before="0" w:beforeAutospacing="0" w:after="0" w:afterAutospacing="0" w:line="360" w:lineRule="auto"/>
              <w:jc w:val="center"/>
              <w:rPr>
                <w:rFonts w:hint="eastAsia" w:ascii="宋体" w:hAnsi="宋体" w:eastAsia="宋体" w:cs="宋体"/>
                <w:bCs/>
                <w:color w:val="auto"/>
                <w:spacing w:val="16"/>
                <w:highlight w:val="none"/>
              </w:rPr>
            </w:pPr>
          </w:p>
        </w:tc>
        <w:tc>
          <w:tcPr>
            <w:tcW w:w="1163" w:type="dxa"/>
            <w:tcBorders>
              <w:top w:val="single" w:color="auto" w:sz="4" w:space="0"/>
            </w:tcBorders>
            <w:noWrap w:val="0"/>
            <w:vAlign w:val="center"/>
          </w:tcPr>
          <w:p w14:paraId="04F94695">
            <w:pPr>
              <w:pStyle w:val="53"/>
              <w:shd w:val="clear" w:color="auto" w:fill="FFFFFF"/>
              <w:spacing w:before="0" w:beforeAutospacing="0" w:after="0" w:afterAutospacing="0" w:line="360" w:lineRule="auto"/>
              <w:jc w:val="center"/>
              <w:rPr>
                <w:rFonts w:hint="eastAsia" w:ascii="宋体" w:hAnsi="宋体" w:eastAsia="宋体" w:cs="宋体"/>
                <w:bCs/>
                <w:color w:val="auto"/>
                <w:highlight w:val="none"/>
              </w:rPr>
            </w:pPr>
            <w:r>
              <w:rPr>
                <w:rFonts w:hint="eastAsia" w:ascii="宋体" w:hAnsi="宋体" w:eastAsia="宋体" w:cs="宋体"/>
                <w:bCs/>
                <w:color w:val="auto"/>
                <w:spacing w:val="18"/>
                <w:highlight w:val="none"/>
              </w:rPr>
              <w:t>具备大专以</w:t>
            </w:r>
            <w:r>
              <w:rPr>
                <w:rFonts w:hint="eastAsia" w:ascii="宋体" w:hAnsi="宋体" w:eastAsia="宋体" w:cs="宋体"/>
                <w:bCs/>
                <w:color w:val="auto"/>
                <w:spacing w:val="12"/>
                <w:highlight w:val="none"/>
              </w:rPr>
              <w:t>上学历人数</w:t>
            </w:r>
          </w:p>
        </w:tc>
        <w:tc>
          <w:tcPr>
            <w:tcW w:w="1205" w:type="dxa"/>
            <w:gridSpan w:val="2"/>
            <w:tcBorders>
              <w:top w:val="single" w:color="auto" w:sz="4" w:space="0"/>
            </w:tcBorders>
            <w:noWrap w:val="0"/>
            <w:vAlign w:val="center"/>
          </w:tcPr>
          <w:p w14:paraId="2CC48C05">
            <w:pPr>
              <w:widowControl/>
              <w:spacing w:line="360" w:lineRule="auto"/>
              <w:jc w:val="center"/>
              <w:rPr>
                <w:rFonts w:hint="eastAsia" w:ascii="宋体" w:hAnsi="宋体" w:eastAsia="宋体" w:cs="宋体"/>
                <w:bCs/>
                <w:color w:val="auto"/>
                <w:spacing w:val="16"/>
                <w:kern w:val="0"/>
                <w:sz w:val="24"/>
                <w:highlight w:val="none"/>
              </w:rPr>
            </w:pPr>
          </w:p>
          <w:p w14:paraId="0EA11CD9">
            <w:pPr>
              <w:widowControl/>
              <w:spacing w:line="360" w:lineRule="auto"/>
              <w:jc w:val="center"/>
              <w:rPr>
                <w:rFonts w:hint="eastAsia" w:ascii="宋体" w:hAnsi="宋体" w:eastAsia="宋体" w:cs="宋体"/>
                <w:bCs/>
                <w:color w:val="auto"/>
                <w:spacing w:val="16"/>
                <w:kern w:val="0"/>
                <w:sz w:val="24"/>
                <w:highlight w:val="none"/>
              </w:rPr>
            </w:pPr>
          </w:p>
          <w:p w14:paraId="36C55583">
            <w:pPr>
              <w:pStyle w:val="53"/>
              <w:shd w:val="clear" w:color="auto" w:fill="FFFFFF"/>
              <w:spacing w:before="0" w:beforeAutospacing="0" w:after="0" w:afterAutospacing="0" w:line="360" w:lineRule="auto"/>
              <w:jc w:val="center"/>
              <w:rPr>
                <w:rFonts w:hint="eastAsia" w:ascii="宋体" w:hAnsi="宋体" w:eastAsia="宋体" w:cs="宋体"/>
                <w:bCs/>
                <w:color w:val="auto"/>
                <w:spacing w:val="16"/>
                <w:highlight w:val="none"/>
              </w:rPr>
            </w:pPr>
          </w:p>
        </w:tc>
        <w:tc>
          <w:tcPr>
            <w:tcW w:w="2001" w:type="dxa"/>
            <w:gridSpan w:val="3"/>
            <w:tcBorders>
              <w:top w:val="single" w:color="auto" w:sz="4" w:space="0"/>
            </w:tcBorders>
            <w:noWrap w:val="0"/>
            <w:vAlign w:val="center"/>
          </w:tcPr>
          <w:p w14:paraId="7D83E259">
            <w:pPr>
              <w:pStyle w:val="53"/>
              <w:shd w:val="clear" w:color="auto" w:fill="FFFFFF"/>
              <w:spacing w:before="0" w:beforeAutospacing="0" w:after="0" w:afterAutospacing="0" w:line="360" w:lineRule="auto"/>
              <w:jc w:val="center"/>
              <w:rPr>
                <w:rFonts w:hint="eastAsia" w:ascii="宋体" w:hAnsi="宋体" w:eastAsia="宋体" w:cs="宋体"/>
                <w:bCs/>
                <w:color w:val="auto"/>
                <w:spacing w:val="16"/>
                <w:highlight w:val="none"/>
              </w:rPr>
            </w:pPr>
            <w:r>
              <w:rPr>
                <w:rFonts w:hint="eastAsia" w:ascii="宋体" w:hAnsi="宋体" w:eastAsia="宋体" w:cs="宋体"/>
                <w:bCs/>
                <w:color w:val="auto"/>
                <w:spacing w:val="65"/>
                <w:highlight w:val="none"/>
              </w:rPr>
              <w:t>国家授予技</w:t>
            </w:r>
            <w:r>
              <w:rPr>
                <w:rFonts w:hint="eastAsia" w:ascii="宋体" w:hAnsi="宋体" w:eastAsia="宋体" w:cs="宋体"/>
                <w:bCs/>
                <w:color w:val="auto"/>
                <w:spacing w:val="12"/>
                <w:highlight w:val="none"/>
              </w:rPr>
              <w:t>术职称人数</w:t>
            </w:r>
          </w:p>
        </w:tc>
        <w:tc>
          <w:tcPr>
            <w:tcW w:w="2151" w:type="dxa"/>
            <w:gridSpan w:val="2"/>
            <w:tcBorders>
              <w:top w:val="single" w:color="auto" w:sz="4" w:space="0"/>
            </w:tcBorders>
            <w:noWrap w:val="0"/>
            <w:vAlign w:val="center"/>
          </w:tcPr>
          <w:p w14:paraId="01074195">
            <w:pPr>
              <w:widowControl/>
              <w:spacing w:line="360" w:lineRule="auto"/>
              <w:jc w:val="center"/>
              <w:rPr>
                <w:rFonts w:hint="eastAsia" w:ascii="宋体" w:hAnsi="宋体" w:eastAsia="宋体" w:cs="宋体"/>
                <w:bCs/>
                <w:color w:val="auto"/>
                <w:spacing w:val="16"/>
                <w:kern w:val="0"/>
                <w:sz w:val="24"/>
                <w:highlight w:val="none"/>
              </w:rPr>
            </w:pPr>
          </w:p>
          <w:p w14:paraId="17D932B0">
            <w:pPr>
              <w:pStyle w:val="53"/>
              <w:shd w:val="clear" w:color="auto" w:fill="FFFFFF"/>
              <w:spacing w:before="0" w:beforeAutospacing="0" w:after="0" w:afterAutospacing="0" w:line="360" w:lineRule="auto"/>
              <w:jc w:val="center"/>
              <w:rPr>
                <w:rFonts w:hint="eastAsia" w:ascii="宋体" w:hAnsi="宋体" w:eastAsia="宋体" w:cs="宋体"/>
                <w:bCs/>
                <w:color w:val="auto"/>
                <w:spacing w:val="16"/>
                <w:highlight w:val="none"/>
              </w:rPr>
            </w:pPr>
          </w:p>
        </w:tc>
      </w:tr>
      <w:tr w14:paraId="5D628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682" w:type="dxa"/>
            <w:vMerge w:val="continue"/>
            <w:noWrap w:val="0"/>
            <w:vAlign w:val="center"/>
          </w:tcPr>
          <w:p w14:paraId="0A3E7A0E">
            <w:pPr>
              <w:pStyle w:val="53"/>
              <w:shd w:val="clear" w:color="auto" w:fill="FFFFFF"/>
              <w:spacing w:before="0" w:beforeAutospacing="0" w:after="0" w:afterAutospacing="0" w:line="360" w:lineRule="auto"/>
              <w:ind w:left="0"/>
              <w:jc w:val="center"/>
              <w:rPr>
                <w:rFonts w:hint="eastAsia" w:ascii="宋体" w:hAnsi="宋体" w:eastAsia="宋体" w:cs="宋体"/>
                <w:bCs/>
                <w:color w:val="auto"/>
                <w:highlight w:val="none"/>
              </w:rPr>
            </w:pPr>
          </w:p>
        </w:tc>
        <w:tc>
          <w:tcPr>
            <w:tcW w:w="701" w:type="dxa"/>
            <w:noWrap w:val="0"/>
            <w:vAlign w:val="center"/>
          </w:tcPr>
          <w:p w14:paraId="541AF1C7">
            <w:pPr>
              <w:pStyle w:val="53"/>
              <w:shd w:val="clear" w:color="auto" w:fill="FFFFFF"/>
              <w:spacing w:before="0" w:beforeAutospacing="0" w:after="0" w:afterAutospacing="0" w:line="360" w:lineRule="auto"/>
              <w:jc w:val="center"/>
              <w:rPr>
                <w:rFonts w:hint="eastAsia" w:ascii="宋体" w:hAnsi="宋体" w:eastAsia="宋体" w:cs="宋体"/>
                <w:bCs/>
                <w:color w:val="auto"/>
                <w:highlight w:val="none"/>
              </w:rPr>
            </w:pPr>
            <w:r>
              <w:rPr>
                <w:rFonts w:hint="eastAsia" w:ascii="宋体" w:hAnsi="宋体" w:eastAsia="宋体" w:cs="宋体"/>
                <w:bCs/>
                <w:color w:val="auto"/>
                <w:spacing w:val="16"/>
                <w:highlight w:val="none"/>
              </w:rPr>
              <w:t>占地面积</w:t>
            </w:r>
          </w:p>
        </w:tc>
        <w:tc>
          <w:tcPr>
            <w:tcW w:w="910" w:type="dxa"/>
            <w:gridSpan w:val="2"/>
            <w:noWrap w:val="0"/>
            <w:vAlign w:val="center"/>
          </w:tcPr>
          <w:p w14:paraId="31AFA6AF">
            <w:pPr>
              <w:pStyle w:val="53"/>
              <w:shd w:val="clear" w:color="auto" w:fill="FFFFFF"/>
              <w:spacing w:before="0" w:beforeAutospacing="0" w:after="0" w:afterAutospacing="0" w:line="360" w:lineRule="auto"/>
              <w:jc w:val="center"/>
              <w:rPr>
                <w:rFonts w:hint="eastAsia" w:ascii="宋体" w:hAnsi="宋体" w:eastAsia="宋体" w:cs="宋体"/>
                <w:bCs/>
                <w:color w:val="auto"/>
                <w:highlight w:val="none"/>
              </w:rPr>
            </w:pPr>
          </w:p>
        </w:tc>
        <w:tc>
          <w:tcPr>
            <w:tcW w:w="1163" w:type="dxa"/>
            <w:noWrap w:val="0"/>
            <w:vAlign w:val="center"/>
          </w:tcPr>
          <w:p w14:paraId="7C3B3374">
            <w:pPr>
              <w:pStyle w:val="53"/>
              <w:shd w:val="clear" w:color="auto" w:fill="FFFFFF"/>
              <w:spacing w:before="0" w:beforeAutospacing="0" w:after="0" w:afterAutospacing="0" w:line="360" w:lineRule="auto"/>
              <w:jc w:val="center"/>
              <w:rPr>
                <w:rFonts w:hint="eastAsia" w:ascii="宋体" w:hAnsi="宋体" w:eastAsia="宋体" w:cs="宋体"/>
                <w:bCs/>
                <w:color w:val="auto"/>
                <w:highlight w:val="none"/>
              </w:rPr>
            </w:pPr>
            <w:r>
              <w:rPr>
                <w:rFonts w:hint="eastAsia" w:ascii="宋体" w:hAnsi="宋体" w:eastAsia="宋体" w:cs="宋体"/>
                <w:bCs/>
                <w:color w:val="auto"/>
                <w:spacing w:val="16"/>
                <w:highlight w:val="none"/>
              </w:rPr>
              <w:t>建筑面积</w:t>
            </w:r>
          </w:p>
        </w:tc>
        <w:tc>
          <w:tcPr>
            <w:tcW w:w="1205" w:type="dxa"/>
            <w:gridSpan w:val="2"/>
            <w:noWrap w:val="0"/>
            <w:vAlign w:val="center"/>
          </w:tcPr>
          <w:p w14:paraId="77F86104">
            <w:pPr>
              <w:pStyle w:val="53"/>
              <w:shd w:val="clear" w:color="auto" w:fill="FFFFFF"/>
              <w:spacing w:before="0" w:beforeAutospacing="0" w:after="0" w:afterAutospacing="0" w:line="360" w:lineRule="auto"/>
              <w:ind w:firstLine="480" w:firstLineChars="200"/>
              <w:jc w:val="center"/>
              <w:rPr>
                <w:rFonts w:hint="eastAsia" w:ascii="宋体" w:hAnsi="宋体" w:eastAsia="宋体" w:cs="宋体"/>
                <w:bCs/>
                <w:color w:val="auto"/>
                <w:highlight w:val="none"/>
              </w:rPr>
            </w:pPr>
            <w:r>
              <w:rPr>
                <w:rFonts w:hint="eastAsia" w:ascii="宋体" w:hAnsi="宋体" w:eastAsia="宋体" w:cs="宋体"/>
                <w:bCs/>
                <w:color w:val="auto"/>
                <w:highlight w:val="none"/>
              </w:rPr>
              <w:t xml:space="preserve">平方米 </w:t>
            </w:r>
          </w:p>
          <w:p w14:paraId="4560FB17">
            <w:pPr>
              <w:pStyle w:val="53"/>
              <w:shd w:val="clear" w:color="auto" w:fill="FFFFFF"/>
              <w:spacing w:before="0" w:beforeAutospacing="0" w:after="0" w:afterAutospacing="0" w:line="360" w:lineRule="auto"/>
              <w:jc w:val="center"/>
              <w:rPr>
                <w:rFonts w:hint="eastAsia" w:ascii="宋体" w:hAnsi="宋体" w:eastAsia="宋体" w:cs="宋体"/>
                <w:bCs/>
                <w:color w:val="auto"/>
                <w:highlight w:val="none"/>
              </w:rPr>
            </w:pPr>
            <w:r>
              <w:rPr>
                <w:rFonts w:hint="eastAsia" w:ascii="宋体" w:hAnsi="宋体" w:eastAsia="宋体" w:cs="宋体"/>
                <w:bCs/>
                <w:color w:val="auto"/>
                <w:spacing w:val="16"/>
                <w:highlight w:val="none"/>
              </w:rPr>
              <w:t>□自有□</w:t>
            </w:r>
            <w:r>
              <w:rPr>
                <w:rFonts w:hint="eastAsia" w:ascii="宋体" w:hAnsi="宋体" w:eastAsia="宋体" w:cs="宋体"/>
                <w:bCs/>
                <w:color w:val="auto"/>
                <w:spacing w:val="16"/>
                <w:highlight w:val="none"/>
                <w:lang w:val="en-US" w:eastAsia="zh-CN"/>
              </w:rPr>
              <w:t>租赁</w:t>
            </w:r>
          </w:p>
        </w:tc>
        <w:tc>
          <w:tcPr>
            <w:tcW w:w="2001" w:type="dxa"/>
            <w:gridSpan w:val="3"/>
            <w:noWrap w:val="0"/>
            <w:vAlign w:val="center"/>
          </w:tcPr>
          <w:p w14:paraId="356C8AF4">
            <w:pPr>
              <w:pStyle w:val="53"/>
              <w:shd w:val="clear" w:color="auto" w:fill="FFFFFF"/>
              <w:spacing w:before="0" w:beforeAutospacing="0" w:after="0" w:afterAutospacing="0" w:line="360" w:lineRule="auto"/>
              <w:jc w:val="center"/>
              <w:rPr>
                <w:rFonts w:hint="eastAsia" w:ascii="宋体" w:hAnsi="宋体" w:eastAsia="宋体" w:cs="宋体"/>
                <w:bCs/>
                <w:color w:val="auto"/>
                <w:highlight w:val="none"/>
              </w:rPr>
            </w:pPr>
            <w:r>
              <w:rPr>
                <w:rFonts w:hint="eastAsia" w:ascii="宋体" w:hAnsi="宋体" w:eastAsia="宋体" w:cs="宋体"/>
                <w:bCs/>
                <w:color w:val="auto"/>
                <w:spacing w:val="16"/>
                <w:highlight w:val="none"/>
              </w:rPr>
              <w:t>生产经营场所及场所的设施与设备</w:t>
            </w:r>
          </w:p>
        </w:tc>
        <w:tc>
          <w:tcPr>
            <w:tcW w:w="2151" w:type="dxa"/>
            <w:gridSpan w:val="2"/>
            <w:noWrap w:val="0"/>
            <w:vAlign w:val="center"/>
          </w:tcPr>
          <w:p w14:paraId="5667403B">
            <w:pPr>
              <w:pStyle w:val="53"/>
              <w:shd w:val="clear" w:color="auto" w:fill="FFFFFF"/>
              <w:spacing w:before="0" w:beforeAutospacing="0" w:after="0" w:afterAutospacing="0" w:line="360" w:lineRule="auto"/>
              <w:jc w:val="center"/>
              <w:rPr>
                <w:rFonts w:hint="eastAsia" w:ascii="宋体" w:hAnsi="宋体" w:eastAsia="宋体" w:cs="宋体"/>
                <w:bCs/>
                <w:color w:val="auto"/>
                <w:spacing w:val="16"/>
                <w:highlight w:val="none"/>
              </w:rPr>
            </w:pPr>
          </w:p>
        </w:tc>
      </w:tr>
      <w:tr w14:paraId="4AD64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682" w:type="dxa"/>
            <w:vMerge w:val="continue"/>
            <w:noWrap w:val="0"/>
            <w:vAlign w:val="center"/>
          </w:tcPr>
          <w:p w14:paraId="3EBDDAEF">
            <w:pPr>
              <w:pStyle w:val="53"/>
              <w:shd w:val="clear" w:color="auto" w:fill="FFFFFF"/>
              <w:spacing w:before="0" w:beforeAutospacing="0" w:after="0" w:afterAutospacing="0" w:line="360" w:lineRule="auto"/>
              <w:ind w:left="0"/>
              <w:jc w:val="center"/>
              <w:rPr>
                <w:rFonts w:hint="eastAsia" w:ascii="宋体" w:hAnsi="宋体" w:eastAsia="宋体" w:cs="宋体"/>
                <w:bCs/>
                <w:color w:val="auto"/>
                <w:highlight w:val="none"/>
              </w:rPr>
            </w:pPr>
          </w:p>
        </w:tc>
        <w:tc>
          <w:tcPr>
            <w:tcW w:w="701" w:type="dxa"/>
            <w:noWrap w:val="0"/>
            <w:vAlign w:val="center"/>
          </w:tcPr>
          <w:p w14:paraId="6B232C07">
            <w:pPr>
              <w:pStyle w:val="53"/>
              <w:shd w:val="clear" w:color="auto" w:fill="FFFFFF"/>
              <w:spacing w:before="0" w:beforeAutospacing="0" w:after="0" w:afterAutospacing="0" w:line="360" w:lineRule="auto"/>
              <w:ind w:left="0"/>
              <w:jc w:val="center"/>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注册资金</w:t>
            </w:r>
          </w:p>
        </w:tc>
        <w:tc>
          <w:tcPr>
            <w:tcW w:w="910" w:type="dxa"/>
            <w:gridSpan w:val="2"/>
            <w:noWrap w:val="0"/>
            <w:vAlign w:val="center"/>
          </w:tcPr>
          <w:p w14:paraId="7A9232BE">
            <w:pPr>
              <w:pStyle w:val="53"/>
              <w:shd w:val="clear" w:color="auto" w:fill="FFFFFF"/>
              <w:spacing w:before="0" w:beforeAutospacing="0" w:after="0" w:afterAutospacing="0" w:line="360" w:lineRule="auto"/>
              <w:ind w:left="0"/>
              <w:jc w:val="center"/>
              <w:rPr>
                <w:rFonts w:hint="eastAsia" w:ascii="宋体" w:hAnsi="宋体" w:eastAsia="宋体" w:cs="宋体"/>
                <w:bCs/>
                <w:color w:val="auto"/>
                <w:highlight w:val="none"/>
              </w:rPr>
            </w:pPr>
          </w:p>
        </w:tc>
        <w:tc>
          <w:tcPr>
            <w:tcW w:w="1163" w:type="dxa"/>
            <w:noWrap w:val="0"/>
            <w:vAlign w:val="center"/>
          </w:tcPr>
          <w:p w14:paraId="6F8B9428">
            <w:pPr>
              <w:pStyle w:val="53"/>
              <w:shd w:val="clear" w:color="auto" w:fill="FFFFFF"/>
              <w:spacing w:before="0" w:beforeAutospacing="0" w:after="0" w:afterAutospacing="0" w:line="360" w:lineRule="auto"/>
              <w:ind w:left="0"/>
              <w:jc w:val="center"/>
              <w:rPr>
                <w:rFonts w:hint="eastAsia" w:ascii="宋体" w:hAnsi="宋体" w:eastAsia="宋体" w:cs="宋体"/>
                <w:bCs/>
                <w:color w:val="auto"/>
                <w:highlight w:val="none"/>
              </w:rPr>
            </w:pPr>
            <w:r>
              <w:rPr>
                <w:rFonts w:hint="eastAsia" w:ascii="宋体" w:hAnsi="宋体" w:eastAsia="宋体" w:cs="宋体"/>
                <w:bCs/>
                <w:color w:val="auto"/>
                <w:spacing w:val="16"/>
                <w:highlight w:val="none"/>
              </w:rPr>
              <w:t>注册发证</w:t>
            </w:r>
            <w:r>
              <w:rPr>
                <w:rFonts w:hint="eastAsia" w:ascii="宋体" w:hAnsi="宋体" w:eastAsia="宋体" w:cs="宋体"/>
                <w:bCs/>
                <w:color w:val="auto"/>
                <w:spacing w:val="27"/>
                <w:highlight w:val="none"/>
              </w:rPr>
              <w:t>机关</w:t>
            </w:r>
          </w:p>
        </w:tc>
        <w:tc>
          <w:tcPr>
            <w:tcW w:w="3206" w:type="dxa"/>
            <w:gridSpan w:val="5"/>
            <w:noWrap w:val="0"/>
            <w:vAlign w:val="center"/>
          </w:tcPr>
          <w:p w14:paraId="029C7B46">
            <w:pPr>
              <w:widowControl/>
              <w:spacing w:line="360" w:lineRule="auto"/>
              <w:jc w:val="center"/>
              <w:rPr>
                <w:rFonts w:hint="eastAsia" w:ascii="宋体" w:hAnsi="宋体" w:eastAsia="宋体" w:cs="宋体"/>
                <w:bCs/>
                <w:color w:val="auto"/>
                <w:kern w:val="0"/>
                <w:sz w:val="24"/>
                <w:highlight w:val="none"/>
              </w:rPr>
            </w:pPr>
          </w:p>
          <w:p w14:paraId="69214BD7">
            <w:pPr>
              <w:pStyle w:val="53"/>
              <w:shd w:val="clear" w:color="auto" w:fill="FFFFFF"/>
              <w:spacing w:before="0" w:beforeAutospacing="0" w:after="0" w:afterAutospacing="0" w:line="360" w:lineRule="auto"/>
              <w:ind w:left="0"/>
              <w:jc w:val="center"/>
              <w:rPr>
                <w:rFonts w:hint="eastAsia" w:ascii="宋体" w:hAnsi="宋体" w:eastAsia="宋体" w:cs="宋体"/>
                <w:bCs/>
                <w:color w:val="auto"/>
                <w:highlight w:val="none"/>
              </w:rPr>
            </w:pPr>
          </w:p>
        </w:tc>
        <w:tc>
          <w:tcPr>
            <w:tcW w:w="1218" w:type="dxa"/>
            <w:noWrap w:val="0"/>
            <w:vAlign w:val="center"/>
          </w:tcPr>
          <w:p w14:paraId="0A57DFED">
            <w:pPr>
              <w:pStyle w:val="53"/>
              <w:shd w:val="clear" w:color="auto" w:fill="FFFFFF"/>
              <w:spacing w:before="0" w:beforeAutospacing="0" w:after="0" w:afterAutospacing="0" w:line="360" w:lineRule="auto"/>
              <w:ind w:left="0"/>
              <w:jc w:val="center"/>
              <w:rPr>
                <w:rFonts w:hint="eastAsia" w:ascii="宋体" w:hAnsi="宋体" w:eastAsia="宋体" w:cs="宋体"/>
                <w:bCs/>
                <w:color w:val="auto"/>
                <w:highlight w:val="none"/>
              </w:rPr>
            </w:pPr>
            <w:r>
              <w:rPr>
                <w:rFonts w:hint="eastAsia" w:ascii="宋体" w:hAnsi="宋体" w:eastAsia="宋体" w:cs="宋体"/>
                <w:bCs/>
                <w:color w:val="auto"/>
                <w:highlight w:val="none"/>
              </w:rPr>
              <w:t>公司成</w:t>
            </w:r>
            <w:r>
              <w:rPr>
                <w:rFonts w:hint="eastAsia" w:ascii="宋体" w:hAnsi="宋体" w:eastAsia="宋体" w:cs="宋体"/>
                <w:bCs/>
                <w:color w:val="auto"/>
                <w:spacing w:val="12"/>
                <w:highlight w:val="none"/>
              </w:rPr>
              <w:t>立时间</w:t>
            </w:r>
          </w:p>
        </w:tc>
        <w:tc>
          <w:tcPr>
            <w:tcW w:w="933" w:type="dxa"/>
            <w:noWrap w:val="0"/>
            <w:vAlign w:val="center"/>
          </w:tcPr>
          <w:p w14:paraId="1BCFF2E5">
            <w:pPr>
              <w:pStyle w:val="53"/>
              <w:shd w:val="clear" w:color="auto" w:fill="FFFFFF"/>
              <w:spacing w:before="0" w:beforeAutospacing="0" w:after="0" w:afterAutospacing="0" w:line="360" w:lineRule="auto"/>
              <w:ind w:left="0"/>
              <w:jc w:val="center"/>
              <w:rPr>
                <w:rFonts w:hint="eastAsia" w:ascii="宋体" w:hAnsi="宋体" w:eastAsia="宋体" w:cs="宋体"/>
                <w:bCs/>
                <w:color w:val="auto"/>
                <w:highlight w:val="none"/>
              </w:rPr>
            </w:pPr>
          </w:p>
        </w:tc>
      </w:tr>
      <w:tr w14:paraId="03625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682" w:type="dxa"/>
            <w:vMerge w:val="continue"/>
            <w:noWrap w:val="0"/>
            <w:vAlign w:val="center"/>
          </w:tcPr>
          <w:p w14:paraId="6888A9A6">
            <w:pPr>
              <w:pStyle w:val="53"/>
              <w:shd w:val="clear" w:color="auto" w:fill="FFFFFF"/>
              <w:spacing w:before="0" w:beforeAutospacing="0" w:after="0" w:afterAutospacing="0" w:line="360" w:lineRule="auto"/>
              <w:ind w:left="0"/>
              <w:jc w:val="center"/>
              <w:rPr>
                <w:rFonts w:hint="eastAsia" w:ascii="宋体" w:hAnsi="宋体" w:eastAsia="宋体" w:cs="宋体"/>
                <w:bCs/>
                <w:color w:val="auto"/>
                <w:highlight w:val="none"/>
              </w:rPr>
            </w:pPr>
          </w:p>
        </w:tc>
        <w:tc>
          <w:tcPr>
            <w:tcW w:w="701" w:type="dxa"/>
            <w:noWrap w:val="0"/>
            <w:vAlign w:val="center"/>
          </w:tcPr>
          <w:p w14:paraId="5F07EF55">
            <w:pPr>
              <w:pStyle w:val="53"/>
              <w:shd w:val="clear" w:color="auto" w:fill="FFFFFF"/>
              <w:spacing w:before="0" w:beforeAutospacing="0" w:after="0" w:afterAutospacing="0" w:line="360" w:lineRule="auto"/>
              <w:ind w:left="0"/>
              <w:jc w:val="center"/>
              <w:rPr>
                <w:rFonts w:hint="eastAsia" w:ascii="宋体" w:hAnsi="宋体" w:eastAsia="宋体" w:cs="宋体"/>
                <w:bCs/>
                <w:color w:val="auto"/>
                <w:highlight w:val="none"/>
              </w:rPr>
            </w:pPr>
            <w:r>
              <w:rPr>
                <w:rFonts w:hint="eastAsia" w:ascii="宋体" w:hAnsi="宋体" w:eastAsia="宋体" w:cs="宋体"/>
                <w:bCs/>
                <w:color w:val="auto"/>
                <w:highlight w:val="none"/>
              </w:rPr>
              <w:t>核准经营范围</w:t>
            </w:r>
          </w:p>
        </w:tc>
        <w:tc>
          <w:tcPr>
            <w:tcW w:w="7430" w:type="dxa"/>
            <w:gridSpan w:val="10"/>
            <w:noWrap w:val="0"/>
            <w:vAlign w:val="center"/>
          </w:tcPr>
          <w:p w14:paraId="09E4A866">
            <w:pPr>
              <w:pStyle w:val="53"/>
              <w:shd w:val="clear" w:color="auto" w:fill="FFFFFF"/>
              <w:spacing w:before="0" w:beforeAutospacing="0" w:after="0" w:afterAutospacing="0" w:line="360" w:lineRule="auto"/>
              <w:ind w:left="0"/>
              <w:jc w:val="center"/>
              <w:rPr>
                <w:rFonts w:hint="eastAsia" w:ascii="宋体" w:hAnsi="宋体" w:eastAsia="宋体" w:cs="宋体"/>
                <w:bCs/>
                <w:color w:val="auto"/>
                <w:highlight w:val="none"/>
              </w:rPr>
            </w:pPr>
          </w:p>
        </w:tc>
      </w:tr>
      <w:tr w14:paraId="2A931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82" w:type="dxa"/>
            <w:vMerge w:val="continue"/>
            <w:noWrap w:val="0"/>
            <w:vAlign w:val="center"/>
          </w:tcPr>
          <w:p w14:paraId="4FDB8CDE">
            <w:pPr>
              <w:pStyle w:val="53"/>
              <w:shd w:val="clear" w:color="auto" w:fill="FFFFFF"/>
              <w:spacing w:before="0" w:beforeAutospacing="0" w:after="0" w:afterAutospacing="0" w:line="360" w:lineRule="auto"/>
              <w:ind w:left="0"/>
              <w:jc w:val="center"/>
              <w:rPr>
                <w:rFonts w:hint="eastAsia" w:ascii="宋体" w:hAnsi="宋体" w:eastAsia="宋体" w:cs="宋体"/>
                <w:bCs/>
                <w:color w:val="auto"/>
                <w:highlight w:val="none"/>
              </w:rPr>
            </w:pPr>
          </w:p>
        </w:tc>
        <w:tc>
          <w:tcPr>
            <w:tcW w:w="8131" w:type="dxa"/>
            <w:gridSpan w:val="11"/>
            <w:noWrap w:val="0"/>
            <w:vAlign w:val="center"/>
          </w:tcPr>
          <w:p w14:paraId="23BFE501">
            <w:pPr>
              <w:pStyle w:val="53"/>
              <w:shd w:val="clear" w:color="auto" w:fill="FFFFFF"/>
              <w:spacing w:before="0" w:beforeAutospacing="0" w:after="0" w:afterAutospacing="0" w:line="360" w:lineRule="auto"/>
              <w:jc w:val="center"/>
              <w:rPr>
                <w:rFonts w:hint="eastAsia" w:ascii="宋体" w:hAnsi="宋体" w:eastAsia="宋体" w:cs="宋体"/>
                <w:bCs/>
                <w:color w:val="auto"/>
                <w:spacing w:val="13"/>
                <w:highlight w:val="none"/>
              </w:rPr>
            </w:pPr>
            <w:r>
              <w:rPr>
                <w:rFonts w:hint="eastAsia" w:ascii="宋体" w:hAnsi="宋体" w:eastAsia="宋体" w:cs="宋体"/>
                <w:bCs/>
                <w:color w:val="auto"/>
                <w:spacing w:val="13"/>
                <w:highlight w:val="none"/>
              </w:rPr>
              <w:t>发展历程及主要荣誉：</w:t>
            </w:r>
          </w:p>
        </w:tc>
      </w:tr>
      <w:tr w14:paraId="6B069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82" w:type="dxa"/>
            <w:vMerge w:val="restart"/>
            <w:noWrap w:val="0"/>
            <w:vAlign w:val="center"/>
          </w:tcPr>
          <w:p w14:paraId="288DD3E0">
            <w:pPr>
              <w:pStyle w:val="53"/>
              <w:shd w:val="clear" w:color="auto" w:fill="FFFFFF"/>
              <w:spacing w:before="0" w:beforeAutospacing="0" w:after="0" w:afterAutospacing="0" w:line="360" w:lineRule="auto"/>
              <w:ind w:left="0"/>
              <w:jc w:val="center"/>
              <w:rPr>
                <w:rFonts w:hint="eastAsia" w:ascii="宋体" w:hAnsi="宋体" w:eastAsia="宋体" w:cs="宋体"/>
                <w:bCs/>
                <w:color w:val="auto"/>
                <w:highlight w:val="none"/>
              </w:rPr>
            </w:pPr>
            <w:r>
              <w:rPr>
                <w:rFonts w:hint="eastAsia" w:ascii="宋体" w:hAnsi="宋体" w:eastAsia="宋体" w:cs="宋体"/>
                <w:bCs/>
                <w:color w:val="auto"/>
                <w:highlight w:val="none"/>
              </w:rPr>
              <w:t>2．</w:t>
            </w:r>
          </w:p>
          <w:p w14:paraId="3E887376">
            <w:pPr>
              <w:pStyle w:val="53"/>
              <w:shd w:val="clear" w:color="auto" w:fill="FFFFFF"/>
              <w:spacing w:before="0" w:beforeAutospacing="0" w:after="0" w:afterAutospacing="0" w:line="360" w:lineRule="auto"/>
              <w:ind w:left="0"/>
              <w:jc w:val="center"/>
              <w:rPr>
                <w:rFonts w:hint="eastAsia" w:ascii="宋体" w:hAnsi="宋体" w:eastAsia="宋体" w:cs="宋体"/>
                <w:bCs/>
                <w:color w:val="auto"/>
                <w:spacing w:val="16"/>
                <w:highlight w:val="none"/>
              </w:rPr>
            </w:pPr>
            <w:r>
              <w:rPr>
                <w:rFonts w:hint="eastAsia" w:ascii="宋体" w:hAnsi="宋体" w:eastAsia="宋体" w:cs="宋体"/>
                <w:bCs/>
                <w:color w:val="auto"/>
                <w:highlight w:val="none"/>
              </w:rPr>
              <w:t>企</w:t>
            </w:r>
            <w:r>
              <w:rPr>
                <w:rFonts w:hint="eastAsia" w:ascii="宋体" w:hAnsi="宋体" w:eastAsia="宋体" w:cs="宋体"/>
                <w:bCs/>
                <w:color w:val="auto"/>
                <w:spacing w:val="12"/>
                <w:highlight w:val="none"/>
              </w:rPr>
              <w:t>业有关资质获证情况</w:t>
            </w:r>
          </w:p>
        </w:tc>
        <w:tc>
          <w:tcPr>
            <w:tcW w:w="1553" w:type="dxa"/>
            <w:gridSpan w:val="2"/>
            <w:vMerge w:val="restart"/>
            <w:noWrap w:val="0"/>
            <w:vAlign w:val="center"/>
          </w:tcPr>
          <w:p w14:paraId="77CF77AA">
            <w:pPr>
              <w:pStyle w:val="53"/>
              <w:shd w:val="clear" w:color="auto" w:fill="FFFFFF"/>
              <w:spacing w:before="0" w:beforeAutospacing="0" w:after="0" w:afterAutospacing="0" w:line="360" w:lineRule="auto"/>
              <w:jc w:val="center"/>
              <w:rPr>
                <w:rFonts w:hint="eastAsia" w:ascii="宋体" w:hAnsi="宋体" w:eastAsia="宋体" w:cs="宋体"/>
                <w:bCs/>
                <w:color w:val="auto"/>
                <w:spacing w:val="16"/>
                <w:highlight w:val="none"/>
              </w:rPr>
            </w:pPr>
            <w:r>
              <w:rPr>
                <w:rFonts w:hint="eastAsia" w:ascii="宋体" w:hAnsi="宋体" w:eastAsia="宋体" w:cs="宋体"/>
                <w:bCs/>
                <w:color w:val="auto"/>
                <w:spacing w:val="12"/>
                <w:highlight w:val="none"/>
              </w:rPr>
              <w:t>产品生产许可证情况</w:t>
            </w:r>
            <w:r>
              <w:rPr>
                <w:rFonts w:hint="eastAsia" w:ascii="宋体" w:hAnsi="宋体" w:eastAsia="宋体" w:cs="宋体"/>
                <w:bCs/>
                <w:color w:val="auto"/>
                <w:spacing w:val="41"/>
                <w:highlight w:val="none"/>
              </w:rPr>
              <w:t>（对需获得生产许可证的</w:t>
            </w:r>
            <w:r>
              <w:rPr>
                <w:rFonts w:hint="eastAsia" w:ascii="宋体" w:hAnsi="宋体" w:eastAsia="宋体" w:cs="宋体"/>
                <w:bCs/>
                <w:color w:val="auto"/>
                <w:spacing w:val="11"/>
                <w:highlight w:val="none"/>
              </w:rPr>
              <w:t>产品要填写此栏）</w:t>
            </w:r>
          </w:p>
        </w:tc>
        <w:tc>
          <w:tcPr>
            <w:tcW w:w="1333" w:type="dxa"/>
            <w:gridSpan w:val="3"/>
            <w:noWrap w:val="0"/>
            <w:vAlign w:val="center"/>
          </w:tcPr>
          <w:p w14:paraId="4DB81413">
            <w:pPr>
              <w:pStyle w:val="53"/>
              <w:shd w:val="clear" w:color="auto" w:fill="FFFFFF"/>
              <w:spacing w:before="0" w:beforeAutospacing="0" w:after="0" w:afterAutospacing="0" w:line="360" w:lineRule="auto"/>
              <w:ind w:right="0" w:rightChars="0"/>
              <w:jc w:val="center"/>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产品名称</w:t>
            </w:r>
          </w:p>
        </w:tc>
        <w:tc>
          <w:tcPr>
            <w:tcW w:w="1418" w:type="dxa"/>
            <w:gridSpan w:val="2"/>
            <w:noWrap w:val="0"/>
            <w:vAlign w:val="center"/>
          </w:tcPr>
          <w:p w14:paraId="5EAEF290">
            <w:pPr>
              <w:pStyle w:val="53"/>
              <w:shd w:val="clear" w:color="auto" w:fill="FFFFFF"/>
              <w:spacing w:before="0" w:beforeAutospacing="0" w:after="0" w:afterAutospacing="0" w:line="360" w:lineRule="auto"/>
              <w:jc w:val="center"/>
              <w:rPr>
                <w:rFonts w:hint="eastAsia" w:ascii="宋体" w:hAnsi="宋体" w:eastAsia="宋体" w:cs="宋体"/>
                <w:bCs/>
                <w:color w:val="auto"/>
                <w:highlight w:val="none"/>
              </w:rPr>
            </w:pPr>
            <w:r>
              <w:rPr>
                <w:rFonts w:hint="eastAsia" w:ascii="宋体" w:hAnsi="宋体" w:eastAsia="宋体" w:cs="宋体"/>
                <w:bCs/>
                <w:color w:val="auto"/>
                <w:spacing w:val="16"/>
                <w:highlight w:val="none"/>
              </w:rPr>
              <w:t>发证机关</w:t>
            </w:r>
          </w:p>
        </w:tc>
        <w:tc>
          <w:tcPr>
            <w:tcW w:w="1276" w:type="dxa"/>
            <w:noWrap w:val="0"/>
            <w:vAlign w:val="center"/>
          </w:tcPr>
          <w:p w14:paraId="010DB97A">
            <w:pPr>
              <w:pStyle w:val="53"/>
              <w:shd w:val="clear" w:color="auto" w:fill="FFFFFF"/>
              <w:spacing w:before="0" w:beforeAutospacing="0" w:after="0" w:afterAutospacing="0" w:line="360" w:lineRule="auto"/>
              <w:jc w:val="center"/>
              <w:rPr>
                <w:rFonts w:hint="eastAsia" w:ascii="宋体" w:hAnsi="宋体" w:eastAsia="宋体" w:cs="宋体"/>
                <w:bCs/>
                <w:color w:val="auto"/>
                <w:highlight w:val="none"/>
              </w:rPr>
            </w:pPr>
            <w:r>
              <w:rPr>
                <w:rFonts w:hint="eastAsia" w:ascii="宋体" w:hAnsi="宋体" w:eastAsia="宋体" w:cs="宋体"/>
                <w:bCs/>
                <w:color w:val="auto"/>
                <w:spacing w:val="27"/>
                <w:highlight w:val="none"/>
              </w:rPr>
              <w:t>编号</w:t>
            </w:r>
          </w:p>
        </w:tc>
        <w:tc>
          <w:tcPr>
            <w:tcW w:w="1618" w:type="dxa"/>
            <w:gridSpan w:val="2"/>
            <w:noWrap w:val="0"/>
            <w:vAlign w:val="center"/>
          </w:tcPr>
          <w:p w14:paraId="5B46D8B4">
            <w:pPr>
              <w:pStyle w:val="53"/>
              <w:shd w:val="clear" w:color="auto" w:fill="FFFFFF"/>
              <w:spacing w:before="0" w:beforeAutospacing="0" w:after="0" w:afterAutospacing="0" w:line="360" w:lineRule="auto"/>
              <w:jc w:val="center"/>
              <w:rPr>
                <w:rFonts w:hint="eastAsia" w:ascii="宋体" w:hAnsi="宋体" w:eastAsia="宋体" w:cs="宋体"/>
                <w:bCs/>
                <w:color w:val="auto"/>
                <w:highlight w:val="none"/>
              </w:rPr>
            </w:pPr>
            <w:r>
              <w:rPr>
                <w:rFonts w:hint="eastAsia" w:ascii="宋体" w:hAnsi="宋体" w:eastAsia="宋体" w:cs="宋体"/>
                <w:bCs/>
                <w:color w:val="auto"/>
                <w:spacing w:val="16"/>
                <w:highlight w:val="none"/>
              </w:rPr>
              <w:t>发证时间</w:t>
            </w:r>
          </w:p>
        </w:tc>
        <w:tc>
          <w:tcPr>
            <w:tcW w:w="933" w:type="dxa"/>
            <w:noWrap w:val="0"/>
            <w:vAlign w:val="center"/>
          </w:tcPr>
          <w:p w14:paraId="2F869DE7">
            <w:pPr>
              <w:pStyle w:val="53"/>
              <w:shd w:val="clear" w:color="auto" w:fill="FFFFFF"/>
              <w:spacing w:before="0" w:beforeAutospacing="0" w:after="0" w:afterAutospacing="0" w:line="360" w:lineRule="auto"/>
              <w:jc w:val="center"/>
              <w:rPr>
                <w:rFonts w:hint="eastAsia" w:ascii="宋体" w:hAnsi="宋体" w:eastAsia="宋体" w:cs="宋体"/>
                <w:bCs/>
                <w:color w:val="auto"/>
                <w:highlight w:val="none"/>
              </w:rPr>
            </w:pPr>
            <w:r>
              <w:rPr>
                <w:rFonts w:hint="eastAsia" w:ascii="宋体" w:hAnsi="宋体" w:eastAsia="宋体" w:cs="宋体"/>
                <w:bCs/>
                <w:color w:val="auto"/>
                <w:spacing w:val="27"/>
                <w:highlight w:val="none"/>
              </w:rPr>
              <w:t>期限</w:t>
            </w:r>
          </w:p>
        </w:tc>
      </w:tr>
      <w:tr w14:paraId="4C202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682" w:type="dxa"/>
            <w:vMerge w:val="continue"/>
            <w:noWrap w:val="0"/>
            <w:vAlign w:val="center"/>
          </w:tcPr>
          <w:p w14:paraId="27F4F109">
            <w:pPr>
              <w:pStyle w:val="53"/>
              <w:shd w:val="clear" w:color="auto" w:fill="FFFFFF"/>
              <w:spacing w:before="0" w:beforeAutospacing="0" w:after="0" w:afterAutospacing="0" w:line="360" w:lineRule="auto"/>
              <w:ind w:left="0"/>
              <w:jc w:val="center"/>
              <w:rPr>
                <w:rFonts w:hint="eastAsia" w:ascii="宋体" w:hAnsi="宋体" w:eastAsia="宋体" w:cs="宋体"/>
                <w:bCs/>
                <w:color w:val="auto"/>
                <w:highlight w:val="none"/>
              </w:rPr>
            </w:pPr>
          </w:p>
        </w:tc>
        <w:tc>
          <w:tcPr>
            <w:tcW w:w="1553" w:type="dxa"/>
            <w:gridSpan w:val="2"/>
            <w:vMerge w:val="continue"/>
            <w:noWrap w:val="0"/>
            <w:vAlign w:val="center"/>
          </w:tcPr>
          <w:p w14:paraId="23B6A3D5">
            <w:pPr>
              <w:pStyle w:val="53"/>
              <w:shd w:val="clear" w:color="auto" w:fill="FFFFFF"/>
              <w:spacing w:before="0" w:beforeAutospacing="0" w:after="0" w:afterAutospacing="0" w:line="360" w:lineRule="auto"/>
              <w:jc w:val="center"/>
              <w:rPr>
                <w:rFonts w:hint="eastAsia" w:ascii="宋体" w:hAnsi="宋体" w:eastAsia="宋体" w:cs="宋体"/>
                <w:bCs/>
                <w:color w:val="auto"/>
                <w:highlight w:val="none"/>
              </w:rPr>
            </w:pPr>
          </w:p>
        </w:tc>
        <w:tc>
          <w:tcPr>
            <w:tcW w:w="1333" w:type="dxa"/>
            <w:gridSpan w:val="3"/>
            <w:noWrap w:val="0"/>
            <w:vAlign w:val="center"/>
          </w:tcPr>
          <w:p w14:paraId="58DB4638">
            <w:pPr>
              <w:pStyle w:val="53"/>
              <w:shd w:val="clear" w:color="auto" w:fill="FFFFFF"/>
              <w:spacing w:before="0" w:beforeAutospacing="0" w:after="0" w:afterAutospacing="0" w:line="360" w:lineRule="auto"/>
              <w:jc w:val="center"/>
              <w:rPr>
                <w:rFonts w:hint="eastAsia" w:ascii="宋体" w:hAnsi="宋体" w:eastAsia="宋体" w:cs="宋体"/>
                <w:bCs/>
                <w:color w:val="auto"/>
                <w:highlight w:val="none"/>
              </w:rPr>
            </w:pPr>
          </w:p>
        </w:tc>
        <w:tc>
          <w:tcPr>
            <w:tcW w:w="1418" w:type="dxa"/>
            <w:gridSpan w:val="2"/>
            <w:noWrap w:val="0"/>
            <w:vAlign w:val="center"/>
          </w:tcPr>
          <w:p w14:paraId="222342D1">
            <w:pPr>
              <w:pStyle w:val="53"/>
              <w:shd w:val="clear" w:color="auto" w:fill="FFFFFF"/>
              <w:spacing w:before="0" w:beforeAutospacing="0" w:after="0" w:afterAutospacing="0" w:line="360" w:lineRule="auto"/>
              <w:jc w:val="center"/>
              <w:rPr>
                <w:rFonts w:hint="eastAsia" w:ascii="宋体" w:hAnsi="宋体" w:eastAsia="宋体" w:cs="宋体"/>
                <w:bCs/>
                <w:color w:val="auto"/>
                <w:highlight w:val="none"/>
              </w:rPr>
            </w:pPr>
          </w:p>
        </w:tc>
        <w:tc>
          <w:tcPr>
            <w:tcW w:w="1276" w:type="dxa"/>
            <w:noWrap w:val="0"/>
            <w:vAlign w:val="center"/>
          </w:tcPr>
          <w:p w14:paraId="2141FF79">
            <w:pPr>
              <w:pStyle w:val="53"/>
              <w:shd w:val="clear" w:color="auto" w:fill="FFFFFF"/>
              <w:spacing w:before="0" w:beforeAutospacing="0" w:after="0" w:afterAutospacing="0" w:line="360" w:lineRule="auto"/>
              <w:jc w:val="center"/>
              <w:rPr>
                <w:rFonts w:hint="eastAsia" w:ascii="宋体" w:hAnsi="宋体" w:eastAsia="宋体" w:cs="宋体"/>
                <w:bCs/>
                <w:color w:val="auto"/>
                <w:highlight w:val="none"/>
              </w:rPr>
            </w:pPr>
          </w:p>
        </w:tc>
        <w:tc>
          <w:tcPr>
            <w:tcW w:w="2551" w:type="dxa"/>
            <w:gridSpan w:val="3"/>
            <w:noWrap w:val="0"/>
            <w:vAlign w:val="center"/>
          </w:tcPr>
          <w:p w14:paraId="0D26EC38">
            <w:pPr>
              <w:pStyle w:val="53"/>
              <w:shd w:val="clear" w:color="auto" w:fill="FFFFFF"/>
              <w:spacing w:before="0" w:beforeAutospacing="0" w:after="0" w:afterAutospacing="0" w:line="360" w:lineRule="auto"/>
              <w:jc w:val="center"/>
              <w:rPr>
                <w:rFonts w:hint="eastAsia" w:ascii="宋体" w:hAnsi="宋体" w:eastAsia="宋体" w:cs="宋体"/>
                <w:bCs/>
                <w:color w:val="auto"/>
                <w:highlight w:val="none"/>
              </w:rPr>
            </w:pPr>
          </w:p>
        </w:tc>
      </w:tr>
      <w:tr w14:paraId="78CBE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682" w:type="dxa"/>
            <w:vMerge w:val="continue"/>
            <w:noWrap w:val="0"/>
            <w:vAlign w:val="center"/>
          </w:tcPr>
          <w:p w14:paraId="2498F166">
            <w:pPr>
              <w:pStyle w:val="53"/>
              <w:shd w:val="clear" w:color="auto" w:fill="FFFFFF"/>
              <w:spacing w:before="0" w:beforeAutospacing="0" w:after="0" w:afterAutospacing="0" w:line="360" w:lineRule="auto"/>
              <w:ind w:left="0"/>
              <w:jc w:val="center"/>
              <w:rPr>
                <w:rFonts w:hint="eastAsia" w:ascii="宋体" w:hAnsi="宋体" w:eastAsia="宋体" w:cs="宋体"/>
                <w:bCs/>
                <w:color w:val="auto"/>
                <w:spacing w:val="16"/>
                <w:highlight w:val="none"/>
              </w:rPr>
            </w:pPr>
          </w:p>
        </w:tc>
        <w:tc>
          <w:tcPr>
            <w:tcW w:w="1553" w:type="dxa"/>
            <w:gridSpan w:val="2"/>
            <w:noWrap w:val="0"/>
            <w:vAlign w:val="center"/>
          </w:tcPr>
          <w:p w14:paraId="24208717">
            <w:pPr>
              <w:pStyle w:val="53"/>
              <w:shd w:val="clear" w:color="auto" w:fill="FFFFFF"/>
              <w:spacing w:before="0" w:beforeAutospacing="0" w:after="0" w:afterAutospacing="0" w:line="360" w:lineRule="auto"/>
              <w:ind w:right="0" w:rightChars="0"/>
              <w:jc w:val="center"/>
              <w:rPr>
                <w:rFonts w:hint="eastAsia" w:ascii="宋体" w:hAnsi="宋体" w:eastAsia="宋体" w:cs="宋体"/>
                <w:bCs/>
                <w:color w:val="auto"/>
                <w:spacing w:val="41"/>
                <w:highlight w:val="none"/>
              </w:rPr>
            </w:pPr>
            <w:r>
              <w:rPr>
                <w:rFonts w:hint="eastAsia" w:ascii="宋体" w:hAnsi="宋体" w:eastAsia="宋体" w:cs="宋体"/>
                <w:bCs/>
                <w:color w:val="auto"/>
                <w:spacing w:val="41"/>
                <w:highlight w:val="none"/>
              </w:rPr>
              <w:t>企业通过质量体系、环保</w:t>
            </w:r>
            <w:r>
              <w:rPr>
                <w:rFonts w:hint="eastAsia" w:ascii="宋体" w:hAnsi="宋体" w:eastAsia="宋体" w:cs="宋体"/>
                <w:bCs/>
                <w:color w:val="auto"/>
                <w:spacing w:val="11"/>
                <w:highlight w:val="none"/>
              </w:rPr>
              <w:t>体系、计量等认证情况</w:t>
            </w:r>
          </w:p>
        </w:tc>
        <w:tc>
          <w:tcPr>
            <w:tcW w:w="6578" w:type="dxa"/>
            <w:gridSpan w:val="9"/>
            <w:noWrap w:val="0"/>
            <w:vAlign w:val="center"/>
          </w:tcPr>
          <w:p w14:paraId="6FB654AD">
            <w:pPr>
              <w:pStyle w:val="53"/>
              <w:shd w:val="clear" w:color="auto" w:fill="FFFFFF"/>
              <w:spacing w:before="0" w:beforeAutospacing="0" w:after="0" w:afterAutospacing="0" w:line="360" w:lineRule="auto"/>
              <w:jc w:val="center"/>
              <w:rPr>
                <w:rFonts w:hint="eastAsia" w:ascii="宋体" w:hAnsi="宋体" w:eastAsia="宋体" w:cs="宋体"/>
                <w:bCs/>
                <w:color w:val="auto"/>
                <w:spacing w:val="16"/>
                <w:highlight w:val="none"/>
              </w:rPr>
            </w:pPr>
          </w:p>
        </w:tc>
      </w:tr>
      <w:tr w14:paraId="057FF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682" w:type="dxa"/>
            <w:vMerge w:val="continue"/>
            <w:noWrap w:val="0"/>
            <w:vAlign w:val="center"/>
          </w:tcPr>
          <w:p w14:paraId="4B0EAA5D">
            <w:pPr>
              <w:pStyle w:val="53"/>
              <w:shd w:val="clear" w:color="auto" w:fill="FFFFFF"/>
              <w:spacing w:before="0" w:beforeAutospacing="0" w:after="0" w:afterAutospacing="0" w:line="360" w:lineRule="auto"/>
              <w:ind w:left="0"/>
              <w:jc w:val="center"/>
              <w:rPr>
                <w:rFonts w:hint="eastAsia" w:ascii="宋体" w:hAnsi="宋体" w:eastAsia="宋体" w:cs="宋体"/>
                <w:bCs/>
                <w:color w:val="auto"/>
                <w:spacing w:val="27"/>
                <w:highlight w:val="none"/>
              </w:rPr>
            </w:pPr>
          </w:p>
        </w:tc>
        <w:tc>
          <w:tcPr>
            <w:tcW w:w="1553" w:type="dxa"/>
            <w:gridSpan w:val="2"/>
            <w:noWrap w:val="0"/>
            <w:vAlign w:val="center"/>
          </w:tcPr>
          <w:p w14:paraId="0291E46A">
            <w:pPr>
              <w:pStyle w:val="53"/>
              <w:shd w:val="clear" w:color="auto" w:fill="FFFFFF"/>
              <w:spacing w:before="0" w:beforeAutospacing="0" w:after="0" w:afterAutospacing="0" w:line="360" w:lineRule="auto"/>
              <w:jc w:val="center"/>
              <w:rPr>
                <w:rFonts w:hint="eastAsia" w:ascii="宋体" w:hAnsi="宋体" w:eastAsia="宋体" w:cs="宋体"/>
                <w:bCs/>
                <w:color w:val="auto"/>
                <w:spacing w:val="16"/>
                <w:highlight w:val="none"/>
              </w:rPr>
            </w:pPr>
            <w:r>
              <w:rPr>
                <w:rFonts w:hint="eastAsia" w:ascii="宋体" w:hAnsi="宋体" w:eastAsia="宋体" w:cs="宋体"/>
                <w:bCs/>
                <w:color w:val="auto"/>
                <w:spacing w:val="10"/>
                <w:highlight w:val="none"/>
              </w:rPr>
              <w:t>企业获得专利情况</w:t>
            </w:r>
          </w:p>
        </w:tc>
        <w:tc>
          <w:tcPr>
            <w:tcW w:w="6578" w:type="dxa"/>
            <w:gridSpan w:val="9"/>
            <w:noWrap w:val="0"/>
            <w:vAlign w:val="center"/>
          </w:tcPr>
          <w:p w14:paraId="3BEC55CF">
            <w:pPr>
              <w:pStyle w:val="53"/>
              <w:shd w:val="clear" w:color="auto" w:fill="FFFFFF"/>
              <w:spacing w:before="0" w:beforeAutospacing="0" w:after="0" w:afterAutospacing="0" w:line="360" w:lineRule="auto"/>
              <w:jc w:val="center"/>
              <w:rPr>
                <w:rFonts w:hint="eastAsia" w:ascii="宋体" w:hAnsi="宋体" w:eastAsia="宋体" w:cs="宋体"/>
                <w:bCs/>
                <w:color w:val="auto"/>
                <w:spacing w:val="16"/>
                <w:highlight w:val="none"/>
              </w:rPr>
            </w:pPr>
          </w:p>
        </w:tc>
      </w:tr>
    </w:tbl>
    <w:p w14:paraId="5DED9822">
      <w:pPr>
        <w:pStyle w:val="53"/>
        <w:shd w:val="clear" w:color="auto" w:fill="FFFFFF"/>
        <w:spacing w:before="0" w:beforeAutospacing="0" w:after="0" w:afterAutospacing="0" w:line="360" w:lineRule="auto"/>
        <w:rPr>
          <w:b/>
          <w:color w:val="auto"/>
          <w:sz w:val="21"/>
          <w:szCs w:val="21"/>
          <w:highlight w:val="none"/>
        </w:rPr>
      </w:pPr>
      <w:r>
        <w:rPr>
          <w:rFonts w:hint="eastAsia"/>
          <w:b/>
          <w:color w:val="auto"/>
          <w:sz w:val="21"/>
          <w:szCs w:val="21"/>
          <w:highlight w:val="none"/>
        </w:rPr>
        <w:t>要求：</w:t>
      </w:r>
    </w:p>
    <w:p w14:paraId="5748A59D">
      <w:pPr>
        <w:pStyle w:val="53"/>
        <w:shd w:val="clear" w:color="auto" w:fill="FFFFFF"/>
        <w:spacing w:before="0" w:beforeAutospacing="0" w:after="0" w:afterAutospacing="0" w:line="360" w:lineRule="auto"/>
        <w:ind w:firstLine="424" w:firstLineChars="202"/>
        <w:rPr>
          <w:color w:val="auto"/>
          <w:highlight w:val="none"/>
        </w:rPr>
      </w:pPr>
      <w:r>
        <w:rPr>
          <w:rFonts w:hint="eastAsia" w:ascii="仿宋_GB2312" w:eastAsia="仿宋_GB2312"/>
          <w:color w:val="auto"/>
          <w:sz w:val="21"/>
          <w:szCs w:val="21"/>
          <w:highlight w:val="none"/>
        </w:rPr>
        <w:t>1.</w:t>
      </w:r>
      <w:r>
        <w:rPr>
          <w:rFonts w:hint="eastAsia"/>
          <w:color w:val="auto"/>
          <w:sz w:val="21"/>
          <w:szCs w:val="21"/>
          <w:highlight w:val="none"/>
        </w:rPr>
        <w:t>姓名栏必须将所有股东都统计在内，若非股份公司此行（第三行）无需填写；</w:t>
      </w:r>
    </w:p>
    <w:p w14:paraId="0677ECD0">
      <w:pPr>
        <w:rPr>
          <w:rFonts w:ascii="宋体" w:hAnsi="宋体"/>
          <w:color w:val="auto"/>
          <w:sz w:val="24"/>
          <w:highlight w:val="none"/>
        </w:rPr>
      </w:pPr>
    </w:p>
    <w:p w14:paraId="54BC5391">
      <w:pPr>
        <w:ind w:firstLine="424" w:firstLineChars="177"/>
        <w:rPr>
          <w:rFonts w:ascii="宋体" w:hAnsi="宋体"/>
          <w:color w:val="auto"/>
          <w:sz w:val="24"/>
          <w:highlight w:val="none"/>
          <w:u w:val="single"/>
        </w:rPr>
      </w:pPr>
      <w:r>
        <w:rPr>
          <w:rFonts w:hint="eastAsia" w:ascii="宋体" w:hAnsi="宋体"/>
          <w:color w:val="auto"/>
          <w:sz w:val="24"/>
          <w:highlight w:val="none"/>
        </w:rPr>
        <w:t>磋商供应商名称（盖章）：</w:t>
      </w:r>
    </w:p>
    <w:p w14:paraId="16A0CF3A">
      <w:pPr>
        <w:ind w:left="420"/>
        <w:rPr>
          <w:rFonts w:ascii="宋体" w:hAnsi="宋体"/>
          <w:color w:val="auto"/>
          <w:sz w:val="24"/>
          <w:highlight w:val="none"/>
        </w:rPr>
      </w:pPr>
    </w:p>
    <w:p w14:paraId="3632778A">
      <w:pPr>
        <w:ind w:firstLine="424" w:firstLineChars="177"/>
        <w:rPr>
          <w:rFonts w:ascii="宋体" w:hAnsi="宋体"/>
          <w:color w:val="auto"/>
          <w:sz w:val="24"/>
          <w:highlight w:val="none"/>
        </w:rPr>
      </w:pPr>
      <w:r>
        <w:rPr>
          <w:rFonts w:hint="eastAsia" w:ascii="宋体" w:hAnsi="宋体"/>
          <w:color w:val="auto"/>
          <w:sz w:val="24"/>
          <w:highlight w:val="none"/>
          <w:lang w:eastAsia="zh-CN"/>
        </w:rPr>
        <w:t>法定代表人或授权委托代理人</w:t>
      </w:r>
      <w:r>
        <w:rPr>
          <w:rFonts w:hint="eastAsia" w:ascii="宋体" w:hAnsi="宋体"/>
          <w:color w:val="auto"/>
          <w:sz w:val="24"/>
          <w:highlight w:val="none"/>
        </w:rPr>
        <w:t>签字：</w:t>
      </w:r>
    </w:p>
    <w:p w14:paraId="7A191676">
      <w:pPr>
        <w:ind w:firstLine="435"/>
        <w:rPr>
          <w:rFonts w:ascii="宋体" w:hAnsi="宋体"/>
          <w:color w:val="auto"/>
          <w:sz w:val="24"/>
          <w:highlight w:val="none"/>
        </w:rPr>
      </w:pPr>
    </w:p>
    <w:p w14:paraId="58D48CC9">
      <w:pPr>
        <w:ind w:firstLine="424" w:firstLineChars="177"/>
        <w:rPr>
          <w:rFonts w:ascii="宋体" w:hAnsi="宋体"/>
          <w:color w:val="auto"/>
          <w:sz w:val="24"/>
          <w:highlight w:val="none"/>
          <w:u w:val="single"/>
        </w:rPr>
      </w:pPr>
      <w:r>
        <w:rPr>
          <w:rFonts w:hint="eastAsia" w:ascii="宋体" w:hAnsi="宋体"/>
          <w:color w:val="auto"/>
          <w:sz w:val="24"/>
          <w:highlight w:val="none"/>
        </w:rPr>
        <w:t>职        务：</w:t>
      </w:r>
    </w:p>
    <w:p w14:paraId="4F0E0DCD">
      <w:pPr>
        <w:rPr>
          <w:rFonts w:ascii="宋体" w:hAnsi="宋体"/>
          <w:color w:val="auto"/>
          <w:sz w:val="24"/>
          <w:highlight w:val="none"/>
        </w:rPr>
      </w:pPr>
    </w:p>
    <w:p w14:paraId="76098321">
      <w:pPr>
        <w:pStyle w:val="53"/>
        <w:shd w:val="clear" w:color="auto" w:fill="FFFFFF"/>
        <w:spacing w:before="0" w:beforeAutospacing="0" w:after="0" w:afterAutospacing="0"/>
        <w:ind w:firstLine="424" w:firstLineChars="177"/>
        <w:rPr>
          <w:rFonts w:hint="eastAsia"/>
          <w:b/>
          <w:color w:val="auto"/>
          <w:sz w:val="28"/>
          <w:highlight w:val="none"/>
        </w:rPr>
      </w:pPr>
      <w:r>
        <w:rPr>
          <w:rFonts w:hint="eastAsia"/>
          <w:color w:val="auto"/>
          <w:highlight w:val="none"/>
        </w:rPr>
        <w:t>日        期：</w:t>
      </w:r>
    </w:p>
    <w:p w14:paraId="595BA9C3">
      <w:pPr>
        <w:snapToGrid w:val="0"/>
        <w:spacing w:before="50" w:after="50" w:line="360" w:lineRule="auto"/>
        <w:rPr>
          <w:rFonts w:hint="eastAsia" w:ascii="宋体" w:hAnsi="宋体"/>
          <w:b/>
          <w:color w:val="auto"/>
          <w:sz w:val="28"/>
          <w:highlight w:val="none"/>
        </w:rPr>
      </w:pPr>
    </w:p>
    <w:p w14:paraId="6148DFE6">
      <w:pPr>
        <w:snapToGrid w:val="0"/>
        <w:spacing w:before="50" w:after="50" w:line="360" w:lineRule="auto"/>
        <w:outlineLvl w:val="0"/>
        <w:rPr>
          <w:rFonts w:ascii="宋体" w:hAnsi="宋体"/>
          <w:b/>
          <w:color w:val="auto"/>
          <w:sz w:val="32"/>
          <w:szCs w:val="32"/>
          <w:highlight w:val="none"/>
        </w:rPr>
      </w:pPr>
      <w:bookmarkStart w:id="12" w:name="_Toc10091"/>
      <w:r>
        <w:rPr>
          <w:rFonts w:hint="eastAsia" w:ascii="宋体" w:hAnsi="宋体"/>
          <w:b/>
          <w:color w:val="auto"/>
          <w:sz w:val="28"/>
          <w:highlight w:val="none"/>
        </w:rPr>
        <w:t>附件</w:t>
      </w:r>
      <w:bookmarkEnd w:id="12"/>
      <w:r>
        <w:rPr>
          <w:rFonts w:hint="eastAsia" w:ascii="宋体" w:hAnsi="宋体"/>
          <w:b/>
          <w:color w:val="auto"/>
          <w:sz w:val="28"/>
          <w:highlight w:val="none"/>
          <w:lang w:val="en-US" w:eastAsia="zh-CN"/>
        </w:rPr>
        <w:t>12</w:t>
      </w:r>
      <w:r>
        <w:rPr>
          <w:rFonts w:hint="eastAsia" w:ascii="宋体" w:hAnsi="宋体"/>
          <w:b/>
          <w:color w:val="auto"/>
          <w:sz w:val="28"/>
          <w:highlight w:val="none"/>
        </w:rPr>
        <w:t xml:space="preserve"> </w:t>
      </w:r>
    </w:p>
    <w:p w14:paraId="05D783CA">
      <w:pPr>
        <w:snapToGrid w:val="0"/>
        <w:spacing w:before="156" w:beforeLines="50" w:after="50" w:line="360" w:lineRule="auto"/>
        <w:jc w:val="center"/>
        <w:rPr>
          <w:rFonts w:ascii="宋体" w:hAnsi="宋体"/>
          <w:b/>
          <w:color w:val="auto"/>
          <w:sz w:val="36"/>
          <w:szCs w:val="36"/>
          <w:highlight w:val="none"/>
        </w:rPr>
      </w:pPr>
      <w:r>
        <w:rPr>
          <w:rFonts w:hint="eastAsia" w:ascii="宋体" w:hAnsi="宋体"/>
          <w:b/>
          <w:color w:val="auto"/>
          <w:sz w:val="32"/>
          <w:szCs w:val="32"/>
          <w:highlight w:val="none"/>
        </w:rPr>
        <w:t>项目实施人员一览表</w:t>
      </w:r>
    </w:p>
    <w:p w14:paraId="72979E55">
      <w:pPr>
        <w:snapToGrid w:val="0"/>
        <w:spacing w:before="156" w:beforeLines="50" w:after="50" w:line="360" w:lineRule="auto"/>
        <w:ind w:firstLine="2400" w:firstLineChars="1000"/>
        <w:rPr>
          <w:rFonts w:ascii="宋体" w:hAnsi="宋体"/>
          <w:color w:val="auto"/>
          <w:sz w:val="24"/>
          <w:highlight w:val="none"/>
        </w:rPr>
      </w:pPr>
      <w:r>
        <w:rPr>
          <w:rFonts w:hint="eastAsia" w:ascii="宋体" w:hAnsi="宋体"/>
          <w:color w:val="auto"/>
          <w:sz w:val="24"/>
          <w:highlight w:val="none"/>
        </w:rPr>
        <w:t>（主要从业人员及其技术资格）</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753"/>
        <w:gridCol w:w="1004"/>
        <w:gridCol w:w="795"/>
        <w:gridCol w:w="1276"/>
        <w:gridCol w:w="1275"/>
        <w:gridCol w:w="1701"/>
        <w:gridCol w:w="1843"/>
      </w:tblGrid>
      <w:tr w14:paraId="2DB056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703A04E0">
            <w:pP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szCs w:val="20"/>
                <w:highlight w:val="none"/>
              </w:rPr>
              <w:t>序号</w:t>
            </w:r>
          </w:p>
        </w:tc>
        <w:tc>
          <w:tcPr>
            <w:tcW w:w="753" w:type="dxa"/>
            <w:tcBorders>
              <w:top w:val="single" w:color="auto" w:sz="4" w:space="0"/>
              <w:left w:val="single" w:color="auto" w:sz="4" w:space="0"/>
              <w:bottom w:val="single" w:color="auto" w:sz="4" w:space="0"/>
              <w:right w:val="single" w:color="auto" w:sz="4" w:space="0"/>
            </w:tcBorders>
            <w:noWrap w:val="0"/>
            <w:vAlign w:val="center"/>
          </w:tcPr>
          <w:p w14:paraId="691D2BDD">
            <w:pP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586EEA7B">
            <w:pP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0AB0482C">
            <w:pP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2BE1575">
            <w:pP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A225199">
            <w:pP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证书编号</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BA2FA2E">
            <w:pPr>
              <w:snapToGrid w:val="0"/>
              <w:spacing w:before="156" w:beforeLines="50" w:after="50" w:line="360" w:lineRule="auto"/>
              <w:jc w:val="center"/>
              <w:rPr>
                <w:rFonts w:ascii="宋体" w:hAnsi="宋体"/>
                <w:b/>
                <w:bCs/>
                <w:color w:val="auto"/>
                <w:sz w:val="24"/>
                <w:szCs w:val="20"/>
                <w:highlight w:val="none"/>
              </w:rPr>
            </w:pPr>
            <w:r>
              <w:rPr>
                <w:rFonts w:hint="eastAsia" w:ascii="宋体" w:hAnsi="宋体"/>
                <w:b/>
                <w:bCs/>
                <w:color w:val="auto"/>
                <w:sz w:val="24"/>
                <w:highlight w:val="none"/>
              </w:rPr>
              <w:t>参加本单位工作时间</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AC17210">
            <w:pPr>
              <w:snapToGrid w:val="0"/>
              <w:spacing w:before="156" w:beforeLines="50" w:after="50" w:line="360" w:lineRule="auto"/>
              <w:jc w:val="center"/>
              <w:rPr>
                <w:rFonts w:ascii="宋体" w:hAnsi="宋体"/>
                <w:b/>
                <w:bCs/>
                <w:color w:val="auto"/>
                <w:sz w:val="24"/>
                <w:szCs w:val="20"/>
                <w:highlight w:val="none"/>
              </w:rPr>
            </w:pPr>
            <w:r>
              <w:rPr>
                <w:rFonts w:hint="eastAsia" w:ascii="宋体" w:hAnsi="宋体"/>
                <w:b/>
                <w:color w:val="auto"/>
                <w:sz w:val="24"/>
                <w:highlight w:val="none"/>
              </w:rPr>
              <w:t>劳动合同编号</w:t>
            </w:r>
          </w:p>
        </w:tc>
      </w:tr>
      <w:tr w14:paraId="029D5F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6" w:type="dxa"/>
            <w:tcBorders>
              <w:top w:val="single" w:color="auto" w:sz="4" w:space="0"/>
              <w:left w:val="single" w:color="auto" w:sz="4" w:space="0"/>
              <w:bottom w:val="single" w:color="auto" w:sz="4" w:space="0"/>
              <w:right w:val="single" w:color="auto" w:sz="4" w:space="0"/>
            </w:tcBorders>
            <w:noWrap w:val="0"/>
            <w:vAlign w:val="top"/>
          </w:tcPr>
          <w:p w14:paraId="244E4389">
            <w:pPr>
              <w:snapToGrid w:val="0"/>
              <w:spacing w:before="156" w:beforeLines="50" w:after="50" w:line="360" w:lineRule="auto"/>
              <w:rPr>
                <w:rFonts w:ascii="宋体" w:hAnsi="宋体"/>
                <w:color w:val="auto"/>
                <w:sz w:val="24"/>
                <w:szCs w:val="20"/>
                <w:highlight w:val="none"/>
              </w:rPr>
            </w:pPr>
          </w:p>
        </w:tc>
        <w:tc>
          <w:tcPr>
            <w:tcW w:w="753" w:type="dxa"/>
            <w:tcBorders>
              <w:top w:val="single" w:color="auto" w:sz="4" w:space="0"/>
              <w:left w:val="single" w:color="auto" w:sz="4" w:space="0"/>
              <w:bottom w:val="single" w:color="auto" w:sz="4" w:space="0"/>
              <w:right w:val="single" w:color="auto" w:sz="4" w:space="0"/>
            </w:tcBorders>
            <w:noWrap w:val="0"/>
            <w:vAlign w:val="top"/>
          </w:tcPr>
          <w:p w14:paraId="52331E49">
            <w:pPr>
              <w:snapToGrid w:val="0"/>
              <w:spacing w:before="156"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0C2155A2">
            <w:pPr>
              <w:snapToGrid w:val="0"/>
              <w:spacing w:before="156"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0B42A7F6">
            <w:pPr>
              <w:snapToGrid w:val="0"/>
              <w:spacing w:before="156"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86AB723">
            <w:pPr>
              <w:snapToGrid w:val="0"/>
              <w:spacing w:before="156"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384E7976">
            <w:pPr>
              <w:snapToGrid w:val="0"/>
              <w:spacing w:before="156" w:beforeLines="50" w:after="50" w:line="360" w:lineRule="auto"/>
              <w:rPr>
                <w:rFonts w:ascii="宋体" w:hAnsi="宋体"/>
                <w:b/>
                <w:color w:val="auto"/>
                <w:kern w:val="44"/>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E6D1743">
            <w:pPr>
              <w:snapToGrid w:val="0"/>
              <w:spacing w:before="156" w:beforeLines="50" w:after="50" w:line="360" w:lineRule="auto"/>
              <w:rPr>
                <w:rFonts w:ascii="宋体" w:hAnsi="宋体"/>
                <w:b/>
                <w:color w:val="auto"/>
                <w:kern w:val="44"/>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08E52BC7">
            <w:pPr>
              <w:snapToGrid w:val="0"/>
              <w:spacing w:before="156" w:beforeLines="50" w:after="50" w:line="360" w:lineRule="auto"/>
              <w:rPr>
                <w:rFonts w:ascii="宋体" w:hAnsi="宋体"/>
                <w:b/>
                <w:color w:val="auto"/>
                <w:kern w:val="44"/>
                <w:sz w:val="24"/>
                <w:szCs w:val="20"/>
                <w:highlight w:val="none"/>
              </w:rPr>
            </w:pPr>
          </w:p>
        </w:tc>
      </w:tr>
      <w:tr w14:paraId="013F74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6" w:type="dxa"/>
            <w:tcBorders>
              <w:top w:val="single" w:color="auto" w:sz="4" w:space="0"/>
              <w:left w:val="single" w:color="auto" w:sz="4" w:space="0"/>
              <w:bottom w:val="single" w:color="auto" w:sz="4" w:space="0"/>
              <w:right w:val="single" w:color="auto" w:sz="4" w:space="0"/>
            </w:tcBorders>
            <w:noWrap w:val="0"/>
            <w:vAlign w:val="top"/>
          </w:tcPr>
          <w:p w14:paraId="3734707D">
            <w:pPr>
              <w:snapToGrid w:val="0"/>
              <w:spacing w:before="156" w:beforeLines="50" w:after="50" w:line="360" w:lineRule="auto"/>
              <w:rPr>
                <w:rFonts w:ascii="宋体" w:hAnsi="宋体"/>
                <w:color w:val="auto"/>
                <w:sz w:val="24"/>
                <w:szCs w:val="20"/>
                <w:highlight w:val="none"/>
              </w:rPr>
            </w:pPr>
          </w:p>
        </w:tc>
        <w:tc>
          <w:tcPr>
            <w:tcW w:w="753" w:type="dxa"/>
            <w:tcBorders>
              <w:top w:val="single" w:color="auto" w:sz="4" w:space="0"/>
              <w:left w:val="single" w:color="auto" w:sz="4" w:space="0"/>
              <w:bottom w:val="single" w:color="auto" w:sz="4" w:space="0"/>
              <w:right w:val="single" w:color="auto" w:sz="4" w:space="0"/>
            </w:tcBorders>
            <w:noWrap w:val="0"/>
            <w:vAlign w:val="top"/>
          </w:tcPr>
          <w:p w14:paraId="4D642F71">
            <w:pPr>
              <w:snapToGrid w:val="0"/>
              <w:spacing w:before="156"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08FE8701">
            <w:pPr>
              <w:snapToGrid w:val="0"/>
              <w:spacing w:before="156"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314075F4">
            <w:pPr>
              <w:snapToGrid w:val="0"/>
              <w:spacing w:before="156"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EE3D929">
            <w:pPr>
              <w:snapToGrid w:val="0"/>
              <w:spacing w:before="156"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2FFBA37">
            <w:pPr>
              <w:snapToGrid w:val="0"/>
              <w:spacing w:before="156" w:beforeLines="50" w:after="50" w:line="360" w:lineRule="auto"/>
              <w:rPr>
                <w:rFonts w:ascii="宋体" w:hAnsi="宋体"/>
                <w:b/>
                <w:color w:val="auto"/>
                <w:kern w:val="44"/>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123DB611">
            <w:pPr>
              <w:snapToGrid w:val="0"/>
              <w:spacing w:before="156" w:beforeLines="50" w:after="50" w:line="360" w:lineRule="auto"/>
              <w:rPr>
                <w:rFonts w:ascii="宋体" w:hAnsi="宋体"/>
                <w:b/>
                <w:color w:val="auto"/>
                <w:kern w:val="44"/>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5FD304E3">
            <w:pPr>
              <w:snapToGrid w:val="0"/>
              <w:spacing w:before="156" w:beforeLines="50" w:after="50" w:line="360" w:lineRule="auto"/>
              <w:rPr>
                <w:rFonts w:ascii="宋体" w:hAnsi="宋体"/>
                <w:b/>
                <w:color w:val="auto"/>
                <w:kern w:val="44"/>
                <w:sz w:val="24"/>
                <w:szCs w:val="20"/>
                <w:highlight w:val="none"/>
              </w:rPr>
            </w:pPr>
          </w:p>
        </w:tc>
      </w:tr>
      <w:tr w14:paraId="432B87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6" w:type="dxa"/>
            <w:tcBorders>
              <w:top w:val="single" w:color="auto" w:sz="4" w:space="0"/>
              <w:left w:val="single" w:color="auto" w:sz="4" w:space="0"/>
              <w:bottom w:val="single" w:color="auto" w:sz="4" w:space="0"/>
              <w:right w:val="single" w:color="auto" w:sz="4" w:space="0"/>
            </w:tcBorders>
            <w:noWrap w:val="0"/>
            <w:vAlign w:val="top"/>
          </w:tcPr>
          <w:p w14:paraId="19E4A80D">
            <w:pPr>
              <w:snapToGrid w:val="0"/>
              <w:spacing w:before="156" w:beforeLines="50" w:after="50" w:line="360" w:lineRule="auto"/>
              <w:rPr>
                <w:rFonts w:ascii="宋体" w:hAnsi="宋体"/>
                <w:color w:val="auto"/>
                <w:sz w:val="24"/>
                <w:szCs w:val="20"/>
                <w:highlight w:val="none"/>
              </w:rPr>
            </w:pPr>
          </w:p>
        </w:tc>
        <w:tc>
          <w:tcPr>
            <w:tcW w:w="753" w:type="dxa"/>
            <w:tcBorders>
              <w:top w:val="single" w:color="auto" w:sz="4" w:space="0"/>
              <w:left w:val="single" w:color="auto" w:sz="4" w:space="0"/>
              <w:bottom w:val="single" w:color="auto" w:sz="4" w:space="0"/>
              <w:right w:val="single" w:color="auto" w:sz="4" w:space="0"/>
            </w:tcBorders>
            <w:noWrap w:val="0"/>
            <w:vAlign w:val="top"/>
          </w:tcPr>
          <w:p w14:paraId="5D1DA692">
            <w:pPr>
              <w:snapToGrid w:val="0"/>
              <w:spacing w:before="156"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3DA5B993">
            <w:pPr>
              <w:snapToGrid w:val="0"/>
              <w:spacing w:before="156"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1B91A608">
            <w:pPr>
              <w:pStyle w:val="14"/>
              <w:snapToGrid w:val="0"/>
              <w:spacing w:before="156" w:beforeLines="50" w:after="50" w:line="360" w:lineRule="auto"/>
              <w:ind w:left="5250"/>
              <w:rPr>
                <w:rFonts w:ascii="宋体" w:hAnsi="宋体"/>
                <w:b/>
                <w:color w:val="auto"/>
                <w:kern w:val="4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9CB39A2">
            <w:pPr>
              <w:pStyle w:val="14"/>
              <w:snapToGrid w:val="0"/>
              <w:spacing w:before="156" w:beforeLines="50" w:after="50" w:line="360" w:lineRule="auto"/>
              <w:ind w:left="5250"/>
              <w:rPr>
                <w:rFonts w:ascii="宋体" w:hAnsi="宋体"/>
                <w:b/>
                <w:color w:val="auto"/>
                <w:kern w:val="4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64C194D">
            <w:pPr>
              <w:pStyle w:val="14"/>
              <w:spacing w:line="360" w:lineRule="auto"/>
              <w:ind w:left="5250"/>
              <w:rPr>
                <w:rFonts w:ascii="宋体" w:hAnsi="宋体"/>
                <w:color w:val="auto"/>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5B30D4F3">
            <w:pPr>
              <w:snapToGrid w:val="0"/>
              <w:spacing w:before="156" w:beforeLines="50" w:after="50" w:line="360" w:lineRule="auto"/>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26D738D4">
            <w:pPr>
              <w:snapToGrid w:val="0"/>
              <w:spacing w:before="156" w:beforeLines="50" w:after="50" w:line="360" w:lineRule="auto"/>
              <w:rPr>
                <w:rFonts w:ascii="宋体" w:hAnsi="宋体"/>
                <w:b/>
                <w:color w:val="auto"/>
                <w:kern w:val="44"/>
                <w:sz w:val="24"/>
                <w:szCs w:val="20"/>
                <w:highlight w:val="none"/>
              </w:rPr>
            </w:pPr>
          </w:p>
        </w:tc>
      </w:tr>
      <w:tr w14:paraId="4A6C94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6" w:type="dxa"/>
            <w:tcBorders>
              <w:top w:val="single" w:color="auto" w:sz="4" w:space="0"/>
              <w:left w:val="single" w:color="auto" w:sz="4" w:space="0"/>
              <w:bottom w:val="single" w:color="auto" w:sz="4" w:space="0"/>
              <w:right w:val="single" w:color="auto" w:sz="4" w:space="0"/>
            </w:tcBorders>
            <w:noWrap w:val="0"/>
            <w:vAlign w:val="top"/>
          </w:tcPr>
          <w:p w14:paraId="6BC232D1">
            <w:pPr>
              <w:snapToGrid w:val="0"/>
              <w:spacing w:before="156" w:beforeLines="50" w:after="50" w:line="360" w:lineRule="auto"/>
              <w:rPr>
                <w:rFonts w:ascii="宋体" w:hAnsi="宋体"/>
                <w:color w:val="auto"/>
                <w:sz w:val="24"/>
                <w:szCs w:val="20"/>
                <w:highlight w:val="none"/>
              </w:rPr>
            </w:pPr>
          </w:p>
        </w:tc>
        <w:tc>
          <w:tcPr>
            <w:tcW w:w="753" w:type="dxa"/>
            <w:tcBorders>
              <w:top w:val="single" w:color="auto" w:sz="4" w:space="0"/>
              <w:left w:val="single" w:color="auto" w:sz="4" w:space="0"/>
              <w:bottom w:val="single" w:color="auto" w:sz="4" w:space="0"/>
              <w:right w:val="single" w:color="auto" w:sz="4" w:space="0"/>
            </w:tcBorders>
            <w:noWrap w:val="0"/>
            <w:vAlign w:val="top"/>
          </w:tcPr>
          <w:p w14:paraId="5C2074D9">
            <w:pPr>
              <w:snapToGrid w:val="0"/>
              <w:spacing w:before="156"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224EE702">
            <w:pPr>
              <w:snapToGrid w:val="0"/>
              <w:spacing w:before="156"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39C4DACB">
            <w:pPr>
              <w:snapToGrid w:val="0"/>
              <w:spacing w:before="156"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10CB563">
            <w:pPr>
              <w:snapToGrid w:val="0"/>
              <w:spacing w:before="156"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EECF8E0">
            <w:pPr>
              <w:snapToGrid w:val="0"/>
              <w:spacing w:before="156" w:beforeLines="50" w:after="50" w:line="360" w:lineRule="auto"/>
              <w:rPr>
                <w:rFonts w:ascii="宋体" w:hAnsi="宋体"/>
                <w:b/>
                <w:color w:val="auto"/>
                <w:kern w:val="44"/>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12F53A11">
            <w:pPr>
              <w:snapToGrid w:val="0"/>
              <w:spacing w:before="156" w:beforeLines="50" w:after="50" w:line="360" w:lineRule="auto"/>
              <w:rPr>
                <w:rFonts w:ascii="宋体" w:hAnsi="宋体"/>
                <w:b/>
                <w:color w:val="auto"/>
                <w:kern w:val="44"/>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57AAD767">
            <w:pPr>
              <w:snapToGrid w:val="0"/>
              <w:spacing w:before="156" w:beforeLines="50" w:after="50" w:line="360" w:lineRule="auto"/>
              <w:rPr>
                <w:rFonts w:ascii="宋体" w:hAnsi="宋体"/>
                <w:b/>
                <w:color w:val="auto"/>
                <w:kern w:val="44"/>
                <w:sz w:val="24"/>
                <w:szCs w:val="20"/>
                <w:highlight w:val="none"/>
              </w:rPr>
            </w:pPr>
          </w:p>
        </w:tc>
      </w:tr>
      <w:tr w14:paraId="5D3FE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6" w:type="dxa"/>
            <w:tcBorders>
              <w:top w:val="single" w:color="auto" w:sz="4" w:space="0"/>
              <w:left w:val="single" w:color="auto" w:sz="4" w:space="0"/>
              <w:bottom w:val="single" w:color="auto" w:sz="4" w:space="0"/>
              <w:right w:val="single" w:color="auto" w:sz="4" w:space="0"/>
            </w:tcBorders>
            <w:noWrap w:val="0"/>
            <w:vAlign w:val="top"/>
          </w:tcPr>
          <w:p w14:paraId="14ABEA8E">
            <w:pPr>
              <w:snapToGrid w:val="0"/>
              <w:spacing w:before="156" w:beforeLines="50" w:after="50" w:line="360" w:lineRule="auto"/>
              <w:rPr>
                <w:rFonts w:ascii="宋体" w:hAnsi="宋体"/>
                <w:color w:val="auto"/>
                <w:sz w:val="24"/>
                <w:szCs w:val="20"/>
                <w:highlight w:val="none"/>
              </w:rPr>
            </w:pPr>
          </w:p>
        </w:tc>
        <w:tc>
          <w:tcPr>
            <w:tcW w:w="753" w:type="dxa"/>
            <w:tcBorders>
              <w:top w:val="single" w:color="auto" w:sz="4" w:space="0"/>
              <w:left w:val="single" w:color="auto" w:sz="4" w:space="0"/>
              <w:bottom w:val="single" w:color="auto" w:sz="4" w:space="0"/>
              <w:right w:val="single" w:color="auto" w:sz="4" w:space="0"/>
            </w:tcBorders>
            <w:noWrap w:val="0"/>
            <w:vAlign w:val="top"/>
          </w:tcPr>
          <w:p w14:paraId="785C30CE">
            <w:pPr>
              <w:snapToGrid w:val="0"/>
              <w:spacing w:before="156"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36E55B61">
            <w:pPr>
              <w:snapToGrid w:val="0"/>
              <w:spacing w:before="156"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65211AB4">
            <w:pPr>
              <w:snapToGrid w:val="0"/>
              <w:spacing w:before="156"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A37D997">
            <w:pPr>
              <w:snapToGrid w:val="0"/>
              <w:spacing w:before="156"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46F78C8">
            <w:pPr>
              <w:snapToGrid w:val="0"/>
              <w:spacing w:before="156" w:beforeLines="50" w:after="50" w:line="360" w:lineRule="auto"/>
              <w:rPr>
                <w:rFonts w:ascii="宋体" w:hAnsi="宋体"/>
                <w:b/>
                <w:color w:val="auto"/>
                <w:kern w:val="44"/>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1088D80">
            <w:pPr>
              <w:snapToGrid w:val="0"/>
              <w:spacing w:before="156" w:beforeLines="50" w:after="50" w:line="360" w:lineRule="auto"/>
              <w:rPr>
                <w:rFonts w:ascii="宋体" w:hAnsi="宋体"/>
                <w:b/>
                <w:color w:val="auto"/>
                <w:kern w:val="44"/>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49108C4D">
            <w:pPr>
              <w:snapToGrid w:val="0"/>
              <w:spacing w:before="156" w:beforeLines="50" w:after="50" w:line="360" w:lineRule="auto"/>
              <w:rPr>
                <w:rFonts w:ascii="宋体" w:hAnsi="宋体"/>
                <w:b/>
                <w:color w:val="auto"/>
                <w:kern w:val="44"/>
                <w:sz w:val="24"/>
                <w:szCs w:val="20"/>
                <w:highlight w:val="none"/>
              </w:rPr>
            </w:pPr>
          </w:p>
        </w:tc>
      </w:tr>
    </w:tbl>
    <w:p w14:paraId="674DD72A">
      <w:pPr>
        <w:spacing w:line="360" w:lineRule="auto"/>
        <w:rPr>
          <w:rFonts w:ascii="宋体" w:hAnsi="宋体"/>
          <w:b/>
          <w:color w:val="auto"/>
          <w:szCs w:val="21"/>
          <w:highlight w:val="none"/>
        </w:rPr>
      </w:pPr>
      <w:r>
        <w:rPr>
          <w:rFonts w:hint="eastAsia" w:ascii="宋体" w:hAnsi="宋体"/>
          <w:b/>
          <w:color w:val="auto"/>
          <w:szCs w:val="21"/>
          <w:highlight w:val="none"/>
        </w:rPr>
        <w:t>要求：</w:t>
      </w:r>
    </w:p>
    <w:p w14:paraId="3555A901">
      <w:pPr>
        <w:spacing w:line="360" w:lineRule="auto"/>
        <w:ind w:left="437"/>
        <w:rPr>
          <w:rFonts w:ascii="宋体" w:hAnsi="宋体"/>
          <w:color w:val="auto"/>
          <w:szCs w:val="21"/>
          <w:highlight w:val="none"/>
        </w:rPr>
      </w:pPr>
      <w:r>
        <w:rPr>
          <w:rFonts w:hint="eastAsia" w:ascii="宋体" w:hAnsi="宋体"/>
          <w:color w:val="auto"/>
          <w:szCs w:val="21"/>
          <w:highlight w:val="none"/>
        </w:rPr>
        <w:t>在填写时，如本表格不适合供应商的实际情况，可根据本表格式自行划表填写。</w:t>
      </w:r>
    </w:p>
    <w:p w14:paraId="2D4D5B7A">
      <w:pPr>
        <w:snapToGrid w:val="0"/>
        <w:spacing w:before="50" w:after="156" w:afterLines="50" w:line="360" w:lineRule="auto"/>
        <w:jc w:val="left"/>
        <w:rPr>
          <w:rFonts w:ascii="宋体" w:hAnsi="宋体"/>
          <w:color w:val="auto"/>
          <w:sz w:val="24"/>
          <w:szCs w:val="20"/>
          <w:highlight w:val="none"/>
        </w:rPr>
      </w:pPr>
    </w:p>
    <w:p w14:paraId="346D0842">
      <w:pPr>
        <w:spacing w:line="360" w:lineRule="auto"/>
        <w:ind w:left="420"/>
        <w:rPr>
          <w:rFonts w:ascii="宋体" w:hAnsi="宋体"/>
          <w:color w:val="auto"/>
          <w:sz w:val="24"/>
          <w:highlight w:val="none"/>
          <w:u w:val="single"/>
        </w:rPr>
      </w:pPr>
      <w:r>
        <w:rPr>
          <w:rFonts w:hint="eastAsia" w:ascii="宋体" w:hAnsi="宋体"/>
          <w:color w:val="auto"/>
          <w:sz w:val="24"/>
          <w:highlight w:val="none"/>
        </w:rPr>
        <w:t>磋商供应商名称（盖章）：</w:t>
      </w:r>
    </w:p>
    <w:p w14:paraId="70A56DE6">
      <w:pPr>
        <w:spacing w:line="360" w:lineRule="auto"/>
        <w:ind w:left="420"/>
        <w:rPr>
          <w:rFonts w:ascii="宋体" w:hAnsi="宋体"/>
          <w:color w:val="auto"/>
          <w:sz w:val="24"/>
          <w:highlight w:val="none"/>
        </w:rPr>
      </w:pPr>
    </w:p>
    <w:p w14:paraId="0E07A3B5">
      <w:pPr>
        <w:spacing w:line="360" w:lineRule="auto"/>
        <w:ind w:firstLine="435"/>
        <w:rPr>
          <w:rFonts w:ascii="宋体" w:hAnsi="宋体"/>
          <w:color w:val="auto"/>
          <w:sz w:val="24"/>
          <w:highlight w:val="none"/>
        </w:rPr>
      </w:pPr>
      <w:r>
        <w:rPr>
          <w:rFonts w:hint="eastAsia" w:ascii="宋体" w:hAnsi="宋体"/>
          <w:color w:val="auto"/>
          <w:sz w:val="24"/>
          <w:highlight w:val="none"/>
          <w:lang w:eastAsia="zh-CN"/>
        </w:rPr>
        <w:t>法定代表人或授权委托代理人</w:t>
      </w:r>
      <w:r>
        <w:rPr>
          <w:rFonts w:hint="eastAsia" w:ascii="宋体" w:hAnsi="宋体"/>
          <w:color w:val="auto"/>
          <w:sz w:val="24"/>
          <w:highlight w:val="none"/>
        </w:rPr>
        <w:t>签字：</w:t>
      </w:r>
    </w:p>
    <w:p w14:paraId="13551D0E">
      <w:pPr>
        <w:spacing w:line="360" w:lineRule="auto"/>
        <w:ind w:firstLine="435"/>
        <w:rPr>
          <w:rFonts w:ascii="宋体" w:hAnsi="宋体"/>
          <w:color w:val="auto"/>
          <w:sz w:val="24"/>
          <w:highlight w:val="none"/>
        </w:rPr>
      </w:pPr>
    </w:p>
    <w:p w14:paraId="5BCB09EC">
      <w:pPr>
        <w:spacing w:line="360" w:lineRule="auto"/>
        <w:ind w:firstLine="435"/>
        <w:rPr>
          <w:rFonts w:hint="eastAsia" w:ascii="宋体" w:hAnsi="宋体"/>
          <w:color w:val="auto"/>
          <w:sz w:val="24"/>
          <w:highlight w:val="none"/>
        </w:rPr>
      </w:pPr>
      <w:r>
        <w:rPr>
          <w:rFonts w:hint="eastAsia" w:ascii="宋体" w:hAnsi="宋体"/>
          <w:color w:val="auto"/>
          <w:sz w:val="24"/>
          <w:highlight w:val="none"/>
        </w:rPr>
        <w:t>职        务：</w:t>
      </w:r>
    </w:p>
    <w:p w14:paraId="7AC40202">
      <w:pPr>
        <w:pStyle w:val="5"/>
        <w:rPr>
          <w:color w:val="auto"/>
          <w:highlight w:val="none"/>
        </w:rPr>
      </w:pPr>
    </w:p>
    <w:p w14:paraId="0F4C36E0">
      <w:pPr>
        <w:spacing w:line="360" w:lineRule="auto"/>
        <w:ind w:firstLine="435"/>
        <w:rPr>
          <w:rFonts w:ascii="宋体" w:hAnsi="宋体"/>
          <w:b/>
          <w:color w:val="auto"/>
          <w:sz w:val="28"/>
          <w:highlight w:val="none"/>
        </w:rPr>
      </w:pPr>
      <w:r>
        <w:rPr>
          <w:rFonts w:hint="eastAsia" w:ascii="宋体" w:hAnsi="宋体"/>
          <w:color w:val="auto"/>
          <w:sz w:val="24"/>
          <w:highlight w:val="none"/>
        </w:rPr>
        <w:t>日        期：</w:t>
      </w:r>
    </w:p>
    <w:p w14:paraId="453168C4">
      <w:pPr>
        <w:spacing w:line="360" w:lineRule="auto"/>
        <w:ind w:firstLine="435"/>
        <w:rPr>
          <w:rFonts w:hint="eastAsia" w:ascii="宋体" w:hAnsi="宋体"/>
          <w:b/>
          <w:color w:val="auto"/>
          <w:sz w:val="28"/>
          <w:highlight w:val="none"/>
        </w:rPr>
      </w:pPr>
    </w:p>
    <w:p w14:paraId="10677CAC">
      <w:pPr>
        <w:spacing w:line="360" w:lineRule="auto"/>
        <w:outlineLvl w:val="0"/>
        <w:rPr>
          <w:rFonts w:hint="eastAsia" w:ascii="宋体" w:hAnsi="宋体"/>
          <w:b/>
          <w:color w:val="auto"/>
          <w:sz w:val="28"/>
          <w:highlight w:val="none"/>
        </w:rPr>
      </w:pPr>
      <w:bookmarkStart w:id="13" w:name="_Toc12724"/>
    </w:p>
    <w:p w14:paraId="1C7B17A4">
      <w:pPr>
        <w:spacing w:line="360" w:lineRule="auto"/>
        <w:outlineLvl w:val="0"/>
        <w:rPr>
          <w:rFonts w:hint="eastAsia" w:ascii="宋体" w:hAnsi="宋体"/>
          <w:b/>
          <w:color w:val="auto"/>
          <w:sz w:val="28"/>
          <w:highlight w:val="none"/>
        </w:rPr>
      </w:pPr>
    </w:p>
    <w:p w14:paraId="425D15CD">
      <w:pPr>
        <w:spacing w:line="360" w:lineRule="auto"/>
        <w:outlineLvl w:val="0"/>
        <w:rPr>
          <w:rFonts w:hint="default" w:ascii="宋体" w:hAnsi="宋体" w:eastAsia="宋体"/>
          <w:color w:val="auto"/>
          <w:highlight w:val="none"/>
          <w:lang w:val="en-US" w:eastAsia="zh-CN"/>
        </w:rPr>
      </w:pPr>
      <w:r>
        <w:rPr>
          <w:rFonts w:hint="eastAsia" w:ascii="宋体" w:hAnsi="宋体"/>
          <w:b/>
          <w:color w:val="auto"/>
          <w:sz w:val="28"/>
          <w:highlight w:val="none"/>
        </w:rPr>
        <w:t>附件</w:t>
      </w:r>
      <w:bookmarkEnd w:id="13"/>
      <w:r>
        <w:rPr>
          <w:rFonts w:hint="eastAsia" w:ascii="宋体" w:hAnsi="宋体"/>
          <w:b/>
          <w:color w:val="auto"/>
          <w:sz w:val="28"/>
          <w:highlight w:val="none"/>
          <w:lang w:val="en-US" w:eastAsia="zh-CN"/>
        </w:rPr>
        <w:t>13</w:t>
      </w:r>
    </w:p>
    <w:p w14:paraId="6C2F8E2E">
      <w:pPr>
        <w:spacing w:before="156" w:beforeLines="50" w:after="156" w:afterLines="50" w:line="360" w:lineRule="auto"/>
        <w:ind w:right="-10"/>
        <w:jc w:val="center"/>
        <w:rPr>
          <w:rFonts w:ascii="宋体" w:hAnsi="宋体"/>
          <w:b/>
          <w:bCs/>
          <w:color w:val="auto"/>
          <w:sz w:val="32"/>
          <w:szCs w:val="32"/>
          <w:highlight w:val="none"/>
        </w:rPr>
      </w:pPr>
      <w:r>
        <w:rPr>
          <w:rFonts w:hint="eastAsia" w:ascii="宋体" w:hAnsi="宋体"/>
          <w:b/>
          <w:bCs/>
          <w:color w:val="auto"/>
          <w:sz w:val="32"/>
          <w:szCs w:val="32"/>
          <w:highlight w:val="none"/>
        </w:rPr>
        <w:t>项目负责人资格情况表</w:t>
      </w:r>
    </w:p>
    <w:p w14:paraId="62868600">
      <w:pPr>
        <w:spacing w:line="360" w:lineRule="auto"/>
        <w:rPr>
          <w:rFonts w:ascii="宋体" w:hAnsi="宋体"/>
          <w:color w:val="auto"/>
          <w:highlight w:val="none"/>
        </w:rPr>
      </w:pPr>
      <w:r>
        <w:rPr>
          <w:rFonts w:hint="eastAsia" w:ascii="宋体" w:hAnsi="宋体"/>
          <w:color w:val="auto"/>
          <w:highlight w:val="none"/>
        </w:rPr>
        <w:t>采购项目：                                            采购编号：</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2EAA5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noWrap w:val="0"/>
            <w:vAlign w:val="center"/>
          </w:tcPr>
          <w:p w14:paraId="77B4063B">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noWrap w:val="0"/>
            <w:vAlign w:val="center"/>
          </w:tcPr>
          <w:p w14:paraId="65353FFF">
            <w:pPr>
              <w:autoSpaceDE w:val="0"/>
              <w:autoSpaceDN w:val="0"/>
              <w:adjustRightInd w:val="0"/>
              <w:snapToGrid w:val="0"/>
              <w:spacing w:line="360" w:lineRule="auto"/>
              <w:jc w:val="center"/>
              <w:rPr>
                <w:rFonts w:ascii="宋体" w:hAnsi="宋体"/>
                <w:color w:val="auto"/>
                <w:highlight w:val="none"/>
                <w:lang w:val="zh-CN"/>
              </w:rPr>
            </w:pPr>
          </w:p>
        </w:tc>
        <w:tc>
          <w:tcPr>
            <w:tcW w:w="3685" w:type="dxa"/>
            <w:tcBorders>
              <w:top w:val="single" w:color="auto" w:sz="12" w:space="0"/>
              <w:left w:val="single" w:color="auto" w:sz="4" w:space="0"/>
              <w:bottom w:val="single" w:color="auto" w:sz="4" w:space="0"/>
              <w:right w:val="single" w:color="auto" w:sz="12" w:space="0"/>
            </w:tcBorders>
            <w:noWrap w:val="0"/>
            <w:vAlign w:val="center"/>
          </w:tcPr>
          <w:p w14:paraId="06F01CBD">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近年来主要工作业绩</w:t>
            </w:r>
          </w:p>
        </w:tc>
      </w:tr>
      <w:tr w14:paraId="277BC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4" w:space="0"/>
              <w:right w:val="single" w:color="auto" w:sz="4" w:space="0"/>
            </w:tcBorders>
            <w:noWrap w:val="0"/>
            <w:vAlign w:val="center"/>
          </w:tcPr>
          <w:p w14:paraId="497BA373">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noWrap w:val="0"/>
            <w:vAlign w:val="center"/>
          </w:tcPr>
          <w:p w14:paraId="33C91FF8">
            <w:pPr>
              <w:autoSpaceDE w:val="0"/>
              <w:autoSpaceDN w:val="0"/>
              <w:adjustRightInd w:val="0"/>
              <w:snapToGrid w:val="0"/>
              <w:spacing w:line="360" w:lineRule="auto"/>
              <w:jc w:val="center"/>
              <w:rPr>
                <w:rFonts w:ascii="宋体" w:hAnsi="宋体"/>
                <w:color w:val="auto"/>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noWrap w:val="0"/>
            <w:vAlign w:val="center"/>
          </w:tcPr>
          <w:p w14:paraId="0E61AECA">
            <w:pPr>
              <w:autoSpaceDE w:val="0"/>
              <w:autoSpaceDN w:val="0"/>
              <w:adjustRightInd w:val="0"/>
              <w:snapToGrid w:val="0"/>
              <w:spacing w:line="360" w:lineRule="auto"/>
              <w:jc w:val="center"/>
              <w:rPr>
                <w:rFonts w:ascii="宋体" w:hAnsi="宋体"/>
                <w:color w:val="auto"/>
                <w:highlight w:val="none"/>
              </w:rPr>
            </w:pPr>
            <w:r>
              <w:rPr>
                <w:rFonts w:hint="eastAsia" w:ascii="宋体" w:hAnsi="宋体"/>
                <w:color w:val="auto"/>
                <w:highlight w:val="none"/>
              </w:rPr>
              <w:t>注：业绩证明应提供旁证材料</w:t>
            </w:r>
          </w:p>
          <w:p w14:paraId="52495039">
            <w:pPr>
              <w:autoSpaceDE w:val="0"/>
              <w:autoSpaceDN w:val="0"/>
              <w:adjustRightInd w:val="0"/>
              <w:snapToGrid w:val="0"/>
              <w:spacing w:line="360" w:lineRule="auto"/>
              <w:jc w:val="center"/>
              <w:rPr>
                <w:rFonts w:ascii="宋体" w:hAnsi="宋体"/>
                <w:color w:val="auto"/>
                <w:highlight w:val="none"/>
                <w:lang w:val="zh-CN"/>
              </w:rPr>
            </w:pPr>
            <w:r>
              <w:rPr>
                <w:rFonts w:hint="eastAsia" w:ascii="宋体" w:hAnsi="宋体"/>
                <w:color w:val="auto"/>
                <w:highlight w:val="none"/>
              </w:rPr>
              <w:t>（供货合同或成交通知书）。</w:t>
            </w:r>
          </w:p>
        </w:tc>
      </w:tr>
      <w:tr w14:paraId="59345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4" w:space="0"/>
              <w:right w:val="single" w:color="auto" w:sz="4" w:space="0"/>
            </w:tcBorders>
            <w:noWrap w:val="0"/>
            <w:vAlign w:val="center"/>
          </w:tcPr>
          <w:p w14:paraId="3C96992A">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noWrap w:val="0"/>
            <w:vAlign w:val="center"/>
          </w:tcPr>
          <w:p w14:paraId="1E9BD542">
            <w:pPr>
              <w:autoSpaceDE w:val="0"/>
              <w:autoSpaceDN w:val="0"/>
              <w:adjustRightInd w:val="0"/>
              <w:snapToGrid w:val="0"/>
              <w:spacing w:line="360" w:lineRule="auto"/>
              <w:jc w:val="center"/>
              <w:rPr>
                <w:rFonts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14:paraId="3B286F40">
            <w:pPr>
              <w:autoSpaceDE w:val="0"/>
              <w:autoSpaceDN w:val="0"/>
              <w:adjustRightInd w:val="0"/>
              <w:snapToGrid w:val="0"/>
              <w:spacing w:line="360" w:lineRule="auto"/>
              <w:jc w:val="center"/>
              <w:rPr>
                <w:rFonts w:ascii="宋体" w:hAnsi="宋体"/>
                <w:color w:val="auto"/>
                <w:highlight w:val="none"/>
                <w:lang w:val="zh-CN"/>
              </w:rPr>
            </w:pPr>
          </w:p>
        </w:tc>
      </w:tr>
      <w:tr w14:paraId="271AA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4" w:space="0"/>
              <w:right w:val="single" w:color="auto" w:sz="4" w:space="0"/>
            </w:tcBorders>
            <w:noWrap w:val="0"/>
            <w:vAlign w:val="center"/>
          </w:tcPr>
          <w:p w14:paraId="77A61AA3">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noWrap w:val="0"/>
            <w:vAlign w:val="center"/>
          </w:tcPr>
          <w:p w14:paraId="638F41C3">
            <w:pPr>
              <w:autoSpaceDE w:val="0"/>
              <w:autoSpaceDN w:val="0"/>
              <w:adjustRightInd w:val="0"/>
              <w:snapToGrid w:val="0"/>
              <w:spacing w:line="360" w:lineRule="auto"/>
              <w:jc w:val="center"/>
              <w:rPr>
                <w:rFonts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14:paraId="372ED8FB">
            <w:pPr>
              <w:autoSpaceDE w:val="0"/>
              <w:autoSpaceDN w:val="0"/>
              <w:adjustRightInd w:val="0"/>
              <w:snapToGrid w:val="0"/>
              <w:spacing w:line="360" w:lineRule="auto"/>
              <w:jc w:val="center"/>
              <w:rPr>
                <w:rFonts w:ascii="宋体" w:hAnsi="宋体"/>
                <w:color w:val="auto"/>
                <w:highlight w:val="none"/>
                <w:lang w:val="zh-CN"/>
              </w:rPr>
            </w:pPr>
          </w:p>
        </w:tc>
      </w:tr>
      <w:tr w14:paraId="01C79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4" w:space="0"/>
              <w:right w:val="single" w:color="auto" w:sz="4" w:space="0"/>
            </w:tcBorders>
            <w:noWrap w:val="0"/>
            <w:vAlign w:val="center"/>
          </w:tcPr>
          <w:p w14:paraId="34B6A58C">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noWrap w:val="0"/>
            <w:vAlign w:val="center"/>
          </w:tcPr>
          <w:p w14:paraId="5D93B12A">
            <w:pPr>
              <w:autoSpaceDE w:val="0"/>
              <w:autoSpaceDN w:val="0"/>
              <w:adjustRightInd w:val="0"/>
              <w:snapToGrid w:val="0"/>
              <w:spacing w:line="360" w:lineRule="auto"/>
              <w:jc w:val="center"/>
              <w:rPr>
                <w:rFonts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14:paraId="1AAFD8CD">
            <w:pPr>
              <w:autoSpaceDE w:val="0"/>
              <w:autoSpaceDN w:val="0"/>
              <w:adjustRightInd w:val="0"/>
              <w:snapToGrid w:val="0"/>
              <w:spacing w:line="360" w:lineRule="auto"/>
              <w:jc w:val="center"/>
              <w:rPr>
                <w:rFonts w:ascii="宋体" w:hAnsi="宋体"/>
                <w:color w:val="auto"/>
                <w:highlight w:val="none"/>
                <w:lang w:val="zh-CN"/>
              </w:rPr>
            </w:pPr>
          </w:p>
        </w:tc>
      </w:tr>
      <w:tr w14:paraId="416FD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4" w:space="0"/>
              <w:right w:val="single" w:color="auto" w:sz="4" w:space="0"/>
            </w:tcBorders>
            <w:noWrap w:val="0"/>
            <w:vAlign w:val="center"/>
          </w:tcPr>
          <w:p w14:paraId="4CB40530">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noWrap w:val="0"/>
            <w:vAlign w:val="center"/>
          </w:tcPr>
          <w:p w14:paraId="4FF65DB5">
            <w:pPr>
              <w:autoSpaceDE w:val="0"/>
              <w:autoSpaceDN w:val="0"/>
              <w:adjustRightInd w:val="0"/>
              <w:snapToGrid w:val="0"/>
              <w:spacing w:line="360" w:lineRule="auto"/>
              <w:jc w:val="center"/>
              <w:rPr>
                <w:rFonts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14:paraId="0B11FB41">
            <w:pPr>
              <w:autoSpaceDE w:val="0"/>
              <w:autoSpaceDN w:val="0"/>
              <w:adjustRightInd w:val="0"/>
              <w:snapToGrid w:val="0"/>
              <w:spacing w:line="360" w:lineRule="auto"/>
              <w:jc w:val="center"/>
              <w:rPr>
                <w:rFonts w:ascii="宋体" w:hAnsi="宋体"/>
                <w:color w:val="auto"/>
                <w:highlight w:val="none"/>
                <w:lang w:val="zh-CN"/>
              </w:rPr>
            </w:pPr>
          </w:p>
        </w:tc>
      </w:tr>
      <w:tr w14:paraId="5194F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4" w:space="0"/>
              <w:right w:val="single" w:color="auto" w:sz="4" w:space="0"/>
            </w:tcBorders>
            <w:noWrap w:val="0"/>
            <w:vAlign w:val="center"/>
          </w:tcPr>
          <w:p w14:paraId="6693DECE">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noWrap w:val="0"/>
            <w:vAlign w:val="center"/>
          </w:tcPr>
          <w:p w14:paraId="15924380">
            <w:pPr>
              <w:autoSpaceDE w:val="0"/>
              <w:autoSpaceDN w:val="0"/>
              <w:adjustRightInd w:val="0"/>
              <w:snapToGrid w:val="0"/>
              <w:spacing w:line="360" w:lineRule="auto"/>
              <w:jc w:val="center"/>
              <w:rPr>
                <w:rFonts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14:paraId="11406377">
            <w:pPr>
              <w:autoSpaceDE w:val="0"/>
              <w:autoSpaceDN w:val="0"/>
              <w:adjustRightInd w:val="0"/>
              <w:snapToGrid w:val="0"/>
              <w:spacing w:line="360" w:lineRule="auto"/>
              <w:jc w:val="center"/>
              <w:rPr>
                <w:rFonts w:ascii="宋体" w:hAnsi="宋体"/>
                <w:color w:val="auto"/>
                <w:highlight w:val="none"/>
                <w:lang w:val="zh-CN"/>
              </w:rPr>
            </w:pPr>
          </w:p>
        </w:tc>
      </w:tr>
      <w:tr w14:paraId="5DFC0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4" w:space="0"/>
              <w:right w:val="single" w:color="auto" w:sz="4" w:space="0"/>
            </w:tcBorders>
            <w:noWrap w:val="0"/>
            <w:vAlign w:val="center"/>
          </w:tcPr>
          <w:p w14:paraId="1609FCE0">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noWrap w:val="0"/>
            <w:vAlign w:val="center"/>
          </w:tcPr>
          <w:p w14:paraId="35D1EED9">
            <w:pPr>
              <w:autoSpaceDE w:val="0"/>
              <w:autoSpaceDN w:val="0"/>
              <w:adjustRightInd w:val="0"/>
              <w:snapToGrid w:val="0"/>
              <w:spacing w:line="360" w:lineRule="auto"/>
              <w:jc w:val="center"/>
              <w:rPr>
                <w:rFonts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14:paraId="69398010">
            <w:pPr>
              <w:autoSpaceDE w:val="0"/>
              <w:autoSpaceDN w:val="0"/>
              <w:adjustRightInd w:val="0"/>
              <w:snapToGrid w:val="0"/>
              <w:spacing w:line="360" w:lineRule="auto"/>
              <w:jc w:val="center"/>
              <w:rPr>
                <w:rFonts w:ascii="宋体" w:hAnsi="宋体"/>
                <w:color w:val="auto"/>
                <w:highlight w:val="none"/>
                <w:lang w:val="zh-CN"/>
              </w:rPr>
            </w:pPr>
          </w:p>
        </w:tc>
      </w:tr>
      <w:tr w14:paraId="5210F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noWrap w:val="0"/>
            <w:vAlign w:val="center"/>
          </w:tcPr>
          <w:p w14:paraId="61D094EE">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noWrap w:val="0"/>
            <w:vAlign w:val="center"/>
          </w:tcPr>
          <w:p w14:paraId="79DE5486">
            <w:pPr>
              <w:autoSpaceDE w:val="0"/>
              <w:autoSpaceDN w:val="0"/>
              <w:adjustRightInd w:val="0"/>
              <w:snapToGrid w:val="0"/>
              <w:spacing w:line="360" w:lineRule="auto"/>
              <w:jc w:val="center"/>
              <w:rPr>
                <w:rFonts w:ascii="宋体" w:hAnsi="宋体"/>
                <w:color w:val="auto"/>
                <w:highlight w:val="none"/>
                <w:lang w:val="zh-CN"/>
              </w:rPr>
            </w:pPr>
          </w:p>
        </w:tc>
      </w:tr>
    </w:tbl>
    <w:p w14:paraId="05C4736B">
      <w:pPr>
        <w:spacing w:line="360" w:lineRule="auto"/>
        <w:ind w:left="420"/>
        <w:rPr>
          <w:rFonts w:ascii="宋体" w:hAnsi="宋体"/>
          <w:color w:val="auto"/>
          <w:sz w:val="24"/>
          <w:highlight w:val="none"/>
        </w:rPr>
      </w:pPr>
    </w:p>
    <w:p w14:paraId="51230D85">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磋商供应商名称（盖章）：</w:t>
      </w:r>
    </w:p>
    <w:p w14:paraId="001F4C05">
      <w:pPr>
        <w:spacing w:line="360" w:lineRule="auto"/>
        <w:ind w:left="420"/>
        <w:rPr>
          <w:rFonts w:ascii="宋体" w:hAnsi="宋体"/>
          <w:color w:val="auto"/>
          <w:sz w:val="24"/>
          <w:highlight w:val="none"/>
        </w:rPr>
      </w:pPr>
      <w:r>
        <w:rPr>
          <w:rFonts w:hint="eastAsia" w:ascii="宋体" w:hAnsi="宋体"/>
          <w:color w:val="auto"/>
          <w:sz w:val="24"/>
          <w:highlight w:val="none"/>
        </w:rPr>
        <w:t xml:space="preserve"> </w:t>
      </w:r>
    </w:p>
    <w:p w14:paraId="71119B0C">
      <w:pPr>
        <w:spacing w:line="360" w:lineRule="auto"/>
        <w:ind w:firstLine="435"/>
        <w:rPr>
          <w:rFonts w:ascii="宋体" w:hAnsi="宋体"/>
          <w:color w:val="auto"/>
          <w:sz w:val="24"/>
          <w:highlight w:val="none"/>
        </w:rPr>
      </w:pPr>
      <w:r>
        <w:rPr>
          <w:rFonts w:hint="eastAsia" w:ascii="宋体" w:hAnsi="宋体"/>
          <w:color w:val="auto"/>
          <w:sz w:val="24"/>
          <w:highlight w:val="none"/>
          <w:lang w:eastAsia="zh-CN"/>
        </w:rPr>
        <w:t>法定代表人或授权委托代理人</w:t>
      </w:r>
      <w:r>
        <w:rPr>
          <w:rFonts w:hint="eastAsia" w:ascii="宋体" w:hAnsi="宋体"/>
          <w:color w:val="auto"/>
          <w:sz w:val="24"/>
          <w:highlight w:val="none"/>
        </w:rPr>
        <w:t>签字：</w:t>
      </w:r>
    </w:p>
    <w:p w14:paraId="6F75B325">
      <w:pPr>
        <w:spacing w:line="360" w:lineRule="auto"/>
        <w:ind w:firstLine="435"/>
        <w:rPr>
          <w:rFonts w:ascii="宋体" w:hAnsi="宋体"/>
          <w:color w:val="auto"/>
          <w:sz w:val="24"/>
          <w:highlight w:val="none"/>
        </w:rPr>
      </w:pPr>
    </w:p>
    <w:p w14:paraId="2AD24F8E">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38F49D76">
      <w:pPr>
        <w:spacing w:line="360" w:lineRule="auto"/>
        <w:ind w:firstLine="435"/>
        <w:rPr>
          <w:rFonts w:ascii="宋体" w:hAnsi="宋体"/>
          <w:color w:val="auto"/>
          <w:sz w:val="24"/>
          <w:highlight w:val="none"/>
        </w:rPr>
      </w:pPr>
    </w:p>
    <w:p w14:paraId="084BAE7E">
      <w:pPr>
        <w:spacing w:line="360" w:lineRule="auto"/>
        <w:ind w:firstLine="435"/>
        <w:rPr>
          <w:rFonts w:hint="eastAsia" w:ascii="宋体" w:hAnsi="宋体"/>
          <w:b/>
          <w:color w:val="auto"/>
          <w:sz w:val="28"/>
          <w:highlight w:val="none"/>
        </w:rPr>
      </w:pPr>
      <w:r>
        <w:rPr>
          <w:rFonts w:hint="eastAsia" w:ascii="宋体" w:hAnsi="宋体"/>
          <w:color w:val="auto"/>
          <w:sz w:val="24"/>
          <w:highlight w:val="none"/>
        </w:rPr>
        <w:t>日        期：</w:t>
      </w:r>
    </w:p>
    <w:p w14:paraId="1E2B66E9">
      <w:pPr>
        <w:spacing w:line="360" w:lineRule="auto"/>
        <w:outlineLvl w:val="0"/>
        <w:rPr>
          <w:rFonts w:hint="default" w:ascii="宋体" w:hAnsi="宋体" w:eastAsia="宋体"/>
          <w:b/>
          <w:color w:val="auto"/>
          <w:sz w:val="28"/>
          <w:highlight w:val="none"/>
          <w:lang w:val="en-US" w:eastAsia="zh-CN"/>
        </w:rPr>
      </w:pPr>
      <w:bookmarkStart w:id="14" w:name="_Toc10301"/>
      <w:r>
        <w:rPr>
          <w:rFonts w:hint="eastAsia" w:ascii="宋体" w:hAnsi="宋体"/>
          <w:b/>
          <w:color w:val="auto"/>
          <w:sz w:val="28"/>
          <w:highlight w:val="none"/>
        </w:rPr>
        <w:t>附件</w:t>
      </w:r>
      <w:bookmarkEnd w:id="14"/>
      <w:r>
        <w:rPr>
          <w:rFonts w:hint="eastAsia" w:ascii="宋体" w:hAnsi="宋体"/>
          <w:b/>
          <w:color w:val="auto"/>
          <w:sz w:val="28"/>
          <w:highlight w:val="none"/>
          <w:lang w:val="en-US" w:eastAsia="zh-CN"/>
        </w:rPr>
        <w:t>14</w:t>
      </w:r>
    </w:p>
    <w:p w14:paraId="1548899E">
      <w:pPr>
        <w:pStyle w:val="13"/>
        <w:adjustRightInd w:val="0"/>
        <w:snapToGrid w:val="0"/>
        <w:spacing w:line="360" w:lineRule="auto"/>
        <w:jc w:val="center"/>
        <w:rPr>
          <w:rFonts w:hint="eastAsia" w:hAnsi="宋体"/>
          <w:b/>
          <w:color w:val="auto"/>
          <w:sz w:val="32"/>
          <w:szCs w:val="32"/>
          <w:highlight w:val="none"/>
        </w:rPr>
      </w:pPr>
      <w:r>
        <w:rPr>
          <w:rFonts w:hint="eastAsia" w:hAnsi="宋体"/>
          <w:b/>
          <w:color w:val="auto"/>
          <w:sz w:val="32"/>
          <w:szCs w:val="32"/>
          <w:highlight w:val="none"/>
        </w:rPr>
        <w:t>商务及技术响应表</w:t>
      </w:r>
    </w:p>
    <w:p w14:paraId="1304779B">
      <w:pPr>
        <w:pStyle w:val="13"/>
        <w:adjustRightInd w:val="0"/>
        <w:snapToGrid w:val="0"/>
        <w:spacing w:line="360" w:lineRule="auto"/>
        <w:jc w:val="left"/>
        <w:rPr>
          <w:rFonts w:hint="eastAsia" w:hAnsi="宋体" w:cs="Arial"/>
          <w:b/>
          <w:color w:val="auto"/>
          <w:sz w:val="24"/>
          <w:highlight w:val="none"/>
        </w:rPr>
      </w:pPr>
      <w:r>
        <w:rPr>
          <w:rFonts w:hint="eastAsia" w:hAnsi="宋体"/>
          <w:b/>
          <w:bCs/>
          <w:color w:val="auto"/>
          <w:sz w:val="24"/>
          <w:highlight w:val="none"/>
        </w:rPr>
        <w:t>项目名称及编号：</w:t>
      </w:r>
    </w:p>
    <w:tbl>
      <w:tblPr>
        <w:tblStyle w:val="2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4"/>
        <w:gridCol w:w="2972"/>
        <w:gridCol w:w="2004"/>
        <w:gridCol w:w="1825"/>
        <w:gridCol w:w="1449"/>
      </w:tblGrid>
      <w:tr w14:paraId="1802D8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94" w:type="dxa"/>
            <w:shd w:val="clear" w:color="auto" w:fill="D9D9D9"/>
            <w:noWrap w:val="0"/>
            <w:vAlign w:val="center"/>
          </w:tcPr>
          <w:p w14:paraId="732B95BA">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972" w:type="dxa"/>
            <w:shd w:val="clear" w:color="auto" w:fill="D9D9D9"/>
            <w:noWrap w:val="0"/>
            <w:vAlign w:val="center"/>
          </w:tcPr>
          <w:p w14:paraId="42FD2C4D">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采购文件条目</w:t>
            </w:r>
          </w:p>
        </w:tc>
        <w:tc>
          <w:tcPr>
            <w:tcW w:w="2004" w:type="dxa"/>
            <w:shd w:val="clear" w:color="auto" w:fill="D9D9D9"/>
            <w:noWrap w:val="0"/>
            <w:vAlign w:val="center"/>
          </w:tcPr>
          <w:p w14:paraId="70A77FA3">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采购文件要求</w:t>
            </w:r>
          </w:p>
        </w:tc>
        <w:tc>
          <w:tcPr>
            <w:tcW w:w="1825" w:type="dxa"/>
            <w:shd w:val="clear" w:color="auto" w:fill="D9D9D9"/>
            <w:noWrap w:val="0"/>
            <w:vAlign w:val="center"/>
          </w:tcPr>
          <w:p w14:paraId="6590048B">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投标文件响应</w:t>
            </w:r>
          </w:p>
        </w:tc>
        <w:tc>
          <w:tcPr>
            <w:tcW w:w="1449" w:type="dxa"/>
            <w:shd w:val="clear" w:color="auto" w:fill="D9D9D9"/>
            <w:noWrap w:val="0"/>
            <w:vAlign w:val="center"/>
          </w:tcPr>
          <w:p w14:paraId="4F7FA159">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偏离情况</w:t>
            </w:r>
          </w:p>
        </w:tc>
      </w:tr>
      <w:tr w14:paraId="6AD233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exact"/>
        </w:trPr>
        <w:tc>
          <w:tcPr>
            <w:tcW w:w="894" w:type="dxa"/>
            <w:noWrap w:val="0"/>
            <w:vAlign w:val="center"/>
          </w:tcPr>
          <w:p w14:paraId="64A973D8">
            <w:pPr>
              <w:keepNext w:val="0"/>
              <w:keepLines w:val="0"/>
              <w:suppressLineNumbers w:val="0"/>
              <w:spacing w:before="0" w:beforeAutospacing="0" w:after="0" w:afterAutospacing="0"/>
              <w:ind w:left="0" w:right="0"/>
              <w:jc w:val="center"/>
              <w:rPr>
                <w:rFonts w:hint="eastAsia" w:ascii="宋体" w:hAnsi="宋体" w:eastAsia="宋体" w:cs="宋体"/>
                <w:b/>
                <w:color w:val="auto"/>
                <w:sz w:val="22"/>
                <w:szCs w:val="22"/>
                <w:highlight w:val="none"/>
              </w:rPr>
            </w:pPr>
          </w:p>
        </w:tc>
        <w:tc>
          <w:tcPr>
            <w:tcW w:w="2972" w:type="dxa"/>
            <w:noWrap w:val="0"/>
            <w:vAlign w:val="center"/>
          </w:tcPr>
          <w:p w14:paraId="5315406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2004" w:type="dxa"/>
            <w:noWrap w:val="0"/>
            <w:vAlign w:val="center"/>
          </w:tcPr>
          <w:p w14:paraId="7B53AA9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25" w:type="dxa"/>
            <w:noWrap w:val="0"/>
            <w:vAlign w:val="center"/>
          </w:tcPr>
          <w:p w14:paraId="57B756E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49" w:type="dxa"/>
            <w:noWrap w:val="0"/>
            <w:vAlign w:val="center"/>
          </w:tcPr>
          <w:p w14:paraId="5A6DA73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A41C5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exact"/>
        </w:trPr>
        <w:tc>
          <w:tcPr>
            <w:tcW w:w="894" w:type="dxa"/>
            <w:noWrap w:val="0"/>
            <w:vAlign w:val="center"/>
          </w:tcPr>
          <w:p w14:paraId="2D21A8E7">
            <w:pPr>
              <w:keepNext w:val="0"/>
              <w:keepLines w:val="0"/>
              <w:suppressLineNumbers w:val="0"/>
              <w:spacing w:before="0" w:beforeAutospacing="0" w:after="0" w:afterAutospacing="0"/>
              <w:ind w:left="0" w:right="0"/>
              <w:jc w:val="center"/>
              <w:rPr>
                <w:rFonts w:hint="eastAsia" w:ascii="宋体" w:hAnsi="宋体" w:eastAsia="宋体" w:cs="宋体"/>
                <w:b/>
                <w:color w:val="auto"/>
                <w:sz w:val="22"/>
                <w:szCs w:val="22"/>
                <w:highlight w:val="none"/>
              </w:rPr>
            </w:pPr>
          </w:p>
        </w:tc>
        <w:tc>
          <w:tcPr>
            <w:tcW w:w="2972" w:type="dxa"/>
            <w:noWrap w:val="0"/>
            <w:vAlign w:val="center"/>
          </w:tcPr>
          <w:p w14:paraId="56EC2D5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2004" w:type="dxa"/>
            <w:noWrap w:val="0"/>
            <w:vAlign w:val="center"/>
          </w:tcPr>
          <w:p w14:paraId="4ED3E77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25" w:type="dxa"/>
            <w:noWrap w:val="0"/>
            <w:vAlign w:val="center"/>
          </w:tcPr>
          <w:p w14:paraId="6B3666F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49" w:type="dxa"/>
            <w:noWrap w:val="0"/>
            <w:vAlign w:val="center"/>
          </w:tcPr>
          <w:p w14:paraId="2C9BC6D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4814C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exact"/>
        </w:trPr>
        <w:tc>
          <w:tcPr>
            <w:tcW w:w="894" w:type="dxa"/>
            <w:noWrap w:val="0"/>
            <w:vAlign w:val="center"/>
          </w:tcPr>
          <w:p w14:paraId="2C6F93EE">
            <w:pPr>
              <w:keepNext w:val="0"/>
              <w:keepLines w:val="0"/>
              <w:suppressLineNumbers w:val="0"/>
              <w:spacing w:before="0" w:beforeAutospacing="0" w:after="0" w:afterAutospacing="0"/>
              <w:ind w:left="0" w:right="0"/>
              <w:jc w:val="center"/>
              <w:rPr>
                <w:rFonts w:hint="eastAsia" w:ascii="宋体" w:hAnsi="宋体" w:eastAsia="宋体" w:cs="宋体"/>
                <w:b/>
                <w:color w:val="auto"/>
                <w:sz w:val="22"/>
                <w:szCs w:val="22"/>
                <w:highlight w:val="none"/>
              </w:rPr>
            </w:pPr>
          </w:p>
        </w:tc>
        <w:tc>
          <w:tcPr>
            <w:tcW w:w="2972" w:type="dxa"/>
            <w:noWrap w:val="0"/>
            <w:vAlign w:val="center"/>
          </w:tcPr>
          <w:p w14:paraId="1D1013F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2004" w:type="dxa"/>
            <w:noWrap w:val="0"/>
            <w:vAlign w:val="center"/>
          </w:tcPr>
          <w:p w14:paraId="4D06373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25" w:type="dxa"/>
            <w:noWrap w:val="0"/>
            <w:vAlign w:val="center"/>
          </w:tcPr>
          <w:p w14:paraId="09BAA63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49" w:type="dxa"/>
            <w:noWrap w:val="0"/>
            <w:vAlign w:val="center"/>
          </w:tcPr>
          <w:p w14:paraId="1B1B2D3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A6D50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exact"/>
        </w:trPr>
        <w:tc>
          <w:tcPr>
            <w:tcW w:w="894" w:type="dxa"/>
            <w:noWrap w:val="0"/>
            <w:vAlign w:val="center"/>
          </w:tcPr>
          <w:p w14:paraId="7B62BD8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2972" w:type="dxa"/>
            <w:noWrap w:val="0"/>
            <w:vAlign w:val="center"/>
          </w:tcPr>
          <w:p w14:paraId="732182B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2004" w:type="dxa"/>
            <w:noWrap w:val="0"/>
            <w:vAlign w:val="center"/>
          </w:tcPr>
          <w:p w14:paraId="717C167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25" w:type="dxa"/>
            <w:noWrap w:val="0"/>
            <w:vAlign w:val="center"/>
          </w:tcPr>
          <w:p w14:paraId="308577A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49" w:type="dxa"/>
            <w:noWrap w:val="0"/>
            <w:vAlign w:val="center"/>
          </w:tcPr>
          <w:p w14:paraId="6A2209F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3EB64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exact"/>
        </w:trPr>
        <w:tc>
          <w:tcPr>
            <w:tcW w:w="894" w:type="dxa"/>
            <w:noWrap w:val="0"/>
            <w:vAlign w:val="center"/>
          </w:tcPr>
          <w:p w14:paraId="5D0EFE3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2972" w:type="dxa"/>
            <w:noWrap w:val="0"/>
            <w:vAlign w:val="center"/>
          </w:tcPr>
          <w:p w14:paraId="7119A89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2004" w:type="dxa"/>
            <w:noWrap w:val="0"/>
            <w:vAlign w:val="center"/>
          </w:tcPr>
          <w:p w14:paraId="656972D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25" w:type="dxa"/>
            <w:noWrap w:val="0"/>
            <w:vAlign w:val="center"/>
          </w:tcPr>
          <w:p w14:paraId="4557162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49" w:type="dxa"/>
            <w:noWrap w:val="0"/>
            <w:vAlign w:val="center"/>
          </w:tcPr>
          <w:p w14:paraId="1E31BF6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179DE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exact"/>
        </w:trPr>
        <w:tc>
          <w:tcPr>
            <w:tcW w:w="894" w:type="dxa"/>
            <w:noWrap w:val="0"/>
            <w:vAlign w:val="center"/>
          </w:tcPr>
          <w:p w14:paraId="327B716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2972" w:type="dxa"/>
            <w:noWrap w:val="0"/>
            <w:vAlign w:val="center"/>
          </w:tcPr>
          <w:p w14:paraId="3A03521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2004" w:type="dxa"/>
            <w:noWrap w:val="0"/>
            <w:vAlign w:val="center"/>
          </w:tcPr>
          <w:p w14:paraId="0B727A3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25" w:type="dxa"/>
            <w:noWrap w:val="0"/>
            <w:vAlign w:val="center"/>
          </w:tcPr>
          <w:p w14:paraId="768B38F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49" w:type="dxa"/>
            <w:noWrap w:val="0"/>
            <w:vAlign w:val="center"/>
          </w:tcPr>
          <w:p w14:paraId="3E5F369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241A8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exact"/>
        </w:trPr>
        <w:tc>
          <w:tcPr>
            <w:tcW w:w="894" w:type="dxa"/>
            <w:noWrap w:val="0"/>
            <w:vAlign w:val="center"/>
          </w:tcPr>
          <w:p w14:paraId="2E66233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2972" w:type="dxa"/>
            <w:noWrap w:val="0"/>
            <w:vAlign w:val="center"/>
          </w:tcPr>
          <w:p w14:paraId="2ACCDFD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2004" w:type="dxa"/>
            <w:noWrap w:val="0"/>
            <w:vAlign w:val="center"/>
          </w:tcPr>
          <w:p w14:paraId="022A7DE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25" w:type="dxa"/>
            <w:noWrap w:val="0"/>
            <w:vAlign w:val="center"/>
          </w:tcPr>
          <w:p w14:paraId="3ADBB84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49" w:type="dxa"/>
            <w:noWrap w:val="0"/>
            <w:vAlign w:val="center"/>
          </w:tcPr>
          <w:p w14:paraId="67097FA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D843D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exact"/>
        </w:trPr>
        <w:tc>
          <w:tcPr>
            <w:tcW w:w="894" w:type="dxa"/>
            <w:noWrap w:val="0"/>
            <w:vAlign w:val="center"/>
          </w:tcPr>
          <w:p w14:paraId="223C8F0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2972" w:type="dxa"/>
            <w:noWrap w:val="0"/>
            <w:vAlign w:val="center"/>
          </w:tcPr>
          <w:p w14:paraId="5D1BDC2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2004" w:type="dxa"/>
            <w:noWrap w:val="0"/>
            <w:vAlign w:val="center"/>
          </w:tcPr>
          <w:p w14:paraId="4FD9E95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25" w:type="dxa"/>
            <w:noWrap w:val="0"/>
            <w:vAlign w:val="center"/>
          </w:tcPr>
          <w:p w14:paraId="58086ED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49" w:type="dxa"/>
            <w:noWrap w:val="0"/>
            <w:vAlign w:val="center"/>
          </w:tcPr>
          <w:p w14:paraId="56366C0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A0038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exact"/>
        </w:trPr>
        <w:tc>
          <w:tcPr>
            <w:tcW w:w="894" w:type="dxa"/>
            <w:noWrap w:val="0"/>
            <w:vAlign w:val="center"/>
          </w:tcPr>
          <w:p w14:paraId="241F265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2972" w:type="dxa"/>
            <w:noWrap w:val="0"/>
            <w:vAlign w:val="center"/>
          </w:tcPr>
          <w:p w14:paraId="06C120D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2004" w:type="dxa"/>
            <w:noWrap w:val="0"/>
            <w:vAlign w:val="center"/>
          </w:tcPr>
          <w:p w14:paraId="13F80F9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25" w:type="dxa"/>
            <w:noWrap w:val="0"/>
            <w:vAlign w:val="center"/>
          </w:tcPr>
          <w:p w14:paraId="71F4AFE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49" w:type="dxa"/>
            <w:noWrap w:val="0"/>
            <w:vAlign w:val="center"/>
          </w:tcPr>
          <w:p w14:paraId="2D4165B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bl>
    <w:p w14:paraId="6200494F">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说明：</w:t>
      </w:r>
    </w:p>
    <w:p w14:paraId="04844275">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须将投标文件对招标文件列明的商务要求和技术参数要求的所有偏离</w:t>
      </w:r>
      <w:r>
        <w:rPr>
          <w:rFonts w:hint="eastAsia" w:ascii="宋体" w:hAnsi="宋体" w:eastAsia="宋体" w:cs="宋体"/>
          <w:color w:val="auto"/>
          <w:sz w:val="22"/>
          <w:szCs w:val="22"/>
          <w:highlight w:val="none"/>
          <w:lang w:eastAsia="zh-CN"/>
        </w:rPr>
        <w:t>（正偏离、无偏离、负偏离）</w:t>
      </w:r>
      <w:r>
        <w:rPr>
          <w:rFonts w:hint="eastAsia" w:ascii="宋体" w:hAnsi="宋体" w:eastAsia="宋体" w:cs="宋体"/>
          <w:color w:val="auto"/>
          <w:sz w:val="22"/>
          <w:szCs w:val="22"/>
          <w:highlight w:val="none"/>
        </w:rPr>
        <w:t>填入此表。</w:t>
      </w:r>
    </w:p>
    <w:p w14:paraId="53062478">
      <w:pPr>
        <w:spacing w:line="460" w:lineRule="exact"/>
        <w:ind w:firstLine="442" w:firstLineChars="20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2、如不填写，视为完全响应招标文件的要求。</w:t>
      </w:r>
    </w:p>
    <w:p w14:paraId="43F18438">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表格中行数不够用时可按相同格式增加行数，其他一切内容和格式不得更改。</w:t>
      </w:r>
    </w:p>
    <w:p w14:paraId="35354340">
      <w:pPr>
        <w:pStyle w:val="13"/>
        <w:adjustRightInd w:val="0"/>
        <w:snapToGrid w:val="0"/>
        <w:spacing w:line="360" w:lineRule="auto"/>
        <w:rPr>
          <w:rFonts w:hint="eastAsia" w:hAnsi="宋体"/>
          <w:color w:val="auto"/>
          <w:szCs w:val="21"/>
          <w:highlight w:val="none"/>
        </w:rPr>
      </w:pPr>
    </w:p>
    <w:p w14:paraId="269470D4">
      <w:pPr>
        <w:ind w:firstLine="424" w:firstLineChars="177"/>
        <w:rPr>
          <w:rFonts w:ascii="宋体" w:hAnsi="宋体"/>
          <w:color w:val="auto"/>
          <w:sz w:val="24"/>
          <w:highlight w:val="none"/>
          <w:u w:val="single"/>
        </w:rPr>
      </w:pPr>
      <w:r>
        <w:rPr>
          <w:rFonts w:hint="eastAsia" w:ascii="宋体" w:hAnsi="宋体"/>
          <w:color w:val="auto"/>
          <w:sz w:val="24"/>
          <w:highlight w:val="none"/>
        </w:rPr>
        <w:t>磋商供应商名称（盖章）：</w:t>
      </w:r>
      <w:r>
        <w:rPr>
          <w:rFonts w:hint="eastAsia" w:ascii="宋体" w:hAnsi="宋体"/>
          <w:color w:val="auto"/>
          <w:sz w:val="24"/>
          <w:highlight w:val="none"/>
          <w:u w:val="none"/>
        </w:rPr>
        <w:t xml:space="preserve">                       </w:t>
      </w:r>
    </w:p>
    <w:p w14:paraId="4F5EF15C">
      <w:pPr>
        <w:ind w:left="420"/>
        <w:rPr>
          <w:rFonts w:ascii="宋体" w:hAnsi="宋体"/>
          <w:color w:val="auto"/>
          <w:sz w:val="24"/>
          <w:highlight w:val="none"/>
        </w:rPr>
      </w:pPr>
    </w:p>
    <w:p w14:paraId="187EE24C">
      <w:pPr>
        <w:ind w:firstLine="424" w:firstLineChars="177"/>
        <w:rPr>
          <w:rFonts w:ascii="宋体" w:hAnsi="宋体"/>
          <w:color w:val="auto"/>
          <w:sz w:val="24"/>
          <w:highlight w:val="none"/>
        </w:rPr>
      </w:pPr>
      <w:r>
        <w:rPr>
          <w:rFonts w:hint="eastAsia" w:ascii="宋体" w:hAnsi="宋体"/>
          <w:color w:val="auto"/>
          <w:sz w:val="24"/>
          <w:highlight w:val="none"/>
          <w:lang w:eastAsia="zh-CN"/>
        </w:rPr>
        <w:t>法定代表人或授权委托代理人</w:t>
      </w:r>
      <w:r>
        <w:rPr>
          <w:rFonts w:hint="eastAsia" w:ascii="宋体" w:hAnsi="宋体"/>
          <w:color w:val="auto"/>
          <w:sz w:val="24"/>
          <w:highlight w:val="none"/>
        </w:rPr>
        <w:t>签字：</w:t>
      </w:r>
      <w:r>
        <w:rPr>
          <w:rFonts w:hint="eastAsia" w:ascii="宋体" w:hAnsi="宋体"/>
          <w:color w:val="auto"/>
          <w:sz w:val="24"/>
          <w:highlight w:val="none"/>
          <w:u w:val="none"/>
        </w:rPr>
        <w:t xml:space="preserve">                          </w:t>
      </w:r>
    </w:p>
    <w:p w14:paraId="7573E755">
      <w:pPr>
        <w:ind w:firstLine="435"/>
        <w:rPr>
          <w:rFonts w:ascii="宋体" w:hAnsi="宋体"/>
          <w:color w:val="auto"/>
          <w:sz w:val="24"/>
          <w:highlight w:val="none"/>
        </w:rPr>
      </w:pPr>
    </w:p>
    <w:p w14:paraId="420E1ABF">
      <w:pPr>
        <w:ind w:firstLine="424" w:firstLineChars="177"/>
        <w:rPr>
          <w:rFonts w:ascii="宋体" w:hAnsi="宋体"/>
          <w:color w:val="auto"/>
          <w:sz w:val="24"/>
          <w:highlight w:val="none"/>
          <w:u w:val="single"/>
        </w:rPr>
      </w:pPr>
      <w:r>
        <w:rPr>
          <w:rFonts w:hint="eastAsia" w:ascii="宋体" w:hAnsi="宋体"/>
          <w:color w:val="auto"/>
          <w:sz w:val="24"/>
          <w:highlight w:val="none"/>
        </w:rPr>
        <w:t>职        务：</w:t>
      </w:r>
      <w:r>
        <w:rPr>
          <w:rFonts w:hint="eastAsia" w:ascii="宋体" w:hAnsi="宋体"/>
          <w:color w:val="auto"/>
          <w:sz w:val="24"/>
          <w:highlight w:val="none"/>
          <w:u w:val="none"/>
        </w:rPr>
        <w:t xml:space="preserve">                             </w:t>
      </w:r>
    </w:p>
    <w:p w14:paraId="252CB1EA">
      <w:pPr>
        <w:rPr>
          <w:rFonts w:ascii="宋体" w:hAnsi="宋体"/>
          <w:color w:val="auto"/>
          <w:sz w:val="24"/>
          <w:highlight w:val="none"/>
        </w:rPr>
      </w:pPr>
    </w:p>
    <w:p w14:paraId="43BBEA84">
      <w:pPr>
        <w:pStyle w:val="53"/>
        <w:shd w:val="clear" w:color="auto" w:fill="FFFFFF"/>
        <w:spacing w:before="0" w:beforeAutospacing="0" w:after="0" w:afterAutospacing="0"/>
        <w:ind w:firstLine="424" w:firstLineChars="177"/>
        <w:rPr>
          <w:rFonts w:hint="eastAsia"/>
          <w:b/>
          <w:color w:val="auto"/>
          <w:sz w:val="28"/>
          <w:highlight w:val="none"/>
          <w:u w:val="none"/>
        </w:rPr>
      </w:pPr>
      <w:r>
        <w:rPr>
          <w:rFonts w:hint="eastAsia"/>
          <w:color w:val="auto"/>
          <w:highlight w:val="none"/>
        </w:rPr>
        <w:t>日        期：</w:t>
      </w:r>
      <w:r>
        <w:rPr>
          <w:rFonts w:hint="eastAsia"/>
          <w:color w:val="auto"/>
          <w:highlight w:val="none"/>
          <w:u w:val="none"/>
        </w:rPr>
        <w:t xml:space="preserve">                            </w:t>
      </w:r>
    </w:p>
    <w:p w14:paraId="196D61D4">
      <w:pPr>
        <w:snapToGrid w:val="0"/>
        <w:spacing w:before="156" w:beforeLines="50" w:after="50" w:line="360" w:lineRule="auto"/>
        <w:outlineLvl w:val="0"/>
        <w:rPr>
          <w:rFonts w:hint="eastAsia" w:ascii="宋体" w:hAnsi="宋体"/>
          <w:b/>
          <w:color w:val="auto"/>
          <w:sz w:val="28"/>
          <w:highlight w:val="none"/>
        </w:rPr>
      </w:pPr>
      <w:bookmarkStart w:id="15" w:name="_Toc21985"/>
    </w:p>
    <w:p w14:paraId="4FA56E6A">
      <w:pPr>
        <w:snapToGrid w:val="0"/>
        <w:spacing w:before="156" w:beforeLines="50" w:after="50" w:line="360" w:lineRule="auto"/>
        <w:outlineLvl w:val="0"/>
        <w:rPr>
          <w:rFonts w:hint="eastAsia" w:ascii="宋体" w:hAnsi="宋体"/>
          <w:b/>
          <w:color w:val="auto"/>
          <w:sz w:val="28"/>
          <w:highlight w:val="none"/>
        </w:rPr>
      </w:pPr>
    </w:p>
    <w:p w14:paraId="4AE9BD6A">
      <w:pPr>
        <w:snapToGrid w:val="0"/>
        <w:spacing w:before="156" w:beforeLines="50" w:after="50" w:line="360" w:lineRule="auto"/>
        <w:outlineLvl w:val="0"/>
        <w:rPr>
          <w:rFonts w:hint="default" w:ascii="宋体" w:hAnsi="宋体" w:eastAsia="宋体"/>
          <w:b/>
          <w:color w:val="auto"/>
          <w:sz w:val="28"/>
          <w:highlight w:val="none"/>
          <w:lang w:val="en-US" w:eastAsia="zh-CN"/>
        </w:rPr>
      </w:pPr>
      <w:r>
        <w:rPr>
          <w:rFonts w:hint="eastAsia" w:ascii="宋体" w:hAnsi="宋体"/>
          <w:b/>
          <w:color w:val="auto"/>
          <w:sz w:val="28"/>
          <w:highlight w:val="none"/>
        </w:rPr>
        <w:t>附件</w:t>
      </w:r>
      <w:bookmarkEnd w:id="15"/>
      <w:r>
        <w:rPr>
          <w:rFonts w:hint="eastAsia" w:ascii="宋体" w:hAnsi="宋体"/>
          <w:b/>
          <w:color w:val="auto"/>
          <w:sz w:val="28"/>
          <w:highlight w:val="none"/>
          <w:lang w:val="en-US" w:eastAsia="zh-CN"/>
        </w:rPr>
        <w:t>15</w:t>
      </w:r>
    </w:p>
    <w:p w14:paraId="5DEC3834">
      <w:pPr>
        <w:pStyle w:val="52"/>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证书一览表</w:t>
      </w:r>
    </w:p>
    <w:p w14:paraId="3B846464">
      <w:pPr>
        <w:pStyle w:val="52"/>
        <w:spacing w:line="360" w:lineRule="auto"/>
        <w:jc w:val="center"/>
        <w:rPr>
          <w:rFonts w:ascii="宋体" w:hAnsi="宋体" w:cs="Arial"/>
          <w:color w:val="auto"/>
          <w:sz w:val="28"/>
          <w:szCs w:val="28"/>
          <w:highlight w:val="none"/>
        </w:rPr>
      </w:pPr>
    </w:p>
    <w:tbl>
      <w:tblPr>
        <w:tblStyle w:val="26"/>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6B88EC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noWrap w:val="0"/>
            <w:vAlign w:val="top"/>
          </w:tcPr>
          <w:p w14:paraId="3E06ECA9">
            <w:pPr>
              <w:pStyle w:val="52"/>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证书名称</w:t>
            </w:r>
          </w:p>
        </w:tc>
        <w:tc>
          <w:tcPr>
            <w:tcW w:w="2258" w:type="dxa"/>
            <w:tcBorders>
              <w:top w:val="single" w:color="auto" w:sz="4" w:space="0"/>
              <w:bottom w:val="single" w:color="auto" w:sz="4" w:space="0"/>
            </w:tcBorders>
            <w:noWrap w:val="0"/>
            <w:vAlign w:val="top"/>
          </w:tcPr>
          <w:p w14:paraId="56908A07">
            <w:pPr>
              <w:pStyle w:val="52"/>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发证单位</w:t>
            </w:r>
          </w:p>
        </w:tc>
        <w:tc>
          <w:tcPr>
            <w:tcW w:w="2260" w:type="dxa"/>
            <w:tcBorders>
              <w:top w:val="single" w:color="auto" w:sz="4" w:space="0"/>
              <w:bottom w:val="single" w:color="auto" w:sz="4" w:space="0"/>
            </w:tcBorders>
            <w:noWrap w:val="0"/>
            <w:vAlign w:val="top"/>
          </w:tcPr>
          <w:p w14:paraId="08C74823">
            <w:pPr>
              <w:pStyle w:val="52"/>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证书等级</w:t>
            </w:r>
          </w:p>
        </w:tc>
        <w:tc>
          <w:tcPr>
            <w:tcW w:w="2047" w:type="dxa"/>
            <w:tcBorders>
              <w:top w:val="single" w:color="auto" w:sz="4" w:space="0"/>
              <w:bottom w:val="single" w:color="auto" w:sz="4" w:space="0"/>
              <w:right w:val="single" w:color="auto" w:sz="4" w:space="0"/>
            </w:tcBorders>
            <w:noWrap w:val="0"/>
            <w:vAlign w:val="top"/>
          </w:tcPr>
          <w:p w14:paraId="270FD27A">
            <w:pPr>
              <w:pStyle w:val="52"/>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证书有效期</w:t>
            </w:r>
          </w:p>
        </w:tc>
      </w:tr>
      <w:tr w14:paraId="1BF16E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noWrap w:val="0"/>
            <w:vAlign w:val="top"/>
          </w:tcPr>
          <w:p w14:paraId="096BB846">
            <w:pPr>
              <w:pStyle w:val="52"/>
              <w:spacing w:line="360" w:lineRule="auto"/>
              <w:jc w:val="center"/>
              <w:rPr>
                <w:rFonts w:ascii="宋体" w:hAnsi="宋体" w:cs="Arial"/>
                <w:color w:val="auto"/>
                <w:szCs w:val="21"/>
                <w:highlight w:val="none"/>
              </w:rPr>
            </w:pPr>
          </w:p>
        </w:tc>
        <w:tc>
          <w:tcPr>
            <w:tcW w:w="2258" w:type="dxa"/>
            <w:tcBorders>
              <w:top w:val="single" w:color="auto" w:sz="4" w:space="0"/>
            </w:tcBorders>
            <w:noWrap w:val="0"/>
            <w:vAlign w:val="top"/>
          </w:tcPr>
          <w:p w14:paraId="39E8A27A">
            <w:pPr>
              <w:pStyle w:val="52"/>
              <w:spacing w:line="360" w:lineRule="auto"/>
              <w:jc w:val="center"/>
              <w:rPr>
                <w:rFonts w:ascii="宋体" w:hAnsi="宋体" w:cs="Arial"/>
                <w:color w:val="auto"/>
                <w:szCs w:val="21"/>
                <w:highlight w:val="none"/>
              </w:rPr>
            </w:pPr>
          </w:p>
        </w:tc>
        <w:tc>
          <w:tcPr>
            <w:tcW w:w="2260" w:type="dxa"/>
            <w:tcBorders>
              <w:top w:val="single" w:color="auto" w:sz="4" w:space="0"/>
            </w:tcBorders>
            <w:noWrap w:val="0"/>
            <w:vAlign w:val="top"/>
          </w:tcPr>
          <w:p w14:paraId="7FD6846D">
            <w:pPr>
              <w:pStyle w:val="52"/>
              <w:spacing w:line="360" w:lineRule="auto"/>
              <w:jc w:val="center"/>
              <w:rPr>
                <w:rFonts w:ascii="宋体" w:hAnsi="宋体" w:cs="Arial"/>
                <w:color w:val="auto"/>
                <w:szCs w:val="21"/>
                <w:highlight w:val="none"/>
              </w:rPr>
            </w:pPr>
          </w:p>
        </w:tc>
        <w:tc>
          <w:tcPr>
            <w:tcW w:w="2047" w:type="dxa"/>
            <w:tcBorders>
              <w:top w:val="single" w:color="auto" w:sz="4" w:space="0"/>
              <w:right w:val="single" w:color="auto" w:sz="4" w:space="0"/>
            </w:tcBorders>
            <w:noWrap w:val="0"/>
            <w:vAlign w:val="top"/>
          </w:tcPr>
          <w:p w14:paraId="54338D71">
            <w:pPr>
              <w:pStyle w:val="52"/>
              <w:spacing w:line="360" w:lineRule="auto"/>
              <w:jc w:val="center"/>
              <w:rPr>
                <w:rFonts w:ascii="宋体" w:hAnsi="宋体" w:cs="Arial"/>
                <w:color w:val="auto"/>
                <w:szCs w:val="21"/>
                <w:highlight w:val="none"/>
              </w:rPr>
            </w:pPr>
          </w:p>
        </w:tc>
      </w:tr>
      <w:tr w14:paraId="226A24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37B60D80">
            <w:pPr>
              <w:pStyle w:val="52"/>
              <w:spacing w:line="360" w:lineRule="auto"/>
              <w:jc w:val="center"/>
              <w:rPr>
                <w:rFonts w:ascii="宋体" w:hAnsi="宋体" w:cs="Arial"/>
                <w:color w:val="auto"/>
                <w:szCs w:val="21"/>
                <w:highlight w:val="none"/>
              </w:rPr>
            </w:pPr>
          </w:p>
        </w:tc>
        <w:tc>
          <w:tcPr>
            <w:tcW w:w="2258" w:type="dxa"/>
            <w:noWrap w:val="0"/>
            <w:vAlign w:val="top"/>
          </w:tcPr>
          <w:p w14:paraId="0EDAF4F0">
            <w:pPr>
              <w:pStyle w:val="52"/>
              <w:spacing w:line="360" w:lineRule="auto"/>
              <w:jc w:val="center"/>
              <w:rPr>
                <w:rFonts w:ascii="宋体" w:hAnsi="宋体" w:cs="Arial"/>
                <w:color w:val="auto"/>
                <w:szCs w:val="21"/>
                <w:highlight w:val="none"/>
              </w:rPr>
            </w:pPr>
          </w:p>
        </w:tc>
        <w:tc>
          <w:tcPr>
            <w:tcW w:w="2260" w:type="dxa"/>
            <w:noWrap w:val="0"/>
            <w:vAlign w:val="top"/>
          </w:tcPr>
          <w:p w14:paraId="53A84B89">
            <w:pPr>
              <w:pStyle w:val="52"/>
              <w:spacing w:line="360" w:lineRule="auto"/>
              <w:jc w:val="center"/>
              <w:rPr>
                <w:rFonts w:ascii="宋体" w:hAnsi="宋体" w:cs="Arial"/>
                <w:color w:val="auto"/>
                <w:szCs w:val="21"/>
                <w:highlight w:val="none"/>
              </w:rPr>
            </w:pPr>
          </w:p>
        </w:tc>
        <w:tc>
          <w:tcPr>
            <w:tcW w:w="2047" w:type="dxa"/>
            <w:tcBorders>
              <w:right w:val="single" w:color="auto" w:sz="4" w:space="0"/>
            </w:tcBorders>
            <w:noWrap w:val="0"/>
            <w:vAlign w:val="top"/>
          </w:tcPr>
          <w:p w14:paraId="0649E4EF">
            <w:pPr>
              <w:pStyle w:val="52"/>
              <w:spacing w:line="360" w:lineRule="auto"/>
              <w:jc w:val="center"/>
              <w:rPr>
                <w:rFonts w:ascii="宋体" w:hAnsi="宋体" w:cs="Arial"/>
                <w:color w:val="auto"/>
                <w:szCs w:val="21"/>
                <w:highlight w:val="none"/>
              </w:rPr>
            </w:pPr>
          </w:p>
        </w:tc>
      </w:tr>
      <w:tr w14:paraId="39B162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5496BFAD">
            <w:pPr>
              <w:pStyle w:val="52"/>
              <w:spacing w:line="360" w:lineRule="auto"/>
              <w:jc w:val="center"/>
              <w:rPr>
                <w:rFonts w:ascii="宋体" w:hAnsi="宋体" w:cs="Arial"/>
                <w:color w:val="auto"/>
                <w:szCs w:val="21"/>
                <w:highlight w:val="none"/>
              </w:rPr>
            </w:pPr>
          </w:p>
        </w:tc>
        <w:tc>
          <w:tcPr>
            <w:tcW w:w="2258" w:type="dxa"/>
            <w:noWrap w:val="0"/>
            <w:vAlign w:val="top"/>
          </w:tcPr>
          <w:p w14:paraId="36B2A6A2">
            <w:pPr>
              <w:pStyle w:val="52"/>
              <w:spacing w:line="360" w:lineRule="auto"/>
              <w:jc w:val="center"/>
              <w:rPr>
                <w:rFonts w:ascii="宋体" w:hAnsi="宋体" w:cs="Arial"/>
                <w:color w:val="auto"/>
                <w:szCs w:val="21"/>
                <w:highlight w:val="none"/>
              </w:rPr>
            </w:pPr>
          </w:p>
        </w:tc>
        <w:tc>
          <w:tcPr>
            <w:tcW w:w="2260" w:type="dxa"/>
            <w:noWrap w:val="0"/>
            <w:vAlign w:val="top"/>
          </w:tcPr>
          <w:p w14:paraId="40557911">
            <w:pPr>
              <w:pStyle w:val="52"/>
              <w:spacing w:line="360" w:lineRule="auto"/>
              <w:jc w:val="center"/>
              <w:rPr>
                <w:rFonts w:ascii="宋体" w:hAnsi="宋体" w:cs="Arial"/>
                <w:color w:val="auto"/>
                <w:szCs w:val="21"/>
                <w:highlight w:val="none"/>
              </w:rPr>
            </w:pPr>
          </w:p>
        </w:tc>
        <w:tc>
          <w:tcPr>
            <w:tcW w:w="2047" w:type="dxa"/>
            <w:tcBorders>
              <w:right w:val="single" w:color="auto" w:sz="4" w:space="0"/>
            </w:tcBorders>
            <w:noWrap w:val="0"/>
            <w:vAlign w:val="top"/>
          </w:tcPr>
          <w:p w14:paraId="6FB7AC9A">
            <w:pPr>
              <w:pStyle w:val="52"/>
              <w:spacing w:line="360" w:lineRule="auto"/>
              <w:jc w:val="center"/>
              <w:rPr>
                <w:rFonts w:ascii="宋体" w:hAnsi="宋体" w:cs="Arial"/>
                <w:color w:val="auto"/>
                <w:szCs w:val="21"/>
                <w:highlight w:val="none"/>
              </w:rPr>
            </w:pPr>
          </w:p>
        </w:tc>
      </w:tr>
      <w:tr w14:paraId="45ECB9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0AFF94D2">
            <w:pPr>
              <w:pStyle w:val="52"/>
              <w:spacing w:line="360" w:lineRule="auto"/>
              <w:jc w:val="center"/>
              <w:rPr>
                <w:rFonts w:ascii="宋体" w:hAnsi="宋体" w:cs="Arial"/>
                <w:color w:val="auto"/>
                <w:szCs w:val="21"/>
                <w:highlight w:val="none"/>
              </w:rPr>
            </w:pPr>
          </w:p>
        </w:tc>
        <w:tc>
          <w:tcPr>
            <w:tcW w:w="2258" w:type="dxa"/>
            <w:noWrap w:val="0"/>
            <w:vAlign w:val="top"/>
          </w:tcPr>
          <w:p w14:paraId="0624246B">
            <w:pPr>
              <w:pStyle w:val="52"/>
              <w:spacing w:line="360" w:lineRule="auto"/>
              <w:jc w:val="center"/>
              <w:rPr>
                <w:rFonts w:ascii="宋体" w:hAnsi="宋体" w:cs="Arial"/>
                <w:color w:val="auto"/>
                <w:szCs w:val="21"/>
                <w:highlight w:val="none"/>
              </w:rPr>
            </w:pPr>
          </w:p>
        </w:tc>
        <w:tc>
          <w:tcPr>
            <w:tcW w:w="2260" w:type="dxa"/>
            <w:noWrap w:val="0"/>
            <w:vAlign w:val="top"/>
          </w:tcPr>
          <w:p w14:paraId="76E1202C">
            <w:pPr>
              <w:pStyle w:val="52"/>
              <w:spacing w:line="360" w:lineRule="auto"/>
              <w:jc w:val="center"/>
              <w:rPr>
                <w:rFonts w:ascii="宋体" w:hAnsi="宋体" w:cs="Arial"/>
                <w:color w:val="auto"/>
                <w:szCs w:val="21"/>
                <w:highlight w:val="none"/>
              </w:rPr>
            </w:pPr>
          </w:p>
        </w:tc>
        <w:tc>
          <w:tcPr>
            <w:tcW w:w="2047" w:type="dxa"/>
            <w:tcBorders>
              <w:right w:val="single" w:color="auto" w:sz="4" w:space="0"/>
            </w:tcBorders>
            <w:noWrap w:val="0"/>
            <w:vAlign w:val="top"/>
          </w:tcPr>
          <w:p w14:paraId="46AFC1AD">
            <w:pPr>
              <w:pStyle w:val="52"/>
              <w:spacing w:line="360" w:lineRule="auto"/>
              <w:jc w:val="center"/>
              <w:rPr>
                <w:rFonts w:ascii="宋体" w:hAnsi="宋体" w:cs="Arial"/>
                <w:color w:val="auto"/>
                <w:szCs w:val="21"/>
                <w:highlight w:val="none"/>
              </w:rPr>
            </w:pPr>
          </w:p>
        </w:tc>
      </w:tr>
      <w:tr w14:paraId="3A5298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168475A6">
            <w:pPr>
              <w:pStyle w:val="52"/>
              <w:spacing w:line="360" w:lineRule="auto"/>
              <w:jc w:val="center"/>
              <w:rPr>
                <w:rFonts w:ascii="宋体" w:hAnsi="宋体" w:cs="Arial"/>
                <w:color w:val="auto"/>
                <w:szCs w:val="21"/>
                <w:highlight w:val="none"/>
              </w:rPr>
            </w:pPr>
          </w:p>
        </w:tc>
        <w:tc>
          <w:tcPr>
            <w:tcW w:w="2258" w:type="dxa"/>
            <w:noWrap w:val="0"/>
            <w:vAlign w:val="top"/>
          </w:tcPr>
          <w:p w14:paraId="1E0F5628">
            <w:pPr>
              <w:pStyle w:val="52"/>
              <w:spacing w:line="360" w:lineRule="auto"/>
              <w:jc w:val="center"/>
              <w:rPr>
                <w:rFonts w:ascii="宋体" w:hAnsi="宋体" w:cs="Arial"/>
                <w:color w:val="auto"/>
                <w:szCs w:val="21"/>
                <w:highlight w:val="none"/>
              </w:rPr>
            </w:pPr>
          </w:p>
        </w:tc>
        <w:tc>
          <w:tcPr>
            <w:tcW w:w="2260" w:type="dxa"/>
            <w:noWrap w:val="0"/>
            <w:vAlign w:val="top"/>
          </w:tcPr>
          <w:p w14:paraId="3E90E85A">
            <w:pPr>
              <w:pStyle w:val="52"/>
              <w:spacing w:line="360" w:lineRule="auto"/>
              <w:jc w:val="center"/>
              <w:rPr>
                <w:rFonts w:ascii="宋体" w:hAnsi="宋体" w:cs="Arial"/>
                <w:color w:val="auto"/>
                <w:szCs w:val="21"/>
                <w:highlight w:val="none"/>
              </w:rPr>
            </w:pPr>
          </w:p>
        </w:tc>
        <w:tc>
          <w:tcPr>
            <w:tcW w:w="2047" w:type="dxa"/>
            <w:tcBorders>
              <w:right w:val="single" w:color="auto" w:sz="4" w:space="0"/>
            </w:tcBorders>
            <w:noWrap w:val="0"/>
            <w:vAlign w:val="top"/>
          </w:tcPr>
          <w:p w14:paraId="21881B84">
            <w:pPr>
              <w:pStyle w:val="52"/>
              <w:spacing w:line="360" w:lineRule="auto"/>
              <w:jc w:val="center"/>
              <w:rPr>
                <w:rFonts w:ascii="宋体" w:hAnsi="宋体" w:cs="Arial"/>
                <w:color w:val="auto"/>
                <w:szCs w:val="21"/>
                <w:highlight w:val="none"/>
              </w:rPr>
            </w:pPr>
          </w:p>
        </w:tc>
      </w:tr>
      <w:tr w14:paraId="0BBC7B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164A4D47">
            <w:pPr>
              <w:pStyle w:val="52"/>
              <w:spacing w:line="360" w:lineRule="auto"/>
              <w:jc w:val="center"/>
              <w:rPr>
                <w:rFonts w:ascii="宋体" w:hAnsi="宋体" w:cs="Arial"/>
                <w:color w:val="auto"/>
                <w:szCs w:val="21"/>
                <w:highlight w:val="none"/>
              </w:rPr>
            </w:pPr>
          </w:p>
        </w:tc>
        <w:tc>
          <w:tcPr>
            <w:tcW w:w="2258" w:type="dxa"/>
            <w:noWrap w:val="0"/>
            <w:vAlign w:val="top"/>
          </w:tcPr>
          <w:p w14:paraId="47A99B25">
            <w:pPr>
              <w:pStyle w:val="52"/>
              <w:spacing w:line="360" w:lineRule="auto"/>
              <w:jc w:val="center"/>
              <w:rPr>
                <w:rFonts w:ascii="宋体" w:hAnsi="宋体" w:cs="Arial"/>
                <w:color w:val="auto"/>
                <w:szCs w:val="21"/>
                <w:highlight w:val="none"/>
              </w:rPr>
            </w:pPr>
          </w:p>
        </w:tc>
        <w:tc>
          <w:tcPr>
            <w:tcW w:w="2260" w:type="dxa"/>
            <w:noWrap w:val="0"/>
            <w:vAlign w:val="top"/>
          </w:tcPr>
          <w:p w14:paraId="1F21B23B">
            <w:pPr>
              <w:pStyle w:val="52"/>
              <w:spacing w:line="360" w:lineRule="auto"/>
              <w:jc w:val="center"/>
              <w:rPr>
                <w:rFonts w:ascii="宋体" w:hAnsi="宋体" w:cs="Arial"/>
                <w:color w:val="auto"/>
                <w:szCs w:val="21"/>
                <w:highlight w:val="none"/>
              </w:rPr>
            </w:pPr>
          </w:p>
        </w:tc>
        <w:tc>
          <w:tcPr>
            <w:tcW w:w="2047" w:type="dxa"/>
            <w:tcBorders>
              <w:right w:val="single" w:color="auto" w:sz="4" w:space="0"/>
            </w:tcBorders>
            <w:noWrap w:val="0"/>
            <w:vAlign w:val="top"/>
          </w:tcPr>
          <w:p w14:paraId="53DA3F4C">
            <w:pPr>
              <w:pStyle w:val="52"/>
              <w:spacing w:line="360" w:lineRule="auto"/>
              <w:jc w:val="center"/>
              <w:rPr>
                <w:rFonts w:ascii="宋体" w:hAnsi="宋体" w:cs="Arial"/>
                <w:color w:val="auto"/>
                <w:szCs w:val="21"/>
                <w:highlight w:val="none"/>
              </w:rPr>
            </w:pPr>
          </w:p>
        </w:tc>
      </w:tr>
      <w:tr w14:paraId="1B4B5D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noWrap w:val="0"/>
            <w:vAlign w:val="top"/>
          </w:tcPr>
          <w:p w14:paraId="2C85783F">
            <w:pPr>
              <w:pStyle w:val="52"/>
              <w:spacing w:line="360" w:lineRule="auto"/>
              <w:jc w:val="center"/>
              <w:rPr>
                <w:rFonts w:ascii="宋体" w:hAnsi="宋体" w:cs="Arial"/>
                <w:color w:val="auto"/>
                <w:szCs w:val="21"/>
                <w:highlight w:val="none"/>
              </w:rPr>
            </w:pPr>
          </w:p>
        </w:tc>
        <w:tc>
          <w:tcPr>
            <w:tcW w:w="2258" w:type="dxa"/>
            <w:tcBorders>
              <w:bottom w:val="single" w:color="auto" w:sz="4" w:space="0"/>
            </w:tcBorders>
            <w:noWrap w:val="0"/>
            <w:vAlign w:val="top"/>
          </w:tcPr>
          <w:p w14:paraId="6CFE454B">
            <w:pPr>
              <w:pStyle w:val="52"/>
              <w:spacing w:line="360" w:lineRule="auto"/>
              <w:jc w:val="center"/>
              <w:rPr>
                <w:rFonts w:ascii="宋体" w:hAnsi="宋体" w:cs="Arial"/>
                <w:color w:val="auto"/>
                <w:szCs w:val="21"/>
                <w:highlight w:val="none"/>
              </w:rPr>
            </w:pPr>
          </w:p>
        </w:tc>
        <w:tc>
          <w:tcPr>
            <w:tcW w:w="2260" w:type="dxa"/>
            <w:tcBorders>
              <w:bottom w:val="single" w:color="auto" w:sz="4" w:space="0"/>
            </w:tcBorders>
            <w:noWrap w:val="0"/>
            <w:vAlign w:val="top"/>
          </w:tcPr>
          <w:p w14:paraId="3DF21093">
            <w:pPr>
              <w:pStyle w:val="52"/>
              <w:spacing w:line="360" w:lineRule="auto"/>
              <w:jc w:val="center"/>
              <w:rPr>
                <w:rFonts w:ascii="宋体" w:hAnsi="宋体" w:cs="Arial"/>
                <w:color w:val="auto"/>
                <w:szCs w:val="21"/>
                <w:highlight w:val="none"/>
              </w:rPr>
            </w:pPr>
          </w:p>
        </w:tc>
        <w:tc>
          <w:tcPr>
            <w:tcW w:w="2047" w:type="dxa"/>
            <w:tcBorders>
              <w:bottom w:val="single" w:color="auto" w:sz="4" w:space="0"/>
              <w:right w:val="single" w:color="auto" w:sz="4" w:space="0"/>
            </w:tcBorders>
            <w:noWrap w:val="0"/>
            <w:vAlign w:val="top"/>
          </w:tcPr>
          <w:p w14:paraId="52E691A0">
            <w:pPr>
              <w:pStyle w:val="52"/>
              <w:spacing w:line="360" w:lineRule="auto"/>
              <w:jc w:val="center"/>
              <w:rPr>
                <w:rFonts w:ascii="宋体" w:hAnsi="宋体" w:cs="Arial"/>
                <w:color w:val="auto"/>
                <w:szCs w:val="21"/>
                <w:highlight w:val="none"/>
              </w:rPr>
            </w:pPr>
          </w:p>
        </w:tc>
      </w:tr>
    </w:tbl>
    <w:p w14:paraId="5D290C6B">
      <w:pPr>
        <w:pStyle w:val="52"/>
        <w:tabs>
          <w:tab w:val="left" w:pos="1050"/>
        </w:tabs>
        <w:spacing w:line="360" w:lineRule="auto"/>
        <w:rPr>
          <w:rFonts w:ascii="仿宋_GB2312" w:hAnsi="宋体" w:eastAsia="仿宋_GB2312"/>
          <w:color w:val="auto"/>
          <w:sz w:val="24"/>
          <w:highlight w:val="none"/>
        </w:rPr>
      </w:pPr>
    </w:p>
    <w:p w14:paraId="67EB2034">
      <w:pPr>
        <w:pStyle w:val="52"/>
        <w:tabs>
          <w:tab w:val="left" w:pos="1050"/>
        </w:tabs>
        <w:spacing w:line="360" w:lineRule="auto"/>
        <w:rPr>
          <w:rFonts w:ascii="宋体" w:hAnsi="宋体"/>
          <w:color w:val="auto"/>
          <w:szCs w:val="21"/>
          <w:highlight w:val="none"/>
        </w:rPr>
      </w:pPr>
      <w:r>
        <w:rPr>
          <w:rFonts w:hint="eastAsia" w:ascii="宋体" w:hAnsi="宋体"/>
          <w:b/>
          <w:color w:val="auto"/>
          <w:szCs w:val="21"/>
          <w:highlight w:val="none"/>
        </w:rPr>
        <w:t>要求：</w:t>
      </w:r>
    </w:p>
    <w:p w14:paraId="4E6B11CE">
      <w:pPr>
        <w:pStyle w:val="52"/>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填写磋商供应商获得资质、认证或企业信誉证书。</w:t>
      </w:r>
    </w:p>
    <w:p w14:paraId="75A373E4">
      <w:pPr>
        <w:pStyle w:val="52"/>
        <w:tabs>
          <w:tab w:val="left" w:pos="1050"/>
        </w:tabs>
        <w:spacing w:line="360" w:lineRule="auto"/>
        <w:ind w:firstLine="424" w:firstLineChars="202"/>
        <w:rPr>
          <w:rFonts w:ascii="宋体" w:hAnsi="宋体"/>
          <w:color w:val="auto"/>
          <w:szCs w:val="21"/>
          <w:highlight w:val="none"/>
        </w:rPr>
      </w:pPr>
    </w:p>
    <w:p w14:paraId="45D8B25E">
      <w:pPr>
        <w:pStyle w:val="52"/>
        <w:tabs>
          <w:tab w:val="left" w:pos="1050"/>
        </w:tabs>
        <w:spacing w:line="360" w:lineRule="auto"/>
        <w:ind w:firstLine="720" w:firstLineChars="300"/>
        <w:rPr>
          <w:rFonts w:ascii="仿宋_GB2312" w:hAnsi="宋体" w:eastAsia="仿宋_GB2312"/>
          <w:color w:val="auto"/>
          <w:sz w:val="24"/>
          <w:highlight w:val="none"/>
        </w:rPr>
      </w:pPr>
    </w:p>
    <w:p w14:paraId="30AA6255">
      <w:pPr>
        <w:pStyle w:val="52"/>
        <w:tabs>
          <w:tab w:val="left" w:pos="1050"/>
        </w:tabs>
        <w:spacing w:line="360" w:lineRule="auto"/>
        <w:ind w:firstLine="720" w:firstLineChars="300"/>
        <w:rPr>
          <w:rFonts w:ascii="仿宋_GB2312" w:hAnsi="宋体" w:eastAsia="仿宋_GB2312"/>
          <w:color w:val="auto"/>
          <w:sz w:val="24"/>
          <w:highlight w:val="none"/>
        </w:rPr>
      </w:pPr>
    </w:p>
    <w:p w14:paraId="1451D7E6">
      <w:pPr>
        <w:pStyle w:val="52"/>
        <w:tabs>
          <w:tab w:val="left" w:pos="1050"/>
        </w:tabs>
        <w:spacing w:line="360" w:lineRule="auto"/>
        <w:ind w:firstLine="720" w:firstLineChars="300"/>
        <w:rPr>
          <w:rFonts w:ascii="仿宋_GB2312" w:hAnsi="宋体" w:eastAsia="仿宋_GB2312"/>
          <w:color w:val="auto"/>
          <w:sz w:val="24"/>
          <w:highlight w:val="none"/>
        </w:rPr>
      </w:pPr>
    </w:p>
    <w:p w14:paraId="3E5060E3">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磋商供应商名称（盖章）：</w:t>
      </w:r>
    </w:p>
    <w:p w14:paraId="7887A1AC">
      <w:pPr>
        <w:spacing w:line="360" w:lineRule="auto"/>
        <w:ind w:left="420"/>
        <w:rPr>
          <w:rFonts w:ascii="宋体" w:hAnsi="宋体"/>
          <w:color w:val="auto"/>
          <w:sz w:val="24"/>
          <w:highlight w:val="none"/>
        </w:rPr>
      </w:pPr>
    </w:p>
    <w:p w14:paraId="70244978">
      <w:pPr>
        <w:spacing w:line="360" w:lineRule="auto"/>
        <w:ind w:firstLine="424" w:firstLineChars="177"/>
        <w:rPr>
          <w:rFonts w:ascii="宋体" w:hAnsi="宋体"/>
          <w:color w:val="auto"/>
          <w:sz w:val="24"/>
          <w:highlight w:val="none"/>
        </w:rPr>
      </w:pPr>
      <w:r>
        <w:rPr>
          <w:rFonts w:hint="eastAsia" w:ascii="宋体" w:hAnsi="宋体"/>
          <w:color w:val="auto"/>
          <w:sz w:val="24"/>
          <w:highlight w:val="none"/>
          <w:lang w:eastAsia="zh-CN"/>
        </w:rPr>
        <w:t>法定代表人或授权委托代理人</w:t>
      </w:r>
      <w:r>
        <w:rPr>
          <w:rFonts w:hint="eastAsia" w:ascii="宋体" w:hAnsi="宋体"/>
          <w:color w:val="auto"/>
          <w:sz w:val="24"/>
          <w:highlight w:val="none"/>
        </w:rPr>
        <w:t>签字：</w:t>
      </w:r>
    </w:p>
    <w:p w14:paraId="4F6C6A60">
      <w:pPr>
        <w:spacing w:line="360" w:lineRule="auto"/>
        <w:ind w:firstLine="435"/>
        <w:rPr>
          <w:rFonts w:ascii="宋体" w:hAnsi="宋体"/>
          <w:color w:val="auto"/>
          <w:sz w:val="24"/>
          <w:highlight w:val="none"/>
        </w:rPr>
      </w:pPr>
    </w:p>
    <w:p w14:paraId="485E04B9">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14:paraId="59AC0B2E">
      <w:pPr>
        <w:spacing w:line="360" w:lineRule="auto"/>
        <w:rPr>
          <w:rFonts w:ascii="宋体" w:hAnsi="宋体"/>
          <w:color w:val="auto"/>
          <w:sz w:val="24"/>
          <w:highlight w:val="none"/>
        </w:rPr>
      </w:pPr>
    </w:p>
    <w:p w14:paraId="4D4C1A6B">
      <w:pPr>
        <w:pStyle w:val="53"/>
        <w:shd w:val="clear" w:color="auto" w:fill="FFFFFF"/>
        <w:spacing w:before="0" w:beforeAutospacing="0" w:after="0" w:afterAutospacing="0" w:line="360" w:lineRule="auto"/>
        <w:ind w:firstLine="424" w:firstLineChars="177"/>
        <w:rPr>
          <w:b/>
          <w:bCs/>
          <w:color w:val="auto"/>
          <w:spacing w:val="11"/>
          <w:highlight w:val="none"/>
        </w:rPr>
      </w:pPr>
      <w:r>
        <w:rPr>
          <w:rFonts w:hint="eastAsia"/>
          <w:color w:val="auto"/>
          <w:highlight w:val="none"/>
        </w:rPr>
        <w:t>日        期：</w:t>
      </w:r>
    </w:p>
    <w:p w14:paraId="5602676F">
      <w:pPr>
        <w:spacing w:line="360" w:lineRule="auto"/>
        <w:rPr>
          <w:rFonts w:hint="eastAsia" w:ascii="宋体" w:hAnsi="宋体"/>
          <w:b/>
          <w:color w:val="auto"/>
          <w:sz w:val="28"/>
          <w:highlight w:val="none"/>
        </w:rPr>
      </w:pPr>
    </w:p>
    <w:p w14:paraId="158244BB">
      <w:pPr>
        <w:spacing w:line="360" w:lineRule="auto"/>
        <w:rPr>
          <w:rFonts w:hint="eastAsia" w:ascii="宋体" w:hAnsi="宋体"/>
          <w:b/>
          <w:color w:val="auto"/>
          <w:sz w:val="28"/>
          <w:highlight w:val="none"/>
        </w:rPr>
      </w:pPr>
    </w:p>
    <w:p w14:paraId="6A4A1B07">
      <w:pPr>
        <w:spacing w:line="360" w:lineRule="auto"/>
        <w:outlineLvl w:val="0"/>
        <w:rPr>
          <w:rFonts w:hint="default" w:ascii="宋体" w:hAnsi="宋体" w:eastAsia="宋体"/>
          <w:b/>
          <w:color w:val="auto"/>
          <w:sz w:val="28"/>
          <w:highlight w:val="none"/>
          <w:lang w:val="en-US" w:eastAsia="zh-CN"/>
        </w:rPr>
      </w:pPr>
      <w:bookmarkStart w:id="16" w:name="_Toc25832"/>
      <w:r>
        <w:rPr>
          <w:rFonts w:hint="eastAsia" w:ascii="宋体" w:hAnsi="宋体"/>
          <w:b/>
          <w:color w:val="auto"/>
          <w:sz w:val="28"/>
          <w:highlight w:val="none"/>
        </w:rPr>
        <w:t>附件</w:t>
      </w:r>
      <w:bookmarkEnd w:id="16"/>
      <w:r>
        <w:rPr>
          <w:rFonts w:hint="eastAsia" w:ascii="宋体" w:hAnsi="宋体"/>
          <w:b/>
          <w:color w:val="auto"/>
          <w:sz w:val="28"/>
          <w:highlight w:val="none"/>
          <w:lang w:val="en-US" w:eastAsia="zh-CN"/>
        </w:rPr>
        <w:t>16</w:t>
      </w:r>
    </w:p>
    <w:p w14:paraId="7D5116F1">
      <w:pPr>
        <w:pStyle w:val="38"/>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类似项目实施情况一览表</w:t>
      </w:r>
    </w:p>
    <w:p w14:paraId="6E19F67E">
      <w:pPr>
        <w:pStyle w:val="38"/>
        <w:spacing w:line="360" w:lineRule="auto"/>
        <w:jc w:val="center"/>
        <w:rPr>
          <w:rFonts w:ascii="仿宋_GB2312" w:eastAsia="仿宋_GB2312"/>
          <w:b/>
          <w:color w:val="auto"/>
          <w:sz w:val="28"/>
          <w:szCs w:val="28"/>
          <w:highlight w:val="none"/>
        </w:rPr>
      </w:pP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48DF9D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14:paraId="6354D844">
            <w:pPr>
              <w:pStyle w:val="38"/>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noWrap w:val="0"/>
            <w:vAlign w:val="center"/>
          </w:tcPr>
          <w:p w14:paraId="08DB9986">
            <w:pPr>
              <w:pStyle w:val="38"/>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noWrap w:val="0"/>
            <w:vAlign w:val="center"/>
          </w:tcPr>
          <w:p w14:paraId="6625151E">
            <w:pPr>
              <w:pStyle w:val="38"/>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4B6C2486">
            <w:pPr>
              <w:pStyle w:val="38"/>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noWrap w:val="0"/>
            <w:vAlign w:val="center"/>
          </w:tcPr>
          <w:p w14:paraId="7A963791">
            <w:pPr>
              <w:pStyle w:val="38"/>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noWrap w:val="0"/>
            <w:vAlign w:val="center"/>
          </w:tcPr>
          <w:p w14:paraId="65B1ECAD">
            <w:pPr>
              <w:pStyle w:val="38"/>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noWrap w:val="0"/>
            <w:vAlign w:val="center"/>
          </w:tcPr>
          <w:p w14:paraId="559B8577">
            <w:pPr>
              <w:pStyle w:val="38"/>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项目单位名称及其联系人电话</w:t>
            </w:r>
          </w:p>
        </w:tc>
      </w:tr>
      <w:tr w14:paraId="425F6E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5FDBFD1B">
            <w:pPr>
              <w:pStyle w:val="38"/>
              <w:spacing w:line="360" w:lineRule="auto"/>
              <w:jc w:val="center"/>
              <w:rPr>
                <w:rFonts w:ascii="宋体" w:hAnsi="宋体" w:cs="Arial"/>
                <w:color w:val="auto"/>
                <w:sz w:val="24"/>
                <w:highlight w:val="none"/>
              </w:rPr>
            </w:pPr>
            <w:r>
              <w:rPr>
                <w:rFonts w:hint="eastAsia" w:ascii="宋体" w:hAnsi="宋体" w:cs="Arial"/>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0528D2A8">
            <w:pPr>
              <w:pStyle w:val="38"/>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28F800E6">
            <w:pPr>
              <w:pStyle w:val="38"/>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74881DB2">
            <w:pPr>
              <w:pStyle w:val="38"/>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1FD3864C">
            <w:pPr>
              <w:pStyle w:val="38"/>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1D71C2F2">
            <w:pPr>
              <w:pStyle w:val="38"/>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1139EF2B">
            <w:pPr>
              <w:pStyle w:val="38"/>
              <w:spacing w:line="360" w:lineRule="auto"/>
              <w:rPr>
                <w:rFonts w:ascii="宋体" w:hAnsi="宋体" w:cs="Arial"/>
                <w:color w:val="auto"/>
                <w:sz w:val="24"/>
                <w:highlight w:val="none"/>
              </w:rPr>
            </w:pPr>
          </w:p>
        </w:tc>
      </w:tr>
      <w:tr w14:paraId="325DD3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0048DDAD">
            <w:pPr>
              <w:pStyle w:val="38"/>
              <w:spacing w:line="360" w:lineRule="auto"/>
              <w:jc w:val="center"/>
              <w:rPr>
                <w:rFonts w:ascii="宋体" w:hAnsi="宋体" w:cs="Arial"/>
                <w:color w:val="auto"/>
                <w:sz w:val="24"/>
                <w:highlight w:val="none"/>
              </w:rPr>
            </w:pPr>
            <w:r>
              <w:rPr>
                <w:rFonts w:hint="eastAsia" w:ascii="宋体" w:hAnsi="宋体" w:cs="Arial"/>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7F34C810">
            <w:pPr>
              <w:pStyle w:val="38"/>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45FE1EAC">
            <w:pPr>
              <w:pStyle w:val="38"/>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760549B3">
            <w:pPr>
              <w:pStyle w:val="38"/>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7750A743">
            <w:pPr>
              <w:pStyle w:val="38"/>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3A7040AE">
            <w:pPr>
              <w:pStyle w:val="38"/>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0AA9304D">
            <w:pPr>
              <w:pStyle w:val="38"/>
              <w:spacing w:line="360" w:lineRule="auto"/>
              <w:rPr>
                <w:rFonts w:ascii="宋体" w:hAnsi="宋体" w:cs="Arial"/>
                <w:color w:val="auto"/>
                <w:sz w:val="24"/>
                <w:highlight w:val="none"/>
              </w:rPr>
            </w:pPr>
          </w:p>
        </w:tc>
      </w:tr>
      <w:tr w14:paraId="464333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309F9D41">
            <w:pPr>
              <w:pStyle w:val="38"/>
              <w:spacing w:line="360" w:lineRule="auto"/>
              <w:jc w:val="center"/>
              <w:rPr>
                <w:rFonts w:ascii="宋体" w:hAnsi="宋体" w:cs="Arial"/>
                <w:color w:val="auto"/>
                <w:sz w:val="24"/>
                <w:highlight w:val="none"/>
              </w:rPr>
            </w:pPr>
            <w:r>
              <w:rPr>
                <w:rFonts w:hint="eastAsia" w:ascii="宋体" w:hAnsi="宋体" w:cs="Arial"/>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723633FE">
            <w:pPr>
              <w:pStyle w:val="38"/>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4F90FB9F">
            <w:pPr>
              <w:pStyle w:val="38"/>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573BA86D">
            <w:pPr>
              <w:pStyle w:val="38"/>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5CEDA894">
            <w:pPr>
              <w:pStyle w:val="38"/>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0381DF18">
            <w:pPr>
              <w:pStyle w:val="38"/>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7C02AE17">
            <w:pPr>
              <w:pStyle w:val="38"/>
              <w:spacing w:line="360" w:lineRule="auto"/>
              <w:rPr>
                <w:rFonts w:ascii="宋体" w:hAnsi="宋体" w:cs="Arial"/>
                <w:color w:val="auto"/>
                <w:sz w:val="24"/>
                <w:highlight w:val="none"/>
              </w:rPr>
            </w:pPr>
          </w:p>
        </w:tc>
      </w:tr>
      <w:tr w14:paraId="02524B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119A9F52">
            <w:pPr>
              <w:pStyle w:val="38"/>
              <w:spacing w:line="360" w:lineRule="auto"/>
              <w:rPr>
                <w:rFonts w:ascii="宋体" w:hAnsi="宋体" w:cs="Arial"/>
                <w:color w:val="auto"/>
                <w:sz w:val="24"/>
                <w:highlight w:val="none"/>
              </w:rPr>
            </w:pPr>
            <w:r>
              <w:rPr>
                <w:rFonts w:hint="eastAsia" w:ascii="宋体" w:hAnsi="宋体" w:cs="Arial"/>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205E4E05">
            <w:pPr>
              <w:pStyle w:val="38"/>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26D8D667">
            <w:pPr>
              <w:pStyle w:val="38"/>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6A0C6423">
            <w:pPr>
              <w:pStyle w:val="38"/>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27C8A82D">
            <w:pPr>
              <w:pStyle w:val="38"/>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5D491C40">
            <w:pPr>
              <w:pStyle w:val="38"/>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5E9F3BD8">
            <w:pPr>
              <w:pStyle w:val="38"/>
              <w:spacing w:line="360" w:lineRule="auto"/>
              <w:rPr>
                <w:rFonts w:ascii="宋体" w:hAnsi="宋体" w:cs="Arial"/>
                <w:color w:val="auto"/>
                <w:sz w:val="24"/>
                <w:highlight w:val="none"/>
              </w:rPr>
            </w:pPr>
          </w:p>
        </w:tc>
      </w:tr>
      <w:tr w14:paraId="7725FA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2B9AE64D">
            <w:pPr>
              <w:pStyle w:val="38"/>
              <w:spacing w:line="360" w:lineRule="auto"/>
              <w:rPr>
                <w:rFonts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57A83DE9">
            <w:pPr>
              <w:pStyle w:val="38"/>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0FE9A0E4">
            <w:pPr>
              <w:pStyle w:val="38"/>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65C7C570">
            <w:pPr>
              <w:pStyle w:val="38"/>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79061622">
            <w:pPr>
              <w:pStyle w:val="38"/>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113B4D9F">
            <w:pPr>
              <w:pStyle w:val="38"/>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3EC16091">
            <w:pPr>
              <w:pStyle w:val="38"/>
              <w:spacing w:line="360" w:lineRule="auto"/>
              <w:rPr>
                <w:rFonts w:ascii="宋体" w:hAnsi="宋体" w:cs="Arial"/>
                <w:color w:val="auto"/>
                <w:sz w:val="24"/>
                <w:highlight w:val="none"/>
              </w:rPr>
            </w:pPr>
          </w:p>
        </w:tc>
      </w:tr>
      <w:tr w14:paraId="696141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6E4D0519">
            <w:pPr>
              <w:pStyle w:val="38"/>
              <w:spacing w:line="360" w:lineRule="auto"/>
              <w:rPr>
                <w:rFonts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25839526">
            <w:pPr>
              <w:pStyle w:val="38"/>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25A3832B">
            <w:pPr>
              <w:pStyle w:val="38"/>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65FFB493">
            <w:pPr>
              <w:pStyle w:val="38"/>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421FBEAA">
            <w:pPr>
              <w:pStyle w:val="38"/>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6F0EDBBC">
            <w:pPr>
              <w:pStyle w:val="38"/>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53BAF1B2">
            <w:pPr>
              <w:pStyle w:val="38"/>
              <w:spacing w:line="360" w:lineRule="auto"/>
              <w:rPr>
                <w:rFonts w:ascii="宋体" w:hAnsi="宋体" w:cs="Arial"/>
                <w:color w:val="auto"/>
                <w:sz w:val="24"/>
                <w:highlight w:val="none"/>
              </w:rPr>
            </w:pPr>
          </w:p>
        </w:tc>
      </w:tr>
      <w:tr w14:paraId="57FBCE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651C080F">
            <w:pPr>
              <w:pStyle w:val="38"/>
              <w:spacing w:line="360" w:lineRule="auto"/>
              <w:rPr>
                <w:rFonts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272E553B">
            <w:pPr>
              <w:pStyle w:val="38"/>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1D70847E">
            <w:pPr>
              <w:pStyle w:val="38"/>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0371C4AA">
            <w:pPr>
              <w:pStyle w:val="38"/>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61578F49">
            <w:pPr>
              <w:pStyle w:val="38"/>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59E9ADF6">
            <w:pPr>
              <w:pStyle w:val="38"/>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0B3D95F9">
            <w:pPr>
              <w:pStyle w:val="38"/>
              <w:spacing w:line="360" w:lineRule="auto"/>
              <w:rPr>
                <w:rFonts w:ascii="宋体" w:hAnsi="宋体" w:cs="Arial"/>
                <w:color w:val="auto"/>
                <w:sz w:val="24"/>
                <w:highlight w:val="none"/>
              </w:rPr>
            </w:pPr>
          </w:p>
        </w:tc>
      </w:tr>
    </w:tbl>
    <w:p w14:paraId="15E74B93">
      <w:pPr>
        <w:autoSpaceDE w:val="0"/>
        <w:autoSpaceDN w:val="0"/>
        <w:adjustRightInd w:val="0"/>
        <w:spacing w:before="156" w:beforeLines="50" w:line="360" w:lineRule="auto"/>
        <w:rPr>
          <w:rFonts w:ascii="宋体" w:hAnsi="宋体" w:cs="Arial"/>
          <w:b/>
          <w:color w:val="auto"/>
          <w:szCs w:val="21"/>
          <w:highlight w:val="none"/>
        </w:rPr>
      </w:pPr>
      <w:r>
        <w:rPr>
          <w:rFonts w:hint="eastAsia" w:ascii="宋体" w:hAnsi="宋体" w:cs="Arial"/>
          <w:b/>
          <w:color w:val="auto"/>
          <w:szCs w:val="21"/>
          <w:highlight w:val="none"/>
        </w:rPr>
        <w:t>要求</w:t>
      </w:r>
      <w:r>
        <w:rPr>
          <w:rFonts w:ascii="宋体" w:hAnsi="宋体" w:cs="Arial"/>
          <w:b/>
          <w:color w:val="auto"/>
          <w:szCs w:val="21"/>
          <w:highlight w:val="none"/>
        </w:rPr>
        <w:t>：</w:t>
      </w:r>
    </w:p>
    <w:p w14:paraId="74483E90">
      <w:pPr>
        <w:spacing w:line="360" w:lineRule="auto"/>
        <w:rPr>
          <w:rFonts w:ascii="宋体" w:hAnsi="宋体"/>
          <w:color w:val="auto"/>
          <w:sz w:val="22"/>
          <w:szCs w:val="22"/>
          <w:highlight w:val="none"/>
        </w:rPr>
      </w:pPr>
      <w:r>
        <w:rPr>
          <w:rFonts w:hint="eastAsia" w:ascii="宋体" w:hAnsi="宋体"/>
          <w:color w:val="auto"/>
          <w:szCs w:val="21"/>
          <w:highlight w:val="none"/>
        </w:rPr>
        <w:t>在填写时，如本表格不适合供应商的实际情况，可根据本表格式自行划表填写。</w:t>
      </w:r>
    </w:p>
    <w:p w14:paraId="00E5F861">
      <w:pPr>
        <w:spacing w:line="360" w:lineRule="auto"/>
        <w:rPr>
          <w:rFonts w:ascii="宋体" w:hAnsi="宋体"/>
          <w:color w:val="auto"/>
          <w:sz w:val="22"/>
          <w:szCs w:val="22"/>
          <w:highlight w:val="none"/>
        </w:rPr>
      </w:pPr>
    </w:p>
    <w:p w14:paraId="68668FCD">
      <w:pPr>
        <w:spacing w:line="360" w:lineRule="auto"/>
        <w:ind w:left="420"/>
        <w:rPr>
          <w:rFonts w:hint="eastAsia" w:ascii="宋体" w:hAnsi="宋体"/>
          <w:color w:val="auto"/>
          <w:sz w:val="24"/>
          <w:highlight w:val="none"/>
        </w:rPr>
      </w:pPr>
      <w:r>
        <w:rPr>
          <w:rFonts w:hint="eastAsia" w:ascii="宋体" w:hAnsi="宋体"/>
          <w:color w:val="auto"/>
          <w:sz w:val="24"/>
          <w:highlight w:val="none"/>
        </w:rPr>
        <w:t>磋商供应商名称（盖章）：</w:t>
      </w:r>
    </w:p>
    <w:p w14:paraId="18B5CC62">
      <w:pPr>
        <w:pStyle w:val="5"/>
        <w:rPr>
          <w:color w:val="auto"/>
          <w:highlight w:val="none"/>
        </w:rPr>
      </w:pPr>
    </w:p>
    <w:p w14:paraId="7AC2AEAF">
      <w:pPr>
        <w:spacing w:line="360" w:lineRule="auto"/>
        <w:ind w:firstLine="435"/>
        <w:rPr>
          <w:rFonts w:ascii="宋体" w:hAnsi="宋体"/>
          <w:color w:val="auto"/>
          <w:sz w:val="24"/>
          <w:highlight w:val="none"/>
        </w:rPr>
      </w:pPr>
      <w:r>
        <w:rPr>
          <w:rFonts w:hint="eastAsia" w:ascii="宋体" w:hAnsi="宋体"/>
          <w:color w:val="auto"/>
          <w:sz w:val="24"/>
          <w:highlight w:val="none"/>
          <w:lang w:eastAsia="zh-CN"/>
        </w:rPr>
        <w:t>法定代表人或授权委托代理人</w:t>
      </w:r>
      <w:r>
        <w:rPr>
          <w:rFonts w:hint="eastAsia" w:ascii="宋体" w:hAnsi="宋体"/>
          <w:color w:val="auto"/>
          <w:sz w:val="24"/>
          <w:highlight w:val="none"/>
        </w:rPr>
        <w:t>签字：</w:t>
      </w:r>
    </w:p>
    <w:p w14:paraId="6994E7F7">
      <w:pPr>
        <w:spacing w:line="360" w:lineRule="auto"/>
        <w:ind w:firstLine="435"/>
        <w:rPr>
          <w:rFonts w:ascii="宋体" w:hAnsi="宋体"/>
          <w:color w:val="auto"/>
          <w:sz w:val="24"/>
          <w:highlight w:val="none"/>
        </w:rPr>
      </w:pPr>
    </w:p>
    <w:p w14:paraId="5AED3768">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14:paraId="0F1CBDCF">
      <w:pPr>
        <w:spacing w:line="360" w:lineRule="auto"/>
        <w:rPr>
          <w:rFonts w:ascii="宋体" w:hAnsi="宋体"/>
          <w:color w:val="auto"/>
          <w:sz w:val="24"/>
          <w:highlight w:val="none"/>
        </w:rPr>
      </w:pPr>
    </w:p>
    <w:p w14:paraId="63DB54CC">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1E1F3DFC">
      <w:pPr>
        <w:tabs>
          <w:tab w:val="left" w:pos="8280"/>
        </w:tabs>
        <w:autoSpaceDE w:val="0"/>
        <w:autoSpaceDN w:val="0"/>
        <w:adjustRightInd w:val="0"/>
        <w:spacing w:line="240" w:lineRule="atLeast"/>
        <w:ind w:right="25"/>
        <w:outlineLvl w:val="0"/>
        <w:rPr>
          <w:rFonts w:hint="eastAsia" w:ascii="宋体" w:hAnsi="宋体"/>
          <w:b/>
          <w:color w:val="auto"/>
          <w:sz w:val="28"/>
          <w:highlight w:val="none"/>
        </w:rPr>
        <w:sectPr>
          <w:pgSz w:w="11906" w:h="16838"/>
          <w:pgMar w:top="1440" w:right="1576" w:bottom="1440" w:left="1576"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194E1E27">
      <w:pPr>
        <w:keepNext w:val="0"/>
        <w:keepLines w:val="0"/>
        <w:pageBreakBefore w:val="0"/>
        <w:kinsoku/>
        <w:overflowPunct/>
        <w:topLinePunct w:val="0"/>
        <w:bidi w:val="0"/>
        <w:spacing w:line="360" w:lineRule="auto"/>
        <w:jc w:val="both"/>
        <w:outlineLvl w:val="9"/>
        <w:rPr>
          <w:rFonts w:hint="eastAsia" w:ascii="宋体" w:hAnsi="宋体"/>
          <w:b/>
          <w:color w:val="auto"/>
          <w:sz w:val="28"/>
          <w:highlight w:val="none"/>
          <w:lang w:val="en-US" w:eastAsia="zh-CN"/>
        </w:rPr>
      </w:pPr>
      <w:r>
        <w:rPr>
          <w:rFonts w:hint="eastAsia" w:ascii="宋体" w:hAnsi="宋体"/>
          <w:b/>
          <w:color w:val="auto"/>
          <w:sz w:val="28"/>
          <w:highlight w:val="none"/>
          <w:lang w:val="en-US" w:eastAsia="zh-CN"/>
        </w:rPr>
        <w:t>附件17</w:t>
      </w:r>
    </w:p>
    <w:p w14:paraId="4B1E8A0B">
      <w:pPr>
        <w:keepNext w:val="0"/>
        <w:keepLines w:val="0"/>
        <w:pageBreakBefore w:val="0"/>
        <w:kinsoku/>
        <w:overflowPunct/>
        <w:topLinePunct w:val="0"/>
        <w:bidi w:val="0"/>
        <w:spacing w:line="360" w:lineRule="auto"/>
        <w:jc w:val="center"/>
        <w:outlineLvl w:val="9"/>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服务</w:t>
      </w:r>
      <w:r>
        <w:rPr>
          <w:rFonts w:hint="eastAsia" w:ascii="宋体" w:hAnsi="宋体" w:eastAsia="宋体" w:cs="宋体"/>
          <w:b/>
          <w:color w:val="000000"/>
          <w:sz w:val="32"/>
          <w:szCs w:val="32"/>
          <w:highlight w:val="none"/>
          <w:lang w:val="en-US" w:eastAsia="zh-CN"/>
        </w:rPr>
        <w:t>措施</w:t>
      </w:r>
      <w:r>
        <w:rPr>
          <w:rFonts w:hint="eastAsia" w:ascii="宋体" w:hAnsi="宋体" w:eastAsia="宋体" w:cs="宋体"/>
          <w:b/>
          <w:color w:val="000000"/>
          <w:sz w:val="32"/>
          <w:szCs w:val="32"/>
          <w:highlight w:val="none"/>
        </w:rPr>
        <w:t>及承诺表</w:t>
      </w:r>
    </w:p>
    <w:p w14:paraId="566B7DCC">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000000"/>
          <w:sz w:val="36"/>
          <w:szCs w:val="36"/>
          <w:highlight w:val="none"/>
        </w:rPr>
      </w:pPr>
    </w:p>
    <w:tbl>
      <w:tblPr>
        <w:tblStyle w:val="26"/>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61F702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noWrap w:val="0"/>
            <w:vAlign w:val="center"/>
          </w:tcPr>
          <w:p w14:paraId="682DD7D5">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355" w:type="dxa"/>
            <w:noWrap w:val="0"/>
            <w:vAlign w:val="center"/>
          </w:tcPr>
          <w:p w14:paraId="5DC9E193">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w:t>
            </w:r>
          </w:p>
        </w:tc>
        <w:tc>
          <w:tcPr>
            <w:tcW w:w="4061" w:type="dxa"/>
            <w:noWrap w:val="0"/>
            <w:vAlign w:val="center"/>
          </w:tcPr>
          <w:p w14:paraId="08F575EA">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磋商供应商承诺</w:t>
            </w:r>
          </w:p>
        </w:tc>
        <w:tc>
          <w:tcPr>
            <w:tcW w:w="1373" w:type="dxa"/>
            <w:noWrap w:val="0"/>
            <w:vAlign w:val="center"/>
          </w:tcPr>
          <w:p w14:paraId="6E66B038">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20E972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18" w:hRule="atLeast"/>
          <w:jc w:val="center"/>
        </w:trPr>
        <w:tc>
          <w:tcPr>
            <w:tcW w:w="739" w:type="dxa"/>
            <w:noWrap w:val="0"/>
            <w:vAlign w:val="center"/>
          </w:tcPr>
          <w:p w14:paraId="7D3F1175">
            <w:pPr>
              <w:pStyle w:val="44"/>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2355" w:type="dxa"/>
            <w:noWrap w:val="0"/>
            <w:vAlign w:val="center"/>
          </w:tcPr>
          <w:p w14:paraId="19DE37E6">
            <w:pPr>
              <w:pStyle w:val="44"/>
              <w:keepNext w:val="0"/>
              <w:keepLines w:val="0"/>
              <w:pageBreakBefore w:val="0"/>
              <w:widowControl/>
              <w:kinsoku/>
              <w:overflowPunct/>
              <w:topLinePunct w:val="0"/>
              <w:bidi w:val="0"/>
              <w:spacing w:line="360" w:lineRule="auto"/>
              <w:jc w:val="left"/>
              <w:outlineLvl w:val="9"/>
              <w:rPr>
                <w:rFonts w:hint="default" w:ascii="宋体" w:hAnsi="宋体" w:eastAsia="宋体" w:cs="宋体"/>
                <w:bCs/>
                <w:color w:val="auto"/>
                <w:szCs w:val="21"/>
                <w:highlight w:val="none"/>
                <w:lang w:val="en-US"/>
              </w:rPr>
            </w:pPr>
            <w:r>
              <w:rPr>
                <w:rFonts w:hint="eastAsia" w:ascii="宋体" w:hAnsi="宋体" w:eastAsia="宋体" w:cs="宋体"/>
                <w:bCs/>
                <w:color w:val="auto"/>
                <w:szCs w:val="21"/>
                <w:highlight w:val="none"/>
                <w:lang w:val="en-US" w:eastAsia="zh-CN"/>
              </w:rPr>
              <w:t>技术服务方案</w:t>
            </w:r>
          </w:p>
        </w:tc>
        <w:tc>
          <w:tcPr>
            <w:tcW w:w="4061" w:type="dxa"/>
            <w:noWrap w:val="0"/>
            <w:vAlign w:val="top"/>
          </w:tcPr>
          <w:p w14:paraId="3588D16A">
            <w:pPr>
              <w:pStyle w:val="44"/>
              <w:keepNext w:val="0"/>
              <w:keepLines w:val="0"/>
              <w:pageBreakBefore w:val="0"/>
              <w:kinsoku/>
              <w:overflowPunct/>
              <w:topLinePunct w:val="0"/>
              <w:bidi w:val="0"/>
              <w:spacing w:line="360" w:lineRule="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技术服务方案</w:t>
            </w:r>
            <w:r>
              <w:rPr>
                <w:rFonts w:hint="eastAsia" w:ascii="宋体" w:hAnsi="宋体" w:eastAsia="宋体" w:cs="宋体"/>
                <w:bCs/>
                <w:color w:val="auto"/>
                <w:szCs w:val="21"/>
                <w:highlight w:val="none"/>
              </w:rPr>
              <w:t>：</w:t>
            </w:r>
          </w:p>
        </w:tc>
        <w:tc>
          <w:tcPr>
            <w:tcW w:w="1373" w:type="dxa"/>
            <w:noWrap w:val="0"/>
            <w:vAlign w:val="top"/>
          </w:tcPr>
          <w:p w14:paraId="3C621D95">
            <w:pPr>
              <w:pStyle w:val="44"/>
              <w:keepNext w:val="0"/>
              <w:keepLines w:val="0"/>
              <w:pageBreakBefore w:val="0"/>
              <w:kinsoku/>
              <w:overflowPunct/>
              <w:topLinePunct w:val="0"/>
              <w:bidi w:val="0"/>
              <w:spacing w:line="360" w:lineRule="auto"/>
              <w:outlineLvl w:val="9"/>
              <w:rPr>
                <w:rFonts w:hint="eastAsia" w:ascii="宋体" w:hAnsi="宋体" w:eastAsia="宋体" w:cs="宋体"/>
                <w:bCs/>
                <w:color w:val="auto"/>
                <w:szCs w:val="21"/>
                <w:highlight w:val="none"/>
              </w:rPr>
            </w:pPr>
          </w:p>
        </w:tc>
      </w:tr>
      <w:tr w14:paraId="293F3A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25" w:hRule="exact"/>
          <w:jc w:val="center"/>
        </w:trPr>
        <w:tc>
          <w:tcPr>
            <w:tcW w:w="739" w:type="dxa"/>
            <w:noWrap w:val="0"/>
            <w:vAlign w:val="center"/>
          </w:tcPr>
          <w:p w14:paraId="3D9851A5">
            <w:pPr>
              <w:pStyle w:val="44"/>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p>
        </w:tc>
        <w:tc>
          <w:tcPr>
            <w:tcW w:w="2355" w:type="dxa"/>
            <w:noWrap w:val="0"/>
            <w:vAlign w:val="center"/>
          </w:tcPr>
          <w:p w14:paraId="1ACEC425">
            <w:pPr>
              <w:pStyle w:val="44"/>
              <w:keepNext w:val="0"/>
              <w:keepLines w:val="0"/>
              <w:pageBreakBefore w:val="0"/>
              <w:kinsoku/>
              <w:overflowPunct/>
              <w:topLinePunct w:val="0"/>
              <w:bidi w:val="0"/>
              <w:spacing w:line="360" w:lineRule="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人员配备</w:t>
            </w:r>
          </w:p>
        </w:tc>
        <w:tc>
          <w:tcPr>
            <w:tcW w:w="4061" w:type="dxa"/>
            <w:noWrap w:val="0"/>
            <w:vAlign w:val="top"/>
          </w:tcPr>
          <w:p w14:paraId="55455120">
            <w:pPr>
              <w:pStyle w:val="44"/>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p>
          <w:p w14:paraId="682965AF">
            <w:pPr>
              <w:pStyle w:val="44"/>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p>
          <w:p w14:paraId="3D737EEA">
            <w:pPr>
              <w:pStyle w:val="44"/>
              <w:keepNext w:val="0"/>
              <w:keepLines w:val="0"/>
              <w:pageBreakBefore w:val="0"/>
              <w:kinsoku/>
              <w:overflowPunct/>
              <w:topLinePunct w:val="0"/>
              <w:bidi w:val="0"/>
              <w:spacing w:line="360" w:lineRule="auto"/>
              <w:outlineLvl w:val="9"/>
              <w:rPr>
                <w:rFonts w:hint="eastAsia" w:ascii="宋体" w:hAnsi="宋体" w:eastAsia="宋体" w:cs="宋体"/>
                <w:bCs/>
                <w:color w:val="auto"/>
                <w:szCs w:val="21"/>
                <w:highlight w:val="none"/>
              </w:rPr>
            </w:pPr>
          </w:p>
        </w:tc>
        <w:tc>
          <w:tcPr>
            <w:tcW w:w="1373" w:type="dxa"/>
            <w:noWrap w:val="0"/>
            <w:vAlign w:val="top"/>
          </w:tcPr>
          <w:p w14:paraId="23D76A36">
            <w:pPr>
              <w:pStyle w:val="44"/>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p>
          <w:p w14:paraId="695E8825">
            <w:pPr>
              <w:pStyle w:val="44"/>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p>
          <w:p w14:paraId="4312A315">
            <w:pPr>
              <w:pStyle w:val="44"/>
              <w:keepNext w:val="0"/>
              <w:keepLines w:val="0"/>
              <w:pageBreakBefore w:val="0"/>
              <w:kinsoku/>
              <w:overflowPunct/>
              <w:topLinePunct w:val="0"/>
              <w:bidi w:val="0"/>
              <w:spacing w:line="360" w:lineRule="auto"/>
              <w:outlineLvl w:val="9"/>
              <w:rPr>
                <w:rFonts w:hint="eastAsia" w:ascii="宋体" w:hAnsi="宋体" w:eastAsia="宋体" w:cs="宋体"/>
                <w:bCs/>
                <w:color w:val="auto"/>
                <w:szCs w:val="21"/>
                <w:highlight w:val="none"/>
              </w:rPr>
            </w:pPr>
          </w:p>
        </w:tc>
      </w:tr>
      <w:tr w14:paraId="3D4BFA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noWrap w:val="0"/>
            <w:vAlign w:val="center"/>
          </w:tcPr>
          <w:p w14:paraId="453EEF3E">
            <w:pPr>
              <w:pStyle w:val="44"/>
              <w:keepNext w:val="0"/>
              <w:keepLines w:val="0"/>
              <w:pageBreakBefore w:val="0"/>
              <w:widowControl/>
              <w:kinsoku/>
              <w:overflowPunct/>
              <w:topLinePunct w:val="0"/>
              <w:bidi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w:t>
            </w:r>
          </w:p>
        </w:tc>
        <w:tc>
          <w:tcPr>
            <w:tcW w:w="2355" w:type="dxa"/>
            <w:noWrap w:val="0"/>
            <w:vAlign w:val="center"/>
          </w:tcPr>
          <w:p w14:paraId="7DA7371D">
            <w:pPr>
              <w:pStyle w:val="44"/>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技术</w:t>
            </w:r>
            <w:r>
              <w:rPr>
                <w:rFonts w:hint="eastAsia" w:ascii="宋体" w:hAnsi="宋体" w:eastAsia="宋体" w:cs="宋体"/>
                <w:bCs/>
                <w:color w:val="auto"/>
                <w:szCs w:val="21"/>
                <w:highlight w:val="none"/>
              </w:rPr>
              <w:t>培训方案（可用附页）</w:t>
            </w:r>
          </w:p>
        </w:tc>
        <w:tc>
          <w:tcPr>
            <w:tcW w:w="4061" w:type="dxa"/>
            <w:noWrap w:val="0"/>
            <w:vAlign w:val="top"/>
          </w:tcPr>
          <w:p w14:paraId="0B265014">
            <w:pPr>
              <w:pStyle w:val="44"/>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Cs w:val="21"/>
                <w:highlight w:val="none"/>
              </w:rPr>
            </w:pPr>
          </w:p>
          <w:p w14:paraId="2953C544">
            <w:pPr>
              <w:pStyle w:val="44"/>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Cs w:val="21"/>
                <w:highlight w:val="none"/>
              </w:rPr>
            </w:pPr>
          </w:p>
        </w:tc>
        <w:tc>
          <w:tcPr>
            <w:tcW w:w="1373" w:type="dxa"/>
            <w:noWrap w:val="0"/>
            <w:vAlign w:val="top"/>
          </w:tcPr>
          <w:p w14:paraId="53E9A50C">
            <w:pPr>
              <w:pStyle w:val="44"/>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Cs w:val="21"/>
                <w:highlight w:val="none"/>
              </w:rPr>
            </w:pPr>
          </w:p>
          <w:p w14:paraId="11DA4BA1">
            <w:pPr>
              <w:pStyle w:val="44"/>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Cs w:val="21"/>
                <w:highlight w:val="none"/>
              </w:rPr>
            </w:pPr>
          </w:p>
          <w:p w14:paraId="07773F0D">
            <w:pPr>
              <w:pStyle w:val="44"/>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Cs w:val="21"/>
                <w:highlight w:val="none"/>
              </w:rPr>
            </w:pPr>
          </w:p>
        </w:tc>
      </w:tr>
      <w:tr w14:paraId="3A7259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noWrap w:val="0"/>
            <w:vAlign w:val="center"/>
          </w:tcPr>
          <w:p w14:paraId="70B6609E">
            <w:pPr>
              <w:pStyle w:val="44"/>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p>
        </w:tc>
        <w:tc>
          <w:tcPr>
            <w:tcW w:w="2355" w:type="dxa"/>
            <w:noWrap w:val="0"/>
            <w:vAlign w:val="center"/>
          </w:tcPr>
          <w:p w14:paraId="6F3D3BE4">
            <w:pPr>
              <w:pStyle w:val="44"/>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p>
        </w:tc>
        <w:tc>
          <w:tcPr>
            <w:tcW w:w="4061" w:type="dxa"/>
            <w:noWrap w:val="0"/>
            <w:vAlign w:val="top"/>
          </w:tcPr>
          <w:p w14:paraId="4C704983">
            <w:pPr>
              <w:pStyle w:val="44"/>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p>
        </w:tc>
        <w:tc>
          <w:tcPr>
            <w:tcW w:w="1373" w:type="dxa"/>
            <w:noWrap w:val="0"/>
            <w:vAlign w:val="top"/>
          </w:tcPr>
          <w:p w14:paraId="3E2B8AD8">
            <w:pPr>
              <w:pStyle w:val="44"/>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p>
        </w:tc>
      </w:tr>
    </w:tbl>
    <w:p w14:paraId="049F2352">
      <w:pPr>
        <w:keepNext w:val="0"/>
        <w:keepLines w:val="0"/>
        <w:pageBreakBefore w:val="0"/>
        <w:kinsoku/>
        <w:overflowPunct/>
        <w:topLinePunct w:val="0"/>
        <w:bidi w:val="0"/>
        <w:spacing w:line="360" w:lineRule="auto"/>
        <w:ind w:left="420"/>
        <w:outlineLvl w:val="9"/>
        <w:rPr>
          <w:rFonts w:hint="eastAsia" w:ascii="宋体" w:hAnsi="宋体" w:eastAsia="宋体" w:cs="宋体"/>
          <w:color w:val="000000"/>
          <w:szCs w:val="21"/>
          <w:highlight w:val="none"/>
        </w:rPr>
      </w:pPr>
    </w:p>
    <w:p w14:paraId="15F65C98">
      <w:pPr>
        <w:keepNext w:val="0"/>
        <w:keepLines w:val="0"/>
        <w:pageBreakBefore w:val="0"/>
        <w:kinsoku/>
        <w:overflowPunct/>
        <w:topLinePunct w:val="0"/>
        <w:bidi w:val="0"/>
        <w:spacing w:line="360" w:lineRule="auto"/>
        <w:ind w:left="420"/>
        <w:outlineLvl w:val="9"/>
        <w:rPr>
          <w:rFonts w:hint="eastAsia" w:ascii="宋体" w:hAnsi="宋体" w:eastAsia="宋体" w:cs="宋体"/>
          <w:color w:val="000000"/>
          <w:szCs w:val="21"/>
          <w:highlight w:val="none"/>
        </w:rPr>
      </w:pPr>
    </w:p>
    <w:p w14:paraId="45418655">
      <w:pPr>
        <w:keepNext w:val="0"/>
        <w:keepLines w:val="0"/>
        <w:pageBreakBefore w:val="0"/>
        <w:kinsoku/>
        <w:overflowPunct/>
        <w:topLinePunct w:val="0"/>
        <w:bidi w:val="0"/>
        <w:spacing w:line="360" w:lineRule="auto"/>
        <w:ind w:left="420"/>
        <w:outlineLvl w:val="9"/>
        <w:rPr>
          <w:rFonts w:hint="eastAsia" w:ascii="宋体" w:hAnsi="宋体" w:eastAsia="宋体" w:cs="宋体"/>
          <w:color w:val="000000"/>
          <w:szCs w:val="21"/>
          <w:highlight w:val="none"/>
          <w:u w:val="single"/>
        </w:rPr>
      </w:pPr>
      <w:r>
        <w:rPr>
          <w:rFonts w:hint="eastAsia" w:ascii="宋体" w:hAnsi="宋体" w:eastAsia="宋体" w:cs="宋体"/>
          <w:color w:val="000000"/>
          <w:szCs w:val="21"/>
          <w:highlight w:val="none"/>
        </w:rPr>
        <w:t>磋商供应商名称（盖章）：</w:t>
      </w:r>
      <w:r>
        <w:rPr>
          <w:rFonts w:hint="eastAsia" w:ascii="宋体" w:hAnsi="宋体" w:eastAsia="宋体" w:cs="宋体"/>
          <w:color w:val="000000"/>
          <w:szCs w:val="21"/>
          <w:highlight w:val="none"/>
          <w:u w:val="single"/>
        </w:rPr>
        <w:t xml:space="preserve">                  </w:t>
      </w:r>
      <w:r>
        <w:rPr>
          <w:rFonts w:hint="eastAsia" w:ascii="宋体" w:hAnsi="宋体" w:cs="宋体"/>
          <w:color w:val="000000"/>
          <w:szCs w:val="21"/>
          <w:highlight w:val="none"/>
          <w:u w:val="single"/>
          <w:lang w:val="en-US" w:eastAsia="zh-CN"/>
        </w:rPr>
        <w:t xml:space="preserve">                  </w:t>
      </w:r>
      <w:r>
        <w:rPr>
          <w:rFonts w:hint="eastAsia" w:ascii="宋体" w:hAnsi="宋体" w:eastAsia="宋体" w:cs="宋体"/>
          <w:color w:val="000000"/>
          <w:szCs w:val="21"/>
          <w:highlight w:val="none"/>
          <w:u w:val="single"/>
        </w:rPr>
        <w:t xml:space="preserve">    </w:t>
      </w:r>
    </w:p>
    <w:p w14:paraId="7D4D1F28">
      <w:pPr>
        <w:keepNext w:val="0"/>
        <w:keepLines w:val="0"/>
        <w:pageBreakBefore w:val="0"/>
        <w:kinsoku/>
        <w:overflowPunct/>
        <w:topLinePunct w:val="0"/>
        <w:bidi w:val="0"/>
        <w:spacing w:line="360" w:lineRule="auto"/>
        <w:ind w:left="420"/>
        <w:outlineLvl w:val="9"/>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w:t>
      </w:r>
    </w:p>
    <w:p w14:paraId="59750CE1">
      <w:pPr>
        <w:keepNext w:val="0"/>
        <w:keepLines w:val="0"/>
        <w:pageBreakBefore w:val="0"/>
        <w:kinsoku/>
        <w:overflowPunct/>
        <w:topLinePunct w:val="0"/>
        <w:bidi w:val="0"/>
        <w:spacing w:line="360" w:lineRule="auto"/>
        <w:ind w:firstLine="435"/>
        <w:outlineLvl w:val="9"/>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u w:val="single"/>
        </w:rPr>
        <w:t xml:space="preserve">                          </w:t>
      </w:r>
    </w:p>
    <w:p w14:paraId="0D2AACC5">
      <w:pPr>
        <w:keepNext w:val="0"/>
        <w:keepLines w:val="0"/>
        <w:pageBreakBefore w:val="0"/>
        <w:kinsoku/>
        <w:overflowPunct/>
        <w:topLinePunct w:val="0"/>
        <w:bidi w:val="0"/>
        <w:spacing w:line="360" w:lineRule="auto"/>
        <w:ind w:firstLine="435"/>
        <w:outlineLvl w:val="9"/>
        <w:rPr>
          <w:rFonts w:hint="eastAsia" w:ascii="宋体" w:hAnsi="宋体" w:eastAsia="宋体" w:cs="宋体"/>
          <w:color w:val="000000"/>
          <w:szCs w:val="21"/>
          <w:highlight w:val="none"/>
        </w:rPr>
      </w:pPr>
    </w:p>
    <w:p w14:paraId="64484DE4">
      <w:pPr>
        <w:keepNext w:val="0"/>
        <w:keepLines w:val="0"/>
        <w:pageBreakBefore w:val="0"/>
        <w:kinsoku/>
        <w:overflowPunct/>
        <w:topLinePunct w:val="0"/>
        <w:bidi w:val="0"/>
        <w:spacing w:line="360" w:lineRule="auto"/>
        <w:ind w:firstLine="435"/>
        <w:outlineLvl w:val="9"/>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职        务：</w:t>
      </w:r>
      <w:r>
        <w:rPr>
          <w:rFonts w:hint="eastAsia" w:ascii="宋体" w:hAnsi="宋体" w:eastAsia="宋体" w:cs="宋体"/>
          <w:color w:val="000000"/>
          <w:szCs w:val="21"/>
          <w:highlight w:val="none"/>
          <w:u w:val="single"/>
        </w:rPr>
        <w:t xml:space="preserve">                            </w:t>
      </w:r>
    </w:p>
    <w:p w14:paraId="1D4BB69C">
      <w:pPr>
        <w:keepNext w:val="0"/>
        <w:keepLines w:val="0"/>
        <w:pageBreakBefore w:val="0"/>
        <w:kinsoku/>
        <w:overflowPunct/>
        <w:topLinePunct w:val="0"/>
        <w:bidi w:val="0"/>
        <w:spacing w:line="360" w:lineRule="auto"/>
        <w:ind w:firstLine="435"/>
        <w:outlineLvl w:val="9"/>
        <w:rPr>
          <w:rFonts w:hint="eastAsia" w:ascii="宋体" w:hAnsi="宋体" w:eastAsia="宋体" w:cs="宋体"/>
          <w:color w:val="000000"/>
          <w:szCs w:val="21"/>
          <w:highlight w:val="none"/>
        </w:rPr>
      </w:pPr>
    </w:p>
    <w:p w14:paraId="1E582B57">
      <w:pPr>
        <w:keepNext w:val="0"/>
        <w:keepLines w:val="0"/>
        <w:pageBreakBefore w:val="0"/>
        <w:kinsoku/>
        <w:overflowPunct/>
        <w:topLinePunct w:val="0"/>
        <w:bidi w:val="0"/>
        <w:spacing w:line="360" w:lineRule="auto"/>
        <w:ind w:firstLine="435"/>
        <w:outlineLvl w:val="9"/>
        <w:rPr>
          <w:rFonts w:hint="eastAsia" w:ascii="宋体" w:hAnsi="宋体" w:eastAsia="宋体" w:cs="宋体"/>
          <w:color w:val="000000"/>
          <w:szCs w:val="21"/>
          <w:highlight w:val="none"/>
          <w:u w:val="single"/>
        </w:rPr>
      </w:pPr>
      <w:r>
        <w:rPr>
          <w:rFonts w:hint="eastAsia" w:ascii="宋体" w:hAnsi="宋体" w:eastAsia="宋体" w:cs="宋体"/>
          <w:color w:val="000000"/>
          <w:szCs w:val="21"/>
          <w:highlight w:val="none"/>
        </w:rPr>
        <w:t>日        期：</w:t>
      </w:r>
      <w:r>
        <w:rPr>
          <w:rFonts w:hint="eastAsia" w:ascii="宋体" w:hAnsi="宋体" w:eastAsia="宋体" w:cs="宋体"/>
          <w:color w:val="000000"/>
          <w:szCs w:val="21"/>
          <w:highlight w:val="none"/>
          <w:u w:val="single"/>
        </w:rPr>
        <w:t xml:space="preserve">                            </w:t>
      </w:r>
    </w:p>
    <w:p w14:paraId="2E495A5D">
      <w:pPr>
        <w:tabs>
          <w:tab w:val="left" w:pos="8280"/>
        </w:tabs>
        <w:autoSpaceDE w:val="0"/>
        <w:autoSpaceDN w:val="0"/>
        <w:adjustRightInd w:val="0"/>
        <w:spacing w:line="240" w:lineRule="atLeast"/>
        <w:ind w:right="25"/>
        <w:outlineLvl w:val="0"/>
        <w:rPr>
          <w:rFonts w:hint="default" w:ascii="宋体" w:hAnsi="宋体" w:eastAsia="宋体"/>
          <w:b/>
          <w:color w:val="auto"/>
          <w:sz w:val="28"/>
          <w:highlight w:val="none"/>
          <w:lang w:val="en-US" w:eastAsia="zh-CN"/>
        </w:rPr>
        <w:sectPr>
          <w:pgSz w:w="11906" w:h="16838"/>
          <w:pgMar w:top="1440" w:right="1576" w:bottom="1440" w:left="1576"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7B9678AD">
      <w:pPr>
        <w:tabs>
          <w:tab w:val="left" w:pos="8280"/>
        </w:tabs>
        <w:autoSpaceDE w:val="0"/>
        <w:autoSpaceDN w:val="0"/>
        <w:adjustRightInd w:val="0"/>
        <w:spacing w:line="240" w:lineRule="atLeast"/>
        <w:ind w:right="25"/>
        <w:outlineLvl w:val="0"/>
        <w:rPr>
          <w:rFonts w:hint="eastAsia" w:ascii="宋体" w:hAnsi="宋体"/>
          <w:color w:val="auto"/>
          <w:kern w:val="0"/>
          <w:sz w:val="24"/>
          <w:highlight w:val="none"/>
        </w:rPr>
      </w:pPr>
      <w:r>
        <w:rPr>
          <w:rFonts w:hint="eastAsia" w:ascii="宋体" w:hAnsi="宋体"/>
          <w:b/>
          <w:color w:val="auto"/>
          <w:sz w:val="28"/>
          <w:highlight w:val="none"/>
        </w:rPr>
        <w:t>附件</w:t>
      </w:r>
      <w:r>
        <w:rPr>
          <w:rFonts w:hint="eastAsia" w:ascii="宋体" w:hAnsi="宋体"/>
          <w:b/>
          <w:color w:val="auto"/>
          <w:sz w:val="28"/>
          <w:highlight w:val="none"/>
          <w:lang w:val="en-US" w:eastAsia="zh-CN"/>
        </w:rPr>
        <w:t>18</w:t>
      </w:r>
      <w:r>
        <w:rPr>
          <w:rFonts w:hint="eastAsia" w:ascii="宋体" w:hAnsi="宋体"/>
          <w:color w:val="auto"/>
          <w:sz w:val="28"/>
          <w:highlight w:val="none"/>
        </w:rPr>
        <w:t xml:space="preserve">                                                 </w:t>
      </w:r>
    </w:p>
    <w:p w14:paraId="2D17E0FA">
      <w:pPr>
        <w:spacing w:before="312" w:beforeLines="100" w:line="360" w:lineRule="auto"/>
        <w:jc w:val="center"/>
        <w:rPr>
          <w:rFonts w:hint="eastAsia" w:ascii="宋体" w:hAnsi="宋体" w:eastAsia="宋体"/>
          <w:color w:val="auto"/>
          <w:spacing w:val="40"/>
          <w:sz w:val="48"/>
          <w:szCs w:val="48"/>
          <w:highlight w:val="none"/>
          <w:lang w:eastAsia="zh-CN"/>
        </w:rPr>
      </w:pPr>
      <w:r>
        <w:rPr>
          <w:rFonts w:hint="eastAsia" w:ascii="宋体" w:hAnsi="宋体"/>
          <w:color w:val="auto"/>
          <w:spacing w:val="40"/>
          <w:sz w:val="44"/>
          <w:szCs w:val="44"/>
          <w:highlight w:val="none"/>
          <w:lang w:eastAsia="zh-CN"/>
        </w:rPr>
        <w:t>2025年椒江区前所街道居家养老服务采购项目</w:t>
      </w:r>
    </w:p>
    <w:p w14:paraId="62CEF905">
      <w:pPr>
        <w:jc w:val="center"/>
        <w:rPr>
          <w:rFonts w:hint="eastAsia" w:ascii="宋体" w:hAnsi="宋体"/>
          <w:color w:val="auto"/>
          <w:szCs w:val="21"/>
          <w:highlight w:val="none"/>
        </w:rPr>
      </w:pPr>
    </w:p>
    <w:p w14:paraId="1459BA0B">
      <w:pPr>
        <w:spacing w:before="312" w:beforeLines="100" w:line="360" w:lineRule="auto"/>
        <w:ind w:right="-108"/>
        <w:jc w:val="center"/>
        <w:rPr>
          <w:rFonts w:hint="eastAsia" w:ascii="宋体" w:hAnsi="宋体" w:eastAsia="宋体"/>
          <w:color w:val="auto"/>
          <w:sz w:val="32"/>
          <w:szCs w:val="32"/>
          <w:highlight w:val="none"/>
          <w:lang w:eastAsia="zh-CN"/>
        </w:rPr>
      </w:pPr>
      <w:r>
        <w:rPr>
          <w:rFonts w:hint="eastAsia" w:ascii="宋体" w:hAnsi="宋体"/>
          <w:color w:val="auto"/>
          <w:sz w:val="32"/>
          <w:szCs w:val="32"/>
          <w:highlight w:val="none"/>
        </w:rPr>
        <w:t>项目编号：</w:t>
      </w:r>
      <w:r>
        <w:rPr>
          <w:rFonts w:hint="eastAsia" w:ascii="宋体" w:hAnsi="宋体"/>
          <w:color w:val="auto"/>
          <w:spacing w:val="40"/>
          <w:sz w:val="32"/>
          <w:szCs w:val="32"/>
          <w:highlight w:val="none"/>
          <w:lang w:eastAsia="zh-CN"/>
        </w:rPr>
        <w:t>YHZB-2025-0327</w:t>
      </w:r>
    </w:p>
    <w:p w14:paraId="1E2F5DFD">
      <w:pPr>
        <w:spacing w:after="100" w:afterAutospacing="1"/>
        <w:ind w:right="-108"/>
        <w:jc w:val="center"/>
        <w:rPr>
          <w:rFonts w:hint="eastAsia" w:ascii="宋体" w:hAnsi="宋体"/>
          <w:b/>
          <w:color w:val="auto"/>
          <w:spacing w:val="40"/>
          <w:sz w:val="22"/>
          <w:szCs w:val="22"/>
          <w:highlight w:val="none"/>
        </w:rPr>
      </w:pPr>
    </w:p>
    <w:p w14:paraId="3E67C04D">
      <w:pPr>
        <w:spacing w:after="100" w:afterAutospacing="1" w:line="800" w:lineRule="exact"/>
        <w:ind w:right="-108"/>
        <w:jc w:val="center"/>
        <w:rPr>
          <w:rFonts w:hint="eastAsia" w:ascii="宋体" w:hAnsi="宋体"/>
          <w:b/>
          <w:color w:val="auto"/>
          <w:spacing w:val="40"/>
          <w:sz w:val="56"/>
          <w:szCs w:val="56"/>
          <w:highlight w:val="none"/>
        </w:rPr>
      </w:pPr>
      <w:r>
        <w:rPr>
          <w:rFonts w:hint="eastAsia" w:ascii="宋体" w:hAnsi="宋体"/>
          <w:b/>
          <w:color w:val="auto"/>
          <w:spacing w:val="40"/>
          <w:sz w:val="56"/>
          <w:szCs w:val="56"/>
          <w:highlight w:val="none"/>
        </w:rPr>
        <w:t>磋</w:t>
      </w:r>
    </w:p>
    <w:p w14:paraId="023F7245">
      <w:pPr>
        <w:spacing w:after="100" w:afterAutospacing="1" w:line="800" w:lineRule="exact"/>
        <w:ind w:right="-108"/>
        <w:jc w:val="center"/>
        <w:rPr>
          <w:rFonts w:hint="eastAsia" w:ascii="宋体" w:hAnsi="宋体"/>
          <w:b/>
          <w:color w:val="auto"/>
          <w:spacing w:val="40"/>
          <w:sz w:val="56"/>
          <w:szCs w:val="56"/>
          <w:highlight w:val="none"/>
        </w:rPr>
      </w:pPr>
      <w:r>
        <w:rPr>
          <w:rFonts w:hint="eastAsia" w:ascii="宋体" w:hAnsi="宋体"/>
          <w:b/>
          <w:color w:val="auto"/>
          <w:spacing w:val="40"/>
          <w:sz w:val="56"/>
          <w:szCs w:val="56"/>
          <w:highlight w:val="none"/>
        </w:rPr>
        <w:t>商</w:t>
      </w:r>
    </w:p>
    <w:p w14:paraId="351B0B4F">
      <w:pPr>
        <w:spacing w:after="100" w:afterAutospacing="1" w:line="800" w:lineRule="exact"/>
        <w:ind w:right="-108"/>
        <w:jc w:val="center"/>
        <w:rPr>
          <w:rFonts w:hint="eastAsia" w:ascii="宋体" w:hAnsi="宋体"/>
          <w:b/>
          <w:color w:val="auto"/>
          <w:spacing w:val="40"/>
          <w:sz w:val="56"/>
          <w:szCs w:val="56"/>
          <w:highlight w:val="none"/>
        </w:rPr>
      </w:pPr>
      <w:r>
        <w:rPr>
          <w:rFonts w:hint="eastAsia" w:ascii="宋体" w:hAnsi="宋体"/>
          <w:b/>
          <w:color w:val="auto"/>
          <w:spacing w:val="40"/>
          <w:sz w:val="56"/>
          <w:szCs w:val="56"/>
          <w:highlight w:val="none"/>
        </w:rPr>
        <w:t>响</w:t>
      </w:r>
    </w:p>
    <w:p w14:paraId="62ED30EB">
      <w:pPr>
        <w:spacing w:after="100" w:afterAutospacing="1" w:line="800" w:lineRule="exact"/>
        <w:ind w:right="-108"/>
        <w:jc w:val="center"/>
        <w:rPr>
          <w:rFonts w:hint="eastAsia" w:ascii="宋体" w:hAnsi="宋体"/>
          <w:b/>
          <w:color w:val="auto"/>
          <w:spacing w:val="40"/>
          <w:sz w:val="56"/>
          <w:szCs w:val="56"/>
          <w:highlight w:val="none"/>
        </w:rPr>
      </w:pPr>
      <w:r>
        <w:rPr>
          <w:rFonts w:hint="eastAsia" w:ascii="宋体" w:hAnsi="宋体"/>
          <w:b/>
          <w:color w:val="auto"/>
          <w:spacing w:val="40"/>
          <w:sz w:val="56"/>
          <w:szCs w:val="56"/>
          <w:highlight w:val="none"/>
        </w:rPr>
        <w:t>应</w:t>
      </w:r>
    </w:p>
    <w:p w14:paraId="5476FD55">
      <w:pPr>
        <w:spacing w:after="100" w:afterAutospacing="1" w:line="800" w:lineRule="exact"/>
        <w:ind w:right="-108"/>
        <w:jc w:val="center"/>
        <w:rPr>
          <w:rFonts w:hint="eastAsia" w:ascii="宋体" w:hAnsi="宋体"/>
          <w:b/>
          <w:color w:val="auto"/>
          <w:spacing w:val="40"/>
          <w:sz w:val="56"/>
          <w:szCs w:val="56"/>
          <w:highlight w:val="none"/>
        </w:rPr>
      </w:pPr>
      <w:r>
        <w:rPr>
          <w:rFonts w:hint="eastAsia" w:ascii="宋体" w:hAnsi="宋体"/>
          <w:b/>
          <w:color w:val="auto"/>
          <w:spacing w:val="40"/>
          <w:sz w:val="56"/>
          <w:szCs w:val="56"/>
          <w:highlight w:val="none"/>
        </w:rPr>
        <w:t>文</w:t>
      </w:r>
    </w:p>
    <w:p w14:paraId="3FB68001">
      <w:pPr>
        <w:spacing w:after="100" w:afterAutospacing="1" w:line="800" w:lineRule="exact"/>
        <w:ind w:right="-108"/>
        <w:jc w:val="center"/>
        <w:rPr>
          <w:rFonts w:hint="eastAsia" w:ascii="宋体" w:hAnsi="宋体"/>
          <w:b/>
          <w:color w:val="auto"/>
          <w:spacing w:val="40"/>
          <w:sz w:val="56"/>
          <w:szCs w:val="56"/>
          <w:highlight w:val="none"/>
        </w:rPr>
      </w:pPr>
      <w:r>
        <w:rPr>
          <w:rFonts w:hint="eastAsia" w:ascii="宋体" w:hAnsi="宋体"/>
          <w:b/>
          <w:color w:val="auto"/>
          <w:spacing w:val="40"/>
          <w:sz w:val="56"/>
          <w:szCs w:val="56"/>
          <w:highlight w:val="none"/>
        </w:rPr>
        <w:t>件</w:t>
      </w:r>
    </w:p>
    <w:p w14:paraId="447A576C">
      <w:pPr>
        <w:ind w:right="532"/>
        <w:jc w:val="center"/>
        <w:rPr>
          <w:rFonts w:hint="eastAsia" w:ascii="宋体" w:hAnsi="宋体"/>
          <w:color w:val="auto"/>
          <w:szCs w:val="21"/>
          <w:highlight w:val="none"/>
        </w:rPr>
      </w:pPr>
      <w:r>
        <w:rPr>
          <w:rFonts w:hint="eastAsia" w:ascii="宋体" w:hAnsi="宋体"/>
          <w:b/>
          <w:color w:val="auto"/>
          <w:spacing w:val="40"/>
          <w:sz w:val="28"/>
          <w:szCs w:val="28"/>
          <w:highlight w:val="none"/>
          <w:lang w:val="en-US" w:eastAsia="zh-CN"/>
        </w:rPr>
        <w:t xml:space="preserve">  </w:t>
      </w:r>
      <w:r>
        <w:rPr>
          <w:rFonts w:hint="eastAsia" w:ascii="宋体" w:hAnsi="宋体"/>
          <w:b/>
          <w:color w:val="auto"/>
          <w:spacing w:val="40"/>
          <w:sz w:val="28"/>
          <w:szCs w:val="28"/>
          <w:highlight w:val="none"/>
          <w:lang w:val="zh-CN"/>
        </w:rPr>
        <w:t>（</w:t>
      </w:r>
      <w:r>
        <w:rPr>
          <w:rFonts w:hint="eastAsia" w:ascii="宋体" w:hAnsi="宋体"/>
          <w:b/>
          <w:color w:val="auto"/>
          <w:spacing w:val="40"/>
          <w:sz w:val="28"/>
          <w:szCs w:val="28"/>
          <w:highlight w:val="none"/>
          <w:lang w:val="en-US" w:eastAsia="zh-CN"/>
        </w:rPr>
        <w:t>报价</w:t>
      </w:r>
      <w:r>
        <w:rPr>
          <w:rFonts w:hint="eastAsia" w:ascii="宋体" w:hAnsi="宋体"/>
          <w:b/>
          <w:color w:val="auto"/>
          <w:spacing w:val="40"/>
          <w:sz w:val="28"/>
          <w:szCs w:val="28"/>
          <w:highlight w:val="none"/>
        </w:rPr>
        <w:t>文件）</w:t>
      </w:r>
    </w:p>
    <w:p w14:paraId="17CB9A1F">
      <w:pPr>
        <w:ind w:right="532" w:firstLine="640" w:firstLineChars="200"/>
        <w:rPr>
          <w:rFonts w:hint="eastAsia" w:ascii="宋体" w:hAnsi="宋体"/>
          <w:color w:val="auto"/>
          <w:sz w:val="32"/>
          <w:szCs w:val="32"/>
          <w:highlight w:val="none"/>
        </w:rPr>
      </w:pPr>
      <w:r>
        <w:rPr>
          <w:rFonts w:hint="eastAsia" w:ascii="宋体" w:hAnsi="宋体"/>
          <w:color w:val="auto"/>
          <w:sz w:val="32"/>
          <w:szCs w:val="32"/>
          <w:highlight w:val="none"/>
        </w:rPr>
        <w:t>供应商全称（公章）：</w:t>
      </w:r>
    </w:p>
    <w:p w14:paraId="61FB36A9">
      <w:pPr>
        <w:wordWrap w:val="0"/>
        <w:ind w:right="-108" w:firstLine="640" w:firstLineChars="200"/>
        <w:rPr>
          <w:rFonts w:hint="eastAsia" w:ascii="宋体" w:hAnsi="宋体"/>
          <w:color w:val="auto"/>
          <w:sz w:val="32"/>
          <w:szCs w:val="32"/>
          <w:highlight w:val="none"/>
        </w:rPr>
      </w:pPr>
      <w:r>
        <w:rPr>
          <w:rFonts w:hint="eastAsia" w:ascii="宋体" w:hAnsi="宋体"/>
          <w:color w:val="auto"/>
          <w:sz w:val="32"/>
          <w:szCs w:val="32"/>
          <w:highlight w:val="none"/>
        </w:rPr>
        <w:t>地    址：</w:t>
      </w:r>
    </w:p>
    <w:p w14:paraId="2DC1F5A5">
      <w:pPr>
        <w:wordWrap w:val="0"/>
        <w:ind w:right="-108" w:firstLine="640" w:firstLineChars="200"/>
        <w:rPr>
          <w:rFonts w:hint="eastAsia" w:ascii="宋体" w:hAnsi="宋体"/>
          <w:color w:val="auto"/>
          <w:sz w:val="32"/>
          <w:szCs w:val="32"/>
          <w:highlight w:val="none"/>
        </w:rPr>
      </w:pPr>
      <w:r>
        <w:rPr>
          <w:rFonts w:hint="eastAsia" w:ascii="宋体" w:hAnsi="宋体"/>
          <w:color w:val="auto"/>
          <w:sz w:val="32"/>
          <w:szCs w:val="32"/>
          <w:highlight w:val="none"/>
        </w:rPr>
        <w:t>时    间：</w:t>
      </w:r>
    </w:p>
    <w:p w14:paraId="2973B062">
      <w:pPr>
        <w:spacing w:line="360" w:lineRule="auto"/>
        <w:ind w:firstLine="435"/>
        <w:rPr>
          <w:rFonts w:ascii="宋体" w:hAnsi="宋体"/>
          <w:color w:val="auto"/>
          <w:sz w:val="24"/>
          <w:highlight w:val="none"/>
          <w:u w:val="single"/>
        </w:rPr>
      </w:pPr>
    </w:p>
    <w:p w14:paraId="5AC40C17">
      <w:pPr>
        <w:pStyle w:val="5"/>
        <w:rPr>
          <w:color w:val="auto"/>
          <w:highlight w:val="none"/>
        </w:rPr>
      </w:pPr>
    </w:p>
    <w:p w14:paraId="19071A83">
      <w:pPr>
        <w:snapToGrid w:val="0"/>
        <w:spacing w:line="410" w:lineRule="exact"/>
        <w:jc w:val="both"/>
        <w:rPr>
          <w:rFonts w:hint="eastAsia" w:ascii="宋体" w:hAnsi="宋体"/>
          <w:b/>
          <w:bCs/>
          <w:color w:val="auto"/>
          <w:sz w:val="36"/>
          <w:szCs w:val="36"/>
          <w:highlight w:val="none"/>
          <w:lang w:val="en-US" w:eastAsia="zh-CN"/>
        </w:rPr>
      </w:pPr>
    </w:p>
    <w:p w14:paraId="31C7A82F">
      <w:pPr>
        <w:snapToGrid w:val="0"/>
        <w:spacing w:line="410" w:lineRule="exact"/>
        <w:jc w:val="center"/>
        <w:rPr>
          <w:rFonts w:hint="eastAsia" w:ascii="宋体" w:hAnsi="宋体"/>
          <w:b/>
          <w:bCs/>
          <w:color w:val="auto"/>
          <w:sz w:val="36"/>
          <w:szCs w:val="36"/>
          <w:highlight w:val="none"/>
        </w:rPr>
      </w:pPr>
      <w:r>
        <w:rPr>
          <w:rFonts w:hint="eastAsia" w:ascii="宋体" w:hAnsi="宋体"/>
          <w:b/>
          <w:bCs/>
          <w:color w:val="auto"/>
          <w:sz w:val="36"/>
          <w:szCs w:val="36"/>
          <w:highlight w:val="none"/>
          <w:lang w:val="en-US" w:eastAsia="zh-CN"/>
        </w:rPr>
        <w:t>报价</w:t>
      </w:r>
      <w:r>
        <w:rPr>
          <w:rFonts w:hint="eastAsia" w:ascii="宋体" w:hAnsi="宋体"/>
          <w:b/>
          <w:bCs/>
          <w:color w:val="auto"/>
          <w:sz w:val="36"/>
          <w:szCs w:val="36"/>
          <w:highlight w:val="none"/>
        </w:rPr>
        <w:t>文件目录</w:t>
      </w:r>
    </w:p>
    <w:p w14:paraId="52249D6E">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firstLine="480" w:firstLineChars="200"/>
        <w:textAlignment w:val="auto"/>
        <w:rPr>
          <w:rFonts w:hint="eastAsia" w:ascii="宋体" w:hAnsi="宋体" w:cs="宋体"/>
          <w:color w:val="auto"/>
          <w:sz w:val="24"/>
          <w:highlight w:val="none"/>
          <w:lang w:val="en-US" w:eastAsia="zh-CN"/>
        </w:rPr>
      </w:pPr>
    </w:p>
    <w:p w14:paraId="67268365">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1、首次报</w:t>
      </w:r>
      <w:r>
        <w:rPr>
          <w:rFonts w:hint="eastAsia" w:ascii="宋体" w:hAnsi="宋体" w:eastAsia="宋体" w:cs="宋体"/>
          <w:color w:val="auto"/>
          <w:sz w:val="24"/>
          <w:highlight w:val="none"/>
          <w:lang w:val="en-US" w:eastAsia="zh-CN"/>
        </w:rPr>
        <w:t>价一览表（附件19）</w:t>
      </w:r>
    </w:p>
    <w:p w14:paraId="72224F13">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2、针对报价投标人认为其他需要说明的</w:t>
      </w:r>
    </w:p>
    <w:p w14:paraId="0E3A905A">
      <w:pPr>
        <w:snapToGrid w:val="0"/>
        <w:spacing w:before="156" w:beforeLines="50" w:after="50" w:line="360" w:lineRule="auto"/>
        <w:rPr>
          <w:rFonts w:hint="eastAsia" w:ascii="宋体" w:hAnsi="宋体"/>
          <w:b/>
          <w:color w:val="auto"/>
          <w:sz w:val="28"/>
          <w:highlight w:val="none"/>
        </w:rPr>
      </w:pPr>
    </w:p>
    <w:p w14:paraId="147E8B54">
      <w:pPr>
        <w:snapToGrid w:val="0"/>
        <w:spacing w:before="156" w:beforeLines="50" w:after="50" w:line="360" w:lineRule="auto"/>
        <w:rPr>
          <w:rFonts w:hint="eastAsia" w:ascii="宋体" w:hAnsi="宋体" w:eastAsia="宋体"/>
          <w:b/>
          <w:color w:val="auto"/>
          <w:sz w:val="28"/>
          <w:highlight w:val="none"/>
          <w:lang w:eastAsia="zh-CN"/>
        </w:rPr>
      </w:pPr>
    </w:p>
    <w:p w14:paraId="284CD454">
      <w:pPr>
        <w:snapToGrid w:val="0"/>
        <w:spacing w:before="156" w:beforeLines="50" w:after="50" w:line="360" w:lineRule="auto"/>
        <w:outlineLvl w:val="0"/>
        <w:rPr>
          <w:rFonts w:hint="eastAsia" w:ascii="宋体" w:hAnsi="宋体"/>
          <w:b/>
          <w:color w:val="auto"/>
          <w:sz w:val="28"/>
          <w:highlight w:val="none"/>
        </w:rPr>
      </w:pPr>
      <w:bookmarkStart w:id="17" w:name="_Toc32452"/>
    </w:p>
    <w:p w14:paraId="5CB224D9">
      <w:pPr>
        <w:snapToGrid w:val="0"/>
        <w:spacing w:before="156" w:beforeLines="50" w:after="50" w:line="360" w:lineRule="auto"/>
        <w:outlineLvl w:val="0"/>
        <w:rPr>
          <w:rFonts w:hint="eastAsia" w:ascii="宋体" w:hAnsi="宋体"/>
          <w:b/>
          <w:color w:val="auto"/>
          <w:sz w:val="28"/>
          <w:highlight w:val="none"/>
        </w:rPr>
      </w:pPr>
    </w:p>
    <w:p w14:paraId="53C77627">
      <w:pPr>
        <w:snapToGrid w:val="0"/>
        <w:spacing w:before="156" w:beforeLines="50" w:after="50" w:line="360" w:lineRule="auto"/>
        <w:outlineLvl w:val="0"/>
        <w:rPr>
          <w:rFonts w:hint="eastAsia" w:ascii="宋体" w:hAnsi="宋体"/>
          <w:b/>
          <w:color w:val="auto"/>
          <w:sz w:val="28"/>
          <w:highlight w:val="none"/>
        </w:rPr>
      </w:pPr>
    </w:p>
    <w:p w14:paraId="44EA0AF8">
      <w:pPr>
        <w:snapToGrid w:val="0"/>
        <w:spacing w:before="156" w:beforeLines="50" w:after="50" w:line="360" w:lineRule="auto"/>
        <w:outlineLvl w:val="0"/>
        <w:rPr>
          <w:rFonts w:hint="eastAsia" w:ascii="宋体" w:hAnsi="宋体"/>
          <w:b/>
          <w:color w:val="auto"/>
          <w:sz w:val="28"/>
          <w:highlight w:val="none"/>
        </w:rPr>
      </w:pPr>
    </w:p>
    <w:p w14:paraId="3BF57FE2">
      <w:pPr>
        <w:snapToGrid w:val="0"/>
        <w:spacing w:before="156" w:beforeLines="50" w:after="50" w:line="360" w:lineRule="auto"/>
        <w:outlineLvl w:val="0"/>
        <w:rPr>
          <w:rFonts w:hint="eastAsia" w:ascii="宋体" w:hAnsi="宋体"/>
          <w:b/>
          <w:color w:val="auto"/>
          <w:sz w:val="28"/>
          <w:highlight w:val="none"/>
        </w:rPr>
      </w:pPr>
    </w:p>
    <w:p w14:paraId="1FDC9058">
      <w:pPr>
        <w:pStyle w:val="5"/>
        <w:rPr>
          <w:rFonts w:hint="eastAsia"/>
          <w:color w:val="auto"/>
          <w:highlight w:val="none"/>
        </w:rPr>
      </w:pPr>
    </w:p>
    <w:p w14:paraId="522DDDEB">
      <w:pPr>
        <w:snapToGrid w:val="0"/>
        <w:spacing w:before="156" w:beforeLines="50" w:after="50" w:line="360" w:lineRule="auto"/>
        <w:outlineLvl w:val="0"/>
        <w:rPr>
          <w:rFonts w:hint="eastAsia" w:ascii="宋体" w:hAnsi="宋体"/>
          <w:b/>
          <w:color w:val="auto"/>
          <w:sz w:val="28"/>
          <w:highlight w:val="none"/>
        </w:rPr>
      </w:pPr>
    </w:p>
    <w:p w14:paraId="2C763052">
      <w:pPr>
        <w:snapToGrid w:val="0"/>
        <w:spacing w:before="156" w:beforeLines="50" w:after="50" w:line="360" w:lineRule="auto"/>
        <w:outlineLvl w:val="0"/>
        <w:rPr>
          <w:rFonts w:hint="eastAsia" w:ascii="宋体" w:hAnsi="宋体"/>
          <w:b/>
          <w:color w:val="auto"/>
          <w:sz w:val="28"/>
          <w:highlight w:val="none"/>
        </w:rPr>
      </w:pPr>
    </w:p>
    <w:p w14:paraId="6B78B93E">
      <w:pPr>
        <w:snapToGrid w:val="0"/>
        <w:spacing w:before="156" w:beforeLines="50" w:after="50" w:line="360" w:lineRule="auto"/>
        <w:outlineLvl w:val="0"/>
        <w:rPr>
          <w:rFonts w:hint="eastAsia" w:ascii="宋体" w:hAnsi="宋体"/>
          <w:b/>
          <w:color w:val="auto"/>
          <w:sz w:val="28"/>
          <w:highlight w:val="none"/>
        </w:rPr>
      </w:pPr>
    </w:p>
    <w:p w14:paraId="4AD030D6">
      <w:pPr>
        <w:snapToGrid w:val="0"/>
        <w:spacing w:before="156" w:beforeLines="50" w:after="50" w:line="360" w:lineRule="auto"/>
        <w:outlineLvl w:val="0"/>
        <w:rPr>
          <w:rFonts w:hint="eastAsia" w:ascii="宋体" w:hAnsi="宋体"/>
          <w:b/>
          <w:color w:val="auto"/>
          <w:sz w:val="28"/>
          <w:highlight w:val="none"/>
        </w:rPr>
      </w:pPr>
    </w:p>
    <w:p w14:paraId="6E887CD9">
      <w:pPr>
        <w:snapToGrid w:val="0"/>
        <w:spacing w:before="156" w:beforeLines="50" w:after="50" w:line="360" w:lineRule="auto"/>
        <w:outlineLvl w:val="0"/>
        <w:rPr>
          <w:rFonts w:hint="eastAsia" w:ascii="宋体" w:hAnsi="宋体"/>
          <w:b/>
          <w:color w:val="auto"/>
          <w:sz w:val="28"/>
          <w:highlight w:val="none"/>
        </w:rPr>
      </w:pPr>
    </w:p>
    <w:p w14:paraId="659782F2">
      <w:pPr>
        <w:snapToGrid w:val="0"/>
        <w:spacing w:before="156" w:beforeLines="50" w:after="50" w:line="360" w:lineRule="auto"/>
        <w:outlineLvl w:val="0"/>
        <w:rPr>
          <w:rFonts w:hint="eastAsia" w:ascii="宋体" w:hAnsi="宋体"/>
          <w:b/>
          <w:color w:val="auto"/>
          <w:sz w:val="28"/>
          <w:highlight w:val="none"/>
        </w:rPr>
      </w:pPr>
    </w:p>
    <w:p w14:paraId="3B73DEE2">
      <w:pPr>
        <w:snapToGrid w:val="0"/>
        <w:spacing w:before="156" w:beforeLines="50" w:after="50" w:line="360" w:lineRule="auto"/>
        <w:outlineLvl w:val="0"/>
        <w:rPr>
          <w:rFonts w:hint="eastAsia" w:ascii="宋体" w:hAnsi="宋体"/>
          <w:b/>
          <w:color w:val="auto"/>
          <w:sz w:val="28"/>
          <w:highlight w:val="none"/>
        </w:rPr>
      </w:pPr>
    </w:p>
    <w:p w14:paraId="4A354DEF">
      <w:pPr>
        <w:snapToGrid w:val="0"/>
        <w:spacing w:before="156" w:beforeLines="50" w:after="50" w:line="360" w:lineRule="auto"/>
        <w:outlineLvl w:val="0"/>
        <w:rPr>
          <w:rFonts w:hint="eastAsia" w:ascii="宋体" w:hAnsi="宋体"/>
          <w:b/>
          <w:color w:val="auto"/>
          <w:sz w:val="28"/>
          <w:highlight w:val="none"/>
        </w:rPr>
      </w:pPr>
    </w:p>
    <w:p w14:paraId="55A74610">
      <w:pPr>
        <w:snapToGrid w:val="0"/>
        <w:spacing w:before="156" w:beforeLines="50" w:after="50" w:line="360" w:lineRule="auto"/>
        <w:outlineLvl w:val="0"/>
        <w:rPr>
          <w:rFonts w:hint="eastAsia" w:ascii="仿宋_GB2312" w:hAnsi="宋体" w:eastAsia="宋体"/>
          <w:b/>
          <w:color w:val="auto"/>
          <w:sz w:val="30"/>
          <w:szCs w:val="30"/>
          <w:highlight w:val="none"/>
          <w:lang w:eastAsia="zh-CN"/>
        </w:rPr>
      </w:pPr>
      <w:r>
        <w:rPr>
          <w:rFonts w:hint="eastAsia" w:ascii="宋体" w:hAnsi="宋体"/>
          <w:b/>
          <w:color w:val="auto"/>
          <w:sz w:val="28"/>
          <w:highlight w:val="none"/>
        </w:rPr>
        <w:t>附件1</w:t>
      </w:r>
      <w:bookmarkEnd w:id="17"/>
      <w:r>
        <w:rPr>
          <w:rFonts w:hint="eastAsia" w:ascii="宋体" w:hAnsi="宋体"/>
          <w:b/>
          <w:color w:val="auto"/>
          <w:sz w:val="28"/>
          <w:highlight w:val="none"/>
          <w:lang w:val="en-US" w:eastAsia="zh-CN"/>
        </w:rPr>
        <w:t>9</w:t>
      </w:r>
    </w:p>
    <w:p w14:paraId="19FA3A8F">
      <w:pPr>
        <w:spacing w:line="360" w:lineRule="auto"/>
        <w:ind w:left="-2" w:hanging="2"/>
        <w:jc w:val="center"/>
        <w:rPr>
          <w:rFonts w:hint="eastAsia" w:ascii="宋体" w:hAnsi="宋体"/>
          <w:b/>
          <w:color w:val="auto"/>
          <w:sz w:val="32"/>
          <w:szCs w:val="32"/>
          <w:highlight w:val="none"/>
        </w:rPr>
      </w:pPr>
      <w:r>
        <w:rPr>
          <w:rFonts w:hint="eastAsia" w:ascii="宋体" w:hAnsi="宋体"/>
          <w:b/>
          <w:color w:val="auto"/>
          <w:sz w:val="32"/>
          <w:szCs w:val="32"/>
          <w:highlight w:val="none"/>
        </w:rPr>
        <w:t>首次报价一览表</w:t>
      </w:r>
    </w:p>
    <w:p w14:paraId="43669372">
      <w:pPr>
        <w:pStyle w:val="13"/>
        <w:spacing w:line="320" w:lineRule="exact"/>
        <w:rPr>
          <w:rFonts w:hAnsi="宋体"/>
          <w:b/>
          <w:color w:val="auto"/>
          <w:sz w:val="24"/>
          <w:highlight w:val="none"/>
        </w:rPr>
      </w:pPr>
    </w:p>
    <w:p w14:paraId="6E3967DE">
      <w:pPr>
        <w:pStyle w:val="13"/>
        <w:spacing w:line="320" w:lineRule="exact"/>
        <w:rPr>
          <w:rFonts w:hint="eastAsia" w:hAnsi="宋体"/>
          <w:b/>
          <w:color w:val="auto"/>
          <w:sz w:val="24"/>
          <w:highlight w:val="none"/>
          <w:u w:val="single"/>
        </w:rPr>
      </w:pPr>
      <w:r>
        <w:rPr>
          <w:rFonts w:hAnsi="宋体"/>
          <w:b/>
          <w:color w:val="auto"/>
          <w:sz w:val="24"/>
          <w:highlight w:val="none"/>
        </w:rPr>
        <w:t>项目编号：</w:t>
      </w:r>
      <w:r>
        <w:rPr>
          <w:rFonts w:hint="eastAsia" w:hAnsi="宋体"/>
          <w:b/>
          <w:color w:val="auto"/>
          <w:sz w:val="24"/>
          <w:highlight w:val="none"/>
          <w:u w:val="single"/>
        </w:rPr>
        <w:t xml:space="preserve">               </w:t>
      </w:r>
    </w:p>
    <w:p w14:paraId="3C5B1438">
      <w:pPr>
        <w:pStyle w:val="39"/>
        <w:spacing w:line="360" w:lineRule="auto"/>
        <w:ind w:right="480"/>
        <w:jc w:val="left"/>
        <w:rPr>
          <w:rFonts w:hAnsi="宋体"/>
          <w:color w:val="auto"/>
          <w:sz w:val="24"/>
          <w:highlight w:val="none"/>
        </w:rPr>
      </w:pPr>
      <w:r>
        <w:rPr>
          <w:rFonts w:hAnsi="宋体"/>
          <w:b/>
          <w:color w:val="auto"/>
          <w:sz w:val="24"/>
          <w:highlight w:val="none"/>
        </w:rPr>
        <w:t>项目名称：</w:t>
      </w:r>
      <w:r>
        <w:rPr>
          <w:rFonts w:hint="eastAsia" w:hAnsi="宋体"/>
          <w:b w:val="0"/>
          <w:bCs/>
          <w:color w:val="auto"/>
          <w:sz w:val="24"/>
          <w:highlight w:val="none"/>
          <w:u w:val="single"/>
        </w:rPr>
        <w:t xml:space="preserve">               </w:t>
      </w:r>
      <w:r>
        <w:rPr>
          <w:rFonts w:hint="eastAsia" w:ascii="宋体" w:hAnsi="宋体"/>
          <w:color w:val="auto"/>
          <w:sz w:val="24"/>
          <w:highlight w:val="none"/>
        </w:rPr>
        <w:t xml:space="preserve">                      [货币单位：人民币元]</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2694"/>
        <w:gridCol w:w="1349"/>
        <w:gridCol w:w="4629"/>
      </w:tblGrid>
      <w:tr w14:paraId="54D4FE7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1469" w:hRule="atLeast"/>
          <w:jc w:val="center"/>
        </w:trPr>
        <w:tc>
          <w:tcPr>
            <w:tcW w:w="2694" w:type="dxa"/>
            <w:tcBorders>
              <w:tl2br w:val="nil"/>
              <w:tr2bl w:val="nil"/>
            </w:tcBorders>
            <w:noWrap w:val="0"/>
            <w:vAlign w:val="center"/>
          </w:tcPr>
          <w:p w14:paraId="048EA10F">
            <w:pPr>
              <w:autoSpaceDE w:val="0"/>
              <w:autoSpaceDN w:val="0"/>
              <w:spacing w:line="450" w:lineRule="exact"/>
              <w:jc w:val="center"/>
              <w:textAlignment w:val="bottom"/>
              <w:rPr>
                <w:rFonts w:ascii="宋体" w:hAnsi="宋体"/>
                <w:color w:val="auto"/>
                <w:sz w:val="21"/>
                <w:szCs w:val="21"/>
                <w:highlight w:val="none"/>
              </w:rPr>
            </w:pPr>
            <w:r>
              <w:rPr>
                <w:rFonts w:hint="eastAsia" w:ascii="宋体" w:hAnsi="宋体"/>
                <w:color w:val="auto"/>
                <w:sz w:val="21"/>
                <w:szCs w:val="21"/>
                <w:highlight w:val="none"/>
                <w:lang w:val="en-US" w:eastAsia="zh-CN"/>
              </w:rPr>
              <w:t>结算率</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w:t>
            </w:r>
            <w:r>
              <w:rPr>
                <w:rFonts w:hint="eastAsia" w:ascii="宋体" w:hAnsi="宋体"/>
                <w:color w:val="auto"/>
                <w:sz w:val="21"/>
                <w:szCs w:val="21"/>
                <w:highlight w:val="none"/>
                <w:lang w:eastAsia="zh-CN"/>
              </w:rPr>
              <w:t>）</w:t>
            </w:r>
          </w:p>
        </w:tc>
        <w:tc>
          <w:tcPr>
            <w:tcW w:w="1349" w:type="dxa"/>
            <w:tcBorders>
              <w:tl2br w:val="nil"/>
              <w:tr2bl w:val="nil"/>
            </w:tcBorders>
            <w:noWrap w:val="0"/>
            <w:vAlign w:val="center"/>
          </w:tcPr>
          <w:p w14:paraId="689171E1">
            <w:pPr>
              <w:autoSpaceDE w:val="0"/>
              <w:autoSpaceDN w:val="0"/>
              <w:spacing w:line="450" w:lineRule="exact"/>
              <w:jc w:val="center"/>
              <w:textAlignment w:val="bottom"/>
              <w:rPr>
                <w:rFonts w:ascii="宋体" w:hAnsi="宋体"/>
                <w:color w:val="auto"/>
                <w:sz w:val="21"/>
                <w:szCs w:val="21"/>
                <w:highlight w:val="none"/>
              </w:rPr>
            </w:pPr>
            <w:r>
              <w:rPr>
                <w:rFonts w:hint="eastAsia" w:ascii="宋体" w:hAnsi="宋体"/>
                <w:color w:val="auto"/>
                <w:sz w:val="21"/>
                <w:szCs w:val="21"/>
                <w:highlight w:val="none"/>
                <w:lang w:val="en-US" w:eastAsia="zh-CN"/>
              </w:rPr>
              <w:t>小</w:t>
            </w:r>
            <w:r>
              <w:rPr>
                <w:rFonts w:hint="eastAsia" w:ascii="宋体" w:hAnsi="宋体"/>
                <w:color w:val="auto"/>
                <w:sz w:val="21"/>
                <w:szCs w:val="21"/>
                <w:highlight w:val="none"/>
              </w:rPr>
              <w:t>写</w:t>
            </w:r>
          </w:p>
        </w:tc>
        <w:tc>
          <w:tcPr>
            <w:tcW w:w="4629" w:type="dxa"/>
            <w:tcBorders>
              <w:tl2br w:val="nil"/>
              <w:tr2bl w:val="nil"/>
            </w:tcBorders>
            <w:noWrap w:val="0"/>
            <w:vAlign w:val="center"/>
          </w:tcPr>
          <w:p w14:paraId="598E0C24">
            <w:pPr>
              <w:autoSpaceDE w:val="0"/>
              <w:autoSpaceDN w:val="0"/>
              <w:spacing w:line="450" w:lineRule="exact"/>
              <w:ind w:firstLine="1680" w:firstLineChars="800"/>
              <w:jc w:val="both"/>
              <w:textAlignment w:val="bottom"/>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u w:val="single"/>
                <w:lang w:val="en-US" w:eastAsia="zh-CN"/>
              </w:rPr>
              <w:t xml:space="preserve">         %</w:t>
            </w:r>
          </w:p>
        </w:tc>
      </w:tr>
    </w:tbl>
    <w:p w14:paraId="295E1820">
      <w:pPr>
        <w:spacing w:line="440" w:lineRule="exact"/>
        <w:rPr>
          <w:rFonts w:hint="default" w:ascii="宋体" w:hAnsi="宋体"/>
          <w:color w:val="auto"/>
          <w:kern w:val="0"/>
          <w:szCs w:val="21"/>
          <w:highlight w:val="none"/>
          <w:lang w:val="en-US" w:eastAsia="zh-CN"/>
        </w:rPr>
      </w:pPr>
      <w:r>
        <w:rPr>
          <w:rFonts w:hint="eastAsia" w:ascii="宋体" w:hAnsi="宋体"/>
          <w:b/>
          <w:color w:val="auto"/>
          <w:szCs w:val="21"/>
          <w:highlight w:val="none"/>
        </w:rPr>
        <w:t>填报要求：</w:t>
      </w:r>
    </w:p>
    <w:p w14:paraId="787E8060">
      <w:pPr>
        <w:spacing w:line="440" w:lineRule="exact"/>
        <w:ind w:firstLine="422" w:firstLineChars="200"/>
        <w:rPr>
          <w:rFonts w:ascii="宋体" w:hAnsi="宋体"/>
          <w:b/>
          <w:bCs/>
          <w:i/>
          <w:color w:val="auto"/>
          <w:szCs w:val="21"/>
          <w:highlight w:val="none"/>
          <w:u w:val="single"/>
        </w:rPr>
      </w:pPr>
      <w:r>
        <w:rPr>
          <w:rFonts w:hint="eastAsia" w:ascii="宋体" w:hAnsi="宋体"/>
          <w:b/>
          <w:bCs/>
          <w:color w:val="auto"/>
          <w:kern w:val="0"/>
          <w:szCs w:val="21"/>
          <w:highlight w:val="none"/>
          <w:lang w:val="en-US" w:eastAsia="zh-CN"/>
        </w:rPr>
        <w:t>1</w:t>
      </w:r>
      <w:r>
        <w:rPr>
          <w:rFonts w:hint="eastAsia" w:ascii="宋体" w:hAnsi="宋体"/>
          <w:b/>
          <w:bCs/>
          <w:color w:val="auto"/>
          <w:kern w:val="0"/>
          <w:szCs w:val="21"/>
          <w:highlight w:val="none"/>
        </w:rPr>
        <w:t>.本次评标采用质量优先法，因此价格不列为评审因素。因政采云系统问题，建议供应商在政采云平台报价一览表填写“报价（</w:t>
      </w:r>
      <w:r>
        <w:rPr>
          <w:rFonts w:hint="eastAsia" w:ascii="宋体" w:hAnsi="宋体"/>
          <w:b/>
          <w:bCs/>
          <w:color w:val="auto"/>
          <w:kern w:val="0"/>
          <w:szCs w:val="21"/>
          <w:highlight w:val="none"/>
          <w:lang w:val="en-US" w:eastAsia="zh-CN"/>
        </w:rPr>
        <w:t>结算</w:t>
      </w:r>
      <w:r>
        <w:rPr>
          <w:rFonts w:hint="eastAsia" w:ascii="宋体" w:hAnsi="宋体"/>
          <w:b/>
          <w:bCs/>
          <w:color w:val="auto"/>
          <w:kern w:val="0"/>
          <w:szCs w:val="21"/>
          <w:highlight w:val="none"/>
        </w:rPr>
        <w:t>率）”时填写</w:t>
      </w:r>
      <w:r>
        <w:rPr>
          <w:rFonts w:hint="eastAsia" w:ascii="宋体" w:hAnsi="宋体"/>
          <w:b/>
          <w:bCs/>
          <w:color w:val="auto"/>
          <w:kern w:val="0"/>
          <w:szCs w:val="21"/>
          <w:highlight w:val="none"/>
          <w:lang w:val="en-US" w:eastAsia="zh-CN"/>
        </w:rPr>
        <w:t>100</w:t>
      </w:r>
      <w:r>
        <w:rPr>
          <w:rFonts w:hint="eastAsia" w:ascii="宋体" w:hAnsi="宋体"/>
          <w:b/>
          <w:bCs/>
          <w:color w:val="auto"/>
          <w:kern w:val="0"/>
          <w:szCs w:val="21"/>
          <w:highlight w:val="none"/>
        </w:rPr>
        <w:t>%。</w:t>
      </w:r>
    </w:p>
    <w:p w14:paraId="7826283F">
      <w:pPr>
        <w:pStyle w:val="9"/>
        <w:rPr>
          <w:rFonts w:hint="eastAsia"/>
          <w:color w:val="auto"/>
          <w:highlight w:val="none"/>
        </w:rPr>
      </w:pPr>
    </w:p>
    <w:p w14:paraId="6026CDF4">
      <w:pPr>
        <w:spacing w:line="560" w:lineRule="exact"/>
        <w:ind w:left="420"/>
        <w:rPr>
          <w:rFonts w:hint="eastAsia" w:ascii="宋体" w:hAnsi="宋体"/>
          <w:color w:val="auto"/>
          <w:sz w:val="24"/>
          <w:highlight w:val="none"/>
          <w:u w:val="none"/>
        </w:rPr>
      </w:pPr>
      <w:r>
        <w:rPr>
          <w:rFonts w:hint="eastAsia" w:ascii="宋体" w:hAnsi="宋体"/>
          <w:color w:val="auto"/>
          <w:sz w:val="24"/>
          <w:highlight w:val="none"/>
        </w:rPr>
        <w:t>磋商供应商名称（盖章）：</w:t>
      </w:r>
      <w:r>
        <w:rPr>
          <w:rFonts w:hint="eastAsia" w:ascii="宋体" w:hAnsi="宋体"/>
          <w:color w:val="auto"/>
          <w:sz w:val="24"/>
          <w:highlight w:val="none"/>
          <w:u w:val="none"/>
        </w:rPr>
        <w:t xml:space="preserve">                     </w:t>
      </w:r>
    </w:p>
    <w:p w14:paraId="70DFEEBF">
      <w:pPr>
        <w:spacing w:line="560" w:lineRule="exact"/>
        <w:ind w:firstLine="435"/>
        <w:rPr>
          <w:rFonts w:hint="eastAsia" w:ascii="宋体" w:hAnsi="宋体"/>
          <w:color w:val="auto"/>
          <w:sz w:val="24"/>
          <w:highlight w:val="none"/>
        </w:rPr>
      </w:pPr>
    </w:p>
    <w:p w14:paraId="26A36A55">
      <w:pPr>
        <w:spacing w:line="560" w:lineRule="exact"/>
        <w:ind w:firstLine="435"/>
        <w:rPr>
          <w:rFonts w:hint="eastAsia" w:ascii="宋体" w:hAnsi="宋体"/>
          <w:color w:val="auto"/>
          <w:sz w:val="24"/>
          <w:highlight w:val="none"/>
          <w:u w:val="none"/>
        </w:rPr>
      </w:pPr>
      <w:r>
        <w:rPr>
          <w:rFonts w:hint="eastAsia" w:ascii="宋体" w:hAnsi="宋体"/>
          <w:color w:val="auto"/>
          <w:sz w:val="24"/>
          <w:highlight w:val="none"/>
          <w:lang w:eastAsia="zh-CN"/>
        </w:rPr>
        <w:t>法定代表人或授权委托代理人</w:t>
      </w:r>
      <w:r>
        <w:rPr>
          <w:rFonts w:hint="eastAsia" w:ascii="宋体" w:hAnsi="宋体"/>
          <w:color w:val="auto"/>
          <w:sz w:val="24"/>
          <w:highlight w:val="none"/>
        </w:rPr>
        <w:t>签字：</w:t>
      </w:r>
      <w:r>
        <w:rPr>
          <w:rFonts w:hint="eastAsia" w:ascii="宋体" w:hAnsi="宋体"/>
          <w:color w:val="auto"/>
          <w:sz w:val="24"/>
          <w:highlight w:val="none"/>
          <w:u w:val="none"/>
        </w:rPr>
        <w:t xml:space="preserve">                         </w:t>
      </w:r>
    </w:p>
    <w:p w14:paraId="51808E8F">
      <w:pPr>
        <w:spacing w:line="560" w:lineRule="exact"/>
        <w:ind w:firstLine="435"/>
        <w:rPr>
          <w:rFonts w:hint="eastAsia" w:ascii="宋体" w:hAnsi="宋体"/>
          <w:color w:val="auto"/>
          <w:sz w:val="24"/>
          <w:highlight w:val="none"/>
        </w:rPr>
      </w:pPr>
    </w:p>
    <w:p w14:paraId="6CC075DD">
      <w:pPr>
        <w:spacing w:line="560" w:lineRule="exact"/>
        <w:ind w:firstLine="435"/>
        <w:rPr>
          <w:rFonts w:hint="eastAsia" w:ascii="宋体" w:hAnsi="宋体"/>
          <w:color w:val="auto"/>
          <w:sz w:val="24"/>
          <w:highlight w:val="none"/>
          <w:u w:val="none"/>
        </w:rPr>
      </w:pPr>
      <w:r>
        <w:rPr>
          <w:rFonts w:hint="eastAsia" w:ascii="宋体" w:hAnsi="宋体"/>
          <w:color w:val="auto"/>
          <w:sz w:val="24"/>
          <w:highlight w:val="none"/>
        </w:rPr>
        <w:t>职        务：</w:t>
      </w:r>
      <w:r>
        <w:rPr>
          <w:rFonts w:hint="eastAsia" w:ascii="宋体" w:hAnsi="宋体"/>
          <w:color w:val="auto"/>
          <w:sz w:val="24"/>
          <w:highlight w:val="none"/>
          <w:u w:val="none"/>
        </w:rPr>
        <w:t xml:space="preserve">                             </w:t>
      </w:r>
    </w:p>
    <w:p w14:paraId="0FAC2576">
      <w:pPr>
        <w:spacing w:line="560" w:lineRule="exact"/>
        <w:ind w:firstLine="435"/>
        <w:rPr>
          <w:rFonts w:hint="eastAsia" w:ascii="宋体" w:hAnsi="宋体"/>
          <w:color w:val="auto"/>
          <w:sz w:val="24"/>
          <w:highlight w:val="none"/>
        </w:rPr>
      </w:pPr>
    </w:p>
    <w:p w14:paraId="011582C8">
      <w:pPr>
        <w:spacing w:line="560" w:lineRule="exact"/>
        <w:ind w:firstLine="435"/>
        <w:rPr>
          <w:rFonts w:hint="eastAsia" w:ascii="宋体" w:hAnsi="宋体"/>
          <w:color w:val="auto"/>
          <w:sz w:val="24"/>
          <w:highlight w:val="none"/>
          <w:u w:val="none"/>
        </w:rPr>
      </w:pPr>
      <w:r>
        <w:rPr>
          <w:rFonts w:hint="eastAsia" w:ascii="宋体" w:hAnsi="宋体"/>
          <w:color w:val="auto"/>
          <w:sz w:val="24"/>
          <w:highlight w:val="none"/>
        </w:rPr>
        <w:t>日        期：</w:t>
      </w:r>
      <w:r>
        <w:rPr>
          <w:rFonts w:hint="eastAsia" w:ascii="宋体" w:hAnsi="宋体"/>
          <w:color w:val="auto"/>
          <w:sz w:val="24"/>
          <w:highlight w:val="none"/>
          <w:u w:val="none"/>
        </w:rPr>
        <w:t xml:space="preserve">                             </w:t>
      </w:r>
    </w:p>
    <w:p w14:paraId="556574F1">
      <w:pPr>
        <w:snapToGrid w:val="0"/>
        <w:spacing w:before="156" w:beforeLines="50" w:after="50" w:line="360" w:lineRule="auto"/>
        <w:rPr>
          <w:rFonts w:hint="eastAsia" w:ascii="宋体" w:hAnsi="宋体"/>
          <w:b/>
          <w:color w:val="auto"/>
          <w:sz w:val="28"/>
          <w:highlight w:val="none"/>
        </w:rPr>
      </w:pPr>
    </w:p>
    <w:p w14:paraId="7F4CAAA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color w:val="auto"/>
          <w:sz w:val="28"/>
          <w:szCs w:val="28"/>
          <w:highlight w:val="none"/>
        </w:rPr>
      </w:pPr>
      <w:r>
        <w:rPr>
          <w:rFonts w:hint="eastAsia" w:ascii="宋体" w:hAnsi="宋体"/>
          <w:color w:val="auto"/>
          <w:sz w:val="24"/>
          <w:highlight w:val="none"/>
          <w:u w:val="none"/>
        </w:rPr>
        <w:t xml:space="preserve">  </w:t>
      </w:r>
    </w:p>
    <w:p w14:paraId="55516D6D">
      <w:pPr>
        <w:pStyle w:val="51"/>
        <w:widowControl/>
        <w:numPr>
          <w:ilvl w:val="0"/>
          <w:numId w:val="6"/>
        </w:numPr>
        <w:spacing w:line="360" w:lineRule="auto"/>
        <w:ind w:right="84" w:rightChars="40"/>
        <w:jc w:val="left"/>
        <w:rPr>
          <w:color w:val="auto"/>
          <w:highlight w:val="none"/>
        </w:rPr>
        <w:sectPr>
          <w:pgSz w:w="11906" w:h="16838"/>
          <w:pgMar w:top="1440" w:right="1576" w:bottom="1440" w:left="1576"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74806121">
      <w:pPr>
        <w:pStyle w:val="32"/>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cs="宋体"/>
          <w:color w:val="auto"/>
          <w:sz w:val="24"/>
          <w:szCs w:val="24"/>
          <w:highlight w:val="none"/>
        </w:rPr>
      </w:pPr>
      <w:r>
        <w:rPr>
          <w:rFonts w:hint="eastAsia" w:ascii="方正小标宋简体" w:hAnsi="方正小标宋简体" w:eastAsia="方正小标宋简体" w:cs="方正小标宋简体"/>
          <w:color w:val="auto"/>
          <w:sz w:val="32"/>
          <w:szCs w:val="32"/>
          <w:highlight w:val="none"/>
        </w:rPr>
        <w:t>政府采购活动现场确认声明书</w:t>
      </w:r>
    </w:p>
    <w:p w14:paraId="48E3A928">
      <w:pPr>
        <w:pStyle w:val="32"/>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u w:val="single"/>
          <w:lang w:eastAsia="zh-CN"/>
        </w:rPr>
        <w:t>赢海招标代理（台州）有限公司</w:t>
      </w:r>
      <w:r>
        <w:rPr>
          <w:rFonts w:hint="eastAsia" w:ascii="宋体" w:hAnsi="宋体" w:eastAsia="宋体" w:cs="宋体"/>
          <w:color w:val="auto"/>
          <w:kern w:val="0"/>
          <w:sz w:val="21"/>
          <w:szCs w:val="21"/>
          <w:highlight w:val="none"/>
        </w:rPr>
        <w:t>（采购组织机构名称）：</w:t>
      </w:r>
    </w:p>
    <w:p w14:paraId="56240BC5">
      <w:pPr>
        <w:pStyle w:val="32"/>
        <w:keepNext w:val="0"/>
        <w:keepLines w:val="0"/>
        <w:pageBreakBefore w:val="0"/>
        <w:widowControl w:val="0"/>
        <w:kinsoku/>
        <w:wordWrap/>
        <w:overflowPunct/>
        <w:topLinePunct w:val="0"/>
        <w:autoSpaceDE/>
        <w:autoSpaceDN/>
        <w:bidi w:val="0"/>
        <w:adjustRightInd/>
        <w:snapToGrid w:val="0"/>
        <w:spacing w:line="360" w:lineRule="auto"/>
        <w:ind w:firstLine="444" w:firstLineChars="20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（授权代表姓名）经由</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pacing w:val="6"/>
          <w:sz w:val="21"/>
          <w:szCs w:val="21"/>
          <w:highlight w:val="none"/>
        </w:rPr>
        <w:t>（单位）</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u w:val="none"/>
        </w:rPr>
        <w:t>（法定代表人姓名）</w:t>
      </w:r>
      <w:r>
        <w:rPr>
          <w:rFonts w:hint="eastAsia" w:ascii="宋体" w:hAnsi="宋体" w:eastAsia="宋体" w:cs="宋体"/>
          <w:color w:val="auto"/>
          <w:spacing w:val="6"/>
          <w:sz w:val="21"/>
          <w:szCs w:val="21"/>
          <w:highlight w:val="none"/>
        </w:rPr>
        <w:t>合法授权参加</w:t>
      </w:r>
      <w:r>
        <w:rPr>
          <w:rFonts w:hint="eastAsia" w:hAnsi="宋体" w:eastAsia="宋体" w:cs="宋体"/>
          <w:color w:val="auto"/>
          <w:spacing w:val="6"/>
          <w:sz w:val="21"/>
          <w:szCs w:val="21"/>
          <w:highlight w:val="none"/>
          <w:u w:val="single"/>
          <w:lang w:eastAsia="zh-CN"/>
        </w:rPr>
        <w:t>2025年椒江区前所街道居家养老服务采购项目</w:t>
      </w:r>
      <w:r>
        <w:rPr>
          <w:rFonts w:hint="eastAsia" w:ascii="宋体" w:hAnsi="宋体" w:eastAsia="宋体" w:cs="宋体"/>
          <w:color w:val="auto"/>
          <w:spacing w:val="6"/>
          <w:sz w:val="21"/>
          <w:szCs w:val="21"/>
          <w:highlight w:val="none"/>
        </w:rPr>
        <w:t>（编号：</w:t>
      </w:r>
      <w:r>
        <w:rPr>
          <w:rFonts w:hint="eastAsia" w:hAnsi="宋体" w:eastAsia="宋体" w:cs="宋体"/>
          <w:color w:val="auto"/>
          <w:spacing w:val="6"/>
          <w:sz w:val="21"/>
          <w:szCs w:val="21"/>
          <w:highlight w:val="none"/>
          <w:u w:val="single"/>
          <w:lang w:eastAsia="zh-CN"/>
        </w:rPr>
        <w:t>YHZB-2025-0327</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14:paraId="2F234180">
      <w:pPr>
        <w:pStyle w:val="33"/>
        <w:keepNext w:val="0"/>
        <w:keepLines w:val="0"/>
        <w:pageBreakBefore w:val="0"/>
        <w:widowControl/>
        <w:numPr>
          <w:ilvl w:val="0"/>
          <w:numId w:val="7"/>
        </w:numPr>
        <w:kinsoku/>
        <w:wordWrap/>
        <w:overflowPunct/>
        <w:topLinePunct w:val="0"/>
        <w:autoSpaceDE/>
        <w:autoSpaceDN/>
        <w:bidi w:val="0"/>
        <w:adjustRightInd/>
        <w:snapToGrid w:val="0"/>
        <w:spacing w:line="360" w:lineRule="auto"/>
        <w:ind w:firstLine="396" w:firstLineChars="189"/>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本单位与采购人之间 ☑不存在利害关系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15CBC54">
      <w:pPr>
        <w:pStyle w:val="33"/>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3647BFE6">
      <w:pPr>
        <w:pStyle w:val="33"/>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3850CD67">
      <w:pPr>
        <w:pStyle w:val="33"/>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 xml:space="preserve">  二、</w:t>
      </w:r>
      <w:r>
        <w:rPr>
          <w:rFonts w:hint="eastAsia" w:ascii="宋体" w:hAnsi="宋体" w:eastAsia="宋体" w:cs="宋体"/>
          <w:color w:val="auto"/>
          <w:kern w:val="0"/>
          <w:sz w:val="21"/>
          <w:szCs w:val="21"/>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4170A94">
      <w:pPr>
        <w:pStyle w:val="32"/>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64DA1714">
      <w:pPr>
        <w:pStyle w:val="32"/>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3CEB4B4B">
      <w:pPr>
        <w:pStyle w:val="32"/>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4F7582B4">
      <w:pPr>
        <w:pStyle w:val="32"/>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5F24D4A5">
      <w:pPr>
        <w:pStyle w:val="32"/>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20846731">
      <w:pPr>
        <w:pStyle w:val="32"/>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4F7C63F9">
      <w:pPr>
        <w:pStyle w:val="32"/>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bookmarkStart w:id="18" w:name="_Toc10654"/>
      <w:r>
        <w:rPr>
          <w:rFonts w:hint="eastAsia" w:ascii="宋体" w:hAnsi="宋体" w:eastAsia="宋体" w:cs="宋体"/>
          <w:color w:val="auto"/>
          <w:kern w:val="0"/>
          <w:sz w:val="21"/>
          <w:szCs w:val="21"/>
          <w:highlight w:val="none"/>
        </w:rPr>
        <w:t>G.存在共同直接或间接投资设立子公司、联营企业和合营企业情况</w:t>
      </w:r>
      <w:bookmarkEnd w:id="18"/>
    </w:p>
    <w:p w14:paraId="12991D8D">
      <w:pPr>
        <w:pStyle w:val="32"/>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2A8983E8">
      <w:pPr>
        <w:pStyle w:val="32"/>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0"/>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w:t>
      </w:r>
      <w:bookmarkStart w:id="19" w:name="_Toc1970"/>
      <w:r>
        <w:rPr>
          <w:rFonts w:hint="eastAsia" w:ascii="宋体" w:hAnsi="宋体" w:eastAsia="宋体" w:cs="宋体"/>
          <w:color w:val="auto"/>
          <w:sz w:val="21"/>
          <w:szCs w:val="21"/>
          <w:highlight w:val="none"/>
        </w:rPr>
        <w:t>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bookmarkEnd w:id="19"/>
    </w:p>
    <w:p w14:paraId="41E8A56C">
      <w:pPr>
        <w:pStyle w:val="33"/>
        <w:keepNext w:val="0"/>
        <w:keepLines w:val="0"/>
        <w:pageBreakBefore w:val="0"/>
        <w:widowControl/>
        <w:numPr>
          <w:ilvl w:val="0"/>
          <w:numId w:val="8"/>
        </w:numPr>
        <w:kinsoku/>
        <w:wordWrap/>
        <w:overflowPunct/>
        <w:topLinePunct w:val="0"/>
        <w:autoSpaceDE/>
        <w:autoSpaceDN/>
        <w:bidi w:val="0"/>
        <w:adjustRightInd/>
        <w:snapToGrid w:val="0"/>
        <w:spacing w:line="360" w:lineRule="auto"/>
        <w:ind w:firstLine="396" w:firstLineChars="189"/>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现已清楚知道并</w:t>
      </w:r>
      <w:r>
        <w:rPr>
          <w:rFonts w:hint="eastAsia" w:ascii="宋体" w:hAnsi="宋体" w:eastAsia="宋体" w:cs="宋体"/>
          <w:color w:val="auto"/>
          <w:kern w:val="0"/>
          <w:sz w:val="21"/>
          <w:szCs w:val="21"/>
          <w:highlight w:val="none"/>
        </w:rPr>
        <w:t>严格遵守政府采购法律法规和现场纪律。</w:t>
      </w:r>
    </w:p>
    <w:p w14:paraId="150D8E77">
      <w:pPr>
        <w:pStyle w:val="33"/>
        <w:keepNext w:val="0"/>
        <w:keepLines w:val="0"/>
        <w:pageBreakBefore w:val="0"/>
        <w:widowControl/>
        <w:numPr>
          <w:ilvl w:val="0"/>
          <w:numId w:val="8"/>
        </w:numPr>
        <w:kinsoku/>
        <w:wordWrap/>
        <w:overflowPunct/>
        <w:topLinePunct w:val="0"/>
        <w:autoSpaceDE/>
        <w:autoSpaceDN/>
        <w:bidi w:val="0"/>
        <w:adjustRightInd/>
        <w:snapToGrid w:val="0"/>
        <w:spacing w:line="360" w:lineRule="auto"/>
        <w:ind w:firstLine="396" w:firstLineChars="189"/>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我发现</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项利害关系。</w:t>
      </w:r>
    </w:p>
    <w:p w14:paraId="50224F3E">
      <w:pPr>
        <w:pStyle w:val="47"/>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rPr>
        <w:t>五、本单位若有违反诚信投标、采购法律法规等行为，愿意按照招标文件规定接受投标担保的处理。如已中标，自动放弃中标资格；给招标人造成损失的，依法承担赔偿责任。</w:t>
      </w:r>
    </w:p>
    <w:p w14:paraId="64BD85BB">
      <w:pPr>
        <w:pStyle w:val="32"/>
        <w:widowControl w:val="0"/>
        <w:snapToGrid w:val="0"/>
        <w:spacing w:line="400" w:lineRule="exact"/>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9FB57B9">
      <w:pPr>
        <w:snapToGrid w:val="0"/>
        <w:spacing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color w:val="auto"/>
          <w:kern w:val="0"/>
          <w:sz w:val="21"/>
          <w:szCs w:val="21"/>
          <w:highlight w:val="none"/>
        </w:rPr>
        <w:t>供应商法定代表人（或授权代表）签字（或盖章）：_______________</w:t>
      </w:r>
    </w:p>
    <w:p w14:paraId="3C3921F7">
      <w:pPr>
        <w:spacing w:line="400" w:lineRule="exact"/>
        <w:jc w:val="righ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bCs/>
          <w:color w:val="auto"/>
          <w:sz w:val="21"/>
          <w:szCs w:val="21"/>
          <w:highlight w:val="none"/>
          <w:lang w:val="en-US" w:eastAsia="zh-CN"/>
        </w:rPr>
        <w:t>日期：</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rPr>
        <w:t>年</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rPr>
        <w:t>月</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rPr>
        <w:t>日</w:t>
      </w:r>
    </w:p>
    <w:p w14:paraId="52ABF40B">
      <w:pPr>
        <w:spacing w:line="360" w:lineRule="auto"/>
        <w:jc w:val="left"/>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注：1、本表非投标文件的组成内容，无须在投标文件中提供。</w:t>
      </w:r>
    </w:p>
    <w:p w14:paraId="5E5B9DF9">
      <w:pPr>
        <w:spacing w:line="360" w:lineRule="auto"/>
        <w:jc w:val="left"/>
        <w:outlineLvl w:val="1"/>
        <w:rPr>
          <w:rFonts w:hint="default" w:eastAsia="宋体"/>
          <w:color w:val="auto"/>
          <w:highlight w:val="none"/>
          <w:lang w:val="en-US" w:eastAsia="zh-CN"/>
        </w:rPr>
      </w:pPr>
      <w:r>
        <w:rPr>
          <w:rFonts w:hint="eastAsia" w:ascii="宋体" w:hAnsi="宋体" w:eastAsia="宋体" w:cs="宋体"/>
          <w:b/>
          <w:bCs/>
          <w:color w:val="auto"/>
          <w:sz w:val="21"/>
          <w:szCs w:val="21"/>
          <w:highlight w:val="none"/>
        </w:rPr>
        <w:t>  2、各供应商提前打印本表，请在商务技术文件开启后30分钟内，签署完毕后扫描发送至邮箱：</w:t>
      </w:r>
      <w:r>
        <w:rPr>
          <w:rFonts w:hint="eastAsia" w:ascii="宋体" w:hAnsi="宋体" w:eastAsia="宋体" w:cs="宋体"/>
          <w:b/>
          <w:bCs/>
          <w:color w:val="auto"/>
          <w:sz w:val="21"/>
          <w:szCs w:val="21"/>
          <w:highlight w:val="none"/>
          <w:lang w:eastAsia="zh-CN"/>
        </w:rPr>
        <w:t>562223396@qq.com，不填写或未按规定发出邮件的，视同默认不存在确认声明书中的相关违规情形，</w:t>
      </w:r>
      <w:r>
        <w:rPr>
          <w:rFonts w:hint="eastAsia" w:ascii="宋体" w:hAnsi="宋体" w:eastAsia="宋体" w:cs="宋体"/>
          <w:b/>
          <w:bCs/>
          <w:color w:val="auto"/>
          <w:sz w:val="21"/>
          <w:szCs w:val="21"/>
          <w:highlight w:val="none"/>
          <w:lang w:val="en-US" w:eastAsia="zh-CN"/>
        </w:rPr>
        <w:t>后果由供应商自行承担。</w:t>
      </w:r>
    </w:p>
    <w:p w14:paraId="19C8DD05">
      <w:pPr>
        <w:spacing w:line="360" w:lineRule="auto"/>
        <w:jc w:val="left"/>
        <w:outlineLvl w:val="1"/>
        <w:rPr>
          <w:color w:val="auto"/>
          <w:highlight w:val="none"/>
        </w:rPr>
      </w:pPr>
    </w:p>
    <w:sectPr>
      <w:headerReference r:id="rId5" w:type="default"/>
      <w:footerReference r:id="rId6" w:type="default"/>
      <w:pgSz w:w="11906" w:h="16838"/>
      <w:pgMar w:top="1191" w:right="1576" w:bottom="1191" w:left="1576"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0000000000000000000"/>
    <w:charset w:val="86"/>
    <w:family w:val="script"/>
    <w:pitch w:val="default"/>
    <w:sig w:usb0="00000000" w:usb1="00000000" w:usb2="00000010" w:usb3="00000000" w:csb0="00040000" w:csb1="00000000"/>
  </w:font>
  <w:font w:name="方正小标宋简体">
    <w:altName w:val="黑体"/>
    <w:panose1 w:val="02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3FE53">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17A4F3">
                          <w:pPr>
                            <w:pStyle w:val="16"/>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shape id="文本框 105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6BTz0d8BAADBAwAADgAAAAAA&#10;AAABACAAAAAeAQAAZHJzL2Uyb0RvYy54bWxQSwUGAAAAAAYABgBZAQAAbwUAAAAA&#10;">
              <v:fill on="f" focussize="0,0"/>
              <v:stroke on="f"/>
              <v:imagedata o:title=""/>
              <o:lock v:ext="edit" aspectratio="f"/>
              <v:textbox inset="0mm,0mm,0mm,0mm" style="mso-fit-shape-to-text:t;">
                <w:txbxContent>
                  <w:p w14:paraId="1817A4F3">
                    <w:pPr>
                      <w:pStyle w:val="1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3E646">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02F707">
                          <w:pPr>
                            <w:pStyle w:val="16"/>
                          </w:pPr>
                          <w:r>
                            <w:fldChar w:fldCharType="begin"/>
                          </w:r>
                          <w:r>
                            <w:instrText xml:space="preserve"> PAGE  \* MERGEFORMAT </w:instrText>
                          </w:r>
                          <w:r>
                            <w:fldChar w:fldCharType="separate"/>
                          </w:r>
                          <w:r>
                            <w:t>27</w:t>
                          </w:r>
                          <w:r>
                            <w:fldChar w:fldCharType="end"/>
                          </w:r>
                        </w:p>
                      </w:txbxContent>
                    </wps:txbx>
                    <wps:bodyPr vert="horz" wrap="none" lIns="0" tIns="0" rIns="0" bIns="0" anchor="t" anchorCtr="0" upright="0">
                      <a:spAutoFit/>
                    </wps:bodyPr>
                  </wps:wsp>
                </a:graphicData>
              </a:graphic>
            </wp:anchor>
          </w:drawing>
        </mc:Choice>
        <mc:Fallback>
          <w:pict>
            <v:shape id="文本框 105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xf+h4QEAAMEDAAAOAAAA&#10;AAAAAAEAIAAAAB4BAABkcnMvZTJvRG9jLnhtbFBLBQYAAAAABgAGAFkBAABxBQAAAAA=&#10;">
              <v:fill on="f" focussize="0,0"/>
              <v:stroke on="f"/>
              <v:imagedata o:title=""/>
              <o:lock v:ext="edit" aspectratio="f"/>
              <v:textbox inset="0mm,0mm,0mm,0mm" style="mso-fit-shape-to-text:t;">
                <w:txbxContent>
                  <w:p w14:paraId="6B02F707">
                    <w:pPr>
                      <w:pStyle w:val="16"/>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54D91">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011FF3">
                          <w:pPr>
                            <w:pStyle w:val="16"/>
                          </w:pPr>
                          <w:r>
                            <w:fldChar w:fldCharType="begin"/>
                          </w:r>
                          <w:r>
                            <w:instrText xml:space="preserve"> PAGE  \* MERGEFORMAT </w:instrText>
                          </w:r>
                          <w:r>
                            <w:fldChar w:fldCharType="separate"/>
                          </w:r>
                          <w:r>
                            <w:t>53</w:t>
                          </w:r>
                          <w:r>
                            <w:fldChar w:fldCharType="end"/>
                          </w:r>
                        </w:p>
                      </w:txbxContent>
                    </wps:txbx>
                    <wps:bodyPr vert="horz" wrap="none" lIns="0" tIns="0" rIns="0" bIns="0" anchor="t" anchorCtr="0" upright="0">
                      <a:spAutoFit/>
                    </wps:bodyPr>
                  </wps:wsp>
                </a:graphicData>
              </a:graphic>
            </wp:anchor>
          </w:drawing>
        </mc:Choice>
        <mc:Fallback>
          <w:pict>
            <v:shape id="文本框 105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QYraZ4QEAAMEDAAAOAAAA&#10;AAAAAAEAIAAAAB4BAABkcnMvZTJvRG9jLnhtbFBLBQYAAAAABgAGAFkBAABxBQAAAAA=&#10;">
              <v:fill on="f" focussize="0,0"/>
              <v:stroke on="f"/>
              <v:imagedata o:title=""/>
              <o:lock v:ext="edit" aspectratio="f"/>
              <v:textbox inset="0mm,0mm,0mm,0mm" style="mso-fit-shape-to-text:t;">
                <w:txbxContent>
                  <w:p w14:paraId="25011FF3">
                    <w:pPr>
                      <w:pStyle w:val="16"/>
                    </w:pPr>
                    <w:r>
                      <w:fldChar w:fldCharType="begin"/>
                    </w:r>
                    <w:r>
                      <w:instrText xml:space="preserve"> PAGE  \* MERGEFORMAT </w:instrText>
                    </w:r>
                    <w:r>
                      <w:fldChar w:fldCharType="separate"/>
                    </w:r>
                    <w:r>
                      <w:t>53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65950">
    <w:pPr>
      <w:spacing w:line="20" w:lineRule="atLeast"/>
      <w:rPr>
        <w:b/>
        <w:color w:val="808080"/>
        <w:sz w:val="1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374F6A"/>
    <w:multiLevelType w:val="singleLevel"/>
    <w:tmpl w:val="A7374F6A"/>
    <w:lvl w:ilvl="0" w:tentative="0">
      <w:start w:val="1"/>
      <w:numFmt w:val="bullet"/>
      <w:pStyle w:val="11"/>
      <w:lvlText w:val=""/>
      <w:lvlJc w:val="left"/>
      <w:pPr>
        <w:tabs>
          <w:tab w:val="left" w:pos="780"/>
        </w:tabs>
        <w:ind w:left="780" w:hanging="360"/>
      </w:pPr>
      <w:rPr>
        <w:rFonts w:hint="default" w:ascii="Wingdings" w:hAnsi="Wingdings"/>
      </w:rPr>
    </w:lvl>
  </w:abstractNum>
  <w:abstractNum w:abstractNumId="1">
    <w:nsid w:val="AAF7B2CA"/>
    <w:multiLevelType w:val="singleLevel"/>
    <w:tmpl w:val="AAF7B2CA"/>
    <w:lvl w:ilvl="0" w:tentative="0">
      <w:start w:val="1"/>
      <w:numFmt w:val="decimal"/>
      <w:suff w:val="nothing"/>
      <w:lvlText w:val="%1、"/>
      <w:lvlJc w:val="left"/>
    </w:lvl>
  </w:abstractNum>
  <w:abstractNum w:abstractNumId="2">
    <w:nsid w:val="D6067AF9"/>
    <w:multiLevelType w:val="singleLevel"/>
    <w:tmpl w:val="D6067AF9"/>
    <w:lvl w:ilvl="0" w:tentative="0">
      <w:start w:val="2"/>
      <w:numFmt w:val="decimal"/>
      <w:suff w:val="nothing"/>
      <w:lvlText w:val="%1、"/>
      <w:lvlJc w:val="left"/>
    </w:lvl>
  </w:abstractNum>
  <w:abstractNum w:abstractNumId="3">
    <w:nsid w:val="F914D6CF"/>
    <w:multiLevelType w:val="singleLevel"/>
    <w:tmpl w:val="F914D6CF"/>
    <w:lvl w:ilvl="0" w:tentative="0">
      <w:start w:val="5"/>
      <w:numFmt w:val="decimal"/>
      <w:suff w:val="nothing"/>
      <w:lvlText w:val="%1、"/>
      <w:lvlJc w:val="left"/>
    </w:lvl>
  </w:abstractNum>
  <w:abstractNum w:abstractNumId="4">
    <w:nsid w:val="54F403B5"/>
    <w:multiLevelType w:val="singleLevel"/>
    <w:tmpl w:val="54F403B5"/>
    <w:lvl w:ilvl="0" w:tentative="0">
      <w:start w:val="1"/>
      <w:numFmt w:val="chineseCounting"/>
      <w:suff w:val="nothing"/>
      <w:lvlText w:val="%1、"/>
      <w:lvlJc w:val="left"/>
      <w:rPr>
        <w:rFonts w:cs="Times New Roman"/>
      </w:rPr>
    </w:lvl>
  </w:abstractNum>
  <w:abstractNum w:abstractNumId="5">
    <w:nsid w:val="557FD3DA"/>
    <w:multiLevelType w:val="singleLevel"/>
    <w:tmpl w:val="557FD3DA"/>
    <w:lvl w:ilvl="0" w:tentative="0">
      <w:start w:val="3"/>
      <w:numFmt w:val="chineseCounting"/>
      <w:suff w:val="nothing"/>
      <w:lvlText w:val="%1、"/>
      <w:lvlJc w:val="left"/>
      <w:rPr>
        <w:rFonts w:cs="Times New Roman"/>
      </w:rPr>
    </w:lvl>
  </w:abstractNum>
  <w:abstractNum w:abstractNumId="6">
    <w:nsid w:val="6E6F6101"/>
    <w:multiLevelType w:val="multilevel"/>
    <w:tmpl w:val="6E6F610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4"/>
        </w:tabs>
        <w:ind w:left="-4" w:hanging="420"/>
      </w:pPr>
    </w:lvl>
    <w:lvl w:ilvl="2" w:tentative="0">
      <w:start w:val="1"/>
      <w:numFmt w:val="lowerRoman"/>
      <w:lvlText w:val="%3."/>
      <w:lvlJc w:val="right"/>
      <w:pPr>
        <w:tabs>
          <w:tab w:val="left" w:pos="416"/>
        </w:tabs>
        <w:ind w:left="416" w:hanging="420"/>
      </w:pPr>
    </w:lvl>
    <w:lvl w:ilvl="3" w:tentative="0">
      <w:start w:val="1"/>
      <w:numFmt w:val="decimal"/>
      <w:lvlText w:val="%4."/>
      <w:lvlJc w:val="left"/>
      <w:pPr>
        <w:tabs>
          <w:tab w:val="left" w:pos="836"/>
        </w:tabs>
        <w:ind w:left="836" w:hanging="420"/>
      </w:pPr>
    </w:lvl>
    <w:lvl w:ilvl="4" w:tentative="0">
      <w:start w:val="1"/>
      <w:numFmt w:val="lowerLetter"/>
      <w:lvlText w:val="%5)"/>
      <w:lvlJc w:val="left"/>
      <w:pPr>
        <w:tabs>
          <w:tab w:val="left" w:pos="1256"/>
        </w:tabs>
        <w:ind w:left="1256" w:hanging="420"/>
      </w:pPr>
    </w:lvl>
    <w:lvl w:ilvl="5" w:tentative="0">
      <w:start w:val="1"/>
      <w:numFmt w:val="lowerRoman"/>
      <w:lvlText w:val="%6."/>
      <w:lvlJc w:val="right"/>
      <w:pPr>
        <w:tabs>
          <w:tab w:val="left" w:pos="1676"/>
        </w:tabs>
        <w:ind w:left="1676" w:hanging="420"/>
      </w:pPr>
    </w:lvl>
    <w:lvl w:ilvl="6" w:tentative="0">
      <w:start w:val="1"/>
      <w:numFmt w:val="decimal"/>
      <w:lvlText w:val="%7."/>
      <w:lvlJc w:val="left"/>
      <w:pPr>
        <w:tabs>
          <w:tab w:val="left" w:pos="2096"/>
        </w:tabs>
        <w:ind w:left="2096" w:hanging="420"/>
      </w:pPr>
    </w:lvl>
    <w:lvl w:ilvl="7" w:tentative="0">
      <w:start w:val="1"/>
      <w:numFmt w:val="lowerLetter"/>
      <w:lvlText w:val="%8)"/>
      <w:lvlJc w:val="left"/>
      <w:pPr>
        <w:tabs>
          <w:tab w:val="left" w:pos="2516"/>
        </w:tabs>
        <w:ind w:left="2516" w:hanging="420"/>
      </w:pPr>
    </w:lvl>
    <w:lvl w:ilvl="8" w:tentative="0">
      <w:start w:val="1"/>
      <w:numFmt w:val="lowerRoman"/>
      <w:lvlText w:val="%9."/>
      <w:lvlJc w:val="right"/>
      <w:pPr>
        <w:tabs>
          <w:tab w:val="left" w:pos="2936"/>
        </w:tabs>
        <w:ind w:left="2936" w:hanging="420"/>
      </w:pPr>
    </w:lvl>
  </w:abstractNum>
  <w:abstractNum w:abstractNumId="7">
    <w:nsid w:val="770A450F"/>
    <w:multiLevelType w:val="singleLevel"/>
    <w:tmpl w:val="770A450F"/>
    <w:lvl w:ilvl="0" w:tentative="0">
      <w:start w:val="2"/>
      <w:numFmt w:val="chineseCounting"/>
      <w:suff w:val="space"/>
      <w:lvlText w:val="（%1）"/>
      <w:lvlJc w:val="left"/>
      <w:rPr>
        <w:rFonts w:hint="eastAsia"/>
      </w:rPr>
    </w:lvl>
  </w:abstractNum>
  <w:num w:numId="1">
    <w:abstractNumId w:val="0"/>
  </w:num>
  <w:num w:numId="2">
    <w:abstractNumId w:val="7"/>
  </w:num>
  <w:num w:numId="3">
    <w:abstractNumId w:val="2"/>
  </w:num>
  <w:num w:numId="4">
    <w:abstractNumId w:val="3"/>
  </w:num>
  <w:num w:numId="5">
    <w:abstractNumId w:val="1"/>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1YmFlMWU5Y2UzYzkzM2ZlYjg2ZmFlYTAxZGEwNTQifQ=="/>
    <w:docVar w:name="KSO_WPS_MARK_KEY" w:val="5b1a5762-f9da-4e98-9d98-3da4a139f5ec"/>
  </w:docVars>
  <w:rsids>
    <w:rsidRoot w:val="00E07D9D"/>
    <w:rsid w:val="00014CA5"/>
    <w:rsid w:val="00042477"/>
    <w:rsid w:val="0008304B"/>
    <w:rsid w:val="001032B2"/>
    <w:rsid w:val="00115AF8"/>
    <w:rsid w:val="00171DF7"/>
    <w:rsid w:val="0018522B"/>
    <w:rsid w:val="001E57F1"/>
    <w:rsid w:val="00232F96"/>
    <w:rsid w:val="00292BAB"/>
    <w:rsid w:val="00311FA2"/>
    <w:rsid w:val="00334194"/>
    <w:rsid w:val="00354120"/>
    <w:rsid w:val="00385920"/>
    <w:rsid w:val="003A7A1A"/>
    <w:rsid w:val="00431853"/>
    <w:rsid w:val="004474D3"/>
    <w:rsid w:val="00453F9C"/>
    <w:rsid w:val="0048530E"/>
    <w:rsid w:val="004B65E4"/>
    <w:rsid w:val="0056727E"/>
    <w:rsid w:val="00613395"/>
    <w:rsid w:val="00623D76"/>
    <w:rsid w:val="00700590"/>
    <w:rsid w:val="00773581"/>
    <w:rsid w:val="007A65B4"/>
    <w:rsid w:val="008403FF"/>
    <w:rsid w:val="00920F2B"/>
    <w:rsid w:val="00941FC3"/>
    <w:rsid w:val="00A072B2"/>
    <w:rsid w:val="00A22DF4"/>
    <w:rsid w:val="00A35364"/>
    <w:rsid w:val="00B45697"/>
    <w:rsid w:val="00B568AD"/>
    <w:rsid w:val="00BE7661"/>
    <w:rsid w:val="00C03AD4"/>
    <w:rsid w:val="00C2408E"/>
    <w:rsid w:val="00C422C7"/>
    <w:rsid w:val="00CA4A18"/>
    <w:rsid w:val="00D40D17"/>
    <w:rsid w:val="00DB6EDC"/>
    <w:rsid w:val="00DE00DB"/>
    <w:rsid w:val="00E07D9D"/>
    <w:rsid w:val="00E56A55"/>
    <w:rsid w:val="00E7445F"/>
    <w:rsid w:val="00E76FCA"/>
    <w:rsid w:val="00F5140E"/>
    <w:rsid w:val="00F55864"/>
    <w:rsid w:val="00F60390"/>
    <w:rsid w:val="00F866AF"/>
    <w:rsid w:val="01225E7A"/>
    <w:rsid w:val="01235870"/>
    <w:rsid w:val="01395C6C"/>
    <w:rsid w:val="018750D4"/>
    <w:rsid w:val="01FF350A"/>
    <w:rsid w:val="021B6523"/>
    <w:rsid w:val="02332C14"/>
    <w:rsid w:val="02C74013"/>
    <w:rsid w:val="03522419"/>
    <w:rsid w:val="037D1597"/>
    <w:rsid w:val="03B03FDB"/>
    <w:rsid w:val="04044F1B"/>
    <w:rsid w:val="040D045C"/>
    <w:rsid w:val="041D723B"/>
    <w:rsid w:val="045C0066"/>
    <w:rsid w:val="04EB399B"/>
    <w:rsid w:val="050003A5"/>
    <w:rsid w:val="05123C5E"/>
    <w:rsid w:val="056A6E67"/>
    <w:rsid w:val="05FD0972"/>
    <w:rsid w:val="06911C3B"/>
    <w:rsid w:val="069E7A64"/>
    <w:rsid w:val="06D3561E"/>
    <w:rsid w:val="06E676DD"/>
    <w:rsid w:val="070843DF"/>
    <w:rsid w:val="07C37441"/>
    <w:rsid w:val="07E56035"/>
    <w:rsid w:val="08404FDD"/>
    <w:rsid w:val="088A142D"/>
    <w:rsid w:val="08E27D9B"/>
    <w:rsid w:val="08F272CC"/>
    <w:rsid w:val="093C09A4"/>
    <w:rsid w:val="09DD2300"/>
    <w:rsid w:val="0A170BCB"/>
    <w:rsid w:val="0A1D11FE"/>
    <w:rsid w:val="0A73776C"/>
    <w:rsid w:val="0AC47B22"/>
    <w:rsid w:val="0ADE5034"/>
    <w:rsid w:val="0B490CDB"/>
    <w:rsid w:val="0B896BF3"/>
    <w:rsid w:val="0BB96D0D"/>
    <w:rsid w:val="0C0F6841"/>
    <w:rsid w:val="0CBF1628"/>
    <w:rsid w:val="0CD710D9"/>
    <w:rsid w:val="0D046F57"/>
    <w:rsid w:val="0D7B74A0"/>
    <w:rsid w:val="0DB702AD"/>
    <w:rsid w:val="0E3A7F74"/>
    <w:rsid w:val="0E411148"/>
    <w:rsid w:val="0E97063C"/>
    <w:rsid w:val="0ED40C6A"/>
    <w:rsid w:val="0EEA5BFB"/>
    <w:rsid w:val="0FB25FC7"/>
    <w:rsid w:val="0FBA0652"/>
    <w:rsid w:val="0FDB50A8"/>
    <w:rsid w:val="10357E4D"/>
    <w:rsid w:val="108925D1"/>
    <w:rsid w:val="108C1C72"/>
    <w:rsid w:val="108C381C"/>
    <w:rsid w:val="10C235C1"/>
    <w:rsid w:val="10C43531"/>
    <w:rsid w:val="11330B86"/>
    <w:rsid w:val="12615963"/>
    <w:rsid w:val="1279740C"/>
    <w:rsid w:val="138B32FE"/>
    <w:rsid w:val="13A520F1"/>
    <w:rsid w:val="13FE46D0"/>
    <w:rsid w:val="14773A8D"/>
    <w:rsid w:val="14F61911"/>
    <w:rsid w:val="15826B52"/>
    <w:rsid w:val="15A255F7"/>
    <w:rsid w:val="1601632B"/>
    <w:rsid w:val="161F262E"/>
    <w:rsid w:val="1638216A"/>
    <w:rsid w:val="16FD3DCC"/>
    <w:rsid w:val="179749F9"/>
    <w:rsid w:val="17B71A16"/>
    <w:rsid w:val="189944A0"/>
    <w:rsid w:val="19D7501D"/>
    <w:rsid w:val="1A150719"/>
    <w:rsid w:val="1A642E56"/>
    <w:rsid w:val="1A976424"/>
    <w:rsid w:val="1B5965D9"/>
    <w:rsid w:val="1B6935E8"/>
    <w:rsid w:val="1BB630ED"/>
    <w:rsid w:val="1BF400B9"/>
    <w:rsid w:val="1BFD3B34"/>
    <w:rsid w:val="1CD86382"/>
    <w:rsid w:val="1D0920D2"/>
    <w:rsid w:val="1D554B87"/>
    <w:rsid w:val="1D892EC8"/>
    <w:rsid w:val="1DBC0B5B"/>
    <w:rsid w:val="1E193E07"/>
    <w:rsid w:val="1E5674E2"/>
    <w:rsid w:val="1EE461C3"/>
    <w:rsid w:val="1F114ADE"/>
    <w:rsid w:val="1F2C3C4B"/>
    <w:rsid w:val="1F7B6798"/>
    <w:rsid w:val="1FCD4DEA"/>
    <w:rsid w:val="1FFA6F82"/>
    <w:rsid w:val="20000EAD"/>
    <w:rsid w:val="20960334"/>
    <w:rsid w:val="20B816B5"/>
    <w:rsid w:val="20CE304D"/>
    <w:rsid w:val="2105737F"/>
    <w:rsid w:val="211D3C0E"/>
    <w:rsid w:val="21442EF4"/>
    <w:rsid w:val="21BC592B"/>
    <w:rsid w:val="21DF2C72"/>
    <w:rsid w:val="2216196D"/>
    <w:rsid w:val="227E06DD"/>
    <w:rsid w:val="22DB7F60"/>
    <w:rsid w:val="230A1F70"/>
    <w:rsid w:val="23530927"/>
    <w:rsid w:val="244D4C3D"/>
    <w:rsid w:val="24E9795F"/>
    <w:rsid w:val="2531075A"/>
    <w:rsid w:val="2571298B"/>
    <w:rsid w:val="257D2ECD"/>
    <w:rsid w:val="25C97EC1"/>
    <w:rsid w:val="25EB43CB"/>
    <w:rsid w:val="25FA77F7"/>
    <w:rsid w:val="25FE400E"/>
    <w:rsid w:val="265B0C53"/>
    <w:rsid w:val="267E2D46"/>
    <w:rsid w:val="26A43B88"/>
    <w:rsid w:val="26E52AD8"/>
    <w:rsid w:val="26EA588A"/>
    <w:rsid w:val="27070CA1"/>
    <w:rsid w:val="275A7512"/>
    <w:rsid w:val="277766A5"/>
    <w:rsid w:val="280404D1"/>
    <w:rsid w:val="290745E6"/>
    <w:rsid w:val="290B259E"/>
    <w:rsid w:val="294A5E93"/>
    <w:rsid w:val="29727D7B"/>
    <w:rsid w:val="29836BAE"/>
    <w:rsid w:val="29D7346D"/>
    <w:rsid w:val="29F75E3B"/>
    <w:rsid w:val="2A1F23A7"/>
    <w:rsid w:val="2A622692"/>
    <w:rsid w:val="2A99093D"/>
    <w:rsid w:val="2ADB7D7D"/>
    <w:rsid w:val="2AF57B2F"/>
    <w:rsid w:val="2B041C7D"/>
    <w:rsid w:val="2B7D6E63"/>
    <w:rsid w:val="2B8C00D9"/>
    <w:rsid w:val="2BE31470"/>
    <w:rsid w:val="2BE76AB8"/>
    <w:rsid w:val="2C5F47C6"/>
    <w:rsid w:val="2C7A71CC"/>
    <w:rsid w:val="2C8B4438"/>
    <w:rsid w:val="2CD243E7"/>
    <w:rsid w:val="2DAA05D8"/>
    <w:rsid w:val="2DAC5704"/>
    <w:rsid w:val="2DBC7B2D"/>
    <w:rsid w:val="2DBD7DC4"/>
    <w:rsid w:val="2DD90EBD"/>
    <w:rsid w:val="2E1B14D5"/>
    <w:rsid w:val="2E31790A"/>
    <w:rsid w:val="2EBF7486"/>
    <w:rsid w:val="2EEB5DA4"/>
    <w:rsid w:val="2F0B6A14"/>
    <w:rsid w:val="2F5125FC"/>
    <w:rsid w:val="2F8134FB"/>
    <w:rsid w:val="2F996B56"/>
    <w:rsid w:val="302E0926"/>
    <w:rsid w:val="30DD2A72"/>
    <w:rsid w:val="31A05120"/>
    <w:rsid w:val="326A5E43"/>
    <w:rsid w:val="32B53CA7"/>
    <w:rsid w:val="32D54349"/>
    <w:rsid w:val="33FF6DD4"/>
    <w:rsid w:val="348A4CBF"/>
    <w:rsid w:val="34EA4146"/>
    <w:rsid w:val="35B069A7"/>
    <w:rsid w:val="35FC399A"/>
    <w:rsid w:val="36254176"/>
    <w:rsid w:val="36A62897"/>
    <w:rsid w:val="36A830B1"/>
    <w:rsid w:val="36BF5848"/>
    <w:rsid w:val="36E36908"/>
    <w:rsid w:val="36FF0B0F"/>
    <w:rsid w:val="374871C9"/>
    <w:rsid w:val="37B54C6C"/>
    <w:rsid w:val="3854031C"/>
    <w:rsid w:val="38A5656B"/>
    <w:rsid w:val="38B425CD"/>
    <w:rsid w:val="38E06BCA"/>
    <w:rsid w:val="38E72223"/>
    <w:rsid w:val="39255270"/>
    <w:rsid w:val="39C55E53"/>
    <w:rsid w:val="39D74DB5"/>
    <w:rsid w:val="39DA5328"/>
    <w:rsid w:val="3A1E289D"/>
    <w:rsid w:val="3A1E65D5"/>
    <w:rsid w:val="3A2A3EF5"/>
    <w:rsid w:val="3A4E3465"/>
    <w:rsid w:val="3A4E3BE3"/>
    <w:rsid w:val="3AE37F31"/>
    <w:rsid w:val="3AFA0DF0"/>
    <w:rsid w:val="3B3B4F65"/>
    <w:rsid w:val="3B3D2A8B"/>
    <w:rsid w:val="3B5322AF"/>
    <w:rsid w:val="3BC1190E"/>
    <w:rsid w:val="3C776471"/>
    <w:rsid w:val="3D976DD1"/>
    <w:rsid w:val="3DA94408"/>
    <w:rsid w:val="3DE65117"/>
    <w:rsid w:val="3E2F1918"/>
    <w:rsid w:val="3E430C9D"/>
    <w:rsid w:val="3EF15ABC"/>
    <w:rsid w:val="3EFD0EAF"/>
    <w:rsid w:val="3F407901"/>
    <w:rsid w:val="3F422D66"/>
    <w:rsid w:val="3F533D68"/>
    <w:rsid w:val="3F590B0C"/>
    <w:rsid w:val="400A2CE8"/>
    <w:rsid w:val="402630E3"/>
    <w:rsid w:val="404A02E1"/>
    <w:rsid w:val="404A2DC7"/>
    <w:rsid w:val="40A730A3"/>
    <w:rsid w:val="416B7C26"/>
    <w:rsid w:val="41797DB2"/>
    <w:rsid w:val="4186530E"/>
    <w:rsid w:val="41C757A4"/>
    <w:rsid w:val="41DE4D1B"/>
    <w:rsid w:val="42081A4E"/>
    <w:rsid w:val="42202B50"/>
    <w:rsid w:val="431F7C9E"/>
    <w:rsid w:val="434051DE"/>
    <w:rsid w:val="437507CF"/>
    <w:rsid w:val="43D93AAE"/>
    <w:rsid w:val="440D4432"/>
    <w:rsid w:val="44110F59"/>
    <w:rsid w:val="44666CBB"/>
    <w:rsid w:val="45295C36"/>
    <w:rsid w:val="459E05CA"/>
    <w:rsid w:val="45A50616"/>
    <w:rsid w:val="46676AAD"/>
    <w:rsid w:val="46A50CD8"/>
    <w:rsid w:val="46A937CA"/>
    <w:rsid w:val="46D91549"/>
    <w:rsid w:val="46FE2958"/>
    <w:rsid w:val="4757107A"/>
    <w:rsid w:val="47663EA6"/>
    <w:rsid w:val="47697EA4"/>
    <w:rsid w:val="477E06B3"/>
    <w:rsid w:val="47835CCA"/>
    <w:rsid w:val="48026DF0"/>
    <w:rsid w:val="48054BD7"/>
    <w:rsid w:val="480A16CD"/>
    <w:rsid w:val="493F5BE2"/>
    <w:rsid w:val="49564FB0"/>
    <w:rsid w:val="49C36851"/>
    <w:rsid w:val="4A56008F"/>
    <w:rsid w:val="4A682494"/>
    <w:rsid w:val="4AC81EE0"/>
    <w:rsid w:val="4B275D08"/>
    <w:rsid w:val="4BC867EE"/>
    <w:rsid w:val="4BE6153E"/>
    <w:rsid w:val="4C7D0B3D"/>
    <w:rsid w:val="4C9124AD"/>
    <w:rsid w:val="4CEB8B6D"/>
    <w:rsid w:val="4D473065"/>
    <w:rsid w:val="4DB772D3"/>
    <w:rsid w:val="4E121881"/>
    <w:rsid w:val="4EBC25FD"/>
    <w:rsid w:val="4EDF237F"/>
    <w:rsid w:val="4F4E4EE9"/>
    <w:rsid w:val="4F4F0EB5"/>
    <w:rsid w:val="4FCE7F8F"/>
    <w:rsid w:val="4FE44320"/>
    <w:rsid w:val="500A4D2A"/>
    <w:rsid w:val="50327FC0"/>
    <w:rsid w:val="50772144"/>
    <w:rsid w:val="508E09E7"/>
    <w:rsid w:val="51281690"/>
    <w:rsid w:val="51A45CFD"/>
    <w:rsid w:val="51EB2DE9"/>
    <w:rsid w:val="522A3964"/>
    <w:rsid w:val="52546E5D"/>
    <w:rsid w:val="529D44C5"/>
    <w:rsid w:val="52B7716F"/>
    <w:rsid w:val="530024B2"/>
    <w:rsid w:val="53780B21"/>
    <w:rsid w:val="53A612A2"/>
    <w:rsid w:val="53AC6C65"/>
    <w:rsid w:val="53BB41BD"/>
    <w:rsid w:val="54517320"/>
    <w:rsid w:val="5474356A"/>
    <w:rsid w:val="54A92AE8"/>
    <w:rsid w:val="54DE3BF3"/>
    <w:rsid w:val="55007C14"/>
    <w:rsid w:val="550D4822"/>
    <w:rsid w:val="556F6403"/>
    <w:rsid w:val="558507BB"/>
    <w:rsid w:val="55A40AC8"/>
    <w:rsid w:val="55A52891"/>
    <w:rsid w:val="55D63FB0"/>
    <w:rsid w:val="56126E8D"/>
    <w:rsid w:val="56397AC1"/>
    <w:rsid w:val="56AA3724"/>
    <w:rsid w:val="56F86762"/>
    <w:rsid w:val="571538BF"/>
    <w:rsid w:val="5750078C"/>
    <w:rsid w:val="57D91D03"/>
    <w:rsid w:val="58B85348"/>
    <w:rsid w:val="58CC3DBC"/>
    <w:rsid w:val="58D14644"/>
    <w:rsid w:val="58DB3787"/>
    <w:rsid w:val="5980259E"/>
    <w:rsid w:val="59AE60B1"/>
    <w:rsid w:val="59E9604F"/>
    <w:rsid w:val="5A315A59"/>
    <w:rsid w:val="5A980A67"/>
    <w:rsid w:val="5A9D286A"/>
    <w:rsid w:val="5B524B88"/>
    <w:rsid w:val="5B615478"/>
    <w:rsid w:val="5B831C79"/>
    <w:rsid w:val="5BF154A0"/>
    <w:rsid w:val="5BFF6802"/>
    <w:rsid w:val="5C2D3FFE"/>
    <w:rsid w:val="5CB21136"/>
    <w:rsid w:val="5DA5509A"/>
    <w:rsid w:val="5DAF7357"/>
    <w:rsid w:val="5DFB2606"/>
    <w:rsid w:val="5E495411"/>
    <w:rsid w:val="5EBB2991"/>
    <w:rsid w:val="5F400A1B"/>
    <w:rsid w:val="5F77CB4C"/>
    <w:rsid w:val="5F7914AC"/>
    <w:rsid w:val="5F9C5705"/>
    <w:rsid w:val="603E670B"/>
    <w:rsid w:val="607A0919"/>
    <w:rsid w:val="611C5EE6"/>
    <w:rsid w:val="61785230"/>
    <w:rsid w:val="624D12D8"/>
    <w:rsid w:val="62516168"/>
    <w:rsid w:val="625E7607"/>
    <w:rsid w:val="62CD1E0B"/>
    <w:rsid w:val="62CE73E5"/>
    <w:rsid w:val="62DC02B3"/>
    <w:rsid w:val="62EA2081"/>
    <w:rsid w:val="62EC4F6E"/>
    <w:rsid w:val="635744F6"/>
    <w:rsid w:val="638B7A4D"/>
    <w:rsid w:val="63936E3D"/>
    <w:rsid w:val="63A637AA"/>
    <w:rsid w:val="64066E18"/>
    <w:rsid w:val="64907FA4"/>
    <w:rsid w:val="64B055E5"/>
    <w:rsid w:val="64B259E8"/>
    <w:rsid w:val="64FF47A0"/>
    <w:rsid w:val="655E7CB0"/>
    <w:rsid w:val="65DA7833"/>
    <w:rsid w:val="6602544E"/>
    <w:rsid w:val="664408C2"/>
    <w:rsid w:val="664A1A2C"/>
    <w:rsid w:val="66BA0B05"/>
    <w:rsid w:val="66DC123F"/>
    <w:rsid w:val="679D7E31"/>
    <w:rsid w:val="67ED57A1"/>
    <w:rsid w:val="689A0C6D"/>
    <w:rsid w:val="692FB076"/>
    <w:rsid w:val="696F095D"/>
    <w:rsid w:val="69FC7AA6"/>
    <w:rsid w:val="6A3C6480"/>
    <w:rsid w:val="6AC46CF3"/>
    <w:rsid w:val="6B553165"/>
    <w:rsid w:val="6BDF408B"/>
    <w:rsid w:val="6C2B17D2"/>
    <w:rsid w:val="6C666233"/>
    <w:rsid w:val="6C96131E"/>
    <w:rsid w:val="6D44041F"/>
    <w:rsid w:val="6D9D3747"/>
    <w:rsid w:val="6E296D1B"/>
    <w:rsid w:val="6E692A1D"/>
    <w:rsid w:val="6E745779"/>
    <w:rsid w:val="6E842B78"/>
    <w:rsid w:val="6E861244"/>
    <w:rsid w:val="6E8E32CB"/>
    <w:rsid w:val="6ED4413D"/>
    <w:rsid w:val="6EE42C42"/>
    <w:rsid w:val="6F52694C"/>
    <w:rsid w:val="6F57767E"/>
    <w:rsid w:val="6F614293"/>
    <w:rsid w:val="6F6F194A"/>
    <w:rsid w:val="6FB40BCD"/>
    <w:rsid w:val="6FF572CC"/>
    <w:rsid w:val="7047260A"/>
    <w:rsid w:val="7075303A"/>
    <w:rsid w:val="7097203B"/>
    <w:rsid w:val="7110304F"/>
    <w:rsid w:val="72376B1C"/>
    <w:rsid w:val="72732BB7"/>
    <w:rsid w:val="736A4FA9"/>
    <w:rsid w:val="73FE4784"/>
    <w:rsid w:val="74160B20"/>
    <w:rsid w:val="7434567E"/>
    <w:rsid w:val="74F532D6"/>
    <w:rsid w:val="751B4EE4"/>
    <w:rsid w:val="758B1D46"/>
    <w:rsid w:val="75B6430A"/>
    <w:rsid w:val="75BB26DD"/>
    <w:rsid w:val="76CF7FE3"/>
    <w:rsid w:val="76EF065B"/>
    <w:rsid w:val="76FF283A"/>
    <w:rsid w:val="7706409E"/>
    <w:rsid w:val="775C36B9"/>
    <w:rsid w:val="779E70EA"/>
    <w:rsid w:val="77C33314"/>
    <w:rsid w:val="78126A72"/>
    <w:rsid w:val="78190755"/>
    <w:rsid w:val="782B2EF0"/>
    <w:rsid w:val="78777214"/>
    <w:rsid w:val="78AC46E1"/>
    <w:rsid w:val="78D338D8"/>
    <w:rsid w:val="79990935"/>
    <w:rsid w:val="799D281A"/>
    <w:rsid w:val="79BA4CCB"/>
    <w:rsid w:val="79BF19CD"/>
    <w:rsid w:val="79E5676C"/>
    <w:rsid w:val="7A502EC9"/>
    <w:rsid w:val="7A9674E6"/>
    <w:rsid w:val="7AEA064E"/>
    <w:rsid w:val="7AED2E7F"/>
    <w:rsid w:val="7B611D95"/>
    <w:rsid w:val="7BEA3A1C"/>
    <w:rsid w:val="7BFFC66B"/>
    <w:rsid w:val="7C2012A0"/>
    <w:rsid w:val="7C4376D8"/>
    <w:rsid w:val="7CAB1B33"/>
    <w:rsid w:val="7CF33085"/>
    <w:rsid w:val="7DE467BB"/>
    <w:rsid w:val="7EF550C8"/>
    <w:rsid w:val="7F67517B"/>
    <w:rsid w:val="7F870080"/>
    <w:rsid w:val="7F875650"/>
    <w:rsid w:val="7FB4B216"/>
    <w:rsid w:val="8E540F39"/>
    <w:rsid w:val="9EF51A76"/>
    <w:rsid w:val="A46B8E00"/>
    <w:rsid w:val="AA9F5D66"/>
    <w:rsid w:val="BD93D7C9"/>
    <w:rsid w:val="CCCE51C6"/>
    <w:rsid w:val="CD6DA41E"/>
    <w:rsid w:val="DACF7C72"/>
    <w:rsid w:val="DFFAE3DF"/>
    <w:rsid w:val="E2BD8516"/>
    <w:rsid w:val="E8FBB812"/>
    <w:rsid w:val="F3F64E9D"/>
    <w:rsid w:val="F57F36FB"/>
    <w:rsid w:val="F7ECED66"/>
    <w:rsid w:val="F9BBC59C"/>
    <w:rsid w:val="FA23B24E"/>
    <w:rsid w:val="FE7FA6A5"/>
    <w:rsid w:val="FEFFB77A"/>
    <w:rsid w:val="FF93C5F0"/>
    <w:rsid w:val="FFF69B9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ind w:firstLine="0" w:firstLineChars="0"/>
      <w:outlineLvl w:val="0"/>
    </w:pPr>
    <w:rPr>
      <w:rFonts w:ascii="Times New Roman" w:hAnsi="Times New Roman"/>
      <w:b/>
      <w:kern w:val="44"/>
      <w:sz w:val="24"/>
    </w:rPr>
  </w:style>
  <w:style w:type="paragraph" w:styleId="3">
    <w:name w:val="heading 2"/>
    <w:basedOn w:val="1"/>
    <w:next w:val="1"/>
    <w:qFormat/>
    <w:uiPriority w:val="0"/>
    <w:pPr>
      <w:keepNext/>
      <w:keepLines/>
      <w:spacing w:beforeLines="0" w:beforeAutospacing="0" w:afterLines="0" w:afterAutospacing="0" w:line="360" w:lineRule="auto"/>
      <w:ind w:firstLine="0" w:firstLineChars="0"/>
      <w:outlineLvl w:val="1"/>
    </w:pPr>
    <w:rPr>
      <w:rFonts w:ascii="Arial" w:hAnsi="Arial"/>
      <w:b/>
      <w:sz w:val="24"/>
    </w:rPr>
  </w:style>
  <w:style w:type="paragraph" w:styleId="4">
    <w:name w:val="heading 3"/>
    <w:basedOn w:val="1"/>
    <w:next w:val="1"/>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styleId="5">
    <w:name w:val="heading 4"/>
    <w:basedOn w:val="1"/>
    <w:next w:val="1"/>
    <w:unhideWhenUsed/>
    <w:qFormat/>
    <w:uiPriority w:val="0"/>
    <w:pPr>
      <w:keepNext/>
      <w:keepLines/>
      <w:spacing w:beforeLines="0" w:beforeAutospacing="0" w:afterLines="0" w:afterAutospacing="0" w:line="360" w:lineRule="auto"/>
      <w:ind w:firstLine="0" w:firstLineChars="0"/>
      <w:outlineLvl w:val="3"/>
    </w:pPr>
    <w:rPr>
      <w:rFonts w:ascii="宋体" w:hAnsi="宋体" w:eastAsia="宋体" w:cs="宋体"/>
      <w:b/>
      <w:snapToGrid w:val="0"/>
      <w:sz w:val="24"/>
      <w:szCs w:val="24"/>
    </w:rPr>
  </w:style>
  <w:style w:type="character" w:default="1" w:styleId="28">
    <w:name w:val="Default Paragraph Font"/>
    <w:semiHidden/>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99"/>
    <w:pPr>
      <w:ind w:firstLine="420"/>
    </w:pPr>
    <w:rPr>
      <w:szCs w:val="20"/>
    </w:rPr>
  </w:style>
  <w:style w:type="paragraph" w:styleId="7">
    <w:name w:val="annotation text"/>
    <w:basedOn w:val="1"/>
    <w:qFormat/>
    <w:uiPriority w:val="0"/>
    <w:pPr>
      <w:jc w:val="left"/>
    </w:pPr>
  </w:style>
  <w:style w:type="paragraph" w:styleId="8">
    <w:name w:val="Body Text 3"/>
    <w:basedOn w:val="1"/>
    <w:qFormat/>
    <w:uiPriority w:val="0"/>
    <w:rPr>
      <w:rFonts w:ascii="宋体"/>
      <w:sz w:val="24"/>
      <w:szCs w:val="20"/>
    </w:rPr>
  </w:style>
  <w:style w:type="paragraph" w:styleId="9">
    <w:name w:val="Body Text"/>
    <w:basedOn w:val="1"/>
    <w:qFormat/>
    <w:uiPriority w:val="0"/>
    <w:pPr>
      <w:spacing w:after="120"/>
    </w:pPr>
  </w:style>
  <w:style w:type="paragraph" w:styleId="10">
    <w:name w:val="Body Text Indent"/>
    <w:basedOn w:val="1"/>
    <w:next w:val="1"/>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11">
    <w:name w:val="List Bullet 2"/>
    <w:basedOn w:val="1"/>
    <w:qFormat/>
    <w:uiPriority w:val="0"/>
    <w:pPr>
      <w:numPr>
        <w:ilvl w:val="0"/>
        <w:numId w:val="1"/>
      </w:numPr>
    </w:pPr>
  </w:style>
  <w:style w:type="paragraph" w:styleId="12">
    <w:name w:val="toc 3"/>
    <w:basedOn w:val="1"/>
    <w:next w:val="1"/>
    <w:qFormat/>
    <w:uiPriority w:val="39"/>
    <w:pPr>
      <w:ind w:left="840" w:leftChars="400"/>
    </w:pPr>
  </w:style>
  <w:style w:type="paragraph" w:styleId="13">
    <w:name w:val="Plain Text"/>
    <w:basedOn w:val="1"/>
    <w:next w:val="14"/>
    <w:qFormat/>
    <w:uiPriority w:val="0"/>
    <w:rPr>
      <w:rFonts w:ascii="宋体" w:hAnsi="Courier New"/>
    </w:rPr>
  </w:style>
  <w:style w:type="paragraph" w:styleId="14">
    <w:name w:val="Date"/>
    <w:basedOn w:val="1"/>
    <w:next w:val="1"/>
    <w:qFormat/>
    <w:uiPriority w:val="0"/>
    <w:pPr>
      <w:ind w:leftChars="2500"/>
    </w:pPr>
    <w:rPr>
      <w:rFonts w:eastAsia="楷体_GB2312"/>
      <w:sz w:val="32"/>
      <w:szCs w:val="20"/>
    </w:rPr>
  </w:style>
  <w:style w:type="paragraph" w:styleId="15">
    <w:name w:val="Body Text Indent 2"/>
    <w:basedOn w:val="1"/>
    <w:next w:val="1"/>
    <w:qFormat/>
    <w:uiPriority w:val="0"/>
    <w:pPr>
      <w:spacing w:after="120"/>
    </w:p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Subtitle"/>
    <w:basedOn w:val="1"/>
    <w:next w:val="1"/>
    <w:qFormat/>
    <w:uiPriority w:val="0"/>
    <w:pPr>
      <w:spacing w:before="240" w:after="60" w:line="312" w:lineRule="auto"/>
      <w:jc w:val="center"/>
      <w:outlineLvl w:val="1"/>
    </w:pPr>
    <w:rPr>
      <w:rFonts w:ascii="Cambria" w:hAnsi="Cambria"/>
      <w:b/>
      <w:bCs/>
      <w:kern w:val="28"/>
      <w:szCs w:val="32"/>
    </w:rPr>
  </w:style>
  <w:style w:type="paragraph" w:styleId="19">
    <w:name w:val="footnote text"/>
    <w:basedOn w:val="1"/>
    <w:unhideWhenUsed/>
    <w:qFormat/>
    <w:uiPriority w:val="99"/>
    <w:pPr>
      <w:snapToGrid w:val="0"/>
      <w:jc w:val="left"/>
    </w:pPr>
    <w:rPr>
      <w:sz w:val="18"/>
    </w:rPr>
  </w:style>
  <w:style w:type="paragraph" w:styleId="20">
    <w:name w:val="toc 6"/>
    <w:basedOn w:val="1"/>
    <w:next w:val="1"/>
    <w:qFormat/>
    <w:uiPriority w:val="0"/>
    <w:pPr>
      <w:ind w:left="2100" w:leftChars="1000"/>
    </w:pPr>
    <w:rPr>
      <w:rFonts w:ascii="Times New Roman" w:hAnsi="Times New Roman"/>
    </w:rPr>
  </w:style>
  <w:style w:type="paragraph" w:styleId="21">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22">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3">
    <w:name w:val="Title"/>
    <w:basedOn w:val="1"/>
    <w:next w:val="1"/>
    <w:qFormat/>
    <w:uiPriority w:val="0"/>
    <w:pPr>
      <w:keepNext w:val="0"/>
      <w:keepLines w:val="0"/>
      <w:widowControl w:val="0"/>
      <w:suppressLineNumbers w:val="0"/>
      <w:autoSpaceDE w:val="0"/>
      <w:autoSpaceDN w:val="0"/>
      <w:adjustRightInd w:val="0"/>
      <w:spacing w:before="240" w:beforeAutospacing="0" w:after="60" w:afterAutospacing="0"/>
      <w:ind w:left="0" w:right="0"/>
      <w:jc w:val="center"/>
      <w:outlineLvl w:val="0"/>
    </w:pPr>
    <w:rPr>
      <w:rFonts w:ascii="Cambria" w:hAnsi="Cambria"/>
      <w:b/>
      <w:color w:val="000000"/>
      <w:kern w:val="0"/>
      <w:sz w:val="32"/>
      <w:szCs w:val="32"/>
    </w:rPr>
  </w:style>
  <w:style w:type="paragraph" w:styleId="24">
    <w:name w:val="Body Text First Indent"/>
    <w:basedOn w:val="9"/>
    <w:next w:val="1"/>
    <w:qFormat/>
    <w:uiPriority w:val="0"/>
    <w:pPr>
      <w:widowControl/>
      <w:adjustRightInd w:val="0"/>
      <w:snapToGrid w:val="0"/>
      <w:spacing w:beforeLines="50" w:afterLines="50" w:line="360" w:lineRule="auto"/>
      <w:ind w:firstLine="420" w:firstLineChars="100"/>
      <w:jc w:val="left"/>
    </w:pPr>
    <w:rPr>
      <w:rFonts w:ascii="微软雅黑" w:hAnsi="微软雅黑" w:eastAsia="微软雅黑"/>
      <w:sz w:val="24"/>
      <w:szCs w:val="21"/>
    </w:rPr>
  </w:style>
  <w:style w:type="paragraph" w:styleId="25">
    <w:name w:val="Body Text First Indent 2"/>
    <w:basedOn w:val="10"/>
    <w:next w:val="1"/>
    <w:qFormat/>
    <w:uiPriority w:val="0"/>
    <w:pPr>
      <w:ind w:firstLine="420"/>
    </w:pPr>
    <w:rPr>
      <w:rFonts w:cs="宋体"/>
      <w:szCs w:val="21"/>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rPr>
  </w:style>
  <w:style w:type="character" w:styleId="30">
    <w:name w:val="Hyperlink"/>
    <w:qFormat/>
    <w:uiPriority w:val="0"/>
    <w:rPr>
      <w:color w:val="0000FF"/>
      <w:u w:val="single"/>
    </w:rPr>
  </w:style>
  <w:style w:type="character" w:customStyle="1" w:styleId="31">
    <w:name w:val="NormalCharacter"/>
    <w:semiHidden/>
    <w:qFormat/>
    <w:uiPriority w:val="0"/>
  </w:style>
  <w:style w:type="paragraph" w:customStyle="1" w:styleId="32">
    <w:name w:val="Plain Text1"/>
    <w:basedOn w:val="33"/>
    <w:qFormat/>
    <w:uiPriority w:val="99"/>
    <w:pPr>
      <w:widowControl/>
      <w:jc w:val="left"/>
    </w:pPr>
    <w:rPr>
      <w:rFonts w:ascii="宋体" w:hAnsi="Courier New"/>
    </w:rPr>
  </w:style>
  <w:style w:type="paragraph" w:customStyle="1" w:styleId="33">
    <w:name w:val="Norm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4">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35">
    <w:name w:val="列出段落1"/>
    <w:basedOn w:val="1"/>
    <w:qFormat/>
    <w:uiPriority w:val="99"/>
    <w:pPr>
      <w:ind w:firstLine="420" w:firstLineChars="200"/>
    </w:pPr>
    <w:rPr>
      <w:rFonts w:ascii="Calibri" w:hAnsi="Calibri" w:cs="Calibri"/>
      <w:szCs w:val="21"/>
    </w:rPr>
  </w:style>
  <w:style w:type="paragraph" w:customStyle="1" w:styleId="36">
    <w:name w:val="WPSOffice手动目录 1"/>
    <w:qFormat/>
    <w:uiPriority w:val="0"/>
    <w:rPr>
      <w:rFonts w:ascii="Times New Roman" w:hAnsi="Times New Roman" w:eastAsia="宋体" w:cs="Times New Roman"/>
      <w:lang w:val="en-US" w:eastAsia="zh-CN" w:bidi="ne-NP"/>
    </w:rPr>
  </w:style>
  <w:style w:type="paragraph" w:customStyle="1" w:styleId="37">
    <w:name w:val="自动更正"/>
    <w:qFormat/>
    <w:uiPriority w:val="0"/>
    <w:pPr>
      <w:widowControl w:val="0"/>
      <w:jc w:val="both"/>
    </w:pPr>
    <w:rPr>
      <w:rFonts w:ascii="Calibri" w:hAnsi="Calibri" w:eastAsia="宋体" w:cs="Times New Roman"/>
      <w:kern w:val="2"/>
      <w:sz w:val="21"/>
      <w:lang w:val="en-US" w:eastAsia="zh-CN" w:bidi="ar-SA"/>
    </w:rPr>
  </w:style>
  <w:style w:type="paragraph" w:customStyle="1" w:styleId="38">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0">
    <w:name w:val="List Paragraph"/>
    <w:basedOn w:val="1"/>
    <w:qFormat/>
    <w:uiPriority w:val="34"/>
    <w:pPr>
      <w:ind w:firstLine="420" w:firstLineChars="200"/>
    </w:pPr>
    <w:rPr>
      <w:rFonts w:ascii="Calibri" w:hAnsi="Calibri" w:eastAsia="宋体" w:cs="Times New Roman"/>
      <w:szCs w:val="22"/>
    </w:rPr>
  </w:style>
  <w:style w:type="paragraph" w:customStyle="1" w:styleId="41">
    <w:name w:val="Normal Indent1"/>
    <w:basedOn w:val="1"/>
    <w:qFormat/>
    <w:uiPriority w:val="0"/>
    <w:pPr>
      <w:ind w:firstLine="420" w:firstLineChars="200"/>
    </w:pPr>
  </w:style>
  <w:style w:type="paragraph" w:customStyle="1" w:styleId="42">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首行缩进2字符）"/>
    <w:basedOn w:val="1"/>
    <w:qFormat/>
    <w:uiPriority w:val="0"/>
    <w:pPr>
      <w:spacing w:line="360" w:lineRule="auto"/>
      <w:ind w:firstLine="420" w:firstLineChars="200"/>
    </w:pPr>
    <w:rPr>
      <w:rFonts w:ascii="Times New Roman" w:hAnsi="Times New Roman" w:eastAsia="宋体" w:cs="Times New Roman"/>
      <w:szCs w:val="21"/>
    </w:rPr>
  </w:style>
  <w:style w:type="paragraph" w:customStyle="1" w:styleId="44">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47">
    <w:name w:val="正文1"/>
    <w:next w:val="1"/>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48">
    <w:name w:val="_Style 3"/>
    <w:next w:val="1"/>
    <w:qFormat/>
    <w:uiPriority w:val="1"/>
    <w:pPr>
      <w:widowControl w:val="0"/>
      <w:jc w:val="both"/>
    </w:pPr>
    <w:rPr>
      <w:rFonts w:ascii="Calibri" w:hAnsi="Calibri" w:eastAsia="宋体" w:cs="Times New Roman"/>
      <w:kern w:val="2"/>
      <w:sz w:val="21"/>
      <w:szCs w:val="22"/>
      <w:lang w:val="en-US" w:eastAsia="zh-CN" w:bidi="ar-SA"/>
    </w:rPr>
  </w:style>
  <w:style w:type="paragraph" w:customStyle="1" w:styleId="49">
    <w:name w:val="Normal_1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0">
    <w:name w:val="标题一"/>
    <w:basedOn w:val="1"/>
    <w:qFormat/>
    <w:uiPriority w:val="0"/>
    <w:pPr>
      <w:spacing w:line="360" w:lineRule="auto"/>
    </w:pPr>
    <w:rPr>
      <w:rFonts w:ascii="Times New Roman" w:hAnsi="Times New Roman"/>
      <w:b/>
      <w:sz w:val="24"/>
    </w:rPr>
  </w:style>
  <w:style w:type="paragraph" w:customStyle="1" w:styleId="5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一级标题"/>
    <w:next w:val="9"/>
    <w:qFormat/>
    <w:uiPriority w:val="0"/>
    <w:pPr>
      <w:spacing w:line="360" w:lineRule="auto"/>
      <w:ind w:firstLine="0" w:firstLineChars="0"/>
      <w:outlineLvl w:val="0"/>
    </w:pPr>
    <w:rPr>
      <w:rFonts w:ascii="Times New Roman" w:hAnsi="Times New Roman" w:eastAsia="宋体" w:cs="Times New Roman"/>
      <w:b/>
      <w:sz w:val="30"/>
    </w:rPr>
  </w:style>
  <w:style w:type="character" w:customStyle="1" w:styleId="55">
    <w:name w:val="font21"/>
    <w:basedOn w:val="28"/>
    <w:qFormat/>
    <w:uiPriority w:val="0"/>
    <w:rPr>
      <w:rFonts w:hint="eastAsia" w:ascii="宋体" w:hAnsi="宋体" w:eastAsia="宋体" w:cs="宋体"/>
      <w:color w:val="000000"/>
      <w:sz w:val="24"/>
      <w:szCs w:val="24"/>
      <w:u w:val="none"/>
    </w:rPr>
  </w:style>
  <w:style w:type="paragraph" w:customStyle="1" w:styleId="56">
    <w:name w:val="fontsize16"/>
    <w:basedOn w:val="1"/>
    <w:qFormat/>
    <w:uiPriority w:val="99"/>
    <w:pPr>
      <w:jc w:val="left"/>
    </w:pPr>
    <w:rPr>
      <w:rFonts w:ascii="Calibri" w:hAnsi="Calibri"/>
      <w:kern w:val="0"/>
      <w:sz w:val="24"/>
    </w:rPr>
  </w:style>
  <w:style w:type="paragraph" w:customStyle="1" w:styleId="57">
    <w:name w:val="BodyText"/>
    <w:basedOn w:val="1"/>
    <w:qFormat/>
    <w:uiPriority w:val="0"/>
    <w:pPr>
      <w:spacing w:after="120"/>
    </w:pPr>
    <w:rPr>
      <w:rFonts w:eastAsia="微软雅黑"/>
      <w:sz w:val="21"/>
      <w:szCs w:val="24"/>
    </w:rPr>
  </w:style>
  <w:style w:type="paragraph" w:customStyle="1" w:styleId="58">
    <w:name w:val="p0"/>
    <w:basedOn w:val="1"/>
    <w:qFormat/>
    <w:uiPriority w:val="0"/>
    <w:pPr>
      <w:widowControl/>
    </w:pPr>
    <w:rPr>
      <w:rFonts w:ascii="Calibri" w:hAnsi="Calibri" w:cs="宋体"/>
      <w:kern w:val="0"/>
      <w:szCs w:val="21"/>
    </w:rPr>
  </w:style>
  <w:style w:type="paragraph" w:customStyle="1" w:styleId="59">
    <w:name w:val="正文2"/>
    <w:basedOn w:val="1"/>
    <w:qFormat/>
    <w:uiPriority w:val="0"/>
    <w:pPr>
      <w:spacing w:before="156" w:line="360" w:lineRule="auto"/>
      <w:ind w:firstLine="510" w:firstLineChars="2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Company>
  <Pages>80</Pages>
  <Words>4767</Words>
  <Characters>5867</Characters>
  <Lines>285</Lines>
  <Paragraphs>80</Paragraphs>
  <TotalTime>2</TotalTime>
  <ScaleCrop>false</ScaleCrop>
  <LinksUpToDate>false</LinksUpToDate>
  <CharactersWithSpaces>5933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2020-07-30T09:45:00Z</dcterms:created>
  <dc:creator>asus</dc:creator>
  <cp:lastModifiedBy>我已经睁大眼睛了</cp:lastModifiedBy>
  <cp:lastPrinted>2023-03-01T15:15:00Z</cp:lastPrinted>
  <dcterms:modified xsi:type="dcterms:W3CDTF">2025-04-30T07:41:36Z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BCD587CBEE8B4EC4BC54E2F0685CF3D2_13</vt:lpwstr>
  </property>
  <property fmtid="{D5CDD505-2E9C-101B-9397-08002B2CF9AE}" pid="4" name="KSOTemplateDocerSaveRecord">
    <vt:lpwstr>eyJoZGlkIjoiMzgzMWRhMjc3OTQ5NDc3MWFiZGVlYTJlOTA0ODBjOGYiLCJ1c2VySWQiOiIyNzc1OTM2NTQifQ==</vt:lpwstr>
  </property>
</Properties>
</file>