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DCDFB">
      <w:pPr>
        <w:adjustRightInd w:val="0"/>
        <w:snapToGrid w:val="0"/>
        <w:spacing w:line="1200" w:lineRule="exact"/>
        <w:jc w:val="center"/>
        <w:rPr>
          <w:rFonts w:hint="default" w:ascii="华文新魏" w:hAnsi="华文仿宋" w:eastAsia="华文新魏"/>
          <w:b/>
          <w:bCs/>
          <w:color w:val="auto"/>
          <w:sz w:val="72"/>
          <w:highlight w:val="none"/>
          <w:lang w:val="en-US" w:eastAsia="zh-CN"/>
        </w:rPr>
      </w:pPr>
      <w:r>
        <w:rPr>
          <w:rFonts w:hint="eastAsia" w:ascii="华文新魏" w:hAnsi="华文仿宋" w:eastAsia="华文新魏"/>
          <w:b/>
          <w:bCs/>
          <w:color w:val="auto"/>
          <w:sz w:val="72"/>
          <w:highlight w:val="none"/>
          <w:lang w:val="en-US" w:eastAsia="zh-CN"/>
        </w:rPr>
        <w:t xml:space="preserve">     </w:t>
      </w:r>
    </w:p>
    <w:p w14:paraId="4036672D">
      <w:pPr>
        <w:adjustRightInd w:val="0"/>
        <w:snapToGrid w:val="0"/>
        <w:spacing w:line="1200" w:lineRule="exact"/>
        <w:jc w:val="center"/>
        <w:rPr>
          <w:rFonts w:ascii="宋体" w:hAnsi="宋体" w:cs="宋体"/>
          <w:b/>
          <w:bCs/>
          <w:color w:val="auto"/>
          <w:sz w:val="84"/>
          <w:szCs w:val="84"/>
          <w:highlight w:val="none"/>
        </w:rPr>
      </w:pPr>
    </w:p>
    <w:p w14:paraId="296D445A">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宋体" w:hAnsi="宋体" w:cs="宋体"/>
          <w:b/>
          <w:bCs/>
          <w:color w:val="auto"/>
          <w:sz w:val="84"/>
          <w:szCs w:val="84"/>
          <w:highlight w:val="none"/>
        </w:rPr>
        <w:t>招 标 文 件</w:t>
      </w:r>
    </w:p>
    <w:p w14:paraId="2674B6B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default" w:ascii="宋体" w:hAnsi="宋体" w:eastAsia="宋体" w:cs="宋体"/>
          <w:color w:val="auto"/>
          <w:kern w:val="0"/>
          <w:sz w:val="28"/>
          <w:szCs w:val="28"/>
          <w:highlight w:val="none"/>
          <w:lang w:val="en-US" w:eastAsia="zh-CN"/>
        </w:rPr>
      </w:pPr>
      <w:r>
        <w:rPr>
          <w:rFonts w:hint="eastAsia" w:ascii="宋体"/>
          <w:color w:val="auto"/>
          <w:kern w:val="0"/>
          <w:sz w:val="28"/>
          <w:szCs w:val="28"/>
          <w:highlight w:val="none"/>
        </w:rPr>
        <w:t xml:space="preserve">   项目编号：</w:t>
      </w:r>
      <w:r>
        <w:rPr>
          <w:rFonts w:hint="eastAsia" w:ascii="宋体"/>
          <w:color w:val="auto"/>
          <w:kern w:val="0"/>
          <w:sz w:val="28"/>
          <w:szCs w:val="28"/>
          <w:highlight w:val="none"/>
          <w:lang w:val="en-US" w:eastAsia="zh-CN"/>
        </w:rPr>
        <w:t>Tzzyf-2024034</w:t>
      </w:r>
    </w:p>
    <w:p w14:paraId="182E0EB4">
      <w:pPr>
        <w:pStyle w:val="9"/>
        <w:jc w:val="center"/>
        <w:rPr>
          <w:color w:val="auto"/>
          <w:highlight w:val="none"/>
        </w:rPr>
      </w:pPr>
    </w:p>
    <w:p w14:paraId="4C526F80">
      <w:pPr>
        <w:pStyle w:val="10"/>
        <w:ind w:firstLine="0" w:firstLineChars="0"/>
        <w:rPr>
          <w:color w:val="auto"/>
          <w:highlight w:val="none"/>
        </w:rPr>
      </w:pPr>
    </w:p>
    <w:p w14:paraId="638E42B3">
      <w:pPr>
        <w:pStyle w:val="9"/>
        <w:jc w:val="center"/>
        <w:rPr>
          <w:color w:val="auto"/>
          <w:highlight w:val="none"/>
        </w:rPr>
      </w:pPr>
    </w:p>
    <w:p w14:paraId="5713C845">
      <w:pPr>
        <w:spacing w:line="600" w:lineRule="auto"/>
        <w:ind w:left="1600" w:hanging="1600" w:hangingChars="500"/>
        <w:jc w:val="center"/>
        <w:rPr>
          <w:rFonts w:ascii="宋体" w:hAnsi="宋体" w:cs="宋体"/>
          <w:color w:val="auto"/>
          <w:kern w:val="0"/>
          <w:sz w:val="32"/>
          <w:highlight w:val="none"/>
        </w:rPr>
      </w:pPr>
    </w:p>
    <w:p w14:paraId="1DC5A8CD">
      <w:pPr>
        <w:spacing w:line="600" w:lineRule="auto"/>
        <w:ind w:left="2558" w:leftChars="456" w:hanging="1600" w:hangingChars="500"/>
        <w:rPr>
          <w:rFonts w:hint="eastAsia" w:eastAsia="宋体"/>
          <w:color w:val="auto"/>
          <w:sz w:val="22"/>
          <w:szCs w:val="28"/>
          <w:highlight w:val="none"/>
          <w:lang w:eastAsia="zh-CN"/>
        </w:rPr>
      </w:pPr>
      <w:r>
        <w:rPr>
          <w:rFonts w:hint="eastAsia" w:ascii="宋体"/>
          <w:color w:val="auto"/>
          <w:kern w:val="0"/>
          <w:sz w:val="32"/>
          <w:szCs w:val="32"/>
          <w:highlight w:val="none"/>
        </w:rPr>
        <w:t>项目名称：</w:t>
      </w:r>
      <w:r>
        <w:rPr>
          <w:rFonts w:hint="eastAsia" w:ascii="宋体"/>
          <w:color w:val="auto"/>
          <w:kern w:val="0"/>
          <w:sz w:val="32"/>
          <w:szCs w:val="32"/>
          <w:highlight w:val="none"/>
          <w:u w:val="single"/>
          <w:lang w:eastAsia="zh-CN"/>
        </w:rPr>
        <w:t>台州市椒江区医疗保障局长期护理保险支出户专户的招标项目</w:t>
      </w:r>
    </w:p>
    <w:p w14:paraId="6DFB98F2">
      <w:pPr>
        <w:spacing w:line="600" w:lineRule="auto"/>
        <w:ind w:firstLine="960" w:firstLineChars="300"/>
        <w:rPr>
          <w:rFonts w:hint="eastAsia" w:ascii="宋体" w:eastAsia="宋体"/>
          <w:color w:val="auto"/>
          <w:kern w:val="0"/>
          <w:sz w:val="32"/>
          <w:szCs w:val="32"/>
          <w:highlight w:val="none"/>
          <w:u w:val="single"/>
          <w:lang w:val="en-US" w:eastAsia="zh-CN"/>
        </w:rPr>
      </w:pPr>
      <w:r>
        <w:rPr>
          <w:rFonts w:hint="eastAsia" w:ascii="宋体"/>
          <w:color w:val="auto"/>
          <w:kern w:val="0"/>
          <w:sz w:val="32"/>
          <w:szCs w:val="32"/>
          <w:highlight w:val="none"/>
        </w:rPr>
        <w:t>采购人：</w:t>
      </w:r>
      <w:r>
        <w:rPr>
          <w:rFonts w:hint="eastAsia" w:ascii="宋体"/>
          <w:color w:val="auto"/>
          <w:kern w:val="0"/>
          <w:sz w:val="32"/>
          <w:szCs w:val="32"/>
          <w:highlight w:val="none"/>
          <w:u w:val="single"/>
          <w:lang w:eastAsia="zh-CN"/>
        </w:rPr>
        <w:t>台州市椒江区医疗保障局</w:t>
      </w:r>
    </w:p>
    <w:p w14:paraId="709D4F20">
      <w:pPr>
        <w:pStyle w:val="9"/>
        <w:rPr>
          <w:color w:val="auto"/>
          <w:highlight w:val="none"/>
        </w:rPr>
      </w:pPr>
    </w:p>
    <w:p w14:paraId="20F9EFB0">
      <w:pPr>
        <w:spacing w:line="360" w:lineRule="auto"/>
        <w:jc w:val="center"/>
        <w:rPr>
          <w:rFonts w:ascii="宋体"/>
          <w:color w:val="auto"/>
          <w:kern w:val="0"/>
          <w:sz w:val="28"/>
          <w:szCs w:val="28"/>
          <w:highlight w:val="none"/>
        </w:rPr>
      </w:pPr>
    </w:p>
    <w:p w14:paraId="62BD9A33">
      <w:pPr>
        <w:pStyle w:val="9"/>
        <w:rPr>
          <w:color w:val="auto"/>
          <w:highlight w:val="none"/>
        </w:rPr>
      </w:pPr>
    </w:p>
    <w:p w14:paraId="2BA0CD57">
      <w:pPr>
        <w:spacing w:line="360" w:lineRule="auto"/>
        <w:rPr>
          <w:rFonts w:ascii="宋体"/>
          <w:color w:val="auto"/>
          <w:kern w:val="0"/>
          <w:sz w:val="28"/>
          <w:szCs w:val="28"/>
          <w:highlight w:val="none"/>
        </w:rPr>
      </w:pPr>
    </w:p>
    <w:p w14:paraId="7CCEB152">
      <w:pPr>
        <w:pStyle w:val="9"/>
        <w:rPr>
          <w:color w:val="auto"/>
          <w:highlight w:val="none"/>
        </w:rPr>
      </w:pPr>
    </w:p>
    <w:p w14:paraId="0D37E7DD">
      <w:pPr>
        <w:spacing w:line="360" w:lineRule="auto"/>
        <w:jc w:val="center"/>
        <w:rPr>
          <w:rFonts w:ascii="宋体"/>
          <w:color w:val="auto"/>
          <w:kern w:val="0"/>
          <w:sz w:val="28"/>
          <w:szCs w:val="28"/>
          <w:highlight w:val="none"/>
        </w:rPr>
      </w:pPr>
      <w:r>
        <w:rPr>
          <w:rFonts w:hint="eastAsia" w:ascii="宋体"/>
          <w:color w:val="auto"/>
          <w:kern w:val="0"/>
          <w:sz w:val="28"/>
          <w:szCs w:val="28"/>
          <w:highlight w:val="none"/>
        </w:rPr>
        <w:t>采购组织机构：台州中亿工程管理有限公司</w:t>
      </w:r>
    </w:p>
    <w:p w14:paraId="0FD70AE7">
      <w:pPr>
        <w:pStyle w:val="9"/>
        <w:rPr>
          <w:color w:val="auto"/>
          <w:highlight w:val="none"/>
        </w:rPr>
      </w:pPr>
    </w:p>
    <w:p w14:paraId="2559CE7E">
      <w:pPr>
        <w:pStyle w:val="10"/>
        <w:ind w:firstLine="280"/>
        <w:jc w:val="center"/>
        <w:rPr>
          <w:color w:val="auto"/>
          <w:highlight w:val="none"/>
        </w:rPr>
      </w:pPr>
      <w:r>
        <w:rPr>
          <w:rFonts w:hint="eastAsia" w:ascii="宋体"/>
          <w:color w:val="auto"/>
          <w:kern w:val="0"/>
          <w:sz w:val="28"/>
          <w:szCs w:val="28"/>
          <w:highlight w:val="none"/>
        </w:rPr>
        <w:t>二〇二四年</w:t>
      </w:r>
      <w:r>
        <w:rPr>
          <w:rFonts w:hint="eastAsia" w:ascii="宋体"/>
          <w:color w:val="auto"/>
          <w:kern w:val="0"/>
          <w:sz w:val="28"/>
          <w:szCs w:val="28"/>
          <w:highlight w:val="none"/>
          <w:lang w:eastAsia="zh-CN"/>
        </w:rPr>
        <w:t>十一</w:t>
      </w:r>
      <w:r>
        <w:rPr>
          <w:rFonts w:hint="eastAsia" w:ascii="宋体"/>
          <w:color w:val="auto"/>
          <w:kern w:val="0"/>
          <w:sz w:val="28"/>
          <w:szCs w:val="28"/>
          <w:highlight w:val="none"/>
        </w:rPr>
        <w:t>月</w:t>
      </w:r>
    </w:p>
    <w:p w14:paraId="41DCA686">
      <w:pPr>
        <w:pStyle w:val="9"/>
        <w:rPr>
          <w:color w:val="auto"/>
          <w:highlight w:val="none"/>
        </w:rPr>
        <w:sectPr>
          <w:headerReference r:id="rId3" w:type="default"/>
          <w:pgSz w:w="11906" w:h="16838"/>
          <w:pgMar w:top="1440" w:right="1440" w:bottom="1440" w:left="1803" w:header="851" w:footer="992" w:gutter="0"/>
          <w:pgNumType w:start="1"/>
          <w:cols w:space="720" w:num="1"/>
          <w:docGrid w:type="lines" w:linePitch="325" w:charSpace="0"/>
        </w:sectPr>
      </w:pPr>
    </w:p>
    <w:p w14:paraId="611DF913">
      <w:pPr>
        <w:pStyle w:val="9"/>
        <w:rPr>
          <w:color w:val="auto"/>
          <w:highlight w:val="none"/>
        </w:rPr>
      </w:pPr>
    </w:p>
    <w:p w14:paraId="280CC52B">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  录</w:t>
      </w:r>
    </w:p>
    <w:p w14:paraId="6C398E5F">
      <w:pPr>
        <w:spacing w:line="360" w:lineRule="auto"/>
        <w:rPr>
          <w:rFonts w:ascii="新宋体" w:hAnsi="新宋体" w:eastAsia="新宋体"/>
          <w:color w:val="auto"/>
          <w:sz w:val="28"/>
          <w:szCs w:val="28"/>
          <w:highlight w:val="none"/>
        </w:rPr>
      </w:pPr>
    </w:p>
    <w:p w14:paraId="684365F3">
      <w:pPr>
        <w:numPr>
          <w:ilvl w:val="0"/>
          <w:numId w:val="1"/>
        </w:numPr>
        <w:spacing w:line="360" w:lineRule="auto"/>
        <w:rPr>
          <w:rFonts w:ascii="宋体"/>
          <w:b/>
          <w:color w:val="auto"/>
          <w:sz w:val="28"/>
          <w:szCs w:val="28"/>
          <w:highlight w:val="none"/>
        </w:rPr>
      </w:pPr>
      <w:r>
        <w:rPr>
          <w:rFonts w:hint="eastAsia" w:ascii="宋体" w:hAnsi="宋体"/>
          <w:b/>
          <w:color w:val="auto"/>
          <w:sz w:val="28"/>
          <w:szCs w:val="28"/>
          <w:highlight w:val="none"/>
        </w:rPr>
        <w:t>招标公告</w:t>
      </w:r>
    </w:p>
    <w:p w14:paraId="6ECBAFCE">
      <w:pPr>
        <w:numPr>
          <w:ilvl w:val="0"/>
          <w:numId w:val="1"/>
        </w:numPr>
        <w:spacing w:line="360" w:lineRule="auto"/>
        <w:rPr>
          <w:rFonts w:ascii="宋体"/>
          <w:b/>
          <w:color w:val="auto"/>
          <w:sz w:val="28"/>
          <w:szCs w:val="28"/>
          <w:highlight w:val="none"/>
        </w:rPr>
      </w:pPr>
      <w:r>
        <w:rPr>
          <w:rFonts w:hint="eastAsia" w:ascii="宋体" w:hAnsi="宋体"/>
          <w:b/>
          <w:color w:val="auto"/>
          <w:sz w:val="28"/>
          <w:szCs w:val="28"/>
          <w:highlight w:val="none"/>
        </w:rPr>
        <w:t>投标人须知</w:t>
      </w:r>
    </w:p>
    <w:p w14:paraId="5065C3B9">
      <w:pPr>
        <w:numPr>
          <w:ilvl w:val="0"/>
          <w:numId w:val="1"/>
        </w:numPr>
        <w:spacing w:line="360" w:lineRule="auto"/>
        <w:rPr>
          <w:rFonts w:ascii="宋体"/>
          <w:b/>
          <w:color w:val="auto"/>
          <w:sz w:val="28"/>
          <w:szCs w:val="28"/>
          <w:highlight w:val="none"/>
        </w:rPr>
      </w:pPr>
      <w:r>
        <w:rPr>
          <w:rFonts w:hint="eastAsia" w:ascii="宋体" w:hAnsi="宋体"/>
          <w:b/>
          <w:color w:val="auto"/>
          <w:sz w:val="28"/>
          <w:szCs w:val="28"/>
          <w:highlight w:val="none"/>
        </w:rPr>
        <w:t>评标办法及评分标准</w:t>
      </w:r>
    </w:p>
    <w:p w14:paraId="019BC00C">
      <w:pPr>
        <w:numPr>
          <w:ilvl w:val="0"/>
          <w:numId w:val="1"/>
        </w:numPr>
        <w:spacing w:line="360" w:lineRule="auto"/>
        <w:rPr>
          <w:rFonts w:ascii="宋体"/>
          <w:b/>
          <w:color w:val="auto"/>
          <w:sz w:val="28"/>
          <w:szCs w:val="28"/>
          <w:highlight w:val="none"/>
        </w:rPr>
      </w:pPr>
      <w:r>
        <w:rPr>
          <w:rFonts w:hint="eastAsia" w:ascii="宋体" w:hAnsi="宋体"/>
          <w:b/>
          <w:color w:val="auto"/>
          <w:sz w:val="28"/>
          <w:szCs w:val="28"/>
          <w:highlight w:val="none"/>
        </w:rPr>
        <w:t>招标内容及要求</w:t>
      </w:r>
    </w:p>
    <w:p w14:paraId="4F456F8F">
      <w:pPr>
        <w:numPr>
          <w:ilvl w:val="0"/>
          <w:numId w:val="1"/>
        </w:numPr>
        <w:spacing w:line="360" w:lineRule="auto"/>
        <w:rPr>
          <w:rFonts w:ascii="宋体"/>
          <w:b/>
          <w:color w:val="auto"/>
          <w:sz w:val="28"/>
          <w:szCs w:val="28"/>
          <w:highlight w:val="none"/>
        </w:rPr>
      </w:pPr>
      <w:r>
        <w:rPr>
          <w:rFonts w:hint="eastAsia" w:ascii="宋体" w:hAnsi="宋体"/>
          <w:b/>
          <w:color w:val="auto"/>
          <w:sz w:val="28"/>
          <w:szCs w:val="28"/>
          <w:highlight w:val="none"/>
        </w:rPr>
        <w:t>合同主要条款</w:t>
      </w:r>
    </w:p>
    <w:p w14:paraId="1AB16A43">
      <w:pPr>
        <w:numPr>
          <w:ilvl w:val="0"/>
          <w:numId w:val="1"/>
        </w:numPr>
        <w:spacing w:line="360" w:lineRule="auto"/>
        <w:rPr>
          <w:rFonts w:ascii="宋体"/>
          <w:b/>
          <w:color w:val="auto"/>
          <w:sz w:val="28"/>
          <w:szCs w:val="28"/>
          <w:highlight w:val="none"/>
        </w:rPr>
      </w:pPr>
      <w:r>
        <w:rPr>
          <w:rFonts w:hint="eastAsia" w:ascii="宋体" w:hAnsi="宋体"/>
          <w:b/>
          <w:color w:val="auto"/>
          <w:sz w:val="28"/>
          <w:szCs w:val="28"/>
          <w:highlight w:val="none"/>
        </w:rPr>
        <w:t>投标文件格式附件</w:t>
      </w:r>
    </w:p>
    <w:p w14:paraId="0B54585A">
      <w:pPr>
        <w:pStyle w:val="9"/>
        <w:jc w:val="center"/>
        <w:rPr>
          <w:color w:val="auto"/>
          <w:highlight w:val="none"/>
        </w:rPr>
      </w:pPr>
    </w:p>
    <w:p w14:paraId="439ADE7C">
      <w:pPr>
        <w:pStyle w:val="9"/>
        <w:jc w:val="center"/>
        <w:rPr>
          <w:color w:val="auto"/>
          <w:highlight w:val="none"/>
        </w:rPr>
      </w:pPr>
    </w:p>
    <w:p w14:paraId="0CD6E5AA">
      <w:pPr>
        <w:pStyle w:val="9"/>
        <w:jc w:val="center"/>
        <w:rPr>
          <w:color w:val="auto"/>
          <w:highlight w:val="none"/>
        </w:rPr>
      </w:pPr>
    </w:p>
    <w:p w14:paraId="05701B4E">
      <w:pPr>
        <w:pStyle w:val="9"/>
        <w:jc w:val="center"/>
        <w:rPr>
          <w:color w:val="auto"/>
          <w:highlight w:val="none"/>
        </w:rPr>
      </w:pPr>
    </w:p>
    <w:p w14:paraId="307D7C16">
      <w:pPr>
        <w:pStyle w:val="9"/>
        <w:jc w:val="center"/>
        <w:rPr>
          <w:color w:val="auto"/>
          <w:highlight w:val="none"/>
        </w:rPr>
      </w:pPr>
    </w:p>
    <w:p w14:paraId="2FF76F6F">
      <w:pPr>
        <w:pStyle w:val="9"/>
        <w:jc w:val="center"/>
        <w:rPr>
          <w:color w:val="auto"/>
          <w:highlight w:val="none"/>
        </w:rPr>
      </w:pPr>
    </w:p>
    <w:p w14:paraId="3CB803D8">
      <w:pPr>
        <w:pStyle w:val="9"/>
        <w:jc w:val="center"/>
        <w:rPr>
          <w:color w:val="auto"/>
          <w:highlight w:val="none"/>
        </w:rPr>
      </w:pPr>
    </w:p>
    <w:p w14:paraId="2DDA1FF5">
      <w:pPr>
        <w:pStyle w:val="9"/>
        <w:jc w:val="center"/>
        <w:rPr>
          <w:color w:val="auto"/>
          <w:highlight w:val="none"/>
        </w:rPr>
      </w:pPr>
    </w:p>
    <w:p w14:paraId="7DBDBB18">
      <w:pPr>
        <w:pStyle w:val="9"/>
        <w:jc w:val="center"/>
        <w:rPr>
          <w:color w:val="auto"/>
          <w:highlight w:val="none"/>
        </w:rPr>
      </w:pPr>
    </w:p>
    <w:p w14:paraId="6A5BDBC3">
      <w:pPr>
        <w:pStyle w:val="9"/>
        <w:jc w:val="center"/>
        <w:rPr>
          <w:color w:val="auto"/>
          <w:highlight w:val="none"/>
        </w:rPr>
      </w:pPr>
    </w:p>
    <w:p w14:paraId="71B60859">
      <w:pPr>
        <w:pStyle w:val="9"/>
        <w:jc w:val="center"/>
        <w:rPr>
          <w:color w:val="auto"/>
          <w:highlight w:val="none"/>
        </w:rPr>
      </w:pPr>
    </w:p>
    <w:p w14:paraId="7A4B3CB7">
      <w:pPr>
        <w:pStyle w:val="9"/>
        <w:jc w:val="center"/>
        <w:rPr>
          <w:color w:val="auto"/>
          <w:highlight w:val="none"/>
        </w:rPr>
      </w:pPr>
    </w:p>
    <w:p w14:paraId="179C4E1B">
      <w:pPr>
        <w:pStyle w:val="9"/>
        <w:jc w:val="center"/>
        <w:rPr>
          <w:color w:val="auto"/>
          <w:highlight w:val="none"/>
        </w:rPr>
      </w:pPr>
    </w:p>
    <w:p w14:paraId="7D7021A4">
      <w:pPr>
        <w:pStyle w:val="9"/>
        <w:jc w:val="center"/>
        <w:rPr>
          <w:color w:val="auto"/>
          <w:highlight w:val="none"/>
        </w:rPr>
      </w:pPr>
    </w:p>
    <w:p w14:paraId="178CF37F">
      <w:pPr>
        <w:pStyle w:val="9"/>
        <w:jc w:val="center"/>
        <w:rPr>
          <w:color w:val="auto"/>
          <w:highlight w:val="none"/>
        </w:rPr>
      </w:pPr>
    </w:p>
    <w:p w14:paraId="28150B92">
      <w:pPr>
        <w:pStyle w:val="9"/>
        <w:jc w:val="center"/>
        <w:rPr>
          <w:color w:val="auto"/>
          <w:highlight w:val="none"/>
        </w:rPr>
      </w:pPr>
    </w:p>
    <w:p w14:paraId="659A0389">
      <w:pPr>
        <w:pStyle w:val="9"/>
        <w:jc w:val="center"/>
        <w:rPr>
          <w:color w:val="auto"/>
          <w:highlight w:val="none"/>
        </w:rPr>
      </w:pPr>
    </w:p>
    <w:p w14:paraId="6BF8BC7C">
      <w:pPr>
        <w:pStyle w:val="9"/>
        <w:jc w:val="center"/>
        <w:rPr>
          <w:color w:val="auto"/>
          <w:highlight w:val="none"/>
        </w:rPr>
      </w:pPr>
    </w:p>
    <w:p w14:paraId="753D9662">
      <w:pPr>
        <w:pStyle w:val="9"/>
        <w:rPr>
          <w:color w:val="auto"/>
          <w:highlight w:val="none"/>
        </w:rPr>
      </w:pPr>
    </w:p>
    <w:p w14:paraId="3DD20844">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auto"/>
          <w:kern w:val="0"/>
          <w:sz w:val="36"/>
          <w:szCs w:val="36"/>
          <w:highlight w:val="none"/>
        </w:rPr>
        <w:sectPr>
          <w:footerReference r:id="rId4" w:type="default"/>
          <w:pgSz w:w="11906" w:h="16838"/>
          <w:pgMar w:top="1440" w:right="1440" w:bottom="1440" w:left="1803" w:header="851" w:footer="992" w:gutter="0"/>
          <w:cols w:space="720" w:num="1"/>
          <w:docGrid w:type="lines" w:linePitch="325" w:charSpace="0"/>
        </w:sectPr>
      </w:pPr>
    </w:p>
    <w:p w14:paraId="278CEF4F">
      <w:pPr>
        <w:tabs>
          <w:tab w:val="left" w:pos="180"/>
          <w:tab w:val="left" w:pos="360"/>
          <w:tab w:val="left" w:pos="540"/>
          <w:tab w:val="left" w:pos="8280"/>
        </w:tabs>
        <w:autoSpaceDE w:val="0"/>
        <w:autoSpaceDN w:val="0"/>
        <w:adjustRightInd w:val="0"/>
        <w:spacing w:line="360" w:lineRule="auto"/>
        <w:ind w:right="23"/>
        <w:jc w:val="center"/>
        <w:rPr>
          <w:rFonts w:ascii="宋体"/>
          <w:b/>
          <w:color w:val="auto"/>
          <w:kern w:val="0"/>
          <w:sz w:val="36"/>
          <w:szCs w:val="36"/>
          <w:highlight w:val="none"/>
        </w:rPr>
      </w:pPr>
      <w:r>
        <w:rPr>
          <w:rFonts w:hint="eastAsia" w:ascii="宋体" w:hAnsi="宋体"/>
          <w:b/>
          <w:color w:val="auto"/>
          <w:kern w:val="0"/>
          <w:sz w:val="36"/>
          <w:szCs w:val="36"/>
          <w:highlight w:val="none"/>
        </w:rPr>
        <w:t xml:space="preserve">第一章 </w:t>
      </w:r>
      <w:r>
        <w:rPr>
          <w:rFonts w:hint="eastAsia" w:ascii="宋体" w:hAnsi="宋体"/>
          <w:b/>
          <w:color w:val="auto"/>
          <w:sz w:val="36"/>
          <w:szCs w:val="36"/>
          <w:highlight w:val="none"/>
        </w:rPr>
        <w:t>招标公告</w:t>
      </w:r>
    </w:p>
    <w:p w14:paraId="62AC5A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为进一步规范资金存放管理，提高资金效益，推进党风廉政建设，根据相关规定，</w:t>
      </w:r>
      <w:r>
        <w:rPr>
          <w:rFonts w:hint="eastAsia" w:ascii="宋体" w:hAnsi="宋体" w:eastAsia="宋体" w:cs="宋体"/>
          <w:b/>
          <w:bCs/>
          <w:color w:val="auto"/>
          <w:sz w:val="21"/>
          <w:szCs w:val="21"/>
          <w:highlight w:val="none"/>
        </w:rPr>
        <w:t>台州中亿工程管理有限公司</w:t>
      </w:r>
      <w:r>
        <w:rPr>
          <w:rFonts w:hint="eastAsia" w:ascii="宋体" w:hAnsi="宋体" w:eastAsia="宋体" w:cs="宋体"/>
          <w:color w:val="auto"/>
          <w:sz w:val="21"/>
          <w:szCs w:val="21"/>
          <w:highlight w:val="none"/>
        </w:rPr>
        <w:t>受</w:t>
      </w:r>
      <w:r>
        <w:rPr>
          <w:rFonts w:hint="eastAsia" w:ascii="宋体" w:hAnsi="宋体" w:eastAsia="宋体" w:cs="宋体"/>
          <w:b/>
          <w:bCs/>
          <w:color w:val="auto"/>
          <w:sz w:val="21"/>
          <w:szCs w:val="21"/>
          <w:highlight w:val="none"/>
          <w:lang w:eastAsia="zh-CN"/>
        </w:rPr>
        <w:t>台州市椒江区医疗保障局</w:t>
      </w:r>
      <w:r>
        <w:rPr>
          <w:rFonts w:hint="eastAsia" w:ascii="宋体" w:hAnsi="宋体" w:eastAsia="宋体" w:cs="宋体"/>
          <w:color w:val="auto"/>
          <w:sz w:val="21"/>
          <w:szCs w:val="21"/>
          <w:highlight w:val="none"/>
        </w:rPr>
        <w:t>委托，对其</w:t>
      </w:r>
      <w:r>
        <w:rPr>
          <w:rFonts w:hint="eastAsia" w:ascii="宋体" w:hAnsi="宋体" w:eastAsia="宋体" w:cs="宋体"/>
          <w:color w:val="auto"/>
          <w:sz w:val="21"/>
          <w:szCs w:val="21"/>
          <w:highlight w:val="none"/>
          <w:lang w:eastAsia="zh-CN"/>
        </w:rPr>
        <w:t>台州市椒江区医疗保障局长期护理保险支出户专户的招标项目</w:t>
      </w:r>
      <w:r>
        <w:rPr>
          <w:rFonts w:hint="eastAsia" w:ascii="宋体" w:hAnsi="宋体" w:eastAsia="宋体" w:cs="宋体"/>
          <w:color w:val="auto"/>
          <w:sz w:val="21"/>
          <w:szCs w:val="21"/>
          <w:highlight w:val="none"/>
        </w:rPr>
        <w:t>进行公开招标，现欢迎符合相关条件的合格供应商前来参加投标。</w:t>
      </w:r>
    </w:p>
    <w:p w14:paraId="43342520">
      <w:pPr>
        <w:numPr>
          <w:ilvl w:val="0"/>
          <w:numId w:val="2"/>
        </w:num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color w:val="auto"/>
          <w:sz w:val="21"/>
          <w:szCs w:val="21"/>
          <w:highlight w:val="none"/>
          <w:lang w:val="en-US" w:eastAsia="zh-CN"/>
        </w:rPr>
        <w:t>Tzzyf-2024034</w:t>
      </w:r>
    </w:p>
    <w:p w14:paraId="1E7A9B9E">
      <w:pPr>
        <w:widowControl/>
        <w:spacing w:before="75" w:after="75" w:line="276"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公告期限：</w:t>
      </w:r>
      <w:r>
        <w:rPr>
          <w:rFonts w:hint="eastAsia" w:ascii="宋体" w:hAnsi="宋体" w:eastAsia="宋体" w:cs="宋体"/>
          <w:color w:val="auto"/>
          <w:kern w:val="0"/>
          <w:sz w:val="21"/>
          <w:szCs w:val="21"/>
          <w:highlight w:val="none"/>
        </w:rPr>
        <w:t>5个工作日</w:t>
      </w:r>
    </w:p>
    <w:p w14:paraId="4C99C618">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、招标内容：</w:t>
      </w:r>
      <w:r>
        <w:rPr>
          <w:rFonts w:hint="eastAsia" w:ascii="宋体" w:hAnsi="宋体" w:eastAsia="宋体" w:cs="宋体"/>
          <w:color w:val="auto"/>
          <w:kern w:val="0"/>
          <w:sz w:val="21"/>
          <w:szCs w:val="21"/>
          <w:highlight w:val="none"/>
        </w:rPr>
        <w:t>本期共1个标段。</w:t>
      </w: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本招标文件第四章</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eastAsia="zh-CN"/>
        </w:rPr>
        <w:t>内容及要求</w:t>
      </w:r>
      <w:r>
        <w:rPr>
          <w:rFonts w:hint="eastAsia" w:ascii="宋体" w:hAnsi="宋体" w:eastAsia="宋体" w:cs="宋体"/>
          <w:color w:val="auto"/>
          <w:sz w:val="21"/>
          <w:szCs w:val="21"/>
          <w:highlight w:val="none"/>
        </w:rPr>
        <w:t>。</w:t>
      </w:r>
    </w:p>
    <w:p w14:paraId="616633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、合格投标人的资格条件：</w:t>
      </w:r>
    </w:p>
    <w:p w14:paraId="09CCD9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投标的银行是指在中华人民共和国境内依法设立的国有商业银行、股份制商业银行、邮政储蓄银行、城市商业银行、农村信用合作联社、农村商业银行、农村合作银行、政策性银行、外资银行以及村镇银行及其分支机构等，参与投标的银行应同时符合以下条件：</w:t>
      </w:r>
    </w:p>
    <w:p w14:paraId="3EF10BAE">
      <w:pPr>
        <w:numPr>
          <w:ilvl w:val="0"/>
          <w:numId w:val="3"/>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在椒江区设有分支机构至少满1年；</w:t>
      </w:r>
    </w:p>
    <w:p w14:paraId="2480F837">
      <w:pPr>
        <w:numPr>
          <w:ilvl w:val="0"/>
          <w:numId w:val="3"/>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已实现浙江省医疗保障信息平台衔接；</w:t>
      </w:r>
    </w:p>
    <w:p w14:paraId="3DBAD1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）依法开展经营活动，近3年内在经营活动中无重大违法违规记录或重大违约事件；</w:t>
      </w:r>
    </w:p>
    <w:p w14:paraId="568FC9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）监管评级达到一定标准，中国人民银行台州市中心支行2023年度综合评价应达到B级及以上,但是不纳入人行台州市中心支行评级范围的银行不受此限制；</w:t>
      </w:r>
    </w:p>
    <w:p w14:paraId="03A31A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）竞标银行在</w:t>
      </w:r>
      <w:r>
        <w:rPr>
          <w:rFonts w:hint="eastAsia" w:ascii="宋体" w:hAnsi="宋体" w:eastAsia="宋体" w:cs="宋体"/>
          <w:color w:val="auto"/>
          <w:sz w:val="21"/>
          <w:szCs w:val="21"/>
          <w:highlight w:val="none"/>
          <w:lang w:val="en-US" w:eastAsia="zh-CN"/>
        </w:rPr>
        <w:t>椒江区</w:t>
      </w:r>
      <w:r>
        <w:rPr>
          <w:rFonts w:hint="eastAsia" w:ascii="宋体" w:hAnsi="宋体" w:eastAsia="宋体" w:cs="宋体"/>
          <w:color w:val="auto"/>
          <w:sz w:val="21"/>
          <w:szCs w:val="21"/>
          <w:highlight w:val="none"/>
        </w:rPr>
        <w:t>既有分行又有支行的，只能选派一家银行参与竞标。</w:t>
      </w:r>
    </w:p>
    <w:p w14:paraId="078511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）如未能满足上述条件,但台州市规范公款存放管理领导小组另有规定的,从其规定。</w:t>
      </w:r>
    </w:p>
    <w:p w14:paraId="55EB8F8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、招标文件的</w:t>
      </w:r>
      <w:r>
        <w:rPr>
          <w:rFonts w:hint="eastAsia" w:ascii="宋体" w:hAnsi="宋体" w:eastAsia="宋体" w:cs="宋体"/>
          <w:b/>
          <w:bCs/>
          <w:color w:val="auto"/>
          <w:sz w:val="21"/>
          <w:szCs w:val="21"/>
          <w:highlight w:val="none"/>
          <w:lang w:eastAsia="zh-CN"/>
        </w:rPr>
        <w:t>获取（同报名时间）</w:t>
      </w:r>
      <w:r>
        <w:rPr>
          <w:rFonts w:hint="eastAsia" w:ascii="宋体" w:hAnsi="宋体" w:eastAsia="宋体" w:cs="宋体"/>
          <w:b/>
          <w:bCs/>
          <w:color w:val="auto"/>
          <w:sz w:val="21"/>
          <w:szCs w:val="21"/>
          <w:highlight w:val="none"/>
        </w:rPr>
        <w:t>：</w:t>
      </w:r>
    </w:p>
    <w:p w14:paraId="1B5F87DC">
      <w:pPr>
        <w:tabs>
          <w:tab w:val="left" w:pos="180"/>
          <w:tab w:val="left" w:pos="360"/>
          <w:tab w:val="left" w:pos="540"/>
          <w:tab w:val="left" w:pos="8280"/>
        </w:tabs>
        <w:autoSpaceDE w:val="0"/>
        <w:autoSpaceDN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1、获取时间：2024-</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至2024-</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(双休日及法定节假日除外)</w:t>
      </w:r>
    </w:p>
    <w:p w14:paraId="0451F42E">
      <w:pPr>
        <w:tabs>
          <w:tab w:val="left" w:pos="180"/>
          <w:tab w:val="left" w:pos="360"/>
          <w:tab w:val="left" w:pos="540"/>
          <w:tab w:val="left" w:pos="8280"/>
        </w:tabs>
        <w:autoSpaceDE w:val="0"/>
        <w:autoSpaceDN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上午：8:30-11:30        下午：14:30-17:00</w:t>
      </w:r>
    </w:p>
    <w:p w14:paraId="4107F2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2、获取方式：</w:t>
      </w:r>
      <w:r>
        <w:rPr>
          <w:rFonts w:hint="eastAsia" w:ascii="宋体" w:hAnsi="宋体" w:eastAsia="宋体" w:cs="宋体"/>
          <w:bCs/>
          <w:color w:val="auto"/>
          <w:kern w:val="0"/>
          <w:sz w:val="21"/>
          <w:szCs w:val="21"/>
          <w:highlight w:val="none"/>
        </w:rPr>
        <w:t>现场</w:t>
      </w:r>
      <w:r>
        <w:rPr>
          <w:rFonts w:hint="eastAsia" w:ascii="宋体" w:hAnsi="宋体" w:eastAsia="宋体" w:cs="宋体"/>
          <w:bCs/>
          <w:color w:val="auto"/>
          <w:kern w:val="0"/>
          <w:sz w:val="21"/>
          <w:szCs w:val="21"/>
          <w:highlight w:val="none"/>
          <w:lang w:eastAsia="zh-CN"/>
        </w:rPr>
        <w:t>获取</w:t>
      </w:r>
      <w:r>
        <w:rPr>
          <w:rFonts w:hint="eastAsia" w:ascii="宋体" w:hAnsi="宋体" w:eastAsia="宋体" w:cs="宋体"/>
          <w:bCs/>
          <w:color w:val="auto"/>
          <w:kern w:val="0"/>
          <w:sz w:val="21"/>
          <w:szCs w:val="21"/>
          <w:highlight w:val="none"/>
        </w:rPr>
        <w:t>，地址为</w:t>
      </w:r>
      <w:r>
        <w:rPr>
          <w:rFonts w:hint="eastAsia" w:ascii="宋体" w:hAnsi="宋体" w:eastAsia="宋体" w:cs="宋体"/>
          <w:color w:val="auto"/>
          <w:kern w:val="0"/>
          <w:sz w:val="21"/>
          <w:szCs w:val="21"/>
          <w:highlight w:val="none"/>
        </w:rPr>
        <w:t>台州市华中大厦1单元701室代理办公室</w:t>
      </w:r>
    </w:p>
    <w:p w14:paraId="425437BB">
      <w:pPr>
        <w:tabs>
          <w:tab w:val="left" w:pos="180"/>
          <w:tab w:val="left" w:pos="360"/>
          <w:tab w:val="left" w:pos="540"/>
          <w:tab w:val="left" w:pos="8280"/>
        </w:tabs>
        <w:autoSpaceDE w:val="0"/>
        <w:autoSpaceDN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3、文本费：300元。</w:t>
      </w:r>
    </w:p>
    <w:p w14:paraId="0834F9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kern w:val="0"/>
          <w:sz w:val="21"/>
          <w:szCs w:val="21"/>
          <w:highlight w:val="none"/>
        </w:rPr>
        <w:t>购买招标文件时应提交的资料</w:t>
      </w:r>
      <w:r>
        <w:rPr>
          <w:rFonts w:hint="eastAsia" w:ascii="宋体" w:hAnsi="宋体" w:eastAsia="宋体" w:cs="宋体"/>
          <w:color w:val="auto"/>
          <w:kern w:val="0"/>
          <w:sz w:val="21"/>
          <w:szCs w:val="21"/>
          <w:highlight w:val="none"/>
        </w:rPr>
        <w:t>（复印件须加盖单位公章）：</w:t>
      </w:r>
    </w:p>
    <w:p w14:paraId="029DB9BB">
      <w:pPr>
        <w:tabs>
          <w:tab w:val="left" w:pos="180"/>
          <w:tab w:val="left" w:pos="360"/>
          <w:tab w:val="left" w:pos="540"/>
          <w:tab w:val="left" w:pos="8280"/>
        </w:tabs>
        <w:autoSpaceDE w:val="0"/>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a）投标供应商报名表；</w:t>
      </w:r>
    </w:p>
    <w:p w14:paraId="670A7071">
      <w:pPr>
        <w:tabs>
          <w:tab w:val="left" w:pos="180"/>
          <w:tab w:val="left" w:pos="360"/>
          <w:tab w:val="left" w:pos="540"/>
          <w:tab w:val="left" w:pos="8280"/>
        </w:tabs>
        <w:autoSpaceDE w:val="0"/>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b）有效的营业执照及金融许可证（复印件加盖公章）；</w:t>
      </w:r>
    </w:p>
    <w:p w14:paraId="5FBE8F81">
      <w:pPr>
        <w:tabs>
          <w:tab w:val="left" w:pos="180"/>
          <w:tab w:val="left" w:pos="360"/>
          <w:tab w:val="left" w:pos="540"/>
          <w:tab w:val="left" w:pos="8280"/>
        </w:tabs>
        <w:autoSpaceDE w:val="0"/>
        <w:autoSpaceDN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c)中国人民银行台州市中心支行2023年度综合评价材料（能体现B级及以上，但是不纳入人行台州市中心支行评级范围的银行无需提供）；</w:t>
      </w:r>
    </w:p>
    <w:p w14:paraId="11D83B74">
      <w:pPr>
        <w:pStyle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d）提供</w:t>
      </w:r>
      <w:r>
        <w:rPr>
          <w:rFonts w:hint="eastAsia" w:ascii="宋体" w:hAnsi="宋体" w:eastAsia="宋体" w:cs="宋体"/>
          <w:color w:val="auto"/>
          <w:sz w:val="21"/>
          <w:szCs w:val="21"/>
          <w:highlight w:val="none"/>
          <w:lang w:eastAsia="zh-CN"/>
        </w:rPr>
        <w:t>已实现浙江省医疗保障信息平台衔接的相关证明资料。</w:t>
      </w:r>
    </w:p>
    <w:p w14:paraId="2B8560DD">
      <w:pPr>
        <w:pStyle w:val="26"/>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rPr>
        <w:t>备注：</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若同一家银行（含总行、分行、支行等）过来报名的均以先报名的银行为准（即后报名的拒收）。</w:t>
      </w:r>
      <w:r>
        <w:rPr>
          <w:rFonts w:hint="eastAsia" w:ascii="宋体" w:hAnsi="宋体" w:eastAsia="宋体" w:cs="宋体"/>
          <w:b/>
          <w:bCs/>
          <w:color w:val="auto"/>
          <w:kern w:val="0"/>
          <w:sz w:val="21"/>
          <w:szCs w:val="21"/>
          <w:highlight w:val="none"/>
          <w:lang w:val="en-US" w:eastAsia="zh-CN"/>
        </w:rPr>
        <w:t>2、所提供的资料最终以专家评审为准。</w:t>
      </w:r>
    </w:p>
    <w:p w14:paraId="178D3985">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投标截止及开标时间、地点：</w:t>
      </w:r>
    </w:p>
    <w:p w14:paraId="48BF0FB4">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本次招标将于2024年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 xml:space="preserve">  日</w:t>
      </w:r>
      <w:r>
        <w:rPr>
          <w:rFonts w:hint="eastAsia" w:ascii="宋体" w:hAnsi="宋体" w:eastAsia="宋体" w:cs="宋体"/>
          <w:color w:val="auto"/>
          <w:sz w:val="21"/>
          <w:szCs w:val="21"/>
          <w:highlight w:val="none"/>
        </w:rPr>
        <w:t>09时30分在</w:t>
      </w:r>
      <w:r>
        <w:rPr>
          <w:rFonts w:hint="eastAsia" w:ascii="宋体" w:hAnsi="宋体" w:eastAsia="宋体" w:cs="宋体"/>
          <w:color w:val="auto"/>
          <w:sz w:val="21"/>
          <w:szCs w:val="21"/>
          <w:highlight w:val="none"/>
          <w:lang w:eastAsia="zh-CN"/>
        </w:rPr>
        <w:t>台州市华中大厦</w:t>
      </w:r>
      <w:r>
        <w:rPr>
          <w:rFonts w:hint="eastAsia" w:ascii="宋体" w:hAnsi="宋体" w:eastAsia="宋体" w:cs="宋体"/>
          <w:color w:val="auto"/>
          <w:sz w:val="21"/>
          <w:szCs w:val="21"/>
          <w:highlight w:val="none"/>
          <w:lang w:val="en-US" w:eastAsia="zh-CN"/>
        </w:rPr>
        <w:t>1单元702</w:t>
      </w:r>
      <w:r>
        <w:rPr>
          <w:rFonts w:hint="eastAsia" w:ascii="宋体" w:hAnsi="宋体" w:eastAsia="宋体" w:cs="宋体"/>
          <w:color w:val="auto"/>
          <w:sz w:val="21"/>
          <w:szCs w:val="21"/>
          <w:highlight w:val="none"/>
        </w:rPr>
        <w:t>会议室开标，</w:t>
      </w:r>
      <w:r>
        <w:rPr>
          <w:rFonts w:hint="eastAsia" w:ascii="宋体" w:hAnsi="宋体" w:eastAsia="宋体" w:cs="宋体"/>
          <w:color w:val="auto"/>
          <w:kern w:val="0"/>
          <w:sz w:val="21"/>
          <w:szCs w:val="21"/>
          <w:highlight w:val="none"/>
        </w:rPr>
        <w:t>请在开标当日09</w:t>
      </w:r>
      <w:r>
        <w:rPr>
          <w:rFonts w:hint="eastAsia" w:ascii="宋体" w:hAnsi="宋体" w:eastAsia="宋体" w:cs="宋体"/>
          <w:color w:val="auto"/>
          <w:sz w:val="21"/>
          <w:szCs w:val="21"/>
          <w:highlight w:val="none"/>
        </w:rPr>
        <w:t>:00</w:t>
      </w:r>
      <w:r>
        <w:rPr>
          <w:rFonts w:hint="eastAsia" w:ascii="宋体" w:hAnsi="宋体" w:eastAsia="宋体" w:cs="宋体"/>
          <w:color w:val="auto"/>
          <w:kern w:val="0"/>
          <w:sz w:val="21"/>
          <w:szCs w:val="21"/>
          <w:highlight w:val="none"/>
        </w:rPr>
        <w:t>至</w:t>
      </w:r>
      <w:r>
        <w:rPr>
          <w:rFonts w:hint="eastAsia" w:ascii="宋体" w:hAnsi="宋体" w:eastAsia="宋体" w:cs="宋体"/>
          <w:color w:val="auto"/>
          <w:sz w:val="21"/>
          <w:szCs w:val="21"/>
          <w:highlight w:val="none"/>
        </w:rPr>
        <w:t>09:30</w:t>
      </w:r>
      <w:r>
        <w:rPr>
          <w:rFonts w:hint="eastAsia" w:ascii="宋体" w:hAnsi="宋体" w:eastAsia="宋体" w:cs="宋体"/>
          <w:color w:val="auto"/>
          <w:kern w:val="0"/>
          <w:sz w:val="21"/>
          <w:szCs w:val="21"/>
          <w:highlight w:val="none"/>
        </w:rPr>
        <w:t>将投标文件送达开标地点，逾期或不符合规定的投标文件恕不接受。</w:t>
      </w:r>
    </w:p>
    <w:p w14:paraId="4AB53A67">
      <w:pPr>
        <w:pStyle w:val="21"/>
        <w:spacing w:line="360" w:lineRule="auto"/>
        <w:ind w:left="0" w:leftChars="0"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0"/>
          <w:sz w:val="21"/>
          <w:szCs w:val="21"/>
          <w:highlight w:val="none"/>
          <w:lang w:eastAsia="zh-CN"/>
        </w:rPr>
        <w:t>七</w:t>
      </w:r>
      <w:r>
        <w:rPr>
          <w:rFonts w:hint="eastAsia" w:ascii="宋体" w:hAnsi="宋体" w:eastAsia="宋体" w:cs="宋体"/>
          <w:b/>
          <w:color w:val="auto"/>
          <w:kern w:val="0"/>
          <w:sz w:val="21"/>
          <w:szCs w:val="21"/>
          <w:highlight w:val="none"/>
        </w:rPr>
        <w:t>、投标保证金：</w:t>
      </w:r>
      <w:r>
        <w:rPr>
          <w:rFonts w:hint="eastAsia" w:ascii="宋体" w:hAnsi="宋体" w:eastAsia="宋体" w:cs="宋体"/>
          <w:b/>
          <w:color w:val="auto"/>
          <w:kern w:val="0"/>
          <w:sz w:val="21"/>
          <w:szCs w:val="21"/>
          <w:highlight w:val="none"/>
          <w:lang w:eastAsia="zh-CN"/>
        </w:rPr>
        <w:t>无</w:t>
      </w:r>
    </w:p>
    <w:p w14:paraId="413C2B24">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、相关注意事项</w:t>
      </w:r>
      <w:r>
        <w:rPr>
          <w:rFonts w:hint="eastAsia" w:ascii="宋体" w:hAnsi="宋体" w:eastAsia="宋体" w:cs="宋体"/>
          <w:color w:val="auto"/>
          <w:sz w:val="21"/>
          <w:szCs w:val="21"/>
          <w:highlight w:val="none"/>
        </w:rPr>
        <w:t>：</w:t>
      </w:r>
    </w:p>
    <w:p w14:paraId="185135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应当在收到书面质疑后3个工作日内做出答复，并通知所有已经获取标书的投标人。</w:t>
      </w:r>
    </w:p>
    <w:p w14:paraId="5735C2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2、本项目所有公告发布网站：“浙江省政府采购网”（zfcg.czt.zj.gov.cn）。</w:t>
      </w:r>
    </w:p>
    <w:p w14:paraId="78EBD9F3">
      <w:pPr>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九</w:t>
      </w:r>
      <w:r>
        <w:rPr>
          <w:rFonts w:hint="eastAsia" w:ascii="宋体" w:hAnsi="宋体" w:eastAsia="宋体" w:cs="宋体"/>
          <w:b/>
          <w:bCs/>
          <w:color w:val="auto"/>
          <w:kern w:val="0"/>
          <w:sz w:val="21"/>
          <w:szCs w:val="21"/>
          <w:highlight w:val="none"/>
        </w:rPr>
        <w:t>、联系方式：</w:t>
      </w:r>
    </w:p>
    <w:p w14:paraId="257DF0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（一）采购组织机构</w:t>
      </w:r>
    </w:p>
    <w:p w14:paraId="5C53BE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称：台州中亿工程管理有限公司</w:t>
      </w:r>
    </w:p>
    <w:p w14:paraId="04ADB1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人：徐女士</w:t>
      </w:r>
    </w:p>
    <w:p w14:paraId="023EE7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联系电话：0576-88832068/18967688501</w:t>
      </w:r>
    </w:p>
    <w:p w14:paraId="695E96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人：戴先生（受理质疑）　</w:t>
      </w:r>
    </w:p>
    <w:p w14:paraId="2F877B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联系电话：13736686963</w:t>
      </w:r>
    </w:p>
    <w:p w14:paraId="628A4D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址：台州市华中大厦1单元701室</w:t>
      </w:r>
    </w:p>
    <w:p w14:paraId="056FFFB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（二）采购人</w:t>
      </w:r>
    </w:p>
    <w:p w14:paraId="10C81FB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台州市椒江区医疗保障局</w:t>
      </w:r>
    </w:p>
    <w:p w14:paraId="2984FA6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eastAsia="zh-CN"/>
        </w:rPr>
        <w:t>盛女士</w:t>
      </w:r>
    </w:p>
    <w:p w14:paraId="1324FC2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0576-88222212</w:t>
      </w:r>
    </w:p>
    <w:p w14:paraId="3A21340F">
      <w:pPr>
        <w:pStyle w:val="15"/>
        <w:rPr>
          <w:rFonts w:ascii="宋体" w:hAnsi="宋体" w:cs="宋体"/>
          <w:color w:val="auto"/>
          <w:sz w:val="24"/>
          <w:highlight w:val="none"/>
        </w:rPr>
      </w:pPr>
    </w:p>
    <w:p w14:paraId="72983EDC">
      <w:pPr>
        <w:pStyle w:val="15"/>
        <w:rPr>
          <w:rFonts w:ascii="宋体" w:hAnsi="宋体" w:cs="宋体"/>
          <w:color w:val="auto"/>
          <w:sz w:val="24"/>
          <w:highlight w:val="none"/>
        </w:rPr>
      </w:pPr>
    </w:p>
    <w:p w14:paraId="0AAD92BB">
      <w:pPr>
        <w:pStyle w:val="15"/>
        <w:rPr>
          <w:rFonts w:ascii="宋体" w:hAnsi="宋体" w:cs="宋体"/>
          <w:color w:val="auto"/>
          <w:sz w:val="24"/>
          <w:highlight w:val="none"/>
        </w:rPr>
      </w:pPr>
    </w:p>
    <w:p w14:paraId="4D3D9279">
      <w:pPr>
        <w:pStyle w:val="15"/>
        <w:rPr>
          <w:rFonts w:ascii="宋体" w:hAnsi="宋体" w:cs="宋体"/>
          <w:color w:val="auto"/>
          <w:sz w:val="24"/>
          <w:highlight w:val="none"/>
        </w:rPr>
      </w:pPr>
    </w:p>
    <w:p w14:paraId="1C324F2F">
      <w:pPr>
        <w:pStyle w:val="15"/>
        <w:rPr>
          <w:rFonts w:ascii="宋体" w:hAnsi="宋体" w:cs="宋体"/>
          <w:color w:val="auto"/>
          <w:sz w:val="24"/>
          <w:highlight w:val="none"/>
        </w:rPr>
      </w:pPr>
    </w:p>
    <w:p w14:paraId="1A097461">
      <w:pPr>
        <w:numPr>
          <w:ilvl w:val="0"/>
          <w:numId w:val="4"/>
        </w:numPr>
        <w:spacing w:line="360" w:lineRule="auto"/>
        <w:jc w:val="center"/>
        <w:rPr>
          <w:rFonts w:ascii="宋体"/>
          <w:b/>
          <w:color w:val="auto"/>
          <w:sz w:val="36"/>
          <w:szCs w:val="36"/>
          <w:highlight w:val="none"/>
        </w:rPr>
      </w:pPr>
      <w:r>
        <w:rPr>
          <w:rFonts w:hint="eastAsia" w:ascii="宋体" w:hAnsi="宋体"/>
          <w:b/>
          <w:color w:val="auto"/>
          <w:sz w:val="36"/>
          <w:szCs w:val="36"/>
          <w:highlight w:val="none"/>
        </w:rPr>
        <w:t>投标人须知</w:t>
      </w:r>
    </w:p>
    <w:p w14:paraId="2A9ED8F9">
      <w:pPr>
        <w:spacing w:line="360" w:lineRule="auto"/>
        <w:jc w:val="center"/>
        <w:rPr>
          <w:rFonts w:ascii="宋体"/>
          <w:b/>
          <w:color w:val="auto"/>
          <w:sz w:val="24"/>
          <w:highlight w:val="none"/>
        </w:rPr>
      </w:pPr>
      <w:r>
        <w:rPr>
          <w:rFonts w:hint="eastAsia" w:ascii="宋体" w:hAnsi="宋体"/>
          <w:b/>
          <w:color w:val="auto"/>
          <w:sz w:val="24"/>
          <w:highlight w:val="none"/>
        </w:rPr>
        <w:t>前  附 表</w:t>
      </w:r>
    </w:p>
    <w:tbl>
      <w:tblPr>
        <w:tblStyle w:val="2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08"/>
        <w:gridCol w:w="6320"/>
      </w:tblGrid>
      <w:tr w14:paraId="7424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10" w:type="dxa"/>
            <w:vAlign w:val="center"/>
          </w:tcPr>
          <w:p w14:paraId="72027A6E">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序号</w:t>
            </w:r>
          </w:p>
        </w:tc>
        <w:tc>
          <w:tcPr>
            <w:tcW w:w="1908" w:type="dxa"/>
            <w:vAlign w:val="center"/>
          </w:tcPr>
          <w:p w14:paraId="5009A04E">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w:t>
            </w:r>
          </w:p>
        </w:tc>
        <w:tc>
          <w:tcPr>
            <w:tcW w:w="6320" w:type="dxa"/>
            <w:vAlign w:val="center"/>
          </w:tcPr>
          <w:p w14:paraId="127FFDA0">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内容</w:t>
            </w:r>
          </w:p>
        </w:tc>
      </w:tr>
      <w:tr w14:paraId="7D80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10" w:type="dxa"/>
            <w:vAlign w:val="center"/>
          </w:tcPr>
          <w:p w14:paraId="078F99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908" w:type="dxa"/>
            <w:vAlign w:val="center"/>
          </w:tcPr>
          <w:p w14:paraId="2DCE35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320" w:type="dxa"/>
            <w:vAlign w:val="center"/>
          </w:tcPr>
          <w:p w14:paraId="5DDDB80B">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14:paraId="058F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10" w:type="dxa"/>
            <w:vAlign w:val="center"/>
          </w:tcPr>
          <w:p w14:paraId="5DCB60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908" w:type="dxa"/>
            <w:vAlign w:val="center"/>
          </w:tcPr>
          <w:p w14:paraId="561599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投标文件包装要求</w:t>
            </w:r>
          </w:p>
        </w:tc>
        <w:tc>
          <w:tcPr>
            <w:tcW w:w="6320" w:type="dxa"/>
            <w:vAlign w:val="center"/>
          </w:tcPr>
          <w:p w14:paraId="68B7E1A9">
            <w:pPr>
              <w:spacing w:line="360" w:lineRule="auto"/>
              <w:rPr>
                <w:color w:val="auto"/>
                <w:highlight w:val="none"/>
              </w:rPr>
            </w:pPr>
            <w:r>
              <w:rPr>
                <w:rFonts w:hint="eastAsia"/>
                <w:color w:val="auto"/>
                <w:highlight w:val="none"/>
              </w:rPr>
              <w:t>资信技术文件必须密封包装：</w:t>
            </w:r>
          </w:p>
          <w:p w14:paraId="2A8F1E8D">
            <w:pPr>
              <w:spacing w:line="360" w:lineRule="auto"/>
              <w:rPr>
                <w:color w:val="auto"/>
                <w:highlight w:val="none"/>
              </w:rPr>
            </w:pPr>
            <w:r>
              <w:rPr>
                <w:rFonts w:hint="eastAsia"/>
                <w:color w:val="auto"/>
                <w:highlight w:val="none"/>
              </w:rPr>
              <w:t>资信技术文件正本1份、副本4份</w:t>
            </w:r>
          </w:p>
        </w:tc>
      </w:tr>
      <w:tr w14:paraId="65E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10" w:type="dxa"/>
            <w:vAlign w:val="center"/>
          </w:tcPr>
          <w:p w14:paraId="3FAFC4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908" w:type="dxa"/>
            <w:vAlign w:val="center"/>
          </w:tcPr>
          <w:p w14:paraId="4DA51A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320" w:type="dxa"/>
            <w:vAlign w:val="center"/>
          </w:tcPr>
          <w:p w14:paraId="2FE1B52A">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投标有效期为开标后90天，投标有效期从提交投标文件的截止之日起算。</w:t>
            </w:r>
          </w:p>
        </w:tc>
      </w:tr>
      <w:tr w14:paraId="4E47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10" w:type="dxa"/>
            <w:vAlign w:val="center"/>
          </w:tcPr>
          <w:p w14:paraId="7B93E2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908" w:type="dxa"/>
            <w:vAlign w:val="center"/>
          </w:tcPr>
          <w:p w14:paraId="16300B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投标文件递交</w:t>
            </w:r>
          </w:p>
        </w:tc>
        <w:tc>
          <w:tcPr>
            <w:tcW w:w="6320" w:type="dxa"/>
            <w:vAlign w:val="center"/>
          </w:tcPr>
          <w:p w14:paraId="7DA6314B">
            <w:pPr>
              <w:spacing w:line="360" w:lineRule="auto"/>
              <w:rPr>
                <w:rFonts w:ascii="宋体" w:hAnsi="宋体" w:cs="宋体"/>
                <w:color w:val="auto"/>
                <w:szCs w:val="21"/>
                <w:highlight w:val="none"/>
              </w:rPr>
            </w:pPr>
            <w:r>
              <w:rPr>
                <w:rFonts w:hint="eastAsia" w:ascii="宋体" w:hAnsi="宋体" w:cs="宋体"/>
                <w:color w:val="auto"/>
                <w:szCs w:val="21"/>
                <w:highlight w:val="none"/>
              </w:rPr>
              <w:t>截止时间：北京时间2024年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 09时30分</w:t>
            </w:r>
          </w:p>
          <w:p w14:paraId="702FF4A7">
            <w:pPr>
              <w:spacing w:line="360" w:lineRule="auto"/>
              <w:rPr>
                <w:rFonts w:ascii="宋体" w:hAnsi="宋体" w:cs="宋体"/>
                <w:color w:val="auto"/>
                <w:szCs w:val="21"/>
                <w:highlight w:val="none"/>
              </w:rPr>
            </w:pPr>
            <w:r>
              <w:rPr>
                <w:rFonts w:hint="eastAsia" w:ascii="宋体" w:hAnsi="宋体" w:cs="宋体"/>
                <w:color w:val="auto"/>
                <w:szCs w:val="21"/>
                <w:highlight w:val="none"/>
              </w:rPr>
              <w:t>递交地点：台州市华中大厦1单元702室会议室</w:t>
            </w:r>
          </w:p>
          <w:p w14:paraId="457B7E0E">
            <w:pPr>
              <w:spacing w:line="360" w:lineRule="auto"/>
              <w:rPr>
                <w:rFonts w:ascii="宋体" w:hAnsi="宋体" w:cs="宋体"/>
                <w:color w:val="auto"/>
                <w:szCs w:val="21"/>
                <w:highlight w:val="none"/>
              </w:rPr>
            </w:pPr>
            <w:r>
              <w:rPr>
                <w:rFonts w:hint="eastAsia" w:ascii="宋体" w:hAnsi="宋体" w:cs="宋体"/>
                <w:color w:val="auto"/>
                <w:szCs w:val="21"/>
                <w:highlight w:val="none"/>
              </w:rPr>
              <w:t>逾期送达的投标文件恕不接受</w:t>
            </w:r>
          </w:p>
        </w:tc>
      </w:tr>
      <w:tr w14:paraId="349E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10" w:type="dxa"/>
            <w:vAlign w:val="center"/>
          </w:tcPr>
          <w:p w14:paraId="62894C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908" w:type="dxa"/>
            <w:vAlign w:val="center"/>
          </w:tcPr>
          <w:p w14:paraId="596507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开标时间及地点</w:t>
            </w:r>
          </w:p>
        </w:tc>
        <w:tc>
          <w:tcPr>
            <w:tcW w:w="6320" w:type="dxa"/>
            <w:vAlign w:val="center"/>
          </w:tcPr>
          <w:p w14:paraId="3F696053">
            <w:pPr>
              <w:spacing w:line="360" w:lineRule="auto"/>
              <w:rPr>
                <w:rFonts w:ascii="宋体" w:hAnsi="宋体" w:cs="宋体"/>
                <w:color w:val="auto"/>
                <w:szCs w:val="21"/>
                <w:highlight w:val="none"/>
              </w:rPr>
            </w:pPr>
            <w:r>
              <w:rPr>
                <w:rFonts w:hint="eastAsia" w:ascii="宋体" w:hAnsi="宋体" w:cs="宋体"/>
                <w:color w:val="auto"/>
                <w:szCs w:val="21"/>
                <w:highlight w:val="none"/>
              </w:rPr>
              <w:t>时间：北京时间2024年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 09时30分</w:t>
            </w:r>
          </w:p>
          <w:p w14:paraId="0FCB4B68">
            <w:pPr>
              <w:spacing w:line="360" w:lineRule="auto"/>
              <w:rPr>
                <w:rFonts w:ascii="宋体" w:hAnsi="宋体" w:cs="宋体"/>
                <w:color w:val="auto"/>
                <w:szCs w:val="21"/>
                <w:highlight w:val="none"/>
              </w:rPr>
            </w:pPr>
            <w:r>
              <w:rPr>
                <w:rFonts w:hint="eastAsia" w:ascii="宋体" w:hAnsi="宋体" w:cs="宋体"/>
                <w:color w:val="auto"/>
                <w:szCs w:val="21"/>
                <w:highlight w:val="none"/>
              </w:rPr>
              <w:t>地点：台州市华中大厦1单元702室会议室</w:t>
            </w:r>
          </w:p>
        </w:tc>
      </w:tr>
      <w:tr w14:paraId="156B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10" w:type="dxa"/>
            <w:vAlign w:val="center"/>
          </w:tcPr>
          <w:p w14:paraId="136D57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908" w:type="dxa"/>
            <w:vAlign w:val="center"/>
          </w:tcPr>
          <w:p w14:paraId="1C2893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320" w:type="dxa"/>
            <w:vAlign w:val="center"/>
          </w:tcPr>
          <w:p w14:paraId="22F2405E">
            <w:pPr>
              <w:spacing w:line="360" w:lineRule="auto"/>
              <w:rPr>
                <w:rFonts w:ascii="宋体" w:hAnsi="宋体" w:cs="宋体"/>
                <w:color w:val="auto"/>
                <w:szCs w:val="21"/>
                <w:highlight w:val="none"/>
              </w:rPr>
            </w:pPr>
            <w:r>
              <w:rPr>
                <w:rFonts w:hint="eastAsia" w:ascii="宋体" w:hAnsi="宋体" w:cs="宋体"/>
                <w:b/>
                <w:bCs/>
                <w:color w:val="auto"/>
                <w:szCs w:val="21"/>
                <w:highlight w:val="none"/>
              </w:rPr>
              <w:t>详见招标公告</w:t>
            </w:r>
          </w:p>
        </w:tc>
      </w:tr>
      <w:tr w14:paraId="0A4C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10" w:type="dxa"/>
            <w:vAlign w:val="center"/>
          </w:tcPr>
          <w:p w14:paraId="1F064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908" w:type="dxa"/>
            <w:vAlign w:val="center"/>
          </w:tcPr>
          <w:p w14:paraId="7DF1A1A5">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320" w:type="dxa"/>
            <w:vAlign w:val="center"/>
          </w:tcPr>
          <w:p w14:paraId="409F806F">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14:paraId="0EF5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10" w:type="dxa"/>
            <w:vAlign w:val="center"/>
          </w:tcPr>
          <w:p w14:paraId="6A1C00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908" w:type="dxa"/>
            <w:vAlign w:val="center"/>
          </w:tcPr>
          <w:p w14:paraId="4B65BE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320" w:type="dxa"/>
            <w:vAlign w:val="center"/>
          </w:tcPr>
          <w:p w14:paraId="47644DF8">
            <w:pPr>
              <w:spacing w:line="360" w:lineRule="auto"/>
              <w:rPr>
                <w:rFonts w:ascii="宋体" w:hAnsi="宋体" w:cs="宋体"/>
                <w:color w:val="auto"/>
                <w:szCs w:val="21"/>
                <w:highlight w:val="none"/>
              </w:rPr>
            </w:pPr>
            <w:r>
              <w:rPr>
                <w:rFonts w:hint="eastAsia" w:ascii="宋体" w:hAnsi="宋体" w:cs="宋体"/>
                <w:color w:val="auto"/>
                <w:szCs w:val="21"/>
                <w:highlight w:val="none"/>
              </w:rPr>
              <w:t>本招标文件解释权属于采购人。</w:t>
            </w:r>
          </w:p>
        </w:tc>
      </w:tr>
    </w:tbl>
    <w:p w14:paraId="781B38B4">
      <w:pPr>
        <w:spacing w:line="360" w:lineRule="auto"/>
        <w:rPr>
          <w:rFonts w:hint="eastAsia" w:ascii="宋体" w:hAnsi="宋体" w:cs="宋体"/>
          <w:b/>
          <w:bCs/>
          <w:color w:val="auto"/>
          <w:szCs w:val="21"/>
          <w:highlight w:val="none"/>
        </w:rPr>
      </w:pPr>
    </w:p>
    <w:p w14:paraId="40A1BB6D">
      <w:pPr>
        <w:spacing w:line="360" w:lineRule="auto"/>
        <w:rPr>
          <w:rFonts w:hint="eastAsia" w:ascii="宋体" w:hAnsi="宋体" w:cs="宋体"/>
          <w:b/>
          <w:bCs/>
          <w:color w:val="auto"/>
          <w:szCs w:val="21"/>
          <w:highlight w:val="none"/>
        </w:rPr>
      </w:pPr>
    </w:p>
    <w:p w14:paraId="3DC141DC">
      <w:pPr>
        <w:spacing w:line="360" w:lineRule="auto"/>
        <w:rPr>
          <w:rFonts w:hint="eastAsia" w:ascii="宋体" w:hAnsi="宋体" w:cs="宋体"/>
          <w:b/>
          <w:bCs/>
          <w:color w:val="auto"/>
          <w:szCs w:val="21"/>
          <w:highlight w:val="none"/>
        </w:rPr>
      </w:pPr>
    </w:p>
    <w:p w14:paraId="7D36AADD">
      <w:pPr>
        <w:pStyle w:val="2"/>
        <w:rPr>
          <w:rFonts w:hint="eastAsia" w:ascii="宋体" w:hAnsi="宋体" w:cs="宋体"/>
          <w:b/>
          <w:bCs/>
          <w:color w:val="auto"/>
          <w:szCs w:val="21"/>
          <w:highlight w:val="none"/>
        </w:rPr>
      </w:pPr>
    </w:p>
    <w:p w14:paraId="6BF57FBA">
      <w:pPr>
        <w:pStyle w:val="2"/>
        <w:rPr>
          <w:rFonts w:hint="eastAsia" w:ascii="宋体" w:hAnsi="宋体" w:cs="宋体"/>
          <w:b/>
          <w:bCs/>
          <w:color w:val="auto"/>
          <w:szCs w:val="21"/>
          <w:highlight w:val="none"/>
        </w:rPr>
      </w:pPr>
    </w:p>
    <w:p w14:paraId="40F8A5BD">
      <w:pPr>
        <w:pStyle w:val="2"/>
        <w:rPr>
          <w:rFonts w:hint="eastAsia" w:ascii="宋体" w:hAnsi="宋体" w:cs="宋体"/>
          <w:b/>
          <w:bCs/>
          <w:color w:val="auto"/>
          <w:szCs w:val="21"/>
          <w:highlight w:val="none"/>
        </w:rPr>
      </w:pPr>
      <w:bookmarkStart w:id="28" w:name="_GoBack"/>
      <w:bookmarkEnd w:id="28"/>
    </w:p>
    <w:p w14:paraId="344EC940">
      <w:pPr>
        <w:spacing w:line="360" w:lineRule="auto"/>
        <w:rPr>
          <w:rFonts w:hint="eastAsia" w:ascii="宋体" w:hAnsi="宋体" w:cs="宋体"/>
          <w:b/>
          <w:bCs/>
          <w:color w:val="auto"/>
          <w:szCs w:val="21"/>
          <w:highlight w:val="none"/>
        </w:rPr>
      </w:pPr>
    </w:p>
    <w:p w14:paraId="1CB65DF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一、总则</w:t>
      </w:r>
    </w:p>
    <w:p w14:paraId="3408162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 适用范围</w:t>
      </w:r>
    </w:p>
    <w:p w14:paraId="1DA0F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本招标文件适用于本次项目的招标、投标、评标、定标、验收、合同履约、付款等行为（法律、法规另有规定的，从其规定）。</w:t>
      </w:r>
    </w:p>
    <w:p w14:paraId="285FCC4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（二）定义</w:t>
      </w:r>
    </w:p>
    <w:p w14:paraId="436B87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“采购组织机构”指采购人委托组织采购的采购组织机构。</w:t>
      </w:r>
    </w:p>
    <w:p w14:paraId="695829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2、采购人：是指委托</w:t>
      </w:r>
      <w:r>
        <w:rPr>
          <w:rFonts w:hint="eastAsia" w:ascii="宋体" w:hAnsi="宋体" w:cs="宋体"/>
          <w:color w:val="auto"/>
          <w:szCs w:val="21"/>
          <w:highlight w:val="none"/>
          <w:lang w:val="zh-CN"/>
        </w:rPr>
        <w:t>采购组织机构</w:t>
      </w:r>
      <w:r>
        <w:rPr>
          <w:rFonts w:hint="eastAsia" w:ascii="宋体" w:hAnsi="宋体" w:cs="宋体"/>
          <w:color w:val="auto"/>
          <w:szCs w:val="21"/>
          <w:highlight w:val="none"/>
        </w:rPr>
        <w:t>采购本次项目的国家机关、事业单位和团体组织。</w:t>
      </w:r>
    </w:p>
    <w:p w14:paraId="16C755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3、投标人：是指向采购组织机构提交投标文件的单位或个人。</w:t>
      </w:r>
    </w:p>
    <w:p w14:paraId="2104A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4、货物：是指各种形态和种类的物品，包括原材料、燃料、设备、产品等。</w:t>
      </w:r>
    </w:p>
    <w:p w14:paraId="62389D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5、服务：是指除货物和工程以外的政府采购对象，包括各类专业服务、信息网络开发服务、金融保险服务、运输服务，以及维修与维护服务等。</w:t>
      </w:r>
    </w:p>
    <w:p w14:paraId="4ABD83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6、“书面形式”包括信函、传真等。</w:t>
      </w:r>
    </w:p>
    <w:p w14:paraId="2986B2C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w:t>
      </w:r>
    </w:p>
    <w:p w14:paraId="39E60BB7">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（三）投标费用</w:t>
      </w:r>
    </w:p>
    <w:p w14:paraId="45C2F5F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1、不论投标结果如何，投标人均应自行承担所有与投标有关的全部费用（招标文件有相关规定除外）。</w:t>
      </w:r>
    </w:p>
    <w:p w14:paraId="4F4E970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2、本项目招标代理服务费：</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元，向中标单位收取，</w:t>
      </w:r>
      <w:r>
        <w:rPr>
          <w:rFonts w:hint="eastAsia" w:ascii="宋体" w:hAnsi="宋体" w:cs="宋体"/>
          <w:color w:val="auto"/>
          <w:szCs w:val="21"/>
          <w:highlight w:val="none"/>
          <w:lang w:eastAsia="zh-CN"/>
        </w:rPr>
        <w:t>由</w:t>
      </w:r>
      <w:r>
        <w:rPr>
          <w:rFonts w:hint="eastAsia" w:ascii="宋体" w:hAnsi="宋体" w:cs="宋体"/>
          <w:color w:val="auto"/>
          <w:szCs w:val="21"/>
          <w:highlight w:val="none"/>
        </w:rPr>
        <w:t>中标单位在领取中标通知书时向采购组织机构一次性支付。</w:t>
      </w:r>
    </w:p>
    <w:p w14:paraId="60C7174F">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799E6A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1、投标人投标所使用的资格、信誉、荣誉、业绩与企业认证必须为本法人所拥有。投标人投标所使用的项目实施人员必须为本法人员工（指本法人或控股公司正式员工）。</w:t>
      </w:r>
    </w:p>
    <w:p w14:paraId="74F897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274A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169C0A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4、为采购项目提供整体设计、规范编制或者项目管理、监理、检测等服务的供应商，不得再参加该采购项目的其他采购活动。</w:t>
      </w:r>
    </w:p>
    <w:p w14:paraId="1F1BC1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5、投标文件格式中的表格式样可以根据项目差别做适当调整,但应当保持表格样式基本形态不变。</w:t>
      </w:r>
    </w:p>
    <w:p w14:paraId="4B7C92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w:t>
      </w:r>
    </w:p>
    <w:p w14:paraId="4E7441BA">
      <w:pPr>
        <w:pStyle w:val="2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7、本项目不允许分包。</w:t>
      </w:r>
    </w:p>
    <w:p w14:paraId="7CB147F6">
      <w:pPr>
        <w:spacing w:line="360" w:lineRule="auto"/>
        <w:rPr>
          <w:rFonts w:ascii="宋体" w:hAnsi="宋体" w:cs="宋体"/>
          <w:color w:val="auto"/>
          <w:szCs w:val="21"/>
          <w:highlight w:val="none"/>
        </w:rPr>
      </w:pPr>
      <w:r>
        <w:rPr>
          <w:rFonts w:hint="eastAsia" w:ascii="宋体" w:hAnsi="宋体" w:cs="宋体"/>
          <w:b/>
          <w:bCs/>
          <w:color w:val="auto"/>
          <w:szCs w:val="21"/>
          <w:highlight w:val="none"/>
        </w:rPr>
        <w:t>二、招标文件</w:t>
      </w:r>
    </w:p>
    <w:p w14:paraId="043A90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（一）招标文件由招标文件总目录所列内容组成。</w:t>
      </w:r>
    </w:p>
    <w:p w14:paraId="18805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（二）招标文件的澄清或修改</w:t>
      </w:r>
    </w:p>
    <w:p w14:paraId="215A8B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15日前，在原公告发布媒体上发布澄清公告，澄清或者修改的内容为招标文件的组成部分；不足15日的，采购人或者采购组织机构应当顺延提交投标文件的截止时间。 </w:t>
      </w:r>
    </w:p>
    <w:p w14:paraId="266BE3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截止时间10日前内未对招标文件提出疑问、质疑或要求澄清的，将视其为无异议。对招标文件中描述有歧义或前后不一致的地方，评标委员会有权进行评判，但对同一条款的评判应适用于每个投标人。</w:t>
      </w:r>
    </w:p>
    <w:p w14:paraId="4525FA4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三、投标文件</w:t>
      </w:r>
    </w:p>
    <w:p w14:paraId="4A129283">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lang w:val="zh-CN"/>
        </w:rPr>
        <w:t>（一）</w:t>
      </w:r>
      <w:r>
        <w:rPr>
          <w:rFonts w:hint="eastAsia" w:ascii="宋体" w:hAnsi="宋体" w:cs="宋体"/>
          <w:b/>
          <w:bCs/>
          <w:color w:val="auto"/>
          <w:szCs w:val="21"/>
          <w:highlight w:val="none"/>
        </w:rPr>
        <w:t>投标文件的组成</w:t>
      </w:r>
    </w:p>
    <w:p w14:paraId="0F369953">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投标人接到招标文件后，按照采购组织机构的要求提供：</w:t>
      </w:r>
      <w:r>
        <w:rPr>
          <w:rFonts w:hint="eastAsia" w:ascii="宋体" w:hAnsi="宋体" w:cs="宋体"/>
          <w:b/>
          <w:bCs/>
          <w:color w:val="auto"/>
          <w:szCs w:val="21"/>
          <w:highlight w:val="none"/>
        </w:rPr>
        <w:t>资信技术文件。</w:t>
      </w:r>
    </w:p>
    <w:p w14:paraId="0EF64D56">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资信技术文件的组成：</w:t>
      </w:r>
    </w:p>
    <w:p w14:paraId="2894BB6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）投标声明书（格式详见附件）；</w:t>
      </w:r>
    </w:p>
    <w:p w14:paraId="4F555512">
      <w:pPr>
        <w:pStyle w:val="2"/>
        <w:ind w:firstLine="420" w:firstLineChars="200"/>
        <w:jc w:val="both"/>
        <w:rPr>
          <w:rFonts w:hint="eastAsia" w:eastAsia="宋体"/>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）投标函</w:t>
      </w:r>
      <w:r>
        <w:rPr>
          <w:rFonts w:hint="eastAsia" w:ascii="宋体" w:hAnsi="宋体" w:cs="宋体"/>
          <w:color w:val="auto"/>
          <w:szCs w:val="21"/>
          <w:highlight w:val="none"/>
        </w:rPr>
        <w:t>（格式详见附件）；</w:t>
      </w:r>
    </w:p>
    <w:p w14:paraId="42F9B7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）法定代表人（负责人）授权委托书</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格式详见附件，法定代表人（负责人）亲自办理投标事宜的，则无需提交</w:t>
      </w:r>
      <w:r>
        <w:rPr>
          <w:rFonts w:hint="eastAsia" w:ascii="宋体" w:hAnsi="宋体" w:cs="宋体"/>
          <w:color w:val="auto"/>
          <w:szCs w:val="21"/>
          <w:highlight w:val="none"/>
          <w:lang w:eastAsia="zh-CN"/>
        </w:rPr>
        <w:t>】</w:t>
      </w:r>
      <w:r>
        <w:rPr>
          <w:rFonts w:hint="eastAsia" w:ascii="宋体" w:hAnsi="宋体" w:cs="宋体"/>
          <w:color w:val="auto"/>
          <w:szCs w:val="21"/>
          <w:highlight w:val="none"/>
        </w:rPr>
        <w:t>；（以营业执照上注明的法定代表人或负责人为准）</w:t>
      </w:r>
    </w:p>
    <w:p w14:paraId="2CF2219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）有效的营业执照和金融许可证（复印件加盖单位公章）；</w:t>
      </w:r>
    </w:p>
    <w:p w14:paraId="5D0A24C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）近3年内在经营活动中无重大违法违规记录或重大违约事件的证明（格式自拟，加盖单位公章）；</w:t>
      </w:r>
    </w:p>
    <w:p w14:paraId="34D43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w:t>
      </w:r>
      <w:r>
        <w:rPr>
          <w:rFonts w:hint="eastAsia" w:ascii="宋体" w:hAnsi="宋体"/>
          <w:bCs/>
          <w:color w:val="auto"/>
          <w:szCs w:val="21"/>
          <w:highlight w:val="none"/>
        </w:rPr>
        <w:t>标人认为需要提供的其他文件和资料</w:t>
      </w:r>
      <w:r>
        <w:rPr>
          <w:rFonts w:hint="eastAsia" w:ascii="宋体" w:hAnsi="宋体" w:cs="宋体"/>
          <w:color w:val="auto"/>
          <w:szCs w:val="21"/>
          <w:highlight w:val="none"/>
        </w:rPr>
        <w:t>（结合评标打分标准表自行编制并提供资料）</w:t>
      </w:r>
    </w:p>
    <w:p w14:paraId="2D444C3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（二）投标文件的制作、封装及递交要求</w:t>
      </w:r>
    </w:p>
    <w:p w14:paraId="7E31F11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1、投标文件的制作要求</w:t>
      </w:r>
    </w:p>
    <w:p w14:paraId="270E02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（1）投标人应按照投标文件组成内容及项目招标需求制作投标文件，不按招标文件要求制作投标文件的将视情处理（拒收、扣分等），由此产生的责任由投标人自行承担。</w:t>
      </w:r>
    </w:p>
    <w:p w14:paraId="5010FE19">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▲（2）投标人应对所提供的全部资料的真实性承担法律责任，</w:t>
      </w:r>
      <w:r>
        <w:rPr>
          <w:rFonts w:hint="eastAsia" w:ascii="宋体" w:hAnsi="宋体" w:cs="宋体"/>
          <w:color w:val="auto"/>
          <w:szCs w:val="21"/>
          <w:highlight w:val="none"/>
          <w:lang w:val="zh-CN"/>
        </w:rPr>
        <w:t>投标文件内容中有要求盖章或签字的地方，必须加盖投标人的公章以及法定代表人或授权委托代理人盖章或签字。</w:t>
      </w:r>
    </w:p>
    <w:p w14:paraId="0300A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w:t>
      </w:r>
      <w:r>
        <w:rPr>
          <w:rFonts w:hint="eastAsia" w:ascii="宋体" w:hAnsi="宋体" w:cs="宋体"/>
          <w:color w:val="auto"/>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7458B7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（4）投标计量单位，招标文件已有明确规定的，使用招标文件规定的计量单位；招标文件没有规定的，应采用中华人民共和国法定计量单位（货币单位：人民币元）。</w:t>
      </w:r>
    </w:p>
    <w:p w14:paraId="4A5AA5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（5）若投标人不按招标文件的要求提供资格审查材料，其风险由投标人自行承担。</w:t>
      </w:r>
    </w:p>
    <w:p w14:paraId="315F2E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（6）与本次投标无关的内容请不要制作在内，确保投标文件有针对性、简洁明了，同时节约纸张；投标文件建议以A4纸大小双面打印并装订。</w:t>
      </w:r>
    </w:p>
    <w:p w14:paraId="2902637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2、投标文件的封装要求</w:t>
      </w:r>
    </w:p>
    <w:p w14:paraId="665CF3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（1）投标文件份数：资信技术文件必须装订成册：资信技术文件共5份（正本1份，副本4份，</w:t>
      </w:r>
      <w:r>
        <w:rPr>
          <w:rFonts w:hint="eastAsia" w:ascii="宋体" w:hAnsi="宋体" w:cs="宋体"/>
          <w:color w:val="auto"/>
          <w:szCs w:val="21"/>
          <w:highlight w:val="none"/>
          <w:lang w:eastAsia="zh-CN"/>
        </w:rPr>
        <w:t>可</w:t>
      </w:r>
      <w:r>
        <w:rPr>
          <w:rFonts w:hint="eastAsia" w:ascii="宋体" w:hAnsi="宋体" w:cs="宋体"/>
          <w:color w:val="auto"/>
          <w:szCs w:val="21"/>
          <w:highlight w:val="none"/>
        </w:rPr>
        <w:t>封装成一袋）。投标文件的正本封面必须注明“正本”字样(未注明的由采购人随机抽取一本作为正本)，副本可以采用正本的复印件。</w:t>
      </w:r>
    </w:p>
    <w:p w14:paraId="6CDC6D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（2）所有投标资料按投标文件的组成所列内容及顺序装订成册，</w:t>
      </w:r>
      <w:r>
        <w:rPr>
          <w:rFonts w:hint="eastAsia" w:ascii="宋体" w:hAnsi="宋体" w:cs="宋体"/>
          <w:color w:val="auto"/>
          <w:szCs w:val="21"/>
          <w:highlight w:val="none"/>
          <w:lang w:val="zh-CN"/>
        </w:rPr>
        <w:t>并逐页连续标注页码。因投标文件内容不完整、编排混乱导致投标文件被误读、漏读或者查找不到相关内容的责任由投标人自行承担。</w:t>
      </w:r>
    </w:p>
    <w:p w14:paraId="430D4A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请在密封袋的封口处应有投标单位公章或投标授权委托代理人签名。封皮上写明项目编号、标项、招标项目名称、投标人名称，并注明“投标文件名称（资信技术文件）”、“开标时启封”字样，未按上述要求密封及加写标记，采购组织机构对投标文件的误投和提前启封不负责任。</w:t>
      </w:r>
    </w:p>
    <w:p w14:paraId="3B63E2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（4）项目如分标项，各标项投标文件必须分开编制，并按上述份数要求单独密封包装。</w:t>
      </w:r>
    </w:p>
    <w:p w14:paraId="2A3A5445">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因密封不严、标记不明而造成失密、拒收、过早启封等情况，采购组织机构概不负责。</w:t>
      </w:r>
    </w:p>
    <w:p w14:paraId="7D0B9605">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3、投标文件的递交要求</w:t>
      </w:r>
    </w:p>
    <w:p w14:paraId="45CCE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（1）投标文件必须在规定时间前派人送达指定的投标地点。投标文件在截止时间后提交，采购组织机构将拒绝接收。</w:t>
      </w:r>
    </w:p>
    <w:p w14:paraId="6C7042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（2）如有特殊情况，采购组织机构延长截止时间和开标时间，采购组织机构和投标人的权利和义务将受到新的截止时间和开标时间的约束。</w:t>
      </w:r>
    </w:p>
    <w:p w14:paraId="3D4994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4、投标文件的补充、修改和撤回。</w:t>
      </w:r>
    </w:p>
    <w:p w14:paraId="2D9CFB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（1）投标人如需对上交的投标文件进行补充、修改或撤回的，必须在投标截止时间以前将书面的修改文件或撤消通知送达采购组织机构。</w:t>
      </w:r>
    </w:p>
    <w:p w14:paraId="02D7B3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（2）投标修改文件必须密封，在密封袋上写明项目编号、标段、招标项目名称、投标人名称、并注明“修改文件”、“开标时启封”字样，其作为投标文件的组成部分。</w:t>
      </w:r>
    </w:p>
    <w:p w14:paraId="55F1DD0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（三）投标文件的有效期</w:t>
      </w:r>
    </w:p>
    <w:p w14:paraId="19AFB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1、自投标截止日起90天投标文件应保持有效。有效期不足的投标文件将被拒绝。</w:t>
      </w:r>
    </w:p>
    <w:p w14:paraId="061AD4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2、在特殊情况下，采购人可与投标人协商延长投标文件的有效期，这种要求和答复均以书面形式进行。</w:t>
      </w:r>
    </w:p>
    <w:p w14:paraId="321E65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3、投标人可拒绝接受延期要求而不会导致投标保证金被没收。同意延长有效期的投标人需要相应延长投标保证金的有效期，但不能修改投标文件。</w:t>
      </w:r>
    </w:p>
    <w:p w14:paraId="465DB2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4、中标人的投标文件自开标之日起至合同履行完毕均应保持有效。</w:t>
      </w:r>
    </w:p>
    <w:p w14:paraId="3A460DFB">
      <w:pPr>
        <w:tabs>
          <w:tab w:val="left" w:pos="1418"/>
        </w:tabs>
        <w:autoSpaceDE w:val="0"/>
        <w:autoSpaceDN w:val="0"/>
        <w:adjustRightInd w:val="0"/>
        <w:spacing w:line="360" w:lineRule="auto"/>
        <w:rPr>
          <w:rFonts w:hint="eastAsia" w:ascii="宋体" w:hAnsi="宋体" w:eastAsia="宋体" w:cs="宋体"/>
          <w:b/>
          <w:color w:val="auto"/>
          <w:kern w:val="0"/>
          <w:szCs w:val="21"/>
          <w:highlight w:val="none"/>
          <w:lang w:eastAsia="zh-CN"/>
        </w:rPr>
      </w:pPr>
      <w:r>
        <w:rPr>
          <w:rFonts w:hint="eastAsia" w:ascii="宋体" w:hAnsi="宋体" w:cs="宋体"/>
          <w:color w:val="auto"/>
          <w:szCs w:val="21"/>
          <w:highlight w:val="none"/>
        </w:rPr>
        <w:t>▲</w:t>
      </w:r>
      <w:r>
        <w:rPr>
          <w:rFonts w:hint="eastAsia" w:ascii="宋体" w:hAnsi="宋体" w:cs="宋体"/>
          <w:b/>
          <w:color w:val="auto"/>
          <w:kern w:val="0"/>
          <w:szCs w:val="21"/>
          <w:highlight w:val="none"/>
        </w:rPr>
        <w:t>四、投标保证金</w:t>
      </w:r>
      <w:r>
        <w:rPr>
          <w:rFonts w:hint="eastAsia" w:ascii="宋体" w:hAnsi="宋体" w:cs="宋体"/>
          <w:b/>
          <w:color w:val="auto"/>
          <w:kern w:val="0"/>
          <w:szCs w:val="21"/>
          <w:highlight w:val="none"/>
          <w:lang w:eastAsia="zh-CN"/>
        </w:rPr>
        <w:t>（如有）</w:t>
      </w:r>
    </w:p>
    <w:p w14:paraId="0300BEB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1、中标供应商的投标保证金在合同签订后五个工作日内退还。</w:t>
      </w:r>
    </w:p>
    <w:p w14:paraId="6A9211F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 xml:space="preserve">2、未中标供应商的投标保证金将在开标结束后退还。 </w:t>
      </w:r>
    </w:p>
    <w:p w14:paraId="5098AD2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3、如发生质疑（投诉），质疑人（投诉人）和被质疑（投诉）事项所涉及供应商的投标保证金不受以上时间限制，在质疑（投诉）处理完毕后退还。</w:t>
      </w:r>
    </w:p>
    <w:p w14:paraId="220F885B">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4、投标人有下列情形之一的，投标保证金将不予退还：</w:t>
      </w:r>
    </w:p>
    <w:p w14:paraId="1DC9E1B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（1）投标人在截止时间后至投标有效期内无故撤回投标文件</w:t>
      </w:r>
      <w:r>
        <w:rPr>
          <w:rFonts w:hint="eastAsia" w:ascii="宋体" w:hAnsi="宋体" w:cs="宋体"/>
          <w:color w:val="auto"/>
          <w:kern w:val="0"/>
          <w:szCs w:val="21"/>
          <w:highlight w:val="none"/>
        </w:rPr>
        <w:t>或放弃中标资格的</w:t>
      </w:r>
      <w:r>
        <w:rPr>
          <w:rFonts w:hint="eastAsia" w:ascii="宋体" w:hAnsi="宋体" w:cs="宋体"/>
          <w:color w:val="auto"/>
          <w:szCs w:val="21"/>
          <w:highlight w:val="none"/>
        </w:rPr>
        <w:t>；</w:t>
      </w:r>
    </w:p>
    <w:p w14:paraId="68DB739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（2）投标人在投标过程中弄虚作假，提供虚假材料的；</w:t>
      </w:r>
    </w:p>
    <w:p w14:paraId="3043F378">
      <w:pPr>
        <w:snapToGrid w:val="0"/>
        <w:spacing w:line="360" w:lineRule="auto"/>
        <w:ind w:firstLine="411" w:firstLineChars="196"/>
        <w:jc w:val="left"/>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除因不可抗力或招标文件认可的情形以外，中标供应商不与采购人签订合同或拒绝履行合同义务的；</w:t>
      </w:r>
    </w:p>
    <w:p w14:paraId="401BFA0C">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bCs/>
          <w:color w:val="auto"/>
          <w:szCs w:val="21"/>
          <w:highlight w:val="none"/>
        </w:rPr>
        <w:t>（4）供应商与采购人、其他供应商或者采购组织机构恶意串通的；</w:t>
      </w:r>
    </w:p>
    <w:p w14:paraId="35A283C2">
      <w:pPr>
        <w:snapToGrid w:val="0"/>
        <w:spacing w:line="360" w:lineRule="auto"/>
        <w:ind w:firstLine="411" w:firstLineChars="196"/>
        <w:jc w:val="left"/>
        <w:rPr>
          <w:rFonts w:ascii="宋体" w:hAnsi="宋体" w:cs="宋体"/>
          <w:bCs/>
          <w:color w:val="auto"/>
          <w:szCs w:val="21"/>
          <w:highlight w:val="none"/>
        </w:rPr>
      </w:pPr>
      <w:r>
        <w:rPr>
          <w:rFonts w:hint="eastAsia" w:ascii="宋体" w:hAnsi="宋体" w:cs="宋体"/>
          <w:bCs/>
          <w:color w:val="auto"/>
          <w:szCs w:val="21"/>
          <w:highlight w:val="none"/>
        </w:rPr>
        <w:t>（5）与采购人另行订立背离合同实质性内容的协议的；</w:t>
      </w:r>
    </w:p>
    <w:p w14:paraId="5F87CF4D">
      <w:pPr>
        <w:snapToGrid w:val="0"/>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（6）法律、法规明确规定的其他行为。</w:t>
      </w:r>
    </w:p>
    <w:p w14:paraId="4698E7A9">
      <w:pPr>
        <w:spacing w:line="360" w:lineRule="auto"/>
        <w:rPr>
          <w:rFonts w:ascii="宋体" w:hAnsi="宋体" w:cs="宋体"/>
          <w:color w:val="auto"/>
          <w:szCs w:val="21"/>
          <w:highlight w:val="none"/>
        </w:rPr>
      </w:pPr>
      <w:r>
        <w:rPr>
          <w:rFonts w:hint="eastAsia" w:ascii="宋体" w:hAnsi="宋体" w:cs="宋体"/>
          <w:b/>
          <w:bCs/>
          <w:color w:val="auto"/>
          <w:szCs w:val="21"/>
          <w:highlight w:val="none"/>
        </w:rPr>
        <w:t>五、开标</w:t>
      </w:r>
    </w:p>
    <w:p w14:paraId="0C1E3C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（一）开标事项</w:t>
      </w:r>
    </w:p>
    <w:p w14:paraId="78B3CB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p>
    <w:p w14:paraId="50E72B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 开标程序</w:t>
      </w:r>
    </w:p>
    <w:p w14:paraId="331DF2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1、开标会由招标项目负责人主持，主持人宣布开标会议开始；</w:t>
      </w:r>
    </w:p>
    <w:p w14:paraId="76EE55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2、主持人介绍参加开标会的人员名单； </w:t>
      </w:r>
    </w:p>
    <w:p w14:paraId="479F74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3、主持人宣布评标期间的有关事项，告知应当回避的情形,提请有关人员回避；</w:t>
      </w:r>
    </w:p>
    <w:p w14:paraId="145C7B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4、投标人或其当场推荐的代表，检查投标文件密封的完整性；</w:t>
      </w:r>
    </w:p>
    <w:p w14:paraId="4F98D3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5、按投标文件递交的先后顺序当场拆封资信技术文件后，进入资信技术</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环节；</w:t>
      </w:r>
    </w:p>
    <w:p w14:paraId="736CE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、在完成评标后，宣布评标结果，开标会议结束。</w:t>
      </w:r>
    </w:p>
    <w:p w14:paraId="7D7CA14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六、评标</w:t>
      </w:r>
    </w:p>
    <w:p w14:paraId="07AC4AC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（一）组建评标委员会</w:t>
      </w:r>
    </w:p>
    <w:p w14:paraId="485CB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本项目评标委员会由采购评审专家和采购单位评审代表组成，成员人数为5人，其中评审专家不得少于成员总数的三分之二。</w:t>
      </w:r>
    </w:p>
    <w:p w14:paraId="1E3520E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（二）评标程序</w:t>
      </w:r>
    </w:p>
    <w:p w14:paraId="659E477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1、资格审查</w:t>
      </w:r>
    </w:p>
    <w:p w14:paraId="4F2FB1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4E96CDA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2、符合性审查</w:t>
      </w:r>
    </w:p>
    <w:p w14:paraId="18B61F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3749E5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3、综合比较与评价</w:t>
      </w:r>
    </w:p>
    <w:p w14:paraId="11DB41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552908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（2）评标委员会应当按照招标文件中规定的评标方法和标准，对符合性审查合格的投标文件进行商务和技术评估，综合比较与评价。</w:t>
      </w:r>
    </w:p>
    <w:p w14:paraId="30E78B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（3）评标时，评标委员会各成员应当独立对每个投标人的投标文件进行评价，并汇总每个投标人的得分。</w:t>
      </w:r>
    </w:p>
    <w:p w14:paraId="77BEAC0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4、得分确认及评审报告编写</w:t>
      </w:r>
    </w:p>
    <w:p w14:paraId="6F723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）评标委员会应当按照招标文件中规定的评标方法和标准，对符合性审查合格的投标文件进行评估，综合比较与评价。</w:t>
      </w:r>
    </w:p>
    <w:p w14:paraId="617023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）评标委员会按评标原则及得分情况编写评审报告。</w:t>
      </w:r>
    </w:p>
    <w:p w14:paraId="77532C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5、评价</w:t>
      </w:r>
    </w:p>
    <w:p w14:paraId="0E6593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采购组织机构对评标委员会评审专家进行评价。</w:t>
      </w:r>
    </w:p>
    <w:p w14:paraId="426714B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（三）澄清问题的形式</w:t>
      </w:r>
    </w:p>
    <w:p w14:paraId="41A004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投标人的澄清、说明或者补正应当采用书面形式，并加盖公章或者由法定代理人或其授权的代表签字，并不得超出投标文件的范围或者改变投标文件的实质性内容。</w:t>
      </w:r>
    </w:p>
    <w:p w14:paraId="3239CCD7">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（四）错误修正</w:t>
      </w:r>
      <w:r>
        <w:rPr>
          <w:rFonts w:hint="eastAsia" w:ascii="宋体" w:hAnsi="宋体" w:cs="宋体"/>
          <w:b/>
          <w:bCs/>
          <w:color w:val="auto"/>
          <w:szCs w:val="21"/>
          <w:highlight w:val="none"/>
          <w:lang w:eastAsia="zh-CN"/>
        </w:rPr>
        <w:t>（如有）</w:t>
      </w:r>
    </w:p>
    <w:p w14:paraId="04E4ED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投标文件报价出现前后不一致的，除招标文件另有规定外，按照下列规定修正：</w:t>
      </w:r>
    </w:p>
    <w:p w14:paraId="24490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1、投标文件中开标一览表（报价一览表）内容与投标文件中相应内容不一致的，以开标一览表（报价一览表）为准；</w:t>
      </w:r>
    </w:p>
    <w:p w14:paraId="2A6ABE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EFA18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7ECEE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63304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22FDCD4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（五）投标人存在下列情况之一的，投标无效</w:t>
      </w:r>
    </w:p>
    <w:p w14:paraId="3D097F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1、资信技术文件跟报价文件出现混装或在资信技术文件中出现投标报价的，或者报价文件中报价的货物跟商务与技术文件中的投标货物出现重大偏差的；</w:t>
      </w:r>
    </w:p>
    <w:p w14:paraId="291DBA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2、不具备招标文件中规定的资格要求的。</w:t>
      </w:r>
      <w:r>
        <w:rPr>
          <w:rFonts w:hint="eastAsia" w:ascii="宋体" w:hAnsi="宋体" w:cs="宋体"/>
          <w:color w:val="auto"/>
          <w:szCs w:val="21"/>
          <w:highlight w:val="none"/>
        </w:rPr>
        <w:tab/>
      </w:r>
    </w:p>
    <w:p w14:paraId="24B095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3、投标文件含有采购人不能接受的附加条件的。</w:t>
      </w:r>
    </w:p>
    <w:p w14:paraId="32CB49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4、投标代表人未能出具身份证明或与法定代表人授权委托代理人身份不符的；</w:t>
      </w:r>
    </w:p>
    <w:p w14:paraId="0C022B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25E5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6、投标参数未如实填写，完全复制粘贴招标参数的。</w:t>
      </w:r>
    </w:p>
    <w:p w14:paraId="5FD90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7、投标文件提供虚假材料的。 </w:t>
      </w:r>
    </w:p>
    <w:p w14:paraId="68E466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8、不符合中华人民共和国财政部令第87号《政府采购货物和服务招标投标管理办法》第三十七条情形之一的，视为投标人串通投标，其投标无效，并移送采购监管部门：</w:t>
      </w:r>
    </w:p>
    <w:p w14:paraId="772A71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69B03E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DE738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409612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7FE1B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62532D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9、不符合法律、法规和招标文件中规定的其他实质性要求的（招标文件中打“▲”内容及被拒绝的条款）。</w:t>
      </w:r>
    </w:p>
    <w:p w14:paraId="0DE1242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（六）有下列情况之一的，本次招标作为废标处理</w:t>
      </w:r>
    </w:p>
    <w:p w14:paraId="43A18F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1、出现影响采购公正的违法、违规行为的；</w:t>
      </w:r>
    </w:p>
    <w:p w14:paraId="28F6D2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2、评标委员会发现招标文件存在歧义、重大缺陷导致评标工作无法进行，或者招标文件内容违反国家有关强制性规定的；</w:t>
      </w:r>
    </w:p>
    <w:p w14:paraId="6DAE70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3E4BA2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4、法律、法规和招标文件规定的其他导致评标结果无效的。</w:t>
      </w:r>
    </w:p>
    <w:p w14:paraId="2C3915A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（七）评标原则和评标办法</w:t>
      </w:r>
    </w:p>
    <w:p w14:paraId="34B6E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AF76B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2、评标办法。具体评标内容及评分标准等详见《第三章：评标方法及评分标准》。</w:t>
      </w:r>
    </w:p>
    <w:p w14:paraId="115AB71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（八）评标过程的监控</w:t>
      </w:r>
    </w:p>
    <w:p w14:paraId="09393D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66427DCE">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七、定标</w:t>
      </w:r>
    </w:p>
    <w:p w14:paraId="6A4536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FB5726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B7ED7F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3、发出中标通知书。采购组织机构在发布中标结果的同时，向中标人发出中标通知书。</w:t>
      </w:r>
    </w:p>
    <w:p w14:paraId="6670726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八、合同签订</w:t>
      </w:r>
    </w:p>
    <w:p w14:paraId="29E238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6FFACD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2、采购人不得向中标人提出任何不合理的要求作为签订合同的条件。</w:t>
      </w:r>
    </w:p>
    <w:p w14:paraId="3004CA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3、中标供应商无故拖延、拒签合同的,取消中标资格。</w:t>
      </w:r>
    </w:p>
    <w:p w14:paraId="145FE6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4、中标供应商拒绝与采购人签订合同的，采购人可以按照评审报告推荐的中标候选人名单排序，确定下一候选人为中标供应商，也可以重新开展政府采购活动。</w:t>
      </w:r>
    </w:p>
    <w:p w14:paraId="63EE6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14:paraId="72D2A3D6">
      <w:pPr>
        <w:spacing w:line="360" w:lineRule="auto"/>
        <w:rPr>
          <w:rFonts w:ascii="宋体" w:hAnsi="宋体"/>
          <w:b/>
          <w:color w:val="auto"/>
          <w:sz w:val="36"/>
          <w:szCs w:val="36"/>
          <w:highlight w:val="none"/>
        </w:rPr>
        <w:sectPr>
          <w:footerReference r:id="rId5" w:type="default"/>
          <w:pgSz w:w="11906" w:h="16838"/>
          <w:pgMar w:top="1440" w:right="1440" w:bottom="1440" w:left="1803" w:header="851" w:footer="992" w:gutter="0"/>
          <w:cols w:space="720" w:num="1"/>
          <w:docGrid w:type="lines" w:linePitch="325" w:charSpace="0"/>
        </w:sectPr>
      </w:pPr>
    </w:p>
    <w:p w14:paraId="098077D8">
      <w:pPr>
        <w:spacing w:line="360" w:lineRule="auto"/>
        <w:jc w:val="center"/>
        <w:rPr>
          <w:rFonts w:ascii="宋体"/>
          <w:b/>
          <w:color w:val="auto"/>
          <w:sz w:val="36"/>
          <w:szCs w:val="36"/>
          <w:highlight w:val="none"/>
        </w:rPr>
      </w:pPr>
      <w:r>
        <w:rPr>
          <w:rFonts w:hint="eastAsia" w:ascii="宋体" w:hAnsi="宋体"/>
          <w:b/>
          <w:color w:val="auto"/>
          <w:sz w:val="36"/>
          <w:szCs w:val="36"/>
          <w:highlight w:val="none"/>
        </w:rPr>
        <w:t>第三章 评标办法及评分标准</w:t>
      </w:r>
    </w:p>
    <w:p w14:paraId="0AFE5BE1">
      <w:pPr>
        <w:adjustRightInd w:val="0"/>
        <w:snapToGrid w:val="0"/>
        <w:spacing w:line="360" w:lineRule="auto"/>
        <w:ind w:right="-315" w:rightChars="-150" w:firstLine="460" w:firstLineChars="200"/>
        <w:rPr>
          <w:rFonts w:ascii="宋体" w:hAnsi="宋体"/>
          <w:color w:val="auto"/>
          <w:szCs w:val="21"/>
          <w:highlight w:val="none"/>
        </w:rPr>
      </w:pPr>
      <w:r>
        <w:rPr>
          <w:rFonts w:hint="eastAsia" w:ascii="宋体" w:hAnsi="宋体"/>
          <w:color w:val="auto"/>
          <w:spacing w:val="10"/>
          <w:szCs w:val="21"/>
          <w:highlight w:val="none"/>
        </w:rPr>
        <w:t>本评标办法</w:t>
      </w:r>
      <w:r>
        <w:rPr>
          <w:rFonts w:hint="eastAsia" w:ascii="宋体" w:hAnsi="宋体"/>
          <w:color w:val="auto"/>
          <w:spacing w:val="10"/>
          <w:szCs w:val="21"/>
          <w:highlight w:val="none"/>
          <w:lang w:eastAsia="zh-CN"/>
        </w:rPr>
        <w:t>根据</w:t>
      </w:r>
      <w:r>
        <w:rPr>
          <w:rFonts w:hint="eastAsia" w:ascii="宋体" w:hAnsi="宋体"/>
          <w:color w:val="auto"/>
          <w:spacing w:val="10"/>
          <w:szCs w:val="21"/>
          <w:highlight w:val="none"/>
        </w:rPr>
        <w:t>相关法规制定。</w:t>
      </w:r>
    </w:p>
    <w:p w14:paraId="3DC204AA">
      <w:pPr>
        <w:adjustRightInd w:val="0"/>
        <w:snapToGrid w:val="0"/>
        <w:spacing w:line="360" w:lineRule="auto"/>
        <w:ind w:right="-315" w:rightChars="-150"/>
        <w:rPr>
          <w:rFonts w:ascii="宋体" w:hAnsi="宋体"/>
          <w:color w:val="auto"/>
          <w:szCs w:val="21"/>
          <w:highlight w:val="none"/>
        </w:rPr>
      </w:pPr>
      <w:r>
        <w:rPr>
          <w:rFonts w:hint="eastAsia" w:ascii="宋体" w:hAnsi="宋体"/>
          <w:color w:val="auto"/>
          <w:szCs w:val="21"/>
          <w:highlight w:val="none"/>
        </w:rPr>
        <w:t xml:space="preserve">   一、总则</w:t>
      </w:r>
    </w:p>
    <w:p w14:paraId="6E0479BF">
      <w:pPr>
        <w:adjustRightInd w:val="0"/>
        <w:snapToGrid w:val="0"/>
        <w:spacing w:line="360" w:lineRule="auto"/>
        <w:ind w:right="-315" w:rightChars="-150"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评标活动遵循公平、公正、科学、择优的原则；评标活动依法进行，评标过程严格保密；评标活动及当事人接受依法实施的监督。</w:t>
      </w:r>
    </w:p>
    <w:p w14:paraId="570A149A">
      <w:pPr>
        <w:adjustRightInd w:val="0"/>
        <w:snapToGrid w:val="0"/>
        <w:spacing w:line="360" w:lineRule="auto"/>
        <w:ind w:right="-315" w:rightChars="-150" w:firstLine="420" w:firstLineChars="200"/>
        <w:rPr>
          <w:rFonts w:ascii="宋体" w:hAnsi="宋体"/>
          <w:color w:val="auto"/>
          <w:szCs w:val="21"/>
          <w:highlight w:val="none"/>
        </w:rPr>
      </w:pPr>
      <w:r>
        <w:rPr>
          <w:rFonts w:ascii="宋体" w:hAnsi="宋体"/>
          <w:color w:val="auto"/>
          <w:szCs w:val="21"/>
          <w:highlight w:val="none"/>
        </w:rPr>
        <w:t>本次评标采用综合评分法，总分为100分。</w:t>
      </w:r>
    </w:p>
    <w:p w14:paraId="36D08EAB">
      <w:pPr>
        <w:adjustRightInd w:val="0"/>
        <w:snapToGrid w:val="0"/>
        <w:spacing w:line="360" w:lineRule="auto"/>
        <w:ind w:right="-315" w:rightChars="-150"/>
        <w:rPr>
          <w:rFonts w:ascii="宋体" w:hAnsi="宋体"/>
          <w:color w:val="auto"/>
          <w:szCs w:val="21"/>
          <w:highlight w:val="none"/>
        </w:rPr>
      </w:pPr>
      <w:r>
        <w:rPr>
          <w:rFonts w:hint="eastAsia" w:ascii="宋体" w:hAnsi="宋体"/>
          <w:color w:val="auto"/>
          <w:szCs w:val="21"/>
          <w:highlight w:val="none"/>
        </w:rPr>
        <w:t xml:space="preserve">     二、评标组织</w:t>
      </w:r>
    </w:p>
    <w:p w14:paraId="02EEFB44">
      <w:pPr>
        <w:adjustRightInd w:val="0"/>
        <w:snapToGrid w:val="0"/>
        <w:spacing w:line="360" w:lineRule="auto"/>
        <w:ind w:right="-315" w:rightChars="-150" w:firstLine="525" w:firstLineChars="250"/>
        <w:rPr>
          <w:rFonts w:ascii="宋体" w:hAnsi="宋体"/>
          <w:color w:val="auto"/>
          <w:szCs w:val="21"/>
          <w:highlight w:val="none"/>
        </w:rPr>
      </w:pPr>
      <w:r>
        <w:rPr>
          <w:rFonts w:hint="eastAsia" w:ascii="宋体" w:hAnsi="宋体"/>
          <w:color w:val="auto"/>
          <w:szCs w:val="21"/>
          <w:highlight w:val="none"/>
        </w:rPr>
        <w:t>评标委员会：评标委员会由相关技术人员5人组成，负责本次招标的评标活动，并向采购人推荐中标候选人。</w:t>
      </w:r>
    </w:p>
    <w:p w14:paraId="7D295CC7">
      <w:pPr>
        <w:numPr>
          <w:ilvl w:val="0"/>
          <w:numId w:val="5"/>
        </w:numPr>
        <w:tabs>
          <w:tab w:val="left" w:pos="990"/>
        </w:tabs>
        <w:adjustRightInd w:val="0"/>
        <w:snapToGrid w:val="0"/>
        <w:spacing w:line="360" w:lineRule="auto"/>
        <w:ind w:left="987" w:right="-315" w:rightChars="-150" w:hanging="420"/>
        <w:rPr>
          <w:rFonts w:ascii="宋体" w:hAnsi="宋体"/>
          <w:color w:val="auto"/>
          <w:szCs w:val="21"/>
          <w:highlight w:val="none"/>
        </w:rPr>
      </w:pPr>
      <w:r>
        <w:rPr>
          <w:rFonts w:hint="eastAsia" w:ascii="宋体" w:hAnsi="宋体"/>
          <w:color w:val="auto"/>
          <w:szCs w:val="21"/>
          <w:highlight w:val="none"/>
        </w:rPr>
        <w:t>评标工作任务</w:t>
      </w:r>
    </w:p>
    <w:p w14:paraId="53D5DE5E">
      <w:pPr>
        <w:pStyle w:val="12"/>
        <w:ind w:left="0" w:leftChars="0" w:right="-315" w:firstLine="0" w:firstLineChars="0"/>
        <w:rPr>
          <w:rFonts w:hAnsi="宋体" w:cs="宋体"/>
          <w:b/>
          <w:color w:val="auto"/>
          <w:sz w:val="21"/>
          <w:szCs w:val="21"/>
          <w:highlight w:val="none"/>
        </w:rPr>
      </w:pPr>
      <w:r>
        <w:rPr>
          <w:rFonts w:hint="eastAsia" w:hAnsi="宋体" w:cs="宋体"/>
          <w:color w:val="auto"/>
          <w:sz w:val="21"/>
          <w:szCs w:val="21"/>
          <w:highlight w:val="none"/>
        </w:rPr>
        <w:t xml:space="preserve">    1</w:t>
      </w:r>
      <w:r>
        <w:rPr>
          <w:rFonts w:hint="eastAsia" w:hAnsi="宋体" w:cs="宋体"/>
          <w:b/>
          <w:bCs/>
          <w:color w:val="auto"/>
          <w:sz w:val="21"/>
          <w:szCs w:val="21"/>
          <w:highlight w:val="none"/>
        </w:rPr>
        <w:t xml:space="preserve">. </w:t>
      </w:r>
      <w:r>
        <w:rPr>
          <w:rFonts w:hint="eastAsia" w:hAnsi="宋体" w:cs="宋体"/>
          <w:color w:val="auto"/>
          <w:sz w:val="21"/>
          <w:szCs w:val="21"/>
          <w:highlight w:val="none"/>
        </w:rPr>
        <w:t xml:space="preserve"> 初步评审</w:t>
      </w:r>
    </w:p>
    <w:p w14:paraId="4724946F">
      <w:pPr>
        <w:tabs>
          <w:tab w:val="left" w:pos="1710"/>
        </w:tabs>
        <w:adjustRightInd w:val="0"/>
        <w:snapToGrid w:val="0"/>
        <w:spacing w:line="360" w:lineRule="auto"/>
        <w:ind w:right="-315" w:rightChars="-150" w:firstLine="420" w:firstLineChars="200"/>
        <w:rPr>
          <w:rFonts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投标文件是否对招标文件提出的所有实质性要求和条件作出响应，有无重大偏差；如有重大偏差项目之一者，作废标处理，不予进入详细评审。</w:t>
      </w:r>
    </w:p>
    <w:p w14:paraId="41448483">
      <w:pPr>
        <w:tabs>
          <w:tab w:val="left" w:pos="990"/>
          <w:tab w:val="left" w:pos="1710"/>
        </w:tabs>
        <w:adjustRightInd w:val="0"/>
        <w:snapToGrid w:val="0"/>
        <w:spacing w:line="360" w:lineRule="auto"/>
        <w:ind w:right="-315" w:rightChars="-150" w:firstLine="420" w:firstLineChars="200"/>
        <w:rPr>
          <w:rFonts w:ascii="宋体" w:hAnsi="宋体" w:cs="宋体"/>
          <w:color w:val="auto"/>
          <w:szCs w:val="21"/>
          <w:highlight w:val="none"/>
        </w:rPr>
      </w:pPr>
      <w:r>
        <w:rPr>
          <w:rFonts w:hint="eastAsia" w:ascii="宋体" w:hAnsi="宋体" w:cs="宋体"/>
          <w:color w:val="auto"/>
          <w:szCs w:val="21"/>
          <w:highlight w:val="none"/>
        </w:rPr>
        <w:t>(2)对存在细微偏差的投标文件，通知其投标人进行必要的澄清和补正。</w:t>
      </w:r>
    </w:p>
    <w:p w14:paraId="3DE8105A">
      <w:pPr>
        <w:adjustRightInd w:val="0"/>
        <w:snapToGrid w:val="0"/>
        <w:spacing w:line="360" w:lineRule="auto"/>
        <w:ind w:right="-315" w:rightChars="-150" w:firstLine="420" w:firstLineChars="200"/>
        <w:rPr>
          <w:rFonts w:ascii="宋体" w:hAnsi="宋体" w:cs="宋体"/>
          <w:color w:val="auto"/>
          <w:szCs w:val="21"/>
          <w:highlight w:val="none"/>
        </w:rPr>
      </w:pPr>
      <w:r>
        <w:rPr>
          <w:rFonts w:hint="eastAsia" w:ascii="宋体" w:hAnsi="宋体" w:cs="宋体"/>
          <w:color w:val="auto"/>
          <w:szCs w:val="21"/>
          <w:highlight w:val="none"/>
        </w:rPr>
        <w:t>2.详细评审</w:t>
      </w:r>
    </w:p>
    <w:p w14:paraId="5991A98A">
      <w:pPr>
        <w:pStyle w:val="12"/>
        <w:ind w:left="0" w:leftChars="0" w:right="-315" w:firstLine="420"/>
        <w:rPr>
          <w:rFonts w:hAnsi="宋体" w:cs="宋体"/>
          <w:color w:val="auto"/>
          <w:sz w:val="21"/>
          <w:szCs w:val="21"/>
          <w:highlight w:val="none"/>
        </w:rPr>
      </w:pPr>
      <w:r>
        <w:rPr>
          <w:rFonts w:hint="eastAsia" w:hAnsi="宋体" w:cs="宋体"/>
          <w:color w:val="auto"/>
          <w:sz w:val="21"/>
          <w:szCs w:val="21"/>
          <w:highlight w:val="none"/>
        </w:rPr>
        <w:t>评标委员会对初步评审合格的投标文件，依照本办法对其投标文件作进一步评审、比较。</w:t>
      </w:r>
    </w:p>
    <w:p w14:paraId="4BAC8B79">
      <w:pPr>
        <w:spacing w:line="360" w:lineRule="auto"/>
        <w:ind w:right="-376" w:rightChars="-179"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本次评标采用百分制计分，按投标文件提供的资料、</w:t>
      </w:r>
      <w:r>
        <w:rPr>
          <w:rFonts w:hint="eastAsia" w:ascii="宋体" w:hAnsi="宋体"/>
          <w:color w:val="auto"/>
          <w:szCs w:val="21"/>
          <w:highlight w:val="none"/>
        </w:rPr>
        <w:t>承诺等情况根据评标标准评审。</w:t>
      </w:r>
      <w:r>
        <w:rPr>
          <w:rFonts w:hint="eastAsia" w:hAnsi="宋体"/>
          <w:color w:val="auto"/>
          <w:szCs w:val="21"/>
          <w:highlight w:val="none"/>
        </w:rPr>
        <w:t>（评标标准详见附表评标打分标准表）</w:t>
      </w:r>
    </w:p>
    <w:p w14:paraId="1E3B6EE2">
      <w:pPr>
        <w:adjustRightInd w:val="0"/>
        <w:snapToGrid w:val="0"/>
        <w:spacing w:line="360" w:lineRule="auto"/>
        <w:ind w:right="-315" w:rightChars="-150" w:firstLine="420" w:firstLineChars="200"/>
        <w:rPr>
          <w:rFonts w:ascii="宋体" w:hAnsi="宋体"/>
          <w:color w:val="auto"/>
          <w:szCs w:val="21"/>
          <w:highlight w:val="none"/>
        </w:rPr>
      </w:pPr>
      <w:r>
        <w:rPr>
          <w:rFonts w:hint="eastAsia" w:ascii="宋体" w:hAnsi="宋体" w:cs="宋体"/>
          <w:color w:val="auto"/>
          <w:szCs w:val="21"/>
          <w:highlight w:val="none"/>
        </w:rPr>
        <w:t xml:space="preserve">3. </w:t>
      </w:r>
      <w:r>
        <w:rPr>
          <w:rFonts w:hint="eastAsia" w:ascii="宋体" w:hAnsi="宋体"/>
          <w:color w:val="auto"/>
          <w:szCs w:val="21"/>
          <w:highlight w:val="none"/>
        </w:rPr>
        <w:t>决标</w:t>
      </w:r>
    </w:p>
    <w:p w14:paraId="7A2EE5B9">
      <w:pPr>
        <w:pStyle w:val="11"/>
        <w:spacing w:line="360" w:lineRule="auto"/>
        <w:ind w:leftChars="0" w:right="-315" w:rightChars="-150" w:firstLine="460" w:firstLineChars="200"/>
        <w:rPr>
          <w:rFonts w:ascii="宋体" w:hAnsi="宋体"/>
          <w:color w:val="auto"/>
          <w:spacing w:val="10"/>
          <w:szCs w:val="21"/>
          <w:highlight w:val="none"/>
        </w:rPr>
      </w:pPr>
      <w:r>
        <w:rPr>
          <w:rFonts w:hint="eastAsia" w:ascii="宋体" w:hAnsi="宋体"/>
          <w:color w:val="auto"/>
          <w:spacing w:val="10"/>
          <w:szCs w:val="21"/>
          <w:highlight w:val="none"/>
        </w:rPr>
        <w:t>评标委员会成员经过阅标、审标和询标，综合评审意见，根据评标打分标准表，对照投标人的投标文件分别进行打分，各评委评分的算术平均值即为投标人的评标总分（按四舍五入原则取值并保留小数点后两位）。评标总分最高者即</w:t>
      </w:r>
      <w:r>
        <w:rPr>
          <w:rFonts w:hint="eastAsia" w:ascii="宋体" w:hAnsi="宋体"/>
          <w:color w:val="auto"/>
          <w:spacing w:val="10"/>
          <w:szCs w:val="21"/>
          <w:highlight w:val="none"/>
          <w:lang w:eastAsia="zh-CN"/>
        </w:rPr>
        <w:t>第一</w:t>
      </w:r>
      <w:r>
        <w:rPr>
          <w:rFonts w:hint="eastAsia" w:ascii="宋体" w:hAnsi="宋体"/>
          <w:color w:val="auto"/>
          <w:spacing w:val="10"/>
          <w:szCs w:val="21"/>
          <w:highlight w:val="none"/>
        </w:rPr>
        <w:t>中标候选人</w:t>
      </w:r>
      <w:r>
        <w:rPr>
          <w:rFonts w:hint="eastAsia" w:ascii="宋体" w:hAnsi="宋体"/>
          <w:color w:val="auto"/>
          <w:spacing w:val="10"/>
          <w:szCs w:val="21"/>
          <w:highlight w:val="none"/>
          <w:lang w:eastAsia="zh-CN"/>
        </w:rPr>
        <w:t>，</w:t>
      </w:r>
      <w:r>
        <w:rPr>
          <w:rFonts w:hint="eastAsia" w:ascii="宋体" w:hAnsi="宋体"/>
          <w:color w:val="auto"/>
          <w:spacing w:val="10"/>
          <w:szCs w:val="21"/>
          <w:highlight w:val="none"/>
        </w:rPr>
        <w:t>评标总分</w:t>
      </w:r>
      <w:r>
        <w:rPr>
          <w:rFonts w:hint="eastAsia" w:ascii="宋体" w:hAnsi="宋体"/>
          <w:color w:val="auto"/>
          <w:spacing w:val="10"/>
          <w:szCs w:val="21"/>
          <w:highlight w:val="none"/>
          <w:lang w:eastAsia="zh-CN"/>
        </w:rPr>
        <w:t>第二</w:t>
      </w:r>
      <w:r>
        <w:rPr>
          <w:rFonts w:hint="eastAsia" w:ascii="宋体" w:hAnsi="宋体"/>
          <w:color w:val="auto"/>
          <w:spacing w:val="10"/>
          <w:szCs w:val="21"/>
          <w:highlight w:val="none"/>
        </w:rPr>
        <w:t>高者</w:t>
      </w:r>
      <w:r>
        <w:rPr>
          <w:rFonts w:hint="eastAsia" w:ascii="宋体" w:hAnsi="宋体"/>
          <w:color w:val="auto"/>
          <w:spacing w:val="10"/>
          <w:szCs w:val="21"/>
          <w:highlight w:val="none"/>
          <w:lang w:eastAsia="zh-CN"/>
        </w:rPr>
        <w:t>为第二</w:t>
      </w:r>
      <w:r>
        <w:rPr>
          <w:rFonts w:hint="eastAsia" w:ascii="宋体" w:hAnsi="宋体"/>
          <w:color w:val="auto"/>
          <w:spacing w:val="10"/>
          <w:szCs w:val="21"/>
          <w:highlight w:val="none"/>
        </w:rPr>
        <w:t>中标候选人。如遇评标总分最高者并列，则现场随机抽签决定。</w:t>
      </w:r>
    </w:p>
    <w:p w14:paraId="3B013B7F">
      <w:pPr>
        <w:spacing w:line="360" w:lineRule="auto"/>
        <w:ind w:firstLine="420" w:firstLineChars="200"/>
        <w:rPr>
          <w:rFonts w:hint="eastAsia" w:ascii="宋体" w:hAnsi="宋体"/>
          <w:color w:val="auto"/>
          <w:highlight w:val="none"/>
        </w:rPr>
      </w:pPr>
      <w:r>
        <w:rPr>
          <w:rFonts w:hint="eastAsia" w:ascii="宋体" w:hAnsi="宋体"/>
          <w:color w:val="auto"/>
          <w:highlight w:val="none"/>
        </w:rPr>
        <w:t>评标办法的解释权归采购人。</w:t>
      </w:r>
    </w:p>
    <w:p w14:paraId="03DD4464">
      <w:pPr>
        <w:pStyle w:val="4"/>
        <w:rPr>
          <w:rFonts w:hint="eastAsia" w:ascii="宋体" w:hAnsi="宋体"/>
          <w:color w:val="auto"/>
          <w:highlight w:val="none"/>
        </w:rPr>
      </w:pPr>
    </w:p>
    <w:p w14:paraId="4B7FC206">
      <w:pPr>
        <w:rPr>
          <w:rFonts w:hint="eastAsia" w:ascii="宋体" w:hAnsi="宋体"/>
          <w:color w:val="auto"/>
          <w:highlight w:val="none"/>
        </w:rPr>
      </w:pPr>
    </w:p>
    <w:p w14:paraId="51A15AD5">
      <w:pPr>
        <w:pStyle w:val="15"/>
        <w:rPr>
          <w:rFonts w:hint="eastAsia" w:ascii="宋体" w:hAnsi="宋体"/>
          <w:color w:val="auto"/>
          <w:highlight w:val="none"/>
        </w:rPr>
      </w:pPr>
    </w:p>
    <w:p w14:paraId="15989BD3">
      <w:pPr>
        <w:pStyle w:val="15"/>
        <w:rPr>
          <w:rFonts w:hint="eastAsia" w:ascii="宋体" w:hAnsi="宋体"/>
          <w:color w:val="auto"/>
          <w:highlight w:val="none"/>
        </w:rPr>
      </w:pPr>
    </w:p>
    <w:p w14:paraId="72E809D7">
      <w:pPr>
        <w:pStyle w:val="15"/>
        <w:rPr>
          <w:rFonts w:hint="eastAsia" w:ascii="宋体" w:hAnsi="宋体"/>
          <w:color w:val="auto"/>
          <w:highlight w:val="none"/>
        </w:rPr>
      </w:pPr>
    </w:p>
    <w:p w14:paraId="0192FAFF">
      <w:pPr>
        <w:pStyle w:val="15"/>
        <w:rPr>
          <w:rFonts w:hint="eastAsia" w:ascii="宋体" w:hAnsi="宋体"/>
          <w:color w:val="auto"/>
          <w:highlight w:val="none"/>
        </w:rPr>
      </w:pPr>
    </w:p>
    <w:p w14:paraId="75768ACE">
      <w:pPr>
        <w:pStyle w:val="15"/>
        <w:rPr>
          <w:rFonts w:hint="eastAsia" w:ascii="宋体" w:hAnsi="宋体"/>
          <w:color w:val="auto"/>
          <w:highlight w:val="none"/>
        </w:rPr>
      </w:pPr>
    </w:p>
    <w:p w14:paraId="47303A6E">
      <w:pPr>
        <w:pStyle w:val="15"/>
        <w:rPr>
          <w:rFonts w:hint="eastAsia" w:ascii="宋体" w:hAnsi="宋体"/>
          <w:color w:val="auto"/>
          <w:highlight w:val="none"/>
        </w:rPr>
      </w:pPr>
    </w:p>
    <w:p w14:paraId="3DF869B0">
      <w:pPr>
        <w:adjustRightInd w:val="0"/>
        <w:snapToGrid w:val="0"/>
        <w:spacing w:line="400" w:lineRule="exact"/>
        <w:ind w:right="-315" w:rightChars="-150"/>
        <w:jc w:val="both"/>
        <w:rPr>
          <w:rFonts w:hint="eastAsia"/>
          <w:b/>
          <w:bCs/>
          <w:color w:val="auto"/>
          <w:highlight w:val="none"/>
          <w:lang w:eastAsia="zh-CN"/>
        </w:rPr>
      </w:pPr>
      <w:r>
        <w:rPr>
          <w:rFonts w:hint="eastAsia"/>
          <w:b/>
          <w:bCs/>
          <w:color w:val="auto"/>
          <w:highlight w:val="none"/>
          <w:lang w:eastAsia="zh-CN"/>
        </w:rPr>
        <w:t>附表</w:t>
      </w:r>
    </w:p>
    <w:p w14:paraId="322441F1">
      <w:pPr>
        <w:adjustRightInd w:val="0"/>
        <w:snapToGrid w:val="0"/>
        <w:spacing w:line="400" w:lineRule="exact"/>
        <w:jc w:val="center"/>
        <w:rPr>
          <w:rFonts w:hint="eastAsia" w:ascii="宋体" w:hAnsi="宋体" w:eastAsia="宋体" w:cs="宋体"/>
          <w:color w:val="auto"/>
          <w:sz w:val="21"/>
          <w:szCs w:val="21"/>
          <w:highlight w:val="none"/>
          <w:lang w:val="zh-CN" w:bidi="ar"/>
        </w:rPr>
      </w:pPr>
      <w:r>
        <w:rPr>
          <w:rFonts w:hint="eastAsia" w:ascii="宋体" w:hAnsi="宋体" w:eastAsia="宋体" w:cs="宋体"/>
          <w:b/>
          <w:bCs/>
          <w:color w:val="auto"/>
          <w:sz w:val="21"/>
          <w:szCs w:val="21"/>
          <w:highlight w:val="none"/>
          <w:lang w:bidi="ar"/>
        </w:rPr>
        <w:t>评标打分标准表</w:t>
      </w:r>
    </w:p>
    <w:tbl>
      <w:tblPr>
        <w:tblStyle w:val="22"/>
        <w:tblW w:w="9117" w:type="dxa"/>
        <w:tblInd w:w="113" w:type="dxa"/>
        <w:tblLayout w:type="fixed"/>
        <w:tblCellMar>
          <w:top w:w="0" w:type="dxa"/>
          <w:left w:w="108" w:type="dxa"/>
          <w:bottom w:w="0" w:type="dxa"/>
          <w:right w:w="108" w:type="dxa"/>
        </w:tblCellMar>
      </w:tblPr>
      <w:tblGrid>
        <w:gridCol w:w="1129"/>
        <w:gridCol w:w="1134"/>
        <w:gridCol w:w="1351"/>
        <w:gridCol w:w="5503"/>
      </w:tblGrid>
      <w:tr w14:paraId="51D3DEAF">
        <w:tblPrEx>
          <w:tblCellMar>
            <w:top w:w="0" w:type="dxa"/>
            <w:left w:w="108" w:type="dxa"/>
            <w:bottom w:w="0" w:type="dxa"/>
            <w:right w:w="108" w:type="dxa"/>
          </w:tblCellMar>
        </w:tblPrEx>
        <w:trPr>
          <w:trHeight w:val="713" w:hRule="atLeast"/>
        </w:trPr>
        <w:tc>
          <w:tcPr>
            <w:tcW w:w="226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C7CBC6">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指标</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40BFC6E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分值</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71F13BA9">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评分标准</w:t>
            </w:r>
          </w:p>
        </w:tc>
      </w:tr>
      <w:tr w14:paraId="58576E6E">
        <w:tblPrEx>
          <w:tblCellMar>
            <w:top w:w="0" w:type="dxa"/>
            <w:left w:w="108" w:type="dxa"/>
            <w:bottom w:w="0" w:type="dxa"/>
            <w:right w:w="108" w:type="dxa"/>
          </w:tblCellMar>
        </w:tblPrEx>
        <w:trPr>
          <w:trHeight w:val="735" w:hRule="atLeast"/>
        </w:trPr>
        <w:tc>
          <w:tcPr>
            <w:tcW w:w="1129" w:type="dxa"/>
            <w:vMerge w:val="restart"/>
            <w:tcBorders>
              <w:top w:val="single" w:color="auto" w:sz="4" w:space="0"/>
              <w:left w:val="single" w:color="auto" w:sz="4" w:space="0"/>
              <w:right w:val="single" w:color="auto" w:sz="4" w:space="0"/>
            </w:tcBorders>
            <w:shd w:val="clear" w:color="auto" w:fill="FFFFFF"/>
            <w:noWrap w:val="0"/>
            <w:vAlign w:val="center"/>
          </w:tcPr>
          <w:p w14:paraId="51AE4D19">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贡献度（3</w:t>
            </w:r>
            <w:r>
              <w:rPr>
                <w:rFonts w:hint="eastAsia" w:ascii="宋体" w:hAnsi="宋体" w:eastAsia="宋体" w:cs="宋体"/>
                <w:bCs/>
                <w:kern w:val="0"/>
                <w:sz w:val="21"/>
                <w:szCs w:val="21"/>
                <w:lang w:val="en-US" w:eastAsia="zh-CN" w:bidi="ar"/>
              </w:rPr>
              <w:t>0</w:t>
            </w:r>
            <w:r>
              <w:rPr>
                <w:rFonts w:hint="eastAsia" w:ascii="宋体" w:hAnsi="宋体" w:eastAsia="宋体" w:cs="宋体"/>
                <w:bCs/>
                <w:kern w:val="0"/>
                <w:sz w:val="21"/>
                <w:szCs w:val="21"/>
                <w:lang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8775B">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税收贡献度</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4C48EE64">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1</w:t>
            </w:r>
            <w:r>
              <w:rPr>
                <w:rFonts w:hint="eastAsia" w:ascii="宋体" w:hAnsi="宋体" w:eastAsia="宋体" w:cs="宋体"/>
                <w:bCs/>
                <w:kern w:val="0"/>
                <w:sz w:val="21"/>
                <w:szCs w:val="21"/>
                <w:lang w:val="en-US" w:eastAsia="zh-CN" w:bidi="ar"/>
              </w:rPr>
              <w:t>8</w:t>
            </w:r>
            <w:r>
              <w:rPr>
                <w:rFonts w:hint="eastAsia" w:ascii="宋体" w:hAnsi="宋体" w:eastAsia="宋体" w:cs="宋体"/>
                <w:bCs/>
                <w:kern w:val="0"/>
                <w:sz w:val="21"/>
                <w:szCs w:val="21"/>
                <w:lang w:bidi="ar"/>
              </w:rPr>
              <w:t>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4C4C2E60">
            <w:pPr>
              <w:widowControl/>
              <w:jc w:val="left"/>
              <w:rPr>
                <w:rFonts w:hint="eastAsia" w:ascii="宋体" w:hAnsi="宋体" w:eastAsia="宋体" w:cs="宋体"/>
                <w:bCs/>
                <w:color w:val="auto"/>
                <w:kern w:val="0"/>
                <w:sz w:val="21"/>
                <w:szCs w:val="21"/>
                <w:lang w:eastAsia="zh-CN" w:bidi="ar"/>
              </w:rPr>
            </w:pPr>
            <w:r>
              <w:rPr>
                <w:rFonts w:hint="eastAsia" w:ascii="宋体" w:hAnsi="宋体" w:eastAsia="宋体" w:cs="宋体"/>
                <w:bCs/>
                <w:color w:val="auto"/>
                <w:kern w:val="0"/>
                <w:sz w:val="21"/>
                <w:szCs w:val="21"/>
                <w:lang w:val="en-US" w:eastAsia="zh-CN" w:bidi="ar"/>
              </w:rPr>
              <w:t xml:space="preserve">按区税务局提供的各竞标银行上年度缴纳的税收金 </w:t>
            </w:r>
          </w:p>
          <w:p w14:paraId="5DE05646">
            <w:pPr>
              <w:widowControl/>
              <w:jc w:val="left"/>
              <w:rPr>
                <w:rFonts w:hint="eastAsia" w:ascii="宋体" w:hAnsi="宋体" w:eastAsia="宋体" w:cs="宋体"/>
                <w:bCs/>
                <w:kern w:val="0"/>
                <w:sz w:val="21"/>
                <w:szCs w:val="21"/>
                <w:lang w:val="en-US" w:bidi="ar"/>
              </w:rPr>
            </w:pPr>
            <w:r>
              <w:rPr>
                <w:rFonts w:hint="eastAsia" w:ascii="宋体" w:hAnsi="宋体" w:eastAsia="宋体" w:cs="宋体"/>
                <w:bCs/>
                <w:color w:val="auto"/>
                <w:kern w:val="0"/>
                <w:sz w:val="21"/>
                <w:szCs w:val="21"/>
                <w:lang w:val="en-US" w:eastAsia="zh-CN" w:bidi="ar"/>
              </w:rPr>
              <w:t>额与同期竞标银行平均纳税金额的差值计分，基准分9分，每差300万加减0.6分。差值为正数的，予以加分，最多加9分；差值为负数的，予以扣分，扣完基准分为止。</w:t>
            </w:r>
          </w:p>
        </w:tc>
      </w:tr>
      <w:tr w14:paraId="77016B57">
        <w:tblPrEx>
          <w:tblCellMar>
            <w:top w:w="0" w:type="dxa"/>
            <w:left w:w="108" w:type="dxa"/>
            <w:bottom w:w="0" w:type="dxa"/>
            <w:right w:w="108" w:type="dxa"/>
          </w:tblCellMar>
        </w:tblPrEx>
        <w:trPr>
          <w:trHeight w:val="735" w:hRule="atLeast"/>
        </w:trPr>
        <w:tc>
          <w:tcPr>
            <w:tcW w:w="1129" w:type="dxa"/>
            <w:vMerge w:val="continue"/>
            <w:tcBorders>
              <w:left w:val="single" w:color="auto" w:sz="4" w:space="0"/>
              <w:bottom w:val="single" w:color="auto" w:sz="4" w:space="0"/>
              <w:right w:val="single" w:color="auto" w:sz="4" w:space="0"/>
            </w:tcBorders>
            <w:shd w:val="clear" w:color="auto" w:fill="FFFFFF"/>
            <w:noWrap w:val="0"/>
            <w:vAlign w:val="center"/>
          </w:tcPr>
          <w:p w14:paraId="37AC7A27">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B8AF2">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对区属国有企业信贷支持</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3016A446">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12分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0D97E802">
            <w:pPr>
              <w:widowControl/>
              <w:jc w:val="left"/>
              <w:rPr>
                <w:rFonts w:hint="eastAsia" w:ascii="宋体" w:hAnsi="宋体" w:eastAsia="宋体" w:cs="宋体"/>
                <w:bCs/>
                <w:color w:val="auto"/>
                <w:kern w:val="0"/>
                <w:sz w:val="21"/>
                <w:szCs w:val="21"/>
                <w:lang w:val="en-US" w:eastAsia="zh-CN" w:bidi="ar"/>
              </w:rPr>
            </w:pPr>
            <w:r>
              <w:rPr>
                <w:rFonts w:hint="eastAsia" w:ascii="宋体" w:hAnsi="宋体" w:eastAsia="宋体" w:cs="宋体"/>
                <w:bCs/>
                <w:color w:val="auto"/>
                <w:kern w:val="0"/>
                <w:sz w:val="21"/>
                <w:szCs w:val="21"/>
                <w:lang w:val="en-US" w:eastAsia="zh-CN" w:bidi="ar"/>
              </w:rPr>
              <w:t xml:space="preserve">按各竞标银行竞标月份上季末对区属国有企业信贷 </w:t>
            </w:r>
          </w:p>
          <w:p w14:paraId="1C8033B8">
            <w:pPr>
              <w:widowControl/>
              <w:jc w:val="left"/>
              <w:rPr>
                <w:rFonts w:hint="eastAsia" w:ascii="宋体" w:hAnsi="宋体" w:eastAsia="宋体" w:cs="宋体"/>
                <w:bCs/>
                <w:kern w:val="0"/>
                <w:sz w:val="21"/>
                <w:szCs w:val="21"/>
                <w:lang w:bidi="ar"/>
              </w:rPr>
            </w:pPr>
            <w:r>
              <w:rPr>
                <w:rFonts w:hint="eastAsia" w:ascii="宋体" w:hAnsi="宋体" w:eastAsia="宋体" w:cs="宋体"/>
                <w:bCs/>
                <w:color w:val="auto"/>
                <w:kern w:val="0"/>
                <w:sz w:val="21"/>
                <w:szCs w:val="21"/>
                <w:lang w:val="en-US" w:eastAsia="zh-CN" w:bidi="ar"/>
              </w:rPr>
              <w:t>支持余额与同期竞标银行平均余额的差值计分，基准分6分，每差1亿加减0.6分。差值为正数的，予以加分，最多加6分；差值为负数的，予以扣分，扣完基准分为止。</w:t>
            </w:r>
          </w:p>
        </w:tc>
      </w:tr>
      <w:tr w14:paraId="0456D2A5">
        <w:tblPrEx>
          <w:tblCellMar>
            <w:top w:w="0" w:type="dxa"/>
            <w:left w:w="108" w:type="dxa"/>
            <w:bottom w:w="0" w:type="dxa"/>
            <w:right w:w="108" w:type="dxa"/>
          </w:tblCellMar>
        </w:tblPrEx>
        <w:trPr>
          <w:trHeight w:val="735" w:hRule="atLeast"/>
        </w:trPr>
        <w:tc>
          <w:tcPr>
            <w:tcW w:w="1129" w:type="dxa"/>
            <w:vMerge w:val="restart"/>
            <w:tcBorders>
              <w:left w:val="single" w:color="auto" w:sz="4" w:space="0"/>
              <w:right w:val="single" w:color="auto" w:sz="4" w:space="0"/>
            </w:tcBorders>
            <w:shd w:val="clear" w:color="auto" w:fill="FFFFFF"/>
            <w:noWrap w:val="0"/>
            <w:vAlign w:val="center"/>
          </w:tcPr>
          <w:p w14:paraId="2EB496AC">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经营状况（</w:t>
            </w:r>
            <w:r>
              <w:rPr>
                <w:rFonts w:hint="eastAsia" w:ascii="宋体" w:hAnsi="宋体" w:eastAsia="宋体" w:cs="宋体"/>
                <w:bCs/>
                <w:kern w:val="0"/>
                <w:sz w:val="21"/>
                <w:szCs w:val="21"/>
                <w:lang w:val="en-US" w:eastAsia="zh-CN" w:bidi="ar"/>
              </w:rPr>
              <w:t>35</w:t>
            </w:r>
            <w:r>
              <w:rPr>
                <w:rFonts w:hint="eastAsia" w:ascii="宋体" w:hAnsi="宋体" w:eastAsia="宋体" w:cs="宋体"/>
                <w:bCs/>
                <w:kern w:val="0"/>
                <w:sz w:val="21"/>
                <w:szCs w:val="21"/>
                <w:lang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098367">
            <w:pPr>
              <w:widowControl/>
              <w:jc w:val="center"/>
              <w:rPr>
                <w:rFonts w:hint="eastAsia" w:ascii="宋体" w:hAnsi="宋体" w:eastAsia="宋体" w:cs="宋体"/>
                <w:bCs/>
                <w:kern w:val="0"/>
                <w:sz w:val="21"/>
                <w:szCs w:val="21"/>
                <w:lang w:eastAsia="zh-CN" w:bidi="ar"/>
              </w:rPr>
            </w:pPr>
            <w:r>
              <w:rPr>
                <w:rFonts w:hint="eastAsia" w:ascii="宋体" w:hAnsi="宋体" w:eastAsia="宋体" w:cs="宋体"/>
                <w:bCs/>
                <w:kern w:val="0"/>
                <w:sz w:val="21"/>
                <w:szCs w:val="21"/>
                <w:lang w:bidi="ar"/>
              </w:rPr>
              <w:t>贷款同比增速</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0C8C745E">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8</w:t>
            </w:r>
            <w:r>
              <w:rPr>
                <w:rFonts w:hint="eastAsia" w:ascii="宋体" w:hAnsi="宋体" w:eastAsia="宋体" w:cs="宋体"/>
                <w:bCs/>
                <w:kern w:val="0"/>
                <w:sz w:val="21"/>
                <w:szCs w:val="21"/>
                <w:lang w:bidi="ar"/>
              </w:rPr>
              <w:t>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7797D6AE">
            <w:pPr>
              <w:widowControl/>
              <w:jc w:val="left"/>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竞标银行贷款增速情况。按照各竞标银行竞标月份上季末贷款同比增速与同期竞标银行上季末贷款同比增速平均值的差值计分，基准分</w:t>
            </w:r>
            <w:r>
              <w:rPr>
                <w:rFonts w:hint="eastAsia" w:ascii="宋体" w:hAnsi="宋体" w:eastAsia="宋体" w:cs="宋体"/>
                <w:bCs/>
                <w:kern w:val="0"/>
                <w:sz w:val="21"/>
                <w:szCs w:val="21"/>
                <w:lang w:val="en-US" w:eastAsia="zh-CN" w:bidi="ar"/>
              </w:rPr>
              <w:t>4</w:t>
            </w:r>
            <w:r>
              <w:rPr>
                <w:rFonts w:hint="eastAsia" w:ascii="宋体" w:hAnsi="宋体" w:eastAsia="宋体" w:cs="宋体"/>
                <w:bCs/>
                <w:kern w:val="0"/>
                <w:sz w:val="21"/>
                <w:szCs w:val="21"/>
                <w:lang w:bidi="ar"/>
              </w:rPr>
              <w:t>分，每差1个百分点加减0.</w:t>
            </w:r>
            <w:r>
              <w:rPr>
                <w:rFonts w:hint="eastAsia" w:ascii="宋体" w:hAnsi="宋体" w:eastAsia="宋体" w:cs="宋体"/>
                <w:bCs/>
                <w:kern w:val="0"/>
                <w:sz w:val="21"/>
                <w:szCs w:val="21"/>
                <w:lang w:val="en-US" w:eastAsia="zh-CN" w:bidi="ar"/>
              </w:rPr>
              <w:t>2</w:t>
            </w:r>
            <w:r>
              <w:rPr>
                <w:rFonts w:hint="eastAsia" w:ascii="宋体" w:hAnsi="宋体" w:eastAsia="宋体" w:cs="宋体"/>
                <w:bCs/>
                <w:kern w:val="0"/>
                <w:sz w:val="21"/>
                <w:szCs w:val="21"/>
                <w:lang w:bidi="ar"/>
              </w:rPr>
              <w:t>分。差值为正数的，予以加分，最多加</w:t>
            </w:r>
            <w:r>
              <w:rPr>
                <w:rFonts w:hint="eastAsia" w:ascii="宋体" w:hAnsi="宋体" w:eastAsia="宋体" w:cs="宋体"/>
                <w:bCs/>
                <w:kern w:val="0"/>
                <w:sz w:val="21"/>
                <w:szCs w:val="21"/>
                <w:lang w:val="en-US" w:eastAsia="zh-CN" w:bidi="ar"/>
              </w:rPr>
              <w:t>4</w:t>
            </w:r>
            <w:r>
              <w:rPr>
                <w:rFonts w:hint="eastAsia" w:ascii="宋体" w:hAnsi="宋体" w:eastAsia="宋体" w:cs="宋体"/>
                <w:bCs/>
                <w:kern w:val="0"/>
                <w:sz w:val="21"/>
                <w:szCs w:val="21"/>
                <w:lang w:bidi="ar"/>
              </w:rPr>
              <w:t>分；差值为负数的，予以扣分，扣完基准分为止。</w:t>
            </w:r>
          </w:p>
        </w:tc>
      </w:tr>
      <w:tr w14:paraId="2371C599">
        <w:tblPrEx>
          <w:tblCellMar>
            <w:top w:w="0" w:type="dxa"/>
            <w:left w:w="108" w:type="dxa"/>
            <w:bottom w:w="0" w:type="dxa"/>
            <w:right w:w="108" w:type="dxa"/>
          </w:tblCellMar>
        </w:tblPrEx>
        <w:trPr>
          <w:trHeight w:val="735" w:hRule="atLeast"/>
        </w:trPr>
        <w:tc>
          <w:tcPr>
            <w:tcW w:w="1129" w:type="dxa"/>
            <w:vMerge w:val="continue"/>
            <w:tcBorders>
              <w:left w:val="single" w:color="auto" w:sz="4" w:space="0"/>
              <w:right w:val="single" w:color="auto" w:sz="4" w:space="0"/>
            </w:tcBorders>
            <w:shd w:val="clear" w:color="auto" w:fill="FFFFFF"/>
            <w:noWrap w:val="0"/>
            <w:vAlign w:val="center"/>
          </w:tcPr>
          <w:p w14:paraId="73622584">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C718EA">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利息净收入及手续费佣金净收入同比增量</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316E1F8E">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9分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3E469A81">
            <w:pPr>
              <w:widowControl/>
              <w:jc w:val="left"/>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按各竞标银行竞标月份上季末的利息净收入及手续费佣金净收入同比增量排名，第一名得</w:t>
            </w:r>
            <w:r>
              <w:rPr>
                <w:rFonts w:hint="eastAsia" w:ascii="宋体" w:hAnsi="宋体" w:eastAsia="宋体" w:cs="宋体"/>
                <w:bCs/>
                <w:kern w:val="0"/>
                <w:sz w:val="21"/>
                <w:szCs w:val="21"/>
                <w:lang w:val="en-US" w:eastAsia="zh-CN" w:bidi="ar"/>
              </w:rPr>
              <w:t>9</w:t>
            </w:r>
            <w:r>
              <w:rPr>
                <w:rFonts w:hint="eastAsia" w:ascii="宋体" w:hAnsi="宋体" w:eastAsia="宋体" w:cs="宋体"/>
                <w:bCs/>
                <w:kern w:val="0"/>
                <w:sz w:val="21"/>
                <w:szCs w:val="21"/>
                <w:lang w:bidi="ar"/>
              </w:rPr>
              <w:t>分，每下降一名减</w:t>
            </w:r>
            <w:r>
              <w:rPr>
                <w:rFonts w:hint="eastAsia" w:ascii="宋体" w:hAnsi="宋体" w:eastAsia="宋体" w:cs="宋体"/>
                <w:bCs/>
                <w:kern w:val="0"/>
                <w:sz w:val="21"/>
                <w:szCs w:val="21"/>
                <w:lang w:val="en-US" w:eastAsia="zh-CN" w:bidi="ar"/>
              </w:rPr>
              <w:t>1</w:t>
            </w:r>
            <w:r>
              <w:rPr>
                <w:rFonts w:hint="eastAsia" w:ascii="宋体" w:hAnsi="宋体" w:eastAsia="宋体" w:cs="宋体"/>
                <w:bCs/>
                <w:kern w:val="0"/>
                <w:sz w:val="21"/>
                <w:szCs w:val="21"/>
                <w:lang w:bidi="ar"/>
              </w:rPr>
              <w:t>分,增量为负不得分</w:t>
            </w:r>
            <w:r>
              <w:rPr>
                <w:rFonts w:hint="eastAsia" w:ascii="宋体" w:hAnsi="宋体" w:eastAsia="宋体" w:cs="宋体"/>
                <w:bCs/>
                <w:kern w:val="0"/>
                <w:sz w:val="21"/>
                <w:szCs w:val="21"/>
                <w:lang w:eastAsia="zh-CN" w:bidi="ar"/>
              </w:rPr>
              <w:t>。</w:t>
            </w:r>
          </w:p>
        </w:tc>
      </w:tr>
      <w:tr w14:paraId="2B17252B">
        <w:tblPrEx>
          <w:tblCellMar>
            <w:top w:w="0" w:type="dxa"/>
            <w:left w:w="108" w:type="dxa"/>
            <w:bottom w:w="0" w:type="dxa"/>
            <w:right w:w="108" w:type="dxa"/>
          </w:tblCellMar>
        </w:tblPrEx>
        <w:trPr>
          <w:trHeight w:val="735" w:hRule="atLeast"/>
        </w:trPr>
        <w:tc>
          <w:tcPr>
            <w:tcW w:w="1129" w:type="dxa"/>
            <w:vMerge w:val="continue"/>
            <w:tcBorders>
              <w:left w:val="single" w:color="auto" w:sz="4" w:space="0"/>
              <w:right w:val="single" w:color="auto" w:sz="4" w:space="0"/>
            </w:tcBorders>
            <w:shd w:val="clear" w:color="auto" w:fill="FFFFFF"/>
            <w:noWrap w:val="0"/>
            <w:vAlign w:val="center"/>
          </w:tcPr>
          <w:p w14:paraId="355EFA3E">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AC3356">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bidi="ar"/>
              </w:rPr>
              <w:t>利息净收入及手续费佣金净收入同比增</w:t>
            </w:r>
            <w:r>
              <w:rPr>
                <w:rFonts w:hint="eastAsia" w:ascii="宋体" w:hAnsi="宋体" w:eastAsia="宋体" w:cs="宋体"/>
                <w:bCs/>
                <w:kern w:val="0"/>
                <w:sz w:val="21"/>
                <w:szCs w:val="21"/>
                <w:lang w:val="en-US" w:eastAsia="zh-CN" w:bidi="ar"/>
              </w:rPr>
              <w:t>速</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57F4CC8E">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6分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4A5CE1F9">
            <w:pPr>
              <w:widowControl/>
              <w:jc w:val="left"/>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bidi="ar"/>
              </w:rPr>
              <w:t>按各竞标银行竞标月份上季末的利息净收入及手续费佣金净收入同比增</w:t>
            </w:r>
            <w:r>
              <w:rPr>
                <w:rFonts w:hint="eastAsia" w:ascii="宋体" w:hAnsi="宋体" w:eastAsia="宋体" w:cs="宋体"/>
                <w:bCs/>
                <w:kern w:val="0"/>
                <w:sz w:val="21"/>
                <w:szCs w:val="21"/>
                <w:lang w:val="en-US" w:eastAsia="zh-CN" w:bidi="ar"/>
              </w:rPr>
              <w:t>速</w:t>
            </w:r>
            <w:r>
              <w:rPr>
                <w:rFonts w:hint="eastAsia" w:ascii="宋体" w:hAnsi="宋体" w:eastAsia="宋体" w:cs="宋体"/>
                <w:bCs/>
                <w:kern w:val="0"/>
                <w:sz w:val="21"/>
                <w:szCs w:val="21"/>
                <w:lang w:bidi="ar"/>
              </w:rPr>
              <w:t>排名，第一名得</w:t>
            </w:r>
            <w:r>
              <w:rPr>
                <w:rFonts w:hint="eastAsia" w:ascii="宋体" w:hAnsi="宋体" w:eastAsia="宋体" w:cs="宋体"/>
                <w:bCs/>
                <w:kern w:val="0"/>
                <w:sz w:val="21"/>
                <w:szCs w:val="21"/>
                <w:lang w:val="en-US" w:eastAsia="zh-CN" w:bidi="ar"/>
              </w:rPr>
              <w:t>6</w:t>
            </w:r>
            <w:r>
              <w:rPr>
                <w:rFonts w:hint="eastAsia" w:ascii="宋体" w:hAnsi="宋体" w:eastAsia="宋体" w:cs="宋体"/>
                <w:bCs/>
                <w:kern w:val="0"/>
                <w:sz w:val="21"/>
                <w:szCs w:val="21"/>
                <w:lang w:bidi="ar"/>
              </w:rPr>
              <w:t>分，每下降一名减</w:t>
            </w:r>
            <w:r>
              <w:rPr>
                <w:rFonts w:hint="eastAsia" w:ascii="宋体" w:hAnsi="宋体" w:eastAsia="宋体" w:cs="宋体"/>
                <w:bCs/>
                <w:kern w:val="0"/>
                <w:sz w:val="21"/>
                <w:szCs w:val="21"/>
                <w:lang w:val="en-US" w:eastAsia="zh-CN" w:bidi="ar"/>
              </w:rPr>
              <w:t>0.5</w:t>
            </w:r>
            <w:r>
              <w:rPr>
                <w:rFonts w:hint="eastAsia" w:ascii="宋体" w:hAnsi="宋体" w:eastAsia="宋体" w:cs="宋体"/>
                <w:bCs/>
                <w:kern w:val="0"/>
                <w:sz w:val="21"/>
                <w:szCs w:val="21"/>
                <w:lang w:bidi="ar"/>
              </w:rPr>
              <w:t>分，增速为负不得分</w:t>
            </w:r>
            <w:r>
              <w:rPr>
                <w:rFonts w:hint="eastAsia" w:ascii="宋体" w:hAnsi="宋体" w:eastAsia="宋体" w:cs="宋体"/>
                <w:bCs/>
                <w:kern w:val="0"/>
                <w:sz w:val="21"/>
                <w:szCs w:val="21"/>
                <w:lang w:eastAsia="zh-CN" w:bidi="ar"/>
              </w:rPr>
              <w:t>。</w:t>
            </w:r>
          </w:p>
        </w:tc>
      </w:tr>
      <w:tr w14:paraId="58C223BB">
        <w:tblPrEx>
          <w:tblCellMar>
            <w:top w:w="0" w:type="dxa"/>
            <w:left w:w="108" w:type="dxa"/>
            <w:bottom w:w="0" w:type="dxa"/>
            <w:right w:w="108" w:type="dxa"/>
          </w:tblCellMar>
        </w:tblPrEx>
        <w:trPr>
          <w:trHeight w:val="735" w:hRule="atLeast"/>
        </w:trPr>
        <w:tc>
          <w:tcPr>
            <w:tcW w:w="1129" w:type="dxa"/>
            <w:vMerge w:val="continue"/>
            <w:tcBorders>
              <w:left w:val="single" w:color="auto" w:sz="4" w:space="0"/>
              <w:right w:val="single" w:color="auto" w:sz="4" w:space="0"/>
            </w:tcBorders>
            <w:shd w:val="clear" w:color="auto" w:fill="FFFFFF"/>
            <w:noWrap w:val="0"/>
            <w:vAlign w:val="center"/>
          </w:tcPr>
          <w:p w14:paraId="53125578">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900A6D">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bidi="ar"/>
              </w:rPr>
              <w:t>不良贷款率</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32080D08">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bidi="ar"/>
              </w:rPr>
              <w:t>2分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375A9D5B">
            <w:pPr>
              <w:widowControl/>
              <w:jc w:val="left"/>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bidi="ar"/>
              </w:rPr>
              <w:t>按各竞标银行竞标月份上季末的不良贷款率排名，最低的为第1名，第1名的得满分，每递减1名扣0.1分，扣完2分为止。</w:t>
            </w:r>
          </w:p>
        </w:tc>
      </w:tr>
      <w:tr w14:paraId="4EDF244F">
        <w:tblPrEx>
          <w:tblCellMar>
            <w:top w:w="0" w:type="dxa"/>
            <w:left w:w="108" w:type="dxa"/>
            <w:bottom w:w="0" w:type="dxa"/>
            <w:right w:w="108" w:type="dxa"/>
          </w:tblCellMar>
        </w:tblPrEx>
        <w:trPr>
          <w:trHeight w:val="735" w:hRule="atLeast"/>
        </w:trPr>
        <w:tc>
          <w:tcPr>
            <w:tcW w:w="1129" w:type="dxa"/>
            <w:vMerge w:val="continue"/>
            <w:tcBorders>
              <w:left w:val="single" w:color="auto" w:sz="4" w:space="0"/>
              <w:right w:val="single" w:color="auto" w:sz="4" w:space="0"/>
            </w:tcBorders>
            <w:shd w:val="clear" w:color="auto" w:fill="FFFFFF"/>
            <w:noWrap w:val="0"/>
            <w:vAlign w:val="center"/>
          </w:tcPr>
          <w:p w14:paraId="55C34E7A">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042A75">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bidi="ar"/>
              </w:rPr>
              <w:t>监管部门年度评级</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394154F1">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4</w:t>
            </w:r>
            <w:r>
              <w:rPr>
                <w:rFonts w:hint="eastAsia" w:ascii="宋体" w:hAnsi="宋体" w:eastAsia="宋体" w:cs="宋体"/>
                <w:bCs/>
                <w:kern w:val="0"/>
                <w:sz w:val="21"/>
                <w:szCs w:val="21"/>
                <w:lang w:bidi="ar"/>
              </w:rPr>
              <w:t>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46119C51">
            <w:pPr>
              <w:widowControl/>
              <w:jc w:val="left"/>
              <w:rPr>
                <w:rFonts w:hint="eastAsia" w:ascii="宋体" w:hAnsi="宋体" w:eastAsia="宋体" w:cs="宋体"/>
                <w:bCs/>
                <w:kern w:val="0"/>
                <w:sz w:val="21"/>
                <w:szCs w:val="21"/>
                <w:highlight w:val="none"/>
                <w:lang w:bidi="ar"/>
              </w:rPr>
            </w:pPr>
            <w:r>
              <w:rPr>
                <w:rFonts w:hint="eastAsia" w:ascii="宋体" w:hAnsi="宋体" w:eastAsia="宋体" w:cs="宋体"/>
                <w:bCs/>
                <w:kern w:val="0"/>
                <w:sz w:val="21"/>
                <w:szCs w:val="21"/>
                <w:highlight w:val="none"/>
                <w:lang w:bidi="ar"/>
              </w:rPr>
              <w:t>按监管部门（中国人民银行台州市中心支行）的评级得分，最高等级为满分，每下降一个等级扣0.5分。同时，按照竞标银行上年度监管部门的评级与上上年度的评级比较，每向前移一位加0.5分，每向后移一位扣0.5分。该项最高得分4分，最低得分0分。未纳入监管评级的，该项不得分。</w:t>
            </w:r>
          </w:p>
          <w:p w14:paraId="27C49739">
            <w:pPr>
              <w:pStyle w:val="9"/>
              <w:rPr>
                <w:rFonts w:hint="eastAsia" w:ascii="宋体" w:hAnsi="宋体" w:eastAsia="宋体" w:cs="宋体"/>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备注：提供相关证明材料，未提供的或无法体现相关内容的不得分</w:t>
            </w:r>
          </w:p>
        </w:tc>
      </w:tr>
      <w:tr w14:paraId="155F3A44">
        <w:tblPrEx>
          <w:tblCellMar>
            <w:top w:w="0" w:type="dxa"/>
            <w:left w:w="108" w:type="dxa"/>
            <w:bottom w:w="0" w:type="dxa"/>
            <w:right w:w="108" w:type="dxa"/>
          </w:tblCellMar>
        </w:tblPrEx>
        <w:trPr>
          <w:trHeight w:val="735" w:hRule="atLeast"/>
        </w:trPr>
        <w:tc>
          <w:tcPr>
            <w:tcW w:w="1129" w:type="dxa"/>
            <w:vMerge w:val="continue"/>
            <w:tcBorders>
              <w:left w:val="single" w:color="auto" w:sz="4" w:space="0"/>
              <w:right w:val="single" w:color="auto" w:sz="4" w:space="0"/>
            </w:tcBorders>
            <w:shd w:val="clear" w:color="auto" w:fill="FFFFFF"/>
            <w:noWrap w:val="0"/>
            <w:vAlign w:val="center"/>
          </w:tcPr>
          <w:p w14:paraId="2A982C0A">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E80C32">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bidi="ar"/>
              </w:rPr>
              <w:t>资本充足率</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4C1D7C17">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2</w:t>
            </w:r>
            <w:r>
              <w:rPr>
                <w:rFonts w:hint="eastAsia" w:ascii="宋体" w:hAnsi="宋体" w:eastAsia="宋体" w:cs="宋体"/>
                <w:bCs/>
                <w:kern w:val="0"/>
                <w:sz w:val="21"/>
                <w:szCs w:val="21"/>
                <w:lang w:bidi="ar"/>
              </w:rPr>
              <w:t>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62C5AE02">
            <w:pPr>
              <w:widowControl/>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按202</w:t>
            </w:r>
            <w:r>
              <w:rPr>
                <w:rFonts w:hint="eastAsia" w:ascii="宋体" w:hAnsi="宋体" w:eastAsia="宋体" w:cs="宋体"/>
                <w:b w:val="0"/>
                <w:bCs/>
                <w:color w:val="auto"/>
                <w:kern w:val="0"/>
                <w:sz w:val="21"/>
                <w:szCs w:val="21"/>
                <w:highlight w:val="none"/>
                <w:lang w:val="en-US" w:eastAsia="zh-CN" w:bidi="ar"/>
              </w:rPr>
              <w:t>3</w:t>
            </w:r>
            <w:r>
              <w:rPr>
                <w:rFonts w:hint="eastAsia" w:ascii="宋体" w:hAnsi="宋体" w:eastAsia="宋体" w:cs="宋体"/>
                <w:b w:val="0"/>
                <w:bCs/>
                <w:color w:val="auto"/>
                <w:kern w:val="0"/>
                <w:sz w:val="21"/>
                <w:szCs w:val="21"/>
                <w:highlight w:val="none"/>
                <w:lang w:bidi="ar"/>
              </w:rPr>
              <w:t>年度各竞标银行总行的资本充足率排名，最高的为第1名，第1名的得满分，每递减1名扣0.</w:t>
            </w:r>
            <w:r>
              <w:rPr>
                <w:rFonts w:hint="eastAsia" w:ascii="宋体" w:hAnsi="宋体" w:eastAsia="宋体" w:cs="宋体"/>
                <w:b w:val="0"/>
                <w:bCs/>
                <w:color w:val="auto"/>
                <w:kern w:val="0"/>
                <w:sz w:val="21"/>
                <w:szCs w:val="21"/>
                <w:highlight w:val="none"/>
                <w:lang w:val="en-US" w:eastAsia="zh-CN" w:bidi="ar"/>
              </w:rPr>
              <w:t>1</w:t>
            </w:r>
            <w:r>
              <w:rPr>
                <w:rFonts w:hint="eastAsia" w:ascii="宋体" w:hAnsi="宋体" w:eastAsia="宋体" w:cs="宋体"/>
                <w:b w:val="0"/>
                <w:bCs/>
                <w:color w:val="auto"/>
                <w:kern w:val="0"/>
                <w:sz w:val="21"/>
                <w:szCs w:val="21"/>
                <w:highlight w:val="none"/>
                <w:lang w:bidi="ar"/>
              </w:rPr>
              <w:t>分，扣完</w:t>
            </w:r>
            <w:r>
              <w:rPr>
                <w:rFonts w:hint="eastAsia" w:ascii="宋体" w:hAnsi="宋体" w:eastAsia="宋体" w:cs="宋体"/>
                <w:b w:val="0"/>
                <w:bCs/>
                <w:color w:val="auto"/>
                <w:kern w:val="0"/>
                <w:sz w:val="21"/>
                <w:szCs w:val="21"/>
                <w:highlight w:val="none"/>
                <w:lang w:val="en-US" w:eastAsia="zh-CN" w:bidi="ar"/>
              </w:rPr>
              <w:t>2</w:t>
            </w:r>
            <w:r>
              <w:rPr>
                <w:rFonts w:hint="eastAsia" w:ascii="宋体" w:hAnsi="宋体" w:eastAsia="宋体" w:cs="宋体"/>
                <w:b w:val="0"/>
                <w:bCs/>
                <w:color w:val="auto"/>
                <w:kern w:val="0"/>
                <w:sz w:val="21"/>
                <w:szCs w:val="21"/>
                <w:highlight w:val="none"/>
                <w:lang w:bidi="ar"/>
              </w:rPr>
              <w:t>分为止。</w:t>
            </w:r>
            <w:r>
              <w:rPr>
                <w:rFonts w:hint="eastAsia" w:ascii="宋体" w:hAnsi="宋体" w:eastAsia="宋体" w:cs="宋体"/>
                <w:b w:val="0"/>
                <w:bCs/>
                <w:color w:val="auto"/>
                <w:sz w:val="21"/>
                <w:szCs w:val="21"/>
                <w:highlight w:val="none"/>
              </w:rPr>
              <w:t>此项数据由各竞标银行自行提供。</w:t>
            </w:r>
          </w:p>
          <w:p w14:paraId="6DCF1542">
            <w:pPr>
              <w:pStyle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
              </w:rPr>
              <w:t>备注：提供能体现上述内容的年报同时加盖公章，未提供或无法体现或未盖章的不得分</w:t>
            </w:r>
          </w:p>
        </w:tc>
      </w:tr>
      <w:tr w14:paraId="4A68DE22">
        <w:tblPrEx>
          <w:tblCellMar>
            <w:top w:w="0" w:type="dxa"/>
            <w:left w:w="108" w:type="dxa"/>
            <w:bottom w:w="0" w:type="dxa"/>
            <w:right w:w="108" w:type="dxa"/>
          </w:tblCellMar>
        </w:tblPrEx>
        <w:trPr>
          <w:trHeight w:val="735" w:hRule="atLeast"/>
        </w:trPr>
        <w:tc>
          <w:tcPr>
            <w:tcW w:w="1129" w:type="dxa"/>
            <w:vMerge w:val="continue"/>
            <w:tcBorders>
              <w:left w:val="single" w:color="auto" w:sz="4" w:space="0"/>
              <w:right w:val="single" w:color="auto" w:sz="4" w:space="0"/>
            </w:tcBorders>
            <w:shd w:val="clear" w:color="auto" w:fill="FFFFFF"/>
            <w:noWrap w:val="0"/>
            <w:vAlign w:val="center"/>
          </w:tcPr>
          <w:p w14:paraId="1CF2F79F">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1C6D3">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流动性比率</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39DCE3D1">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2</w:t>
            </w:r>
            <w:r>
              <w:rPr>
                <w:rFonts w:hint="eastAsia" w:ascii="宋体" w:hAnsi="宋体" w:eastAsia="宋体" w:cs="宋体"/>
                <w:bCs/>
                <w:kern w:val="0"/>
                <w:sz w:val="21"/>
                <w:szCs w:val="21"/>
                <w:lang w:bidi="ar"/>
              </w:rPr>
              <w:t>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690A201D">
            <w:pPr>
              <w:widowControl/>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bidi="ar"/>
              </w:rPr>
              <w:t>按202</w:t>
            </w:r>
            <w:r>
              <w:rPr>
                <w:rFonts w:hint="eastAsia" w:ascii="宋体" w:hAnsi="宋体" w:eastAsia="宋体" w:cs="宋体"/>
                <w:b w:val="0"/>
                <w:bCs/>
                <w:color w:val="auto"/>
                <w:kern w:val="0"/>
                <w:sz w:val="21"/>
                <w:szCs w:val="21"/>
                <w:highlight w:val="none"/>
                <w:lang w:val="en-US" w:eastAsia="zh-CN" w:bidi="ar"/>
              </w:rPr>
              <w:t>3</w:t>
            </w:r>
            <w:r>
              <w:rPr>
                <w:rFonts w:hint="eastAsia" w:ascii="宋体" w:hAnsi="宋体" w:eastAsia="宋体" w:cs="宋体"/>
                <w:b w:val="0"/>
                <w:bCs/>
                <w:color w:val="auto"/>
                <w:kern w:val="0"/>
                <w:sz w:val="21"/>
                <w:szCs w:val="21"/>
                <w:highlight w:val="none"/>
                <w:lang w:bidi="ar"/>
              </w:rPr>
              <w:t>年度各竞标银行总行的流动性比率排名，最高的为第1名，第1名的得满分，每递减1名扣0.</w:t>
            </w:r>
            <w:r>
              <w:rPr>
                <w:rFonts w:hint="eastAsia" w:ascii="宋体" w:hAnsi="宋体" w:eastAsia="宋体" w:cs="宋体"/>
                <w:b w:val="0"/>
                <w:bCs/>
                <w:color w:val="auto"/>
                <w:kern w:val="0"/>
                <w:sz w:val="21"/>
                <w:szCs w:val="21"/>
                <w:highlight w:val="none"/>
                <w:lang w:val="en-US" w:eastAsia="zh-CN" w:bidi="ar"/>
              </w:rPr>
              <w:t>1</w:t>
            </w:r>
            <w:r>
              <w:rPr>
                <w:rFonts w:hint="eastAsia" w:ascii="宋体" w:hAnsi="宋体" w:eastAsia="宋体" w:cs="宋体"/>
                <w:b w:val="0"/>
                <w:bCs/>
                <w:color w:val="auto"/>
                <w:kern w:val="0"/>
                <w:sz w:val="21"/>
                <w:szCs w:val="21"/>
                <w:highlight w:val="none"/>
                <w:lang w:bidi="ar"/>
              </w:rPr>
              <w:t>分，扣完</w:t>
            </w:r>
            <w:r>
              <w:rPr>
                <w:rFonts w:hint="eastAsia" w:ascii="宋体" w:hAnsi="宋体" w:eastAsia="宋体" w:cs="宋体"/>
                <w:b w:val="0"/>
                <w:bCs/>
                <w:color w:val="auto"/>
                <w:kern w:val="0"/>
                <w:sz w:val="21"/>
                <w:szCs w:val="21"/>
                <w:highlight w:val="none"/>
                <w:lang w:val="en-US" w:eastAsia="zh-CN" w:bidi="ar"/>
              </w:rPr>
              <w:t>2</w:t>
            </w:r>
            <w:r>
              <w:rPr>
                <w:rFonts w:hint="eastAsia" w:ascii="宋体" w:hAnsi="宋体" w:eastAsia="宋体" w:cs="宋体"/>
                <w:b w:val="0"/>
                <w:bCs/>
                <w:color w:val="auto"/>
                <w:kern w:val="0"/>
                <w:sz w:val="21"/>
                <w:szCs w:val="21"/>
                <w:highlight w:val="none"/>
                <w:lang w:bidi="ar"/>
              </w:rPr>
              <w:t>分为止。</w:t>
            </w:r>
            <w:r>
              <w:rPr>
                <w:rFonts w:hint="eastAsia" w:ascii="宋体" w:hAnsi="宋体" w:eastAsia="宋体" w:cs="宋体"/>
                <w:b w:val="0"/>
                <w:bCs/>
                <w:color w:val="auto"/>
                <w:sz w:val="21"/>
                <w:szCs w:val="21"/>
                <w:highlight w:val="none"/>
              </w:rPr>
              <w:t>此项数据由各竞标银行自行提供。</w:t>
            </w:r>
          </w:p>
          <w:p w14:paraId="62510920">
            <w:pPr>
              <w:pStyle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bidi="ar"/>
              </w:rPr>
              <w:t>备注：提供能体现上述内容的年报同时加盖公章，未提供或无法体现或未盖章的不得分</w:t>
            </w:r>
          </w:p>
        </w:tc>
      </w:tr>
      <w:tr w14:paraId="4E11D462">
        <w:tblPrEx>
          <w:tblCellMar>
            <w:top w:w="0" w:type="dxa"/>
            <w:left w:w="108" w:type="dxa"/>
            <w:bottom w:w="0" w:type="dxa"/>
            <w:right w:w="108" w:type="dxa"/>
          </w:tblCellMar>
        </w:tblPrEx>
        <w:trPr>
          <w:trHeight w:val="735" w:hRule="atLeast"/>
        </w:trPr>
        <w:tc>
          <w:tcPr>
            <w:tcW w:w="1129" w:type="dxa"/>
            <w:vMerge w:val="continue"/>
            <w:tcBorders>
              <w:left w:val="single" w:color="auto" w:sz="4" w:space="0"/>
              <w:bottom w:val="single" w:color="auto" w:sz="4" w:space="0"/>
              <w:right w:val="single" w:color="auto" w:sz="4" w:space="0"/>
            </w:tcBorders>
            <w:shd w:val="clear" w:color="auto" w:fill="FFFFFF"/>
            <w:noWrap w:val="0"/>
            <w:vAlign w:val="center"/>
          </w:tcPr>
          <w:p w14:paraId="642DA1BB">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83ED73">
            <w:pPr>
              <w:widowControl/>
              <w:jc w:val="center"/>
              <w:rPr>
                <w:rFonts w:hint="eastAsia" w:ascii="宋体" w:hAnsi="宋体" w:eastAsia="宋体" w:cs="宋体"/>
                <w:bCs/>
                <w:kern w:val="0"/>
                <w:sz w:val="21"/>
                <w:szCs w:val="21"/>
                <w:lang w:bidi="ar"/>
              </w:rPr>
            </w:pPr>
            <w:r>
              <w:rPr>
                <w:rFonts w:hint="eastAsia" w:ascii="宋体" w:hAnsi="宋体" w:eastAsia="宋体" w:cs="宋体"/>
                <w:i w:val="0"/>
                <w:color w:val="auto"/>
                <w:sz w:val="21"/>
                <w:szCs w:val="21"/>
                <w:highlight w:val="none"/>
                <w:u w:val="none"/>
              </w:rPr>
              <w:t>拨备覆盖率</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140E9E79">
            <w:pPr>
              <w:widowControl/>
              <w:jc w:val="cente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2分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60C4B2A5">
            <w:pPr>
              <w:widowControl/>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bidi="ar"/>
              </w:rPr>
              <w:t>按202</w:t>
            </w:r>
            <w:r>
              <w:rPr>
                <w:rFonts w:hint="eastAsia" w:ascii="宋体" w:hAnsi="宋体" w:eastAsia="宋体" w:cs="宋体"/>
                <w:b w:val="0"/>
                <w:bCs/>
                <w:color w:val="auto"/>
                <w:kern w:val="0"/>
                <w:sz w:val="21"/>
                <w:szCs w:val="21"/>
                <w:highlight w:val="none"/>
                <w:lang w:val="en-US" w:eastAsia="zh-CN" w:bidi="ar"/>
              </w:rPr>
              <w:t>3</w:t>
            </w:r>
            <w:r>
              <w:rPr>
                <w:rFonts w:hint="eastAsia" w:ascii="宋体" w:hAnsi="宋体" w:eastAsia="宋体" w:cs="宋体"/>
                <w:b w:val="0"/>
                <w:bCs/>
                <w:color w:val="auto"/>
                <w:kern w:val="0"/>
                <w:sz w:val="21"/>
                <w:szCs w:val="21"/>
                <w:highlight w:val="none"/>
                <w:lang w:bidi="ar"/>
              </w:rPr>
              <w:t>年度各竞标银行</w:t>
            </w:r>
            <w:r>
              <w:rPr>
                <w:rFonts w:hint="eastAsia" w:ascii="宋体" w:hAnsi="宋体" w:eastAsia="宋体" w:cs="宋体"/>
                <w:b w:val="0"/>
                <w:bCs/>
                <w:color w:val="auto"/>
                <w:kern w:val="0"/>
                <w:sz w:val="21"/>
                <w:szCs w:val="21"/>
                <w:highlight w:val="none"/>
                <w:lang w:val="en-US" w:eastAsia="zh-CN" w:bidi="ar"/>
              </w:rPr>
              <w:t>总行的拨备覆盖率排名，最高的为第1名，第1名的得满分，每递减1名扣0.1 分，扣完 2 分为止。</w:t>
            </w:r>
            <w:r>
              <w:rPr>
                <w:rFonts w:hint="eastAsia" w:ascii="宋体" w:hAnsi="宋体" w:eastAsia="宋体" w:cs="宋体"/>
                <w:b w:val="0"/>
                <w:bCs/>
                <w:color w:val="auto"/>
                <w:sz w:val="21"/>
                <w:szCs w:val="21"/>
                <w:highlight w:val="none"/>
              </w:rPr>
              <w:t>此项数据由各竞标银行自行提供。</w:t>
            </w:r>
          </w:p>
          <w:p w14:paraId="26CEF19A">
            <w:pPr>
              <w:pStyle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bidi="ar"/>
              </w:rPr>
              <w:t>备注：提供能体现上述内容的年报同时加盖公章，未提供或无法体现或未盖章的不得分。</w:t>
            </w:r>
          </w:p>
        </w:tc>
      </w:tr>
      <w:tr w14:paraId="50DCE194">
        <w:tblPrEx>
          <w:tblCellMar>
            <w:top w:w="0" w:type="dxa"/>
            <w:left w:w="108" w:type="dxa"/>
            <w:bottom w:w="0" w:type="dxa"/>
            <w:right w:w="108" w:type="dxa"/>
          </w:tblCellMar>
        </w:tblPrEx>
        <w:trPr>
          <w:trHeight w:val="735" w:hRule="atLeast"/>
        </w:trPr>
        <w:tc>
          <w:tcPr>
            <w:tcW w:w="112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3D5EA3">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eastAsia="zh-CN" w:bidi="ar"/>
              </w:rPr>
              <w:t>服务水平</w:t>
            </w:r>
            <w:r>
              <w:rPr>
                <w:rFonts w:hint="eastAsia" w:ascii="宋体" w:hAnsi="宋体" w:eastAsia="宋体" w:cs="宋体"/>
                <w:bCs/>
                <w:kern w:val="0"/>
                <w:sz w:val="21"/>
                <w:szCs w:val="21"/>
                <w:lang w:bidi="ar"/>
              </w:rPr>
              <w:t>（</w:t>
            </w:r>
            <w:r>
              <w:rPr>
                <w:rFonts w:hint="eastAsia" w:ascii="宋体" w:hAnsi="宋体" w:eastAsia="宋体" w:cs="宋体"/>
                <w:bCs/>
                <w:kern w:val="0"/>
                <w:sz w:val="21"/>
                <w:szCs w:val="21"/>
                <w:lang w:val="en-US" w:eastAsia="zh-CN" w:bidi="ar"/>
              </w:rPr>
              <w:t>35</w:t>
            </w:r>
            <w:r>
              <w:rPr>
                <w:rFonts w:hint="eastAsia" w:ascii="宋体" w:hAnsi="宋体" w:eastAsia="宋体" w:cs="宋体"/>
                <w:bCs/>
                <w:kern w:val="0"/>
                <w:sz w:val="21"/>
                <w:szCs w:val="21"/>
                <w:lang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AB2BF">
            <w:pPr>
              <w:jc w:val="center"/>
              <w:rPr>
                <w:rFonts w:hint="eastAsia" w:ascii="宋体" w:hAnsi="宋体" w:eastAsia="宋体" w:cs="宋体"/>
                <w:bCs/>
                <w:kern w:val="0"/>
                <w:sz w:val="21"/>
                <w:szCs w:val="21"/>
                <w:lang w:bidi="ar"/>
              </w:rPr>
            </w:pPr>
            <w:r>
              <w:rPr>
                <w:rFonts w:hint="eastAsia" w:ascii="宋体" w:hAnsi="宋体" w:eastAsia="宋体" w:cs="宋体"/>
                <w:color w:val="auto"/>
                <w:sz w:val="21"/>
                <w:szCs w:val="21"/>
                <w:highlight w:val="none"/>
                <w:lang w:eastAsia="zh-CN"/>
              </w:rPr>
              <w:t>省智慧医保医银平台运营情况</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67B7B7F5">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val="en-US" w:eastAsia="zh-CN" w:bidi="ar"/>
              </w:rPr>
              <w:t>15</w:t>
            </w:r>
            <w:r>
              <w:rPr>
                <w:rFonts w:hint="eastAsia" w:ascii="宋体" w:hAnsi="宋体" w:eastAsia="宋体" w:cs="宋体"/>
                <w:bCs/>
                <w:kern w:val="0"/>
                <w:sz w:val="21"/>
                <w:szCs w:val="21"/>
                <w:lang w:bidi="ar"/>
              </w:rPr>
              <w:t>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3083AA7C">
            <w:pPr>
              <w:pStyle w:val="15"/>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针对投标银行（总行及其分支银行）在省智慧医保医银平台的运营情况进行打分：</w:t>
            </w:r>
          </w:p>
          <w:p w14:paraId="3ED7EC05">
            <w:pPr>
              <w:pStyle w:val="15"/>
              <w:numPr>
                <w:ilvl w:val="0"/>
                <w:numId w:val="6"/>
              </w:numPr>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已实现省智慧医保医银平台衔接，但是运营期不满一年的，得5分；</w:t>
            </w:r>
          </w:p>
          <w:p w14:paraId="1E517515">
            <w:pPr>
              <w:pStyle w:val="15"/>
              <w:numPr>
                <w:ilvl w:val="0"/>
                <w:numId w:val="6"/>
              </w:numPr>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已实现省智慧医保医银平台衔接且运营满一年的得10分；</w:t>
            </w:r>
          </w:p>
          <w:p w14:paraId="30A64425">
            <w:pPr>
              <w:pStyle w:val="15"/>
              <w:numPr>
                <w:ilvl w:val="0"/>
                <w:numId w:val="6"/>
              </w:numPr>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已实现省智慧医保医银平台衔接且运营满二年的得15分；</w:t>
            </w:r>
          </w:p>
          <w:p w14:paraId="2B7A0433">
            <w:pPr>
              <w:widowControl/>
              <w:jc w:val="left"/>
              <w:rPr>
                <w:rFonts w:hint="eastAsia" w:ascii="宋体" w:hAnsi="宋体" w:eastAsia="宋体" w:cs="宋体"/>
                <w:bCs/>
                <w:kern w:val="0"/>
                <w:sz w:val="21"/>
                <w:szCs w:val="21"/>
                <w:highlight w:val="none"/>
                <w:lang w:bidi="ar"/>
              </w:rPr>
            </w:pPr>
            <w:r>
              <w:rPr>
                <w:rFonts w:hint="eastAsia" w:ascii="宋体" w:hAnsi="宋体" w:eastAsia="宋体" w:cs="宋体"/>
                <w:bCs/>
                <w:color w:val="auto"/>
                <w:kern w:val="0"/>
                <w:sz w:val="21"/>
                <w:szCs w:val="21"/>
                <w:highlight w:val="none"/>
                <w:lang w:val="en-US" w:eastAsia="zh-CN" w:bidi="ar"/>
              </w:rPr>
              <w:t>备注：提供相关证明材料（需体现上述评分内容的），否则不得分。</w:t>
            </w:r>
          </w:p>
        </w:tc>
      </w:tr>
      <w:tr w14:paraId="4CCD2DD8">
        <w:tblPrEx>
          <w:tblCellMar>
            <w:top w:w="0" w:type="dxa"/>
            <w:left w:w="108" w:type="dxa"/>
            <w:bottom w:w="0" w:type="dxa"/>
            <w:right w:w="108" w:type="dxa"/>
          </w:tblCellMar>
        </w:tblPrEx>
        <w:trPr>
          <w:trHeight w:val="735" w:hRule="atLeast"/>
        </w:trPr>
        <w:tc>
          <w:tcPr>
            <w:tcW w:w="112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4F541C">
            <w:pPr>
              <w:widowControl/>
              <w:jc w:val="center"/>
              <w:rPr>
                <w:rFonts w:hint="eastAsia" w:ascii="宋体" w:hAnsi="宋体" w:eastAsia="宋体" w:cs="宋体"/>
                <w:bCs/>
                <w:kern w:val="0"/>
                <w:sz w:val="21"/>
                <w:szCs w:val="21"/>
                <w:lang w:bidi="ar"/>
              </w:rPr>
            </w:pP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9E1876">
            <w:pPr>
              <w:widowControl/>
              <w:jc w:val="center"/>
              <w:rPr>
                <w:rFonts w:hint="eastAsia" w:ascii="宋体" w:hAnsi="宋体" w:eastAsia="宋体" w:cs="宋体"/>
                <w:bCs/>
                <w:kern w:val="0"/>
                <w:sz w:val="21"/>
                <w:szCs w:val="21"/>
                <w:lang w:bidi="ar"/>
              </w:rPr>
            </w:pPr>
            <w:r>
              <w:rPr>
                <w:rFonts w:hint="eastAsia" w:ascii="宋体" w:hAnsi="宋体" w:eastAsia="宋体" w:cs="宋体"/>
                <w:color w:val="auto"/>
                <w:sz w:val="21"/>
                <w:szCs w:val="21"/>
                <w:highlight w:val="none"/>
              </w:rPr>
              <w:t>其他服务能力</w:t>
            </w:r>
            <w:r>
              <w:rPr>
                <w:rFonts w:hint="eastAsia" w:ascii="宋体" w:hAnsi="宋体" w:eastAsia="宋体" w:cs="宋体"/>
                <w:color w:val="auto"/>
                <w:sz w:val="21"/>
                <w:szCs w:val="21"/>
                <w:highlight w:val="none"/>
                <w:lang w:eastAsia="zh-CN"/>
              </w:rPr>
              <w:t>的承诺</w:t>
            </w:r>
          </w:p>
        </w:tc>
        <w:tc>
          <w:tcPr>
            <w:tcW w:w="1351" w:type="dxa"/>
            <w:tcBorders>
              <w:top w:val="single" w:color="auto" w:sz="4" w:space="0"/>
              <w:left w:val="nil"/>
              <w:bottom w:val="single" w:color="auto" w:sz="4" w:space="0"/>
              <w:right w:val="single" w:color="auto" w:sz="4" w:space="0"/>
            </w:tcBorders>
            <w:shd w:val="clear" w:color="auto" w:fill="FFFFFF"/>
            <w:noWrap w:val="0"/>
            <w:vAlign w:val="center"/>
          </w:tcPr>
          <w:p w14:paraId="093B5E00">
            <w:pPr>
              <w:widowControl/>
              <w:jc w:val="center"/>
              <w:rPr>
                <w:rFonts w:hint="eastAsia" w:ascii="宋体" w:hAnsi="宋体" w:eastAsia="宋体" w:cs="宋体"/>
                <w:bCs/>
                <w:kern w:val="0"/>
                <w:sz w:val="21"/>
                <w:szCs w:val="21"/>
                <w:lang w:bidi="ar"/>
              </w:rPr>
            </w:pPr>
            <w:r>
              <w:rPr>
                <w:rFonts w:hint="eastAsia" w:ascii="宋体" w:hAnsi="宋体" w:eastAsia="宋体" w:cs="宋体"/>
                <w:bCs/>
                <w:kern w:val="0"/>
                <w:sz w:val="21"/>
                <w:szCs w:val="21"/>
                <w:lang w:val="en-US" w:eastAsia="zh-CN" w:bidi="ar"/>
              </w:rPr>
              <w:t>20</w:t>
            </w:r>
            <w:r>
              <w:rPr>
                <w:rFonts w:hint="eastAsia" w:ascii="宋体" w:hAnsi="宋体" w:eastAsia="宋体" w:cs="宋体"/>
                <w:bCs/>
                <w:kern w:val="0"/>
                <w:sz w:val="21"/>
                <w:szCs w:val="21"/>
                <w:lang w:bidi="ar"/>
              </w:rPr>
              <w:t>分</w:t>
            </w:r>
          </w:p>
        </w:tc>
        <w:tc>
          <w:tcPr>
            <w:tcW w:w="5503" w:type="dxa"/>
            <w:tcBorders>
              <w:top w:val="single" w:color="auto" w:sz="4" w:space="0"/>
              <w:left w:val="nil"/>
              <w:bottom w:val="single" w:color="auto" w:sz="4" w:space="0"/>
              <w:right w:val="single" w:color="auto" w:sz="4" w:space="0"/>
            </w:tcBorders>
            <w:shd w:val="clear" w:color="auto" w:fill="FFFFFF"/>
            <w:noWrap w:val="0"/>
            <w:vAlign w:val="center"/>
          </w:tcPr>
          <w:p w14:paraId="3DF2AD99">
            <w:pPr>
              <w:widowControl/>
              <w:jc w:val="left"/>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对投标人业务便利、安全保障等方面进行综合评审，基本符合要求的得5分，根据投标人服务水平优劣程度进行打分，最多得20分。</w:t>
            </w:r>
          </w:p>
          <w:p w14:paraId="206106AF">
            <w:pPr>
              <w:widowControl/>
              <w:jc w:val="left"/>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优者20-15分，良好14.9-10分，合格9.9-5分，其他4.9分及以下。</w:t>
            </w:r>
          </w:p>
          <w:p w14:paraId="0A5DFE0F">
            <w:pPr>
              <w:widowControl/>
              <w:jc w:val="left"/>
              <w:rPr>
                <w:rFonts w:hint="eastAsia" w:ascii="宋体" w:hAnsi="宋体" w:eastAsia="宋体" w:cs="宋体"/>
                <w:bCs/>
                <w:kern w:val="0"/>
                <w:sz w:val="21"/>
                <w:szCs w:val="21"/>
                <w:lang w:bidi="ar"/>
              </w:rPr>
            </w:pPr>
            <w:r>
              <w:rPr>
                <w:rFonts w:hint="eastAsia" w:ascii="宋体" w:hAnsi="宋体" w:eastAsia="宋体" w:cs="宋体"/>
                <w:bCs/>
                <w:color w:val="auto"/>
                <w:kern w:val="0"/>
                <w:sz w:val="21"/>
                <w:szCs w:val="21"/>
                <w:highlight w:val="none"/>
                <w:lang w:val="en-US" w:eastAsia="zh-CN" w:bidi="ar"/>
              </w:rPr>
              <w:t>注：承诺格式自拟，需盖单位公章，否则不得分</w:t>
            </w:r>
          </w:p>
        </w:tc>
      </w:tr>
    </w:tbl>
    <w:p w14:paraId="1A3DF16D">
      <w:pPr>
        <w:adjustRightInd w:val="0"/>
        <w:snapToGrid w:val="0"/>
        <w:spacing w:line="400" w:lineRule="exact"/>
        <w:ind w:right="-315" w:rightChars="-150"/>
        <w:rPr>
          <w:rFonts w:hint="eastAsia" w:ascii="宋体" w:hAnsi="宋体" w:eastAsia="宋体" w:cs="宋体"/>
          <w:b/>
          <w:bCs/>
          <w:color w:val="auto"/>
          <w:sz w:val="21"/>
          <w:szCs w:val="21"/>
          <w:highlight w:val="none"/>
          <w:u w:val="none"/>
        </w:rPr>
      </w:pPr>
    </w:p>
    <w:p w14:paraId="098546DF">
      <w:pPr>
        <w:spacing w:line="360" w:lineRule="auto"/>
        <w:jc w:val="center"/>
        <w:rPr>
          <w:rFonts w:hint="eastAsia" w:ascii="宋体" w:hAnsi="宋体" w:eastAsia="宋体" w:cs="宋体"/>
          <w:b/>
          <w:color w:val="auto"/>
          <w:sz w:val="21"/>
          <w:szCs w:val="21"/>
          <w:highlight w:val="none"/>
        </w:rPr>
      </w:pPr>
    </w:p>
    <w:p w14:paraId="2647778F">
      <w:pPr>
        <w:pStyle w:val="9"/>
        <w:rPr>
          <w:color w:val="auto"/>
          <w:highlight w:val="none"/>
        </w:rPr>
      </w:pPr>
    </w:p>
    <w:p w14:paraId="34D4035E">
      <w:pPr>
        <w:spacing w:line="360" w:lineRule="auto"/>
        <w:rPr>
          <w:rFonts w:ascii="宋体" w:hAnsi="宋体"/>
          <w:b/>
          <w:color w:val="auto"/>
          <w:sz w:val="32"/>
          <w:szCs w:val="32"/>
          <w:highlight w:val="none"/>
        </w:rPr>
      </w:pPr>
    </w:p>
    <w:p w14:paraId="1B010FA8">
      <w:pPr>
        <w:pStyle w:val="2"/>
        <w:rPr>
          <w:rFonts w:ascii="宋体" w:hAnsi="宋体"/>
          <w:b/>
          <w:color w:val="auto"/>
          <w:sz w:val="32"/>
          <w:szCs w:val="32"/>
          <w:highlight w:val="none"/>
        </w:rPr>
      </w:pPr>
    </w:p>
    <w:p w14:paraId="2DD4CFE6">
      <w:pPr>
        <w:pStyle w:val="2"/>
        <w:rPr>
          <w:rFonts w:ascii="宋体" w:hAnsi="宋体"/>
          <w:b/>
          <w:color w:val="auto"/>
          <w:sz w:val="32"/>
          <w:szCs w:val="32"/>
          <w:highlight w:val="none"/>
        </w:rPr>
      </w:pPr>
    </w:p>
    <w:p w14:paraId="250C845D">
      <w:pPr>
        <w:pStyle w:val="2"/>
        <w:rPr>
          <w:rFonts w:ascii="宋体" w:hAnsi="宋体"/>
          <w:b/>
          <w:color w:val="auto"/>
          <w:sz w:val="32"/>
          <w:szCs w:val="32"/>
          <w:highlight w:val="none"/>
        </w:rPr>
      </w:pPr>
    </w:p>
    <w:p w14:paraId="63A68F04">
      <w:pPr>
        <w:pStyle w:val="2"/>
        <w:rPr>
          <w:rFonts w:ascii="宋体" w:hAnsi="宋体"/>
          <w:b/>
          <w:color w:val="auto"/>
          <w:sz w:val="32"/>
          <w:szCs w:val="32"/>
          <w:highlight w:val="none"/>
        </w:rPr>
      </w:pPr>
    </w:p>
    <w:p w14:paraId="36DCDD22">
      <w:pPr>
        <w:pStyle w:val="4"/>
        <w:rPr>
          <w:rFonts w:ascii="宋体" w:hAnsi="宋体"/>
          <w:b/>
          <w:color w:val="auto"/>
          <w:sz w:val="32"/>
          <w:szCs w:val="32"/>
          <w:highlight w:val="none"/>
        </w:rPr>
      </w:pPr>
    </w:p>
    <w:p w14:paraId="1173D825">
      <w:pPr>
        <w:pStyle w:val="2"/>
        <w:jc w:val="both"/>
        <w:rPr>
          <w:rFonts w:hint="eastAsia" w:ascii="宋体" w:hAnsi="宋体"/>
          <w:b/>
          <w:color w:val="auto"/>
          <w:sz w:val="32"/>
          <w:szCs w:val="32"/>
          <w:highlight w:val="none"/>
        </w:rPr>
      </w:pPr>
    </w:p>
    <w:p w14:paraId="18A3DD4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第四章 招标内容及要求</w:t>
      </w:r>
    </w:p>
    <w:p w14:paraId="5196DFBB">
      <w:pPr>
        <w:pStyle w:val="3"/>
        <w:shd w:val="clear" w:color="auto" w:fill="FFFFFF"/>
        <w:wordWrap w:val="0"/>
        <w:spacing w:line="360" w:lineRule="auto"/>
        <w:ind w:firstLine="422" w:firstLineChars="200"/>
        <w:rPr>
          <w:rFonts w:ascii="宋体" w:hAnsi="宋体" w:cs="宋体"/>
          <w:b w:val="0"/>
          <w:color w:val="auto"/>
          <w:sz w:val="21"/>
          <w:szCs w:val="21"/>
          <w:highlight w:val="none"/>
          <w:u w:val="single"/>
        </w:rPr>
      </w:pPr>
      <w:bookmarkStart w:id="0" w:name="_Toc16092086"/>
      <w:bookmarkStart w:id="1" w:name="_Toc15485435"/>
      <w:r>
        <w:rPr>
          <w:rFonts w:hint="eastAsia" w:ascii="宋体" w:hAnsi="宋体" w:cs="宋体"/>
          <w:color w:val="auto"/>
          <w:sz w:val="21"/>
          <w:szCs w:val="21"/>
          <w:highlight w:val="none"/>
        </w:rPr>
        <w:t>（一）</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内容</w:t>
      </w:r>
      <w:bookmarkEnd w:id="0"/>
      <w:bookmarkEnd w:id="1"/>
    </w:p>
    <w:p w14:paraId="608439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color w:val="auto"/>
          <w:sz w:val="21"/>
          <w:szCs w:val="21"/>
          <w:highlight w:val="none"/>
        </w:rPr>
        <w:t>办</w:t>
      </w:r>
      <w:r>
        <w:rPr>
          <w:rFonts w:hint="eastAsia"/>
          <w:color w:val="auto"/>
          <w:sz w:val="21"/>
          <w:szCs w:val="21"/>
          <w:highlight w:val="none"/>
          <w:lang w:eastAsia="zh-CN"/>
        </w:rPr>
        <w:t>理专用账户（含子账户）</w:t>
      </w:r>
      <w:r>
        <w:rPr>
          <w:rFonts w:hint="eastAsia"/>
          <w:color w:val="auto"/>
          <w:sz w:val="21"/>
          <w:szCs w:val="21"/>
          <w:highlight w:val="none"/>
        </w:rPr>
        <w:t>的开立</w:t>
      </w:r>
      <w:r>
        <w:rPr>
          <w:rFonts w:hint="eastAsia"/>
          <w:color w:val="auto"/>
          <w:sz w:val="21"/>
          <w:szCs w:val="21"/>
          <w:highlight w:val="none"/>
          <w:lang w:eastAsia="zh-CN"/>
        </w:rPr>
        <w:t>、结算业务等</w:t>
      </w:r>
      <w:r>
        <w:rPr>
          <w:rFonts w:hint="eastAsia" w:ascii="宋体" w:hAnsi="宋体" w:cs="宋体"/>
          <w:color w:val="auto"/>
          <w:szCs w:val="21"/>
          <w:highlight w:val="none"/>
        </w:rPr>
        <w:t>。</w:t>
      </w:r>
    </w:p>
    <w:p w14:paraId="50BB77B0">
      <w:pPr>
        <w:spacing w:line="360" w:lineRule="auto"/>
        <w:ind w:firstLine="422" w:firstLineChars="200"/>
        <w:rPr>
          <w:rFonts w:hint="eastAsia"/>
          <w:b/>
          <w:bCs/>
          <w:color w:val="auto"/>
          <w:sz w:val="21"/>
          <w:szCs w:val="21"/>
          <w:highlight w:val="none"/>
          <w:lang w:val="en-US"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2.活期存款利率要求：符合《社保基金财务制度》(财社【2017】144号)第49条规定:社会保险基金银行存款实行统一计息办法。对存入收入户和支出户的活期存款实行优惠利率，按三个月整存整取定期存款基准利率计息。</w:t>
      </w:r>
    </w:p>
    <w:p w14:paraId="0FB79C5D">
      <w:pPr>
        <w:spacing w:line="360" w:lineRule="auto"/>
        <w:ind w:firstLine="422" w:firstLineChars="200"/>
        <w:rPr>
          <w:rFonts w:hint="eastAsia"/>
          <w:color w:val="auto"/>
          <w:sz w:val="21"/>
          <w:szCs w:val="21"/>
          <w:highlight w:val="none"/>
          <w:lang w:val="en-US" w:eastAsia="zh-CN"/>
        </w:rPr>
      </w:pPr>
      <w:r>
        <w:rPr>
          <w:rFonts w:hint="eastAsia"/>
          <w:b/>
          <w:bCs/>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lang w:val="en-US" w:eastAsia="zh-CN"/>
        </w:rPr>
        <w:t>网银支持国产电脑和国产打印机；</w:t>
      </w:r>
    </w:p>
    <w:p w14:paraId="55A87EEF">
      <w:pPr>
        <w:spacing w:line="360" w:lineRule="auto"/>
        <w:ind w:firstLine="422" w:firstLineChars="200"/>
        <w:rPr>
          <w:rFonts w:ascii="宋体" w:hAnsi="宋体" w:cs="宋体"/>
          <w:b/>
          <w:bCs/>
          <w:color w:val="auto"/>
          <w:szCs w:val="21"/>
          <w:highlight w:val="none"/>
        </w:rPr>
      </w:pPr>
      <w:bookmarkStart w:id="2" w:name="_Toc16092089"/>
      <w:bookmarkStart w:id="3" w:name="_Toc15485438"/>
      <w:r>
        <w:rPr>
          <w:rFonts w:hint="eastAsia" w:ascii="宋体" w:hAnsi="宋体" w:cs="宋体"/>
          <w:b/>
          <w:bCs/>
          <w:color w:val="auto"/>
          <w:szCs w:val="21"/>
          <w:highlight w:val="none"/>
        </w:rPr>
        <w:t>（二）项目要求</w:t>
      </w:r>
      <w:bookmarkEnd w:id="2"/>
      <w:bookmarkEnd w:id="3"/>
    </w:p>
    <w:p w14:paraId="0140023E">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4" w:name="_Toc15485439"/>
      <w:bookmarkStart w:id="5" w:name="_Toc16092090"/>
      <w:r>
        <w:rPr>
          <w:rFonts w:hint="eastAsia" w:ascii="宋体" w:hAnsi="宋体" w:cs="宋体"/>
          <w:b w:val="0"/>
          <w:color w:val="auto"/>
          <w:sz w:val="21"/>
          <w:szCs w:val="21"/>
          <w:highlight w:val="none"/>
        </w:rPr>
        <w:t>1.确保安全。资金的存管银行必须具有良好的风险控制能力和支付能力，确保资金安全性。</w:t>
      </w:r>
      <w:bookmarkEnd w:id="4"/>
      <w:bookmarkEnd w:id="5"/>
    </w:p>
    <w:p w14:paraId="63DB4C77">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6" w:name="_Toc15485440"/>
      <w:bookmarkStart w:id="7" w:name="_Toc16092091"/>
      <w:r>
        <w:rPr>
          <w:rFonts w:hint="eastAsia" w:ascii="宋体" w:hAnsi="宋体" w:cs="宋体"/>
          <w:b w:val="0"/>
          <w:color w:val="auto"/>
          <w:sz w:val="21"/>
          <w:szCs w:val="21"/>
          <w:highlight w:val="none"/>
        </w:rPr>
        <w:t>2.保证支付。资金的存管银行必须保证资金支付的顺畅，资金应考虑支付重要性，接到支付指令时，必须及时、足额的予以支付，不得以任何理由妨碍资金的使用。</w:t>
      </w:r>
      <w:bookmarkEnd w:id="6"/>
      <w:bookmarkEnd w:id="7"/>
    </w:p>
    <w:p w14:paraId="5F6F635B">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8" w:name="_Toc16092092"/>
      <w:bookmarkStart w:id="9" w:name="_Toc15485441"/>
      <w:r>
        <w:rPr>
          <w:rFonts w:hint="eastAsia" w:ascii="宋体" w:hAnsi="宋体" w:cs="宋体"/>
          <w:b w:val="0"/>
          <w:color w:val="auto"/>
          <w:sz w:val="21"/>
          <w:szCs w:val="21"/>
          <w:highlight w:val="none"/>
        </w:rPr>
        <w:t>3.确保效益优化。资金的存管银行必须在确保安全、保证支付的前提下，承诺所在行（含下属分支机构）对</w:t>
      </w:r>
      <w:r>
        <w:rPr>
          <w:rFonts w:hint="eastAsia" w:ascii="宋体" w:hAnsi="宋体" w:cs="宋体"/>
          <w:b w:val="0"/>
          <w:color w:val="auto"/>
          <w:sz w:val="21"/>
          <w:szCs w:val="21"/>
          <w:highlight w:val="none"/>
          <w:lang w:eastAsia="zh-CN"/>
        </w:rPr>
        <w:t>本项目按</w:t>
      </w:r>
      <w:r>
        <w:rPr>
          <w:rFonts w:hint="eastAsia"/>
          <w:b/>
          <w:bCs/>
          <w:color w:val="auto"/>
          <w:sz w:val="21"/>
          <w:szCs w:val="21"/>
          <w:highlight w:val="none"/>
          <w:lang w:val="en-US" w:eastAsia="zh-CN"/>
        </w:rPr>
        <w:t>《社保基金财务制度》(财社【2017】144号)的相关规定，对存入收入户和支出户的活期存款实行优惠利率，按三个月整存整取定期存款基准利率计息</w:t>
      </w:r>
      <w:r>
        <w:rPr>
          <w:rFonts w:hint="eastAsia" w:ascii="宋体" w:hAnsi="宋体" w:cs="宋体"/>
          <w:b w:val="0"/>
          <w:color w:val="auto"/>
          <w:sz w:val="21"/>
          <w:szCs w:val="21"/>
          <w:highlight w:val="none"/>
        </w:rPr>
        <w:t>。</w:t>
      </w:r>
      <w:bookmarkEnd w:id="8"/>
      <w:bookmarkEnd w:id="9"/>
    </w:p>
    <w:p w14:paraId="1AE20951">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10" w:name="_Toc15485443"/>
      <w:bookmarkStart w:id="11" w:name="_Toc16092094"/>
      <w:r>
        <w:rPr>
          <w:rFonts w:hint="eastAsia" w:ascii="宋体" w:hAnsi="宋体" w:cs="宋体"/>
          <w:b w:val="0"/>
          <w:color w:val="auto"/>
          <w:sz w:val="21"/>
          <w:szCs w:val="21"/>
          <w:highlight w:val="none"/>
        </w:rPr>
        <w:t>4.提供及时高效的优质服务。服务包括信息系统建设、对账服务、资金批量网络化结算服务、相关业务收费情况等。</w:t>
      </w:r>
      <w:bookmarkEnd w:id="10"/>
      <w:bookmarkEnd w:id="11"/>
      <w:bookmarkStart w:id="12" w:name="_Toc16092095"/>
      <w:bookmarkStart w:id="13" w:name="_Toc15485444"/>
    </w:p>
    <w:p w14:paraId="763F75F5">
      <w:pPr>
        <w:widowControl/>
        <w:shd w:val="clear" w:color="auto" w:fill="FFFFFF"/>
        <w:adjustRightInd w:val="0"/>
        <w:snapToGrid w:val="0"/>
        <w:spacing w:line="360" w:lineRule="auto"/>
        <w:ind w:firstLine="420" w:firstLineChars="200"/>
        <w:jc w:val="left"/>
        <w:rPr>
          <w:rFonts w:ascii="_5b8b_4f53" w:hAnsi="_5b8b_4f53" w:cs="宋体"/>
          <w:color w:val="auto"/>
          <w:kern w:val="0"/>
          <w:szCs w:val="21"/>
          <w:highlight w:val="none"/>
        </w:rPr>
      </w:pPr>
      <w:r>
        <w:rPr>
          <w:rFonts w:hint="eastAsia" w:ascii="_5b8b_4f53" w:hAnsi="_5b8b_4f53" w:cs="宋体"/>
          <w:color w:val="auto"/>
          <w:kern w:val="0"/>
          <w:szCs w:val="21"/>
          <w:highlight w:val="none"/>
        </w:rPr>
        <w:t>5.与公司开展业务合作具体的业务种类、计划、举措及可行性方案。</w:t>
      </w:r>
    </w:p>
    <w:p w14:paraId="53CF768B">
      <w:pPr>
        <w:pStyle w:val="3"/>
        <w:shd w:val="clear" w:color="auto" w:fill="FFFFFF"/>
        <w:wordWrap w:val="0"/>
        <w:spacing w:line="360" w:lineRule="auto"/>
        <w:ind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（三）</w:t>
      </w:r>
      <w:r>
        <w:rPr>
          <w:rFonts w:hint="eastAsia" w:ascii="宋体" w:hAnsi="宋体" w:cs="宋体"/>
          <w:color w:val="auto"/>
          <w:sz w:val="21"/>
          <w:szCs w:val="21"/>
          <w:highlight w:val="none"/>
          <w:lang w:eastAsia="zh-CN"/>
        </w:rPr>
        <w:t>中标</w:t>
      </w:r>
      <w:r>
        <w:rPr>
          <w:rFonts w:hint="eastAsia" w:ascii="宋体" w:hAnsi="宋体" w:cs="宋体"/>
          <w:color w:val="auto"/>
          <w:sz w:val="21"/>
          <w:szCs w:val="21"/>
          <w:highlight w:val="none"/>
        </w:rPr>
        <w:t>银行出现以下行为之一的，立即终止相关合作</w:t>
      </w:r>
      <w:r>
        <w:rPr>
          <w:rFonts w:hint="eastAsia" w:ascii="宋体" w:hAnsi="宋体" w:cs="宋体"/>
          <w:color w:val="auto"/>
          <w:kern w:val="0"/>
          <w:sz w:val="21"/>
          <w:szCs w:val="21"/>
          <w:highlight w:val="none"/>
        </w:rPr>
        <w:t>：</w:t>
      </w:r>
      <w:bookmarkEnd w:id="12"/>
      <w:bookmarkEnd w:id="13"/>
    </w:p>
    <w:p w14:paraId="07A93476">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14" w:name="_Toc15485445"/>
      <w:bookmarkStart w:id="15" w:name="_Toc16092096"/>
      <w:r>
        <w:rPr>
          <w:rFonts w:hint="eastAsia" w:ascii="宋体" w:hAnsi="宋体" w:cs="宋体"/>
          <w:b w:val="0"/>
          <w:color w:val="auto"/>
          <w:sz w:val="21"/>
          <w:szCs w:val="21"/>
          <w:highlight w:val="none"/>
        </w:rPr>
        <w:t>1.出现资金安全事故、重大违法违规情况或财务状况恶化的；</w:t>
      </w:r>
      <w:bookmarkEnd w:id="14"/>
      <w:bookmarkEnd w:id="15"/>
    </w:p>
    <w:p w14:paraId="3ADD2762">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16" w:name="_Toc16092097"/>
      <w:bookmarkStart w:id="17" w:name="_Toc15485446"/>
      <w:r>
        <w:rPr>
          <w:rFonts w:hint="eastAsia" w:ascii="宋体" w:hAnsi="宋体" w:cs="宋体"/>
          <w:b w:val="0"/>
          <w:color w:val="auto"/>
          <w:sz w:val="21"/>
          <w:szCs w:val="21"/>
          <w:highlight w:val="none"/>
        </w:rPr>
        <w:t>2.监管部门认为存在较大运营风险的；</w:t>
      </w:r>
      <w:bookmarkEnd w:id="16"/>
      <w:bookmarkEnd w:id="17"/>
    </w:p>
    <w:p w14:paraId="62C5839E">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18" w:name="_Toc16092098"/>
      <w:bookmarkStart w:id="19" w:name="_Toc15485447"/>
      <w:r>
        <w:rPr>
          <w:rFonts w:hint="eastAsia" w:ascii="宋体" w:hAnsi="宋体" w:cs="宋体"/>
          <w:b w:val="0"/>
          <w:color w:val="auto"/>
          <w:sz w:val="21"/>
          <w:szCs w:val="21"/>
          <w:highlight w:val="none"/>
        </w:rPr>
        <w:t>3.进行不正当投标的；</w:t>
      </w:r>
      <w:bookmarkEnd w:id="18"/>
      <w:bookmarkEnd w:id="19"/>
    </w:p>
    <w:p w14:paraId="59ABCBE8">
      <w:pPr>
        <w:pStyle w:val="3"/>
        <w:shd w:val="clear" w:color="auto" w:fill="FFFFFF"/>
        <w:wordWrap w:val="0"/>
        <w:spacing w:line="360" w:lineRule="auto"/>
        <w:ind w:firstLine="420" w:firstLineChars="200"/>
        <w:rPr>
          <w:rFonts w:ascii="宋体" w:hAnsi="宋体" w:cs="宋体"/>
          <w:b w:val="0"/>
          <w:color w:val="auto"/>
          <w:sz w:val="21"/>
          <w:szCs w:val="21"/>
          <w:highlight w:val="none"/>
        </w:rPr>
      </w:pPr>
      <w:bookmarkStart w:id="20" w:name="_Toc15485448"/>
      <w:bookmarkStart w:id="21" w:name="_Toc16092099"/>
      <w:r>
        <w:rPr>
          <w:rFonts w:hint="eastAsia" w:ascii="宋体" w:hAnsi="宋体" w:cs="宋体"/>
          <w:b w:val="0"/>
          <w:color w:val="auto"/>
          <w:sz w:val="21"/>
          <w:szCs w:val="21"/>
          <w:highlight w:val="none"/>
        </w:rPr>
        <w:t>4.没有按照中选协议承诺履行相应的责任和义务的；</w:t>
      </w:r>
      <w:bookmarkEnd w:id="20"/>
      <w:bookmarkEnd w:id="21"/>
    </w:p>
    <w:p w14:paraId="4F3B569F">
      <w:pPr>
        <w:pStyle w:val="3"/>
        <w:shd w:val="clear" w:color="auto" w:fill="FFFFFF"/>
        <w:wordWrap w:val="0"/>
        <w:spacing w:line="360" w:lineRule="auto"/>
        <w:ind w:firstLine="420" w:firstLineChars="200"/>
        <w:rPr>
          <w:rFonts w:hint="eastAsia" w:ascii="宋体" w:hAnsi="宋体" w:cs="宋体"/>
          <w:b w:val="0"/>
          <w:color w:val="auto"/>
          <w:sz w:val="21"/>
          <w:szCs w:val="21"/>
          <w:highlight w:val="none"/>
        </w:rPr>
      </w:pPr>
      <w:bookmarkStart w:id="22" w:name="_Toc16092101"/>
      <w:bookmarkStart w:id="23" w:name="_Toc15485450"/>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.中国人民银行台州市中心支行上一年度综合评价未达到B级及以上，不纳入人行台州市中心支行评级范围的银行不受此限制；</w:t>
      </w:r>
      <w:bookmarkEnd w:id="22"/>
      <w:bookmarkEnd w:id="23"/>
    </w:p>
    <w:p w14:paraId="1AC31C27">
      <w:pPr>
        <w:ind w:firstLine="420" w:firstLineChars="200"/>
        <w:rPr>
          <w:rFonts w:hint="eastAsia" w:eastAsia="宋体"/>
          <w:color w:val="auto"/>
          <w:highlight w:val="none"/>
          <w:lang w:val="en-US" w:eastAsia="zh-CN"/>
        </w:rPr>
      </w:pPr>
      <w:r>
        <w:rPr>
          <w:rFonts w:hint="eastAsia" w:ascii="宋体" w:hAnsi="宋体" w:cs="宋体"/>
          <w:b w:val="0"/>
          <w:color w:val="auto"/>
          <w:sz w:val="21"/>
          <w:szCs w:val="21"/>
          <w:highlight w:val="none"/>
          <w:lang w:val="en-US" w:eastAsia="zh-CN"/>
        </w:rPr>
        <w:t>6.无法</w:t>
      </w:r>
      <w:r>
        <w:rPr>
          <w:rFonts w:hint="eastAsia"/>
          <w:color w:val="auto"/>
          <w:sz w:val="21"/>
          <w:szCs w:val="21"/>
          <w:highlight w:val="none"/>
        </w:rPr>
        <w:t>办理专用账户</w:t>
      </w:r>
      <w:r>
        <w:rPr>
          <w:rFonts w:hint="eastAsia"/>
          <w:color w:val="auto"/>
          <w:sz w:val="21"/>
          <w:szCs w:val="21"/>
          <w:highlight w:val="none"/>
          <w:lang w:eastAsia="zh-CN"/>
        </w:rPr>
        <w:t>（含子账户）</w:t>
      </w:r>
      <w:r>
        <w:rPr>
          <w:rFonts w:hint="eastAsia"/>
          <w:color w:val="auto"/>
          <w:sz w:val="21"/>
          <w:szCs w:val="21"/>
          <w:highlight w:val="none"/>
        </w:rPr>
        <w:t>的开立</w:t>
      </w:r>
      <w:r>
        <w:rPr>
          <w:rFonts w:hint="eastAsia"/>
          <w:color w:val="auto"/>
          <w:sz w:val="21"/>
          <w:szCs w:val="21"/>
          <w:highlight w:val="none"/>
          <w:lang w:eastAsia="zh-CN"/>
        </w:rPr>
        <w:t>、结算业务等；</w:t>
      </w:r>
    </w:p>
    <w:p w14:paraId="4ECE3C1A">
      <w:pPr>
        <w:pStyle w:val="3"/>
        <w:shd w:val="clear" w:color="auto" w:fill="FFFFFF"/>
        <w:wordWrap w:val="0"/>
        <w:spacing w:line="360" w:lineRule="auto"/>
        <w:ind w:firstLine="420" w:firstLineChars="200"/>
        <w:rPr>
          <w:rFonts w:ascii="宋体" w:hAnsi="宋体"/>
          <w:color w:val="auto"/>
          <w:sz w:val="36"/>
          <w:szCs w:val="36"/>
          <w:highlight w:val="none"/>
        </w:rPr>
      </w:pPr>
      <w:bookmarkStart w:id="24" w:name="_Toc16092102"/>
      <w:bookmarkStart w:id="25" w:name="_Toc15485451"/>
      <w:r>
        <w:rPr>
          <w:rFonts w:hint="eastAsia" w:ascii="宋体" w:hAnsi="宋体" w:cs="宋体"/>
          <w:b w:val="0"/>
          <w:color w:val="auto"/>
          <w:sz w:val="21"/>
          <w:szCs w:val="21"/>
          <w:highlight w:val="none"/>
          <w:lang w:val="en-US" w:eastAsia="zh-CN"/>
        </w:rPr>
        <w:t>7</w:t>
      </w:r>
      <w:r>
        <w:rPr>
          <w:rFonts w:hint="eastAsia" w:ascii="宋体" w:hAnsi="宋体" w:cs="宋体"/>
          <w:b w:val="0"/>
          <w:color w:val="auto"/>
          <w:sz w:val="21"/>
          <w:szCs w:val="21"/>
          <w:highlight w:val="none"/>
        </w:rPr>
        <w:t>.存在其他妨害资金安全行为的；</w:t>
      </w:r>
      <w:bookmarkEnd w:id="24"/>
      <w:bookmarkEnd w:id="25"/>
    </w:p>
    <w:p w14:paraId="0E10930D">
      <w:pPr>
        <w:spacing w:line="360" w:lineRule="auto"/>
        <w:rPr>
          <w:rFonts w:ascii="宋体" w:hAnsi="宋体"/>
          <w:b/>
          <w:color w:val="auto"/>
          <w:sz w:val="36"/>
          <w:szCs w:val="36"/>
          <w:highlight w:val="none"/>
        </w:rPr>
      </w:pPr>
    </w:p>
    <w:p w14:paraId="655D7F1F">
      <w:pPr>
        <w:pStyle w:val="9"/>
        <w:rPr>
          <w:color w:val="auto"/>
          <w:highlight w:val="none"/>
        </w:rPr>
      </w:pPr>
    </w:p>
    <w:p w14:paraId="0355368E">
      <w:pPr>
        <w:pStyle w:val="10"/>
        <w:rPr>
          <w:color w:val="auto"/>
          <w:highlight w:val="none"/>
        </w:rPr>
      </w:pPr>
    </w:p>
    <w:p w14:paraId="4010AE49">
      <w:pPr>
        <w:spacing w:line="360" w:lineRule="auto"/>
        <w:jc w:val="center"/>
        <w:rPr>
          <w:rFonts w:ascii="宋体" w:hAnsi="宋体"/>
          <w:b/>
          <w:color w:val="auto"/>
          <w:sz w:val="36"/>
          <w:szCs w:val="36"/>
          <w:highlight w:val="none"/>
        </w:rPr>
      </w:pPr>
    </w:p>
    <w:p w14:paraId="39C00BE0">
      <w:pPr>
        <w:spacing w:line="360" w:lineRule="auto"/>
        <w:jc w:val="center"/>
        <w:rPr>
          <w:rFonts w:ascii="宋体" w:hAnsi="宋体"/>
          <w:color w:val="auto"/>
          <w:kern w:val="0"/>
          <w:szCs w:val="21"/>
          <w:highlight w:val="none"/>
        </w:rPr>
      </w:pPr>
      <w:r>
        <w:rPr>
          <w:rFonts w:hint="eastAsia" w:ascii="宋体" w:hAnsi="宋体"/>
          <w:b/>
          <w:color w:val="auto"/>
          <w:sz w:val="36"/>
          <w:szCs w:val="36"/>
          <w:highlight w:val="none"/>
        </w:rPr>
        <w:t>第五章 合同主要条款</w:t>
      </w:r>
      <w:bookmarkStart w:id="26" w:name="_Toc422322544"/>
      <w:bookmarkStart w:id="27" w:name="_Toc419045119"/>
    </w:p>
    <w:p w14:paraId="6D9B0CA3">
      <w:pPr>
        <w:pStyle w:val="9"/>
        <w:rPr>
          <w:color w:val="auto"/>
          <w:highlight w:val="none"/>
        </w:rPr>
      </w:pPr>
    </w:p>
    <w:bookmarkEnd w:id="26"/>
    <w:bookmarkEnd w:id="27"/>
    <w:p w14:paraId="79E00DDE">
      <w:pPr>
        <w:pStyle w:val="38"/>
        <w:spacing w:line="360" w:lineRule="auto"/>
        <w:ind w:right="25" w:rightChars="12"/>
        <w:jc w:val="both"/>
        <w:rPr>
          <w:rFonts w:hint="eastAsia" w:cs="Times New Roman"/>
          <w:color w:val="auto"/>
          <w:sz w:val="21"/>
          <w:szCs w:val="21"/>
          <w:highlight w:val="none"/>
        </w:rPr>
      </w:pPr>
      <w:r>
        <w:rPr>
          <w:rFonts w:cs="Times New Roman"/>
          <w:color w:val="auto"/>
          <w:sz w:val="21"/>
          <w:szCs w:val="21"/>
          <w:highlight w:val="none"/>
        </w:rPr>
        <w:t xml:space="preserve">甲方： </w:t>
      </w:r>
      <w:r>
        <w:rPr>
          <w:rFonts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 xml:space="preserve">      </w:t>
      </w:r>
      <w:r>
        <w:rPr>
          <w:rFonts w:cs="Times New Roman"/>
          <w:color w:val="auto"/>
          <w:sz w:val="21"/>
          <w:szCs w:val="21"/>
          <w:highlight w:val="none"/>
          <w:u w:val="single"/>
        </w:rPr>
        <w:t xml:space="preserve"> </w:t>
      </w:r>
    </w:p>
    <w:p w14:paraId="40C6DDCF">
      <w:pPr>
        <w:pStyle w:val="38"/>
        <w:spacing w:line="360" w:lineRule="auto"/>
        <w:ind w:right="25" w:rightChars="12"/>
        <w:jc w:val="both"/>
        <w:rPr>
          <w:rFonts w:cs="Times New Roman"/>
          <w:color w:val="auto"/>
          <w:sz w:val="21"/>
          <w:szCs w:val="21"/>
          <w:highlight w:val="none"/>
        </w:rPr>
      </w:pPr>
      <w:r>
        <w:rPr>
          <w:rFonts w:cs="Times New Roman"/>
          <w:color w:val="auto"/>
          <w:sz w:val="21"/>
          <w:szCs w:val="21"/>
          <w:highlight w:val="none"/>
        </w:rPr>
        <w:t>乙方：</w:t>
      </w:r>
      <w:r>
        <w:rPr>
          <w:rFonts w:cs="Times New Roman"/>
          <w:color w:val="auto"/>
          <w:sz w:val="21"/>
          <w:szCs w:val="21"/>
          <w:highlight w:val="none"/>
          <w:u w:val="single"/>
        </w:rPr>
        <w:t xml:space="preserve">                          </w:t>
      </w:r>
    </w:p>
    <w:p w14:paraId="0E636529">
      <w:pPr>
        <w:pStyle w:val="38"/>
        <w:spacing w:line="360" w:lineRule="auto"/>
        <w:ind w:right="25" w:rightChars="12"/>
        <w:jc w:val="both"/>
        <w:rPr>
          <w:rFonts w:hint="eastAsia" w:cs="Times New Roman"/>
          <w:color w:val="auto"/>
          <w:sz w:val="21"/>
          <w:szCs w:val="21"/>
          <w:highlight w:val="none"/>
        </w:rPr>
      </w:pPr>
    </w:p>
    <w:p w14:paraId="2CD5A7FE">
      <w:pPr>
        <w:pStyle w:val="37"/>
        <w:spacing w:line="360" w:lineRule="auto"/>
        <w:ind w:firstLine="420"/>
        <w:rPr>
          <w:rFonts w:hint="eastAsia"/>
          <w:color w:val="auto"/>
          <w:sz w:val="21"/>
          <w:szCs w:val="21"/>
          <w:highlight w:val="none"/>
        </w:rPr>
      </w:pPr>
      <w:r>
        <w:rPr>
          <w:color w:val="auto"/>
          <w:sz w:val="21"/>
          <w:szCs w:val="21"/>
          <w:highlight w:val="none"/>
        </w:rPr>
        <w:t>为明确双方在</w:t>
      </w:r>
      <w:r>
        <w:rPr>
          <w:rFonts w:hint="eastAsia"/>
          <w:color w:val="auto"/>
          <w:sz w:val="21"/>
          <w:szCs w:val="21"/>
          <w:highlight w:val="none"/>
        </w:rPr>
        <w:t>开户银行</w:t>
      </w:r>
      <w:r>
        <w:rPr>
          <w:color w:val="auto"/>
          <w:sz w:val="21"/>
          <w:szCs w:val="21"/>
          <w:highlight w:val="none"/>
        </w:rPr>
        <w:t>（</w:t>
      </w:r>
      <w:r>
        <w:rPr>
          <w:rFonts w:hint="eastAsia"/>
          <w:color w:val="auto"/>
          <w:sz w:val="21"/>
          <w:szCs w:val="21"/>
          <w:highlight w:val="none"/>
        </w:rPr>
        <w:t>招标编号：</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）业务活动中的权利与义务，甲、乙双方达成本协议。</w:t>
      </w:r>
    </w:p>
    <w:p w14:paraId="0EEB6A88">
      <w:pPr>
        <w:pStyle w:val="37"/>
        <w:spacing w:line="360" w:lineRule="auto"/>
        <w:ind w:firstLine="420"/>
        <w:outlineLvl w:val="0"/>
        <w:rPr>
          <w:rFonts w:hint="eastAsia"/>
          <w:color w:val="auto"/>
          <w:sz w:val="21"/>
          <w:szCs w:val="21"/>
          <w:highlight w:val="none"/>
        </w:rPr>
      </w:pPr>
      <w:r>
        <w:rPr>
          <w:rFonts w:hint="eastAsia"/>
          <w:color w:val="auto"/>
          <w:sz w:val="21"/>
          <w:szCs w:val="21"/>
          <w:highlight w:val="none"/>
        </w:rPr>
        <w:t>一、总则</w:t>
      </w:r>
    </w:p>
    <w:p w14:paraId="7452A2BB">
      <w:pPr>
        <w:pStyle w:val="37"/>
        <w:spacing w:line="360" w:lineRule="auto"/>
        <w:ind w:firstLine="420"/>
        <w:rPr>
          <w:rFonts w:hint="eastAsia"/>
          <w:color w:val="auto"/>
          <w:sz w:val="21"/>
          <w:szCs w:val="21"/>
          <w:highlight w:val="none"/>
        </w:rPr>
      </w:pPr>
      <w:r>
        <w:rPr>
          <w:color w:val="auto"/>
          <w:sz w:val="21"/>
          <w:szCs w:val="21"/>
          <w:highlight w:val="none"/>
        </w:rPr>
        <w:t>第一条</w:t>
      </w:r>
      <w:r>
        <w:rPr>
          <w:rFonts w:hint="eastAsia"/>
          <w:color w:val="auto"/>
          <w:sz w:val="21"/>
          <w:szCs w:val="21"/>
          <w:highlight w:val="none"/>
        </w:rPr>
        <w:t xml:space="preserve">  </w:t>
      </w:r>
      <w:r>
        <w:rPr>
          <w:color w:val="auto"/>
          <w:sz w:val="21"/>
          <w:szCs w:val="21"/>
          <w:highlight w:val="none"/>
        </w:rPr>
        <w:t>根据《中华人民共和国</w:t>
      </w:r>
      <w:r>
        <w:rPr>
          <w:rFonts w:hint="eastAsia"/>
          <w:color w:val="auto"/>
          <w:sz w:val="21"/>
          <w:szCs w:val="21"/>
          <w:highlight w:val="none"/>
          <w:lang w:eastAsia="zh-CN"/>
        </w:rPr>
        <w:t>民法典</w:t>
      </w:r>
      <w:r>
        <w:rPr>
          <w:color w:val="auto"/>
          <w:sz w:val="21"/>
          <w:szCs w:val="21"/>
          <w:highlight w:val="none"/>
        </w:rPr>
        <w:t>》等相关规定，经甲、乙双方平等协商，签订本协议。</w:t>
      </w:r>
    </w:p>
    <w:p w14:paraId="121FF444">
      <w:pPr>
        <w:pStyle w:val="37"/>
        <w:spacing w:line="360" w:lineRule="auto"/>
        <w:ind w:firstLine="420"/>
        <w:rPr>
          <w:rFonts w:hint="eastAsia"/>
          <w:color w:val="auto"/>
          <w:sz w:val="21"/>
          <w:szCs w:val="21"/>
          <w:highlight w:val="none"/>
        </w:rPr>
      </w:pPr>
      <w:r>
        <w:rPr>
          <w:color w:val="auto"/>
          <w:sz w:val="21"/>
          <w:szCs w:val="21"/>
          <w:highlight w:val="none"/>
        </w:rPr>
        <w:t xml:space="preserve">第二条  </w:t>
      </w:r>
      <w:r>
        <w:rPr>
          <w:rFonts w:hint="eastAsia"/>
          <w:color w:val="auto"/>
          <w:sz w:val="21"/>
          <w:szCs w:val="21"/>
          <w:highlight w:val="none"/>
        </w:rPr>
        <w:t>甲方</w:t>
      </w:r>
      <w:r>
        <w:rPr>
          <w:color w:val="auto"/>
          <w:sz w:val="21"/>
          <w:szCs w:val="21"/>
          <w:highlight w:val="none"/>
        </w:rPr>
        <w:t>通过</w:t>
      </w:r>
      <w:r>
        <w:rPr>
          <w:rFonts w:hint="eastAsia"/>
          <w:color w:val="auto"/>
          <w:sz w:val="21"/>
          <w:szCs w:val="21"/>
          <w:highlight w:val="none"/>
        </w:rPr>
        <w:t>招投标方式</w:t>
      </w:r>
      <w:r>
        <w:rPr>
          <w:color w:val="auto"/>
          <w:sz w:val="21"/>
          <w:szCs w:val="21"/>
          <w:highlight w:val="none"/>
        </w:rPr>
        <w:t>择优确定</w:t>
      </w:r>
      <w:r>
        <w:rPr>
          <w:rFonts w:hint="eastAsia" w:ascii="Times New Roman" w:hAnsi="Times New Roman"/>
          <w:color w:val="auto"/>
          <w:sz w:val="21"/>
          <w:szCs w:val="21"/>
          <w:highlight w:val="none"/>
        </w:rPr>
        <w:t>开户银行（</w:t>
      </w:r>
      <w:r>
        <w:rPr>
          <w:rFonts w:hint="eastAsia"/>
          <w:color w:val="auto"/>
          <w:sz w:val="21"/>
          <w:szCs w:val="21"/>
          <w:highlight w:val="none"/>
          <w:lang w:eastAsia="zh-CN"/>
        </w:rPr>
        <w:t>台州市椒江区医疗保障局</w:t>
      </w:r>
      <w:r>
        <w:rPr>
          <w:rFonts w:hint="eastAsia" w:ascii="Times New Roman" w:hAnsi="Times New Roman"/>
          <w:color w:val="auto"/>
          <w:sz w:val="21"/>
          <w:szCs w:val="21"/>
          <w:highlight w:val="none"/>
        </w:rPr>
        <w:t>）</w:t>
      </w:r>
      <w:r>
        <w:rPr>
          <w:color w:val="auto"/>
          <w:sz w:val="21"/>
          <w:szCs w:val="21"/>
          <w:highlight w:val="none"/>
        </w:rPr>
        <w:t>，有关的资金管理等活动适用本协议。</w:t>
      </w:r>
    </w:p>
    <w:p w14:paraId="48C32EC7">
      <w:pPr>
        <w:pStyle w:val="37"/>
        <w:spacing w:line="360" w:lineRule="auto"/>
        <w:ind w:firstLine="420"/>
        <w:rPr>
          <w:rFonts w:hint="eastAsia" w:eastAsia="宋体"/>
          <w:b/>
          <w:bCs/>
          <w:color w:val="auto"/>
          <w:sz w:val="21"/>
          <w:szCs w:val="21"/>
          <w:highlight w:val="none"/>
          <w:lang w:val="en-US" w:eastAsia="zh-CN"/>
        </w:rPr>
      </w:pPr>
      <w:r>
        <w:rPr>
          <w:color w:val="auto"/>
          <w:sz w:val="21"/>
          <w:szCs w:val="21"/>
          <w:highlight w:val="none"/>
        </w:rPr>
        <w:t>第三条</w:t>
      </w:r>
      <w:r>
        <w:rPr>
          <w:rFonts w:hint="eastAsia"/>
          <w:color w:val="auto"/>
          <w:sz w:val="21"/>
          <w:szCs w:val="21"/>
          <w:highlight w:val="none"/>
        </w:rPr>
        <w:t xml:space="preserve">  </w:t>
      </w:r>
      <w:r>
        <w:rPr>
          <w:color w:val="auto"/>
          <w:sz w:val="21"/>
          <w:szCs w:val="21"/>
          <w:highlight w:val="none"/>
        </w:rPr>
        <w:t>经招投标确定，</w:t>
      </w:r>
      <w:r>
        <w:rPr>
          <w:rFonts w:hint="eastAsia"/>
          <w:color w:val="auto"/>
          <w:sz w:val="21"/>
          <w:szCs w:val="21"/>
          <w:highlight w:val="none"/>
        </w:rPr>
        <w:t>甲方在乙方办理专用账户的开立。</w:t>
      </w:r>
      <w:r>
        <w:rPr>
          <w:rFonts w:hint="eastAsia"/>
          <w:b/>
          <w:bCs/>
          <w:color w:val="auto"/>
          <w:sz w:val="21"/>
          <w:szCs w:val="21"/>
          <w:highlight w:val="none"/>
          <w:lang w:val="en-US" w:eastAsia="zh-CN"/>
        </w:rPr>
        <w:t>符合《社保基金财务制度》(财社【2017】144号)第49条规定:社会保险基金银行存款实行统一计息办法。对存入收入户和支出户的活期存款实行优惠利率，按三个月整存整取定期存款基准利率计息。</w:t>
      </w:r>
    </w:p>
    <w:p w14:paraId="6AF4CB3F">
      <w:pPr>
        <w:pStyle w:val="37"/>
        <w:spacing w:line="360" w:lineRule="auto"/>
        <w:ind w:firstLine="420"/>
        <w:rPr>
          <w:rFonts w:hint="eastAsia"/>
          <w:color w:val="auto"/>
          <w:sz w:val="21"/>
          <w:szCs w:val="21"/>
          <w:highlight w:val="none"/>
        </w:rPr>
      </w:pPr>
      <w:r>
        <w:rPr>
          <w:color w:val="auto"/>
          <w:sz w:val="21"/>
          <w:szCs w:val="21"/>
          <w:highlight w:val="none"/>
        </w:rPr>
        <w:t>第</w:t>
      </w:r>
      <w:r>
        <w:rPr>
          <w:rFonts w:hint="eastAsia"/>
          <w:color w:val="auto"/>
          <w:sz w:val="21"/>
          <w:szCs w:val="21"/>
          <w:highlight w:val="none"/>
        </w:rPr>
        <w:t>四</w:t>
      </w:r>
      <w:r>
        <w:rPr>
          <w:color w:val="auto"/>
          <w:sz w:val="21"/>
          <w:szCs w:val="21"/>
          <w:highlight w:val="none"/>
        </w:rPr>
        <w:t>条</w:t>
      </w:r>
      <w:r>
        <w:rPr>
          <w:rFonts w:hint="eastAsia"/>
          <w:color w:val="auto"/>
          <w:sz w:val="21"/>
          <w:szCs w:val="21"/>
          <w:highlight w:val="none"/>
        </w:rPr>
        <w:t xml:space="preserve">  如遇国家政策调整，不再开展业务，将提前撤销开设的银行账户。</w:t>
      </w:r>
    </w:p>
    <w:p w14:paraId="45A501AD">
      <w:pPr>
        <w:pStyle w:val="37"/>
        <w:spacing w:line="360" w:lineRule="auto"/>
        <w:ind w:firstLine="420"/>
        <w:outlineLvl w:val="0"/>
        <w:rPr>
          <w:rFonts w:hint="eastAsia"/>
          <w:color w:val="auto"/>
          <w:sz w:val="21"/>
          <w:szCs w:val="21"/>
          <w:highlight w:val="none"/>
        </w:rPr>
      </w:pPr>
      <w:r>
        <w:rPr>
          <w:rFonts w:hint="eastAsia"/>
          <w:color w:val="auto"/>
          <w:sz w:val="21"/>
          <w:szCs w:val="21"/>
          <w:highlight w:val="none"/>
        </w:rPr>
        <w:t>二、甲方权利与义务</w:t>
      </w:r>
    </w:p>
    <w:p w14:paraId="50D95C2D">
      <w:pPr>
        <w:pStyle w:val="37"/>
        <w:spacing w:line="360" w:lineRule="auto"/>
        <w:ind w:firstLine="420"/>
        <w:rPr>
          <w:rFonts w:hint="eastAsia"/>
          <w:color w:val="auto"/>
          <w:sz w:val="21"/>
          <w:szCs w:val="21"/>
          <w:highlight w:val="none"/>
        </w:rPr>
      </w:pPr>
      <w:r>
        <w:rPr>
          <w:rFonts w:hint="eastAsia"/>
          <w:color w:val="auto"/>
          <w:sz w:val="21"/>
          <w:szCs w:val="21"/>
          <w:highlight w:val="none"/>
        </w:rPr>
        <w:t>（一）</w:t>
      </w:r>
      <w:r>
        <w:rPr>
          <w:color w:val="auto"/>
          <w:sz w:val="21"/>
          <w:szCs w:val="21"/>
          <w:highlight w:val="none"/>
        </w:rPr>
        <w:t>监督乙方履行本协议；</w:t>
      </w:r>
    </w:p>
    <w:p w14:paraId="790CFC8A">
      <w:pPr>
        <w:pStyle w:val="37"/>
        <w:spacing w:line="360" w:lineRule="auto"/>
        <w:ind w:firstLine="420"/>
        <w:rPr>
          <w:rFonts w:hint="eastAsia"/>
          <w:color w:val="auto"/>
          <w:sz w:val="21"/>
          <w:szCs w:val="21"/>
          <w:highlight w:val="none"/>
        </w:rPr>
      </w:pPr>
      <w:r>
        <w:rPr>
          <w:rFonts w:hint="eastAsia"/>
          <w:color w:val="auto"/>
          <w:sz w:val="21"/>
          <w:szCs w:val="21"/>
          <w:highlight w:val="none"/>
        </w:rPr>
        <w:t>（二）要求乙方准确、及时办理资金收付及其他结算业务，并按时提供对账单；</w:t>
      </w:r>
    </w:p>
    <w:p w14:paraId="7AA46FD6">
      <w:pPr>
        <w:pStyle w:val="37"/>
        <w:spacing w:line="360" w:lineRule="auto"/>
        <w:ind w:firstLine="420"/>
        <w:rPr>
          <w:rFonts w:hint="eastAsia"/>
          <w:color w:val="auto"/>
          <w:sz w:val="21"/>
          <w:szCs w:val="21"/>
          <w:highlight w:val="none"/>
        </w:rPr>
      </w:pPr>
      <w:r>
        <w:rPr>
          <w:rFonts w:hint="eastAsia"/>
          <w:color w:val="auto"/>
          <w:sz w:val="21"/>
          <w:szCs w:val="21"/>
          <w:highlight w:val="none"/>
        </w:rPr>
        <w:t>（三）对乙方存款业务实施监督管理；</w:t>
      </w:r>
    </w:p>
    <w:p w14:paraId="7296420C">
      <w:pPr>
        <w:pStyle w:val="37"/>
        <w:spacing w:line="360" w:lineRule="auto"/>
        <w:ind w:firstLine="420"/>
        <w:rPr>
          <w:rFonts w:hint="eastAsia"/>
          <w:color w:val="auto"/>
          <w:sz w:val="21"/>
          <w:szCs w:val="21"/>
          <w:highlight w:val="none"/>
        </w:rPr>
      </w:pPr>
      <w:r>
        <w:rPr>
          <w:rFonts w:hint="eastAsia"/>
          <w:color w:val="auto"/>
          <w:sz w:val="21"/>
          <w:szCs w:val="21"/>
          <w:highlight w:val="none"/>
        </w:rPr>
        <w:t>（四）按规定在乙方办理账户开设与活期存款存放；</w:t>
      </w:r>
    </w:p>
    <w:p w14:paraId="792313F9">
      <w:pPr>
        <w:pStyle w:val="37"/>
        <w:spacing w:line="360" w:lineRule="auto"/>
        <w:ind w:firstLine="420"/>
        <w:rPr>
          <w:rFonts w:hint="eastAsia"/>
          <w:color w:val="auto"/>
          <w:sz w:val="21"/>
          <w:szCs w:val="21"/>
          <w:highlight w:val="none"/>
        </w:rPr>
      </w:pPr>
      <w:r>
        <w:rPr>
          <w:rFonts w:hint="eastAsia"/>
          <w:color w:val="auto"/>
          <w:sz w:val="21"/>
          <w:szCs w:val="21"/>
          <w:highlight w:val="none"/>
        </w:rPr>
        <w:t>（五）</w:t>
      </w:r>
      <w:r>
        <w:rPr>
          <w:color w:val="auto"/>
          <w:sz w:val="21"/>
          <w:szCs w:val="21"/>
          <w:highlight w:val="none"/>
        </w:rPr>
        <w:t>及时与乙方核对账务。</w:t>
      </w:r>
    </w:p>
    <w:p w14:paraId="6163E306">
      <w:pPr>
        <w:pStyle w:val="37"/>
        <w:spacing w:line="360" w:lineRule="auto"/>
        <w:ind w:firstLine="420"/>
        <w:outlineLvl w:val="0"/>
        <w:rPr>
          <w:rFonts w:hint="eastAsia"/>
          <w:color w:val="auto"/>
          <w:sz w:val="21"/>
          <w:szCs w:val="21"/>
          <w:highlight w:val="none"/>
        </w:rPr>
      </w:pPr>
      <w:r>
        <w:rPr>
          <w:rFonts w:hint="eastAsia"/>
          <w:color w:val="auto"/>
          <w:sz w:val="21"/>
          <w:szCs w:val="21"/>
          <w:highlight w:val="none"/>
        </w:rPr>
        <w:t>三、乙方权利与义务</w:t>
      </w:r>
    </w:p>
    <w:p w14:paraId="7E3B2564">
      <w:pPr>
        <w:pStyle w:val="37"/>
        <w:spacing w:line="360" w:lineRule="auto"/>
        <w:ind w:firstLine="420"/>
        <w:outlineLvl w:val="0"/>
        <w:rPr>
          <w:rFonts w:hint="eastAsia"/>
          <w:color w:val="auto"/>
          <w:sz w:val="21"/>
          <w:szCs w:val="21"/>
          <w:highlight w:val="none"/>
        </w:rPr>
      </w:pPr>
      <w:r>
        <w:rPr>
          <w:rFonts w:hint="eastAsia"/>
          <w:color w:val="auto"/>
          <w:sz w:val="21"/>
          <w:szCs w:val="21"/>
          <w:highlight w:val="none"/>
        </w:rPr>
        <w:t>（一）要求甲方及时办理账户开设；</w:t>
      </w:r>
    </w:p>
    <w:p w14:paraId="342480AF">
      <w:pPr>
        <w:pStyle w:val="37"/>
        <w:spacing w:line="360" w:lineRule="auto"/>
        <w:ind w:firstLine="420"/>
        <w:rPr>
          <w:rFonts w:hint="eastAsia"/>
          <w:color w:val="auto"/>
          <w:sz w:val="21"/>
          <w:szCs w:val="21"/>
          <w:highlight w:val="none"/>
        </w:rPr>
      </w:pPr>
      <w:r>
        <w:rPr>
          <w:rFonts w:hint="eastAsia"/>
          <w:color w:val="auto"/>
          <w:sz w:val="21"/>
          <w:szCs w:val="21"/>
          <w:highlight w:val="none"/>
        </w:rPr>
        <w:t>（二）准确、及时办理资金收付及其他结算业务；</w:t>
      </w:r>
    </w:p>
    <w:p w14:paraId="38F51BDF">
      <w:pPr>
        <w:pStyle w:val="37"/>
        <w:spacing w:line="360" w:lineRule="auto"/>
        <w:ind w:firstLine="420"/>
        <w:rPr>
          <w:rFonts w:hint="eastAsia"/>
          <w:color w:val="auto"/>
          <w:sz w:val="21"/>
          <w:szCs w:val="21"/>
          <w:highlight w:val="none"/>
        </w:rPr>
      </w:pPr>
      <w:r>
        <w:rPr>
          <w:rFonts w:hint="eastAsia"/>
          <w:color w:val="auto"/>
          <w:sz w:val="21"/>
          <w:szCs w:val="21"/>
          <w:highlight w:val="none"/>
        </w:rPr>
        <w:t>（三）按规定的利率按时结息；</w:t>
      </w:r>
    </w:p>
    <w:p w14:paraId="55583334">
      <w:pPr>
        <w:pStyle w:val="37"/>
        <w:spacing w:line="360" w:lineRule="auto"/>
        <w:ind w:firstLine="420"/>
        <w:rPr>
          <w:rFonts w:hint="eastAsia"/>
          <w:color w:val="auto"/>
          <w:sz w:val="21"/>
          <w:szCs w:val="21"/>
          <w:highlight w:val="none"/>
        </w:rPr>
      </w:pPr>
      <w:r>
        <w:rPr>
          <w:rFonts w:hint="eastAsia"/>
          <w:color w:val="auto"/>
          <w:sz w:val="21"/>
          <w:szCs w:val="21"/>
          <w:highlight w:val="none"/>
        </w:rPr>
        <w:t>（四）确保甲方活期存款在乙方存续期间的资金安全；</w:t>
      </w:r>
    </w:p>
    <w:p w14:paraId="001D593A">
      <w:pPr>
        <w:pStyle w:val="37"/>
        <w:spacing w:line="360" w:lineRule="auto"/>
        <w:ind w:firstLine="420"/>
        <w:rPr>
          <w:rFonts w:hint="eastAsia"/>
          <w:color w:val="auto"/>
          <w:sz w:val="21"/>
          <w:szCs w:val="21"/>
          <w:highlight w:val="none"/>
        </w:rPr>
      </w:pPr>
      <w:r>
        <w:rPr>
          <w:rFonts w:hint="eastAsia"/>
          <w:color w:val="auto"/>
          <w:sz w:val="21"/>
          <w:szCs w:val="21"/>
          <w:highlight w:val="none"/>
        </w:rPr>
        <w:t>（五）接受甲方对活期存款业务的监督管理；</w:t>
      </w:r>
    </w:p>
    <w:p w14:paraId="7B1BBCFA">
      <w:pPr>
        <w:pStyle w:val="37"/>
        <w:spacing w:line="360" w:lineRule="auto"/>
        <w:ind w:firstLine="420"/>
        <w:rPr>
          <w:rFonts w:hint="eastAsia"/>
          <w:color w:val="auto"/>
          <w:sz w:val="21"/>
          <w:szCs w:val="21"/>
          <w:highlight w:val="none"/>
        </w:rPr>
      </w:pPr>
      <w:r>
        <w:rPr>
          <w:rFonts w:hint="eastAsia"/>
          <w:color w:val="auto"/>
          <w:sz w:val="21"/>
          <w:szCs w:val="21"/>
          <w:highlight w:val="none"/>
        </w:rPr>
        <w:t>（六）</w:t>
      </w:r>
      <w:r>
        <w:rPr>
          <w:color w:val="auto"/>
          <w:sz w:val="21"/>
          <w:szCs w:val="21"/>
          <w:highlight w:val="none"/>
        </w:rPr>
        <w:t>及时与甲方核对账务。</w:t>
      </w:r>
    </w:p>
    <w:p w14:paraId="3FB2BE7A">
      <w:pPr>
        <w:pStyle w:val="37"/>
        <w:spacing w:line="360" w:lineRule="auto"/>
        <w:ind w:firstLine="420"/>
        <w:outlineLvl w:val="0"/>
        <w:rPr>
          <w:rFonts w:hint="eastAsia"/>
          <w:color w:val="auto"/>
          <w:sz w:val="21"/>
          <w:szCs w:val="21"/>
          <w:highlight w:val="none"/>
        </w:rPr>
      </w:pPr>
      <w:r>
        <w:rPr>
          <w:rFonts w:hint="eastAsia"/>
          <w:color w:val="auto"/>
          <w:sz w:val="21"/>
          <w:szCs w:val="21"/>
          <w:highlight w:val="none"/>
        </w:rPr>
        <w:t xml:space="preserve">四、违约责任 </w:t>
      </w:r>
    </w:p>
    <w:p w14:paraId="7139DC70">
      <w:pPr>
        <w:pStyle w:val="37"/>
        <w:spacing w:line="360" w:lineRule="auto"/>
        <w:ind w:firstLine="420"/>
        <w:rPr>
          <w:rFonts w:hint="eastAsia"/>
          <w:color w:val="auto"/>
          <w:sz w:val="21"/>
          <w:szCs w:val="21"/>
          <w:highlight w:val="none"/>
        </w:rPr>
      </w:pPr>
      <w:r>
        <w:rPr>
          <w:rFonts w:hint="eastAsia"/>
          <w:color w:val="auto"/>
          <w:sz w:val="21"/>
          <w:szCs w:val="21"/>
          <w:highlight w:val="none"/>
        </w:rPr>
        <w:t>除发生不可抗力外，乙方有下列情形之一的，甲方有权撤消开设的银行账户并支取全部存款。</w:t>
      </w:r>
    </w:p>
    <w:p w14:paraId="06800504">
      <w:pPr>
        <w:pStyle w:val="37"/>
        <w:spacing w:line="360" w:lineRule="auto"/>
        <w:ind w:firstLine="420"/>
        <w:rPr>
          <w:rFonts w:hint="eastAsia"/>
          <w:color w:val="auto"/>
          <w:sz w:val="21"/>
          <w:szCs w:val="21"/>
          <w:highlight w:val="none"/>
        </w:rPr>
      </w:pPr>
      <w:r>
        <w:rPr>
          <w:color w:val="auto"/>
          <w:sz w:val="21"/>
          <w:szCs w:val="21"/>
          <w:highlight w:val="none"/>
        </w:rPr>
        <w:t>1</w:t>
      </w:r>
      <w:r>
        <w:rPr>
          <w:rFonts w:hint="eastAsia"/>
          <w:color w:val="auto"/>
          <w:sz w:val="21"/>
          <w:szCs w:val="21"/>
          <w:highlight w:val="none"/>
        </w:rPr>
        <w:t xml:space="preserve">. </w:t>
      </w:r>
      <w:r>
        <w:rPr>
          <w:color w:val="auto"/>
          <w:sz w:val="21"/>
          <w:szCs w:val="21"/>
          <w:highlight w:val="none"/>
        </w:rPr>
        <w:t>出现资金安全事故、重大违法违规情况或财务状况恶化；</w:t>
      </w:r>
    </w:p>
    <w:p w14:paraId="2CA0594F">
      <w:pPr>
        <w:pStyle w:val="37"/>
        <w:spacing w:line="360" w:lineRule="auto"/>
        <w:ind w:firstLine="420"/>
        <w:rPr>
          <w:rFonts w:hint="eastAsia"/>
          <w:color w:val="auto"/>
          <w:sz w:val="21"/>
          <w:szCs w:val="21"/>
          <w:highlight w:val="none"/>
        </w:rPr>
      </w:pPr>
      <w:r>
        <w:rPr>
          <w:color w:val="auto"/>
          <w:sz w:val="21"/>
          <w:szCs w:val="21"/>
          <w:highlight w:val="none"/>
        </w:rPr>
        <w:t>2</w:t>
      </w:r>
      <w:r>
        <w:rPr>
          <w:rFonts w:hint="eastAsia"/>
          <w:color w:val="auto"/>
          <w:sz w:val="21"/>
          <w:szCs w:val="21"/>
          <w:highlight w:val="none"/>
        </w:rPr>
        <w:t xml:space="preserve">. </w:t>
      </w:r>
      <w:r>
        <w:rPr>
          <w:color w:val="auto"/>
          <w:sz w:val="21"/>
          <w:szCs w:val="21"/>
          <w:highlight w:val="none"/>
        </w:rPr>
        <w:t>年度监管评级降低，监管部门认为存在较大运营风险；</w:t>
      </w:r>
    </w:p>
    <w:p w14:paraId="1A5918B1">
      <w:pPr>
        <w:pStyle w:val="37"/>
        <w:spacing w:line="360" w:lineRule="auto"/>
        <w:ind w:firstLine="420"/>
        <w:rPr>
          <w:rFonts w:hint="eastAsia"/>
          <w:color w:val="auto"/>
          <w:sz w:val="21"/>
          <w:szCs w:val="21"/>
          <w:highlight w:val="none"/>
        </w:rPr>
      </w:pPr>
      <w:r>
        <w:rPr>
          <w:color w:val="auto"/>
          <w:sz w:val="21"/>
          <w:szCs w:val="21"/>
          <w:highlight w:val="none"/>
        </w:rPr>
        <w:t>3</w:t>
      </w:r>
      <w:r>
        <w:rPr>
          <w:rFonts w:hint="eastAsia"/>
          <w:color w:val="auto"/>
          <w:sz w:val="21"/>
          <w:szCs w:val="21"/>
          <w:highlight w:val="none"/>
        </w:rPr>
        <w:t>. 存在不正当投标行为的</w:t>
      </w:r>
      <w:r>
        <w:rPr>
          <w:color w:val="auto"/>
          <w:sz w:val="21"/>
          <w:szCs w:val="21"/>
          <w:highlight w:val="none"/>
        </w:rPr>
        <w:t>；</w:t>
      </w:r>
    </w:p>
    <w:p w14:paraId="239A89DE">
      <w:pPr>
        <w:pStyle w:val="37"/>
        <w:spacing w:line="360" w:lineRule="auto"/>
        <w:ind w:firstLine="420"/>
        <w:rPr>
          <w:rFonts w:hint="eastAsia"/>
          <w:color w:val="auto"/>
          <w:sz w:val="21"/>
          <w:szCs w:val="21"/>
          <w:highlight w:val="none"/>
        </w:rPr>
      </w:pPr>
      <w:r>
        <w:rPr>
          <w:rFonts w:hint="eastAsia"/>
          <w:color w:val="auto"/>
          <w:sz w:val="21"/>
          <w:szCs w:val="21"/>
          <w:highlight w:val="none"/>
        </w:rPr>
        <w:t xml:space="preserve">4. </w:t>
      </w:r>
      <w:r>
        <w:rPr>
          <w:color w:val="auto"/>
          <w:sz w:val="21"/>
          <w:szCs w:val="21"/>
          <w:highlight w:val="none"/>
        </w:rPr>
        <w:t>没有按照中标协议承诺履行相应的责任和义务；</w:t>
      </w:r>
    </w:p>
    <w:p w14:paraId="585C6959">
      <w:pPr>
        <w:pStyle w:val="37"/>
        <w:spacing w:line="360" w:lineRule="auto"/>
        <w:ind w:firstLine="420"/>
        <w:rPr>
          <w:rFonts w:hint="eastAsia"/>
          <w:color w:val="auto"/>
          <w:sz w:val="21"/>
          <w:szCs w:val="21"/>
          <w:highlight w:val="none"/>
        </w:rPr>
      </w:pPr>
      <w:r>
        <w:rPr>
          <w:rFonts w:hint="eastAsia"/>
          <w:color w:val="auto"/>
          <w:sz w:val="21"/>
          <w:szCs w:val="21"/>
          <w:highlight w:val="none"/>
        </w:rPr>
        <w:t>5. 存在其他</w:t>
      </w:r>
      <w:r>
        <w:rPr>
          <w:color w:val="auto"/>
          <w:sz w:val="21"/>
          <w:szCs w:val="21"/>
          <w:highlight w:val="none"/>
        </w:rPr>
        <w:t>妨害资金安全行为</w:t>
      </w:r>
      <w:r>
        <w:rPr>
          <w:rFonts w:hint="eastAsia"/>
          <w:color w:val="auto"/>
          <w:sz w:val="21"/>
          <w:szCs w:val="21"/>
          <w:highlight w:val="none"/>
        </w:rPr>
        <w:t>的</w:t>
      </w:r>
      <w:r>
        <w:rPr>
          <w:color w:val="auto"/>
          <w:sz w:val="21"/>
          <w:szCs w:val="21"/>
          <w:highlight w:val="none"/>
        </w:rPr>
        <w:t>。</w:t>
      </w:r>
    </w:p>
    <w:p w14:paraId="735F34D5">
      <w:pPr>
        <w:pStyle w:val="37"/>
        <w:spacing w:line="360" w:lineRule="auto"/>
        <w:ind w:firstLine="420"/>
        <w:rPr>
          <w:rFonts w:hint="eastAsia"/>
          <w:color w:val="auto"/>
          <w:sz w:val="21"/>
          <w:szCs w:val="21"/>
          <w:highlight w:val="none"/>
        </w:rPr>
      </w:pPr>
      <w:r>
        <w:rPr>
          <w:rFonts w:hint="eastAsia"/>
          <w:color w:val="auto"/>
          <w:sz w:val="21"/>
          <w:szCs w:val="21"/>
          <w:highlight w:val="none"/>
        </w:rPr>
        <w:t>五、争议解决方式</w:t>
      </w:r>
    </w:p>
    <w:p w14:paraId="65BE4CBC">
      <w:pPr>
        <w:pStyle w:val="37"/>
        <w:spacing w:line="360" w:lineRule="auto"/>
        <w:ind w:firstLine="420"/>
        <w:rPr>
          <w:rFonts w:hint="eastAsia"/>
          <w:color w:val="auto"/>
          <w:sz w:val="21"/>
          <w:szCs w:val="21"/>
          <w:highlight w:val="none"/>
        </w:rPr>
      </w:pPr>
      <w:r>
        <w:rPr>
          <w:rFonts w:cs="宋体"/>
          <w:color w:val="auto"/>
          <w:sz w:val="21"/>
          <w:szCs w:val="21"/>
          <w:highlight w:val="none"/>
          <w:shd w:val="clear" w:color="auto" w:fill="FFFFFF"/>
        </w:rPr>
        <w:t>本</w:t>
      </w:r>
      <w:r>
        <w:rPr>
          <w:rFonts w:hint="eastAsia" w:cs="宋体"/>
          <w:color w:val="auto"/>
          <w:sz w:val="21"/>
          <w:szCs w:val="21"/>
          <w:highlight w:val="none"/>
          <w:shd w:val="clear" w:color="auto" w:fill="FFFFFF"/>
        </w:rPr>
        <w:t>协议</w:t>
      </w:r>
      <w:r>
        <w:rPr>
          <w:rFonts w:cs="宋体"/>
          <w:color w:val="auto"/>
          <w:sz w:val="21"/>
          <w:szCs w:val="21"/>
          <w:highlight w:val="none"/>
          <w:shd w:val="clear" w:color="auto" w:fill="FFFFFF"/>
        </w:rPr>
        <w:t>引起的或与本</w:t>
      </w:r>
      <w:r>
        <w:rPr>
          <w:rFonts w:hint="eastAsia" w:cs="宋体"/>
          <w:color w:val="auto"/>
          <w:sz w:val="21"/>
          <w:szCs w:val="21"/>
          <w:highlight w:val="none"/>
          <w:shd w:val="clear" w:color="auto" w:fill="FFFFFF"/>
        </w:rPr>
        <w:t>协议</w:t>
      </w:r>
      <w:r>
        <w:rPr>
          <w:rFonts w:cs="宋体"/>
          <w:color w:val="auto"/>
          <w:sz w:val="21"/>
          <w:szCs w:val="21"/>
          <w:highlight w:val="none"/>
          <w:shd w:val="clear" w:color="auto" w:fill="FFFFFF"/>
        </w:rPr>
        <w:t>有关的任何争议，由</w:t>
      </w:r>
      <w:r>
        <w:rPr>
          <w:rFonts w:hint="eastAsia" w:cs="宋体"/>
          <w:color w:val="auto"/>
          <w:sz w:val="21"/>
          <w:szCs w:val="21"/>
          <w:highlight w:val="none"/>
          <w:shd w:val="clear" w:color="auto" w:fill="FFFFFF"/>
        </w:rPr>
        <w:t>协议</w:t>
      </w:r>
      <w:r>
        <w:rPr>
          <w:rFonts w:cs="宋体"/>
          <w:color w:val="auto"/>
          <w:sz w:val="21"/>
          <w:szCs w:val="21"/>
          <w:highlight w:val="none"/>
          <w:shd w:val="clear" w:color="auto" w:fill="FFFFFF"/>
        </w:rPr>
        <w:t>各方协商解决，也可由有关部门调解。协商或调解不成的，依法向</w:t>
      </w:r>
      <w:r>
        <w:rPr>
          <w:rFonts w:hint="eastAsia" w:cs="宋体"/>
          <w:color w:val="auto"/>
          <w:sz w:val="21"/>
          <w:szCs w:val="21"/>
          <w:highlight w:val="none"/>
          <w:shd w:val="clear" w:color="auto" w:fill="FFFFFF"/>
        </w:rPr>
        <w:t>椒江区</w:t>
      </w:r>
      <w:r>
        <w:rPr>
          <w:rFonts w:cs="宋体"/>
          <w:color w:val="auto"/>
          <w:sz w:val="21"/>
          <w:szCs w:val="21"/>
          <w:highlight w:val="none"/>
          <w:shd w:val="clear" w:color="auto" w:fill="FFFFFF"/>
        </w:rPr>
        <w:t>人民法院提起诉讼。</w:t>
      </w:r>
    </w:p>
    <w:p w14:paraId="434B11A5">
      <w:pPr>
        <w:pStyle w:val="37"/>
        <w:spacing w:line="360" w:lineRule="auto"/>
        <w:ind w:firstLine="420"/>
        <w:rPr>
          <w:rFonts w:hint="eastAsia"/>
          <w:color w:val="auto"/>
          <w:sz w:val="21"/>
          <w:szCs w:val="21"/>
          <w:highlight w:val="none"/>
        </w:rPr>
      </w:pPr>
      <w:r>
        <w:rPr>
          <w:rFonts w:hint="eastAsia"/>
          <w:color w:val="auto"/>
          <w:sz w:val="21"/>
          <w:szCs w:val="21"/>
          <w:highlight w:val="none"/>
        </w:rPr>
        <w:t>六、其他</w:t>
      </w:r>
    </w:p>
    <w:p w14:paraId="4C8A7D6A">
      <w:pPr>
        <w:pStyle w:val="37"/>
        <w:spacing w:line="360" w:lineRule="auto"/>
        <w:ind w:firstLine="420"/>
        <w:rPr>
          <w:rFonts w:hint="eastAsia"/>
          <w:color w:val="auto"/>
          <w:sz w:val="21"/>
          <w:szCs w:val="21"/>
          <w:highlight w:val="none"/>
        </w:rPr>
      </w:pPr>
      <w:r>
        <w:rPr>
          <w:rFonts w:hint="eastAsia"/>
          <w:color w:val="auto"/>
          <w:sz w:val="21"/>
          <w:szCs w:val="21"/>
          <w:highlight w:val="none"/>
        </w:rPr>
        <w:t>1、</w:t>
      </w:r>
      <w:r>
        <w:rPr>
          <w:color w:val="auto"/>
          <w:sz w:val="21"/>
          <w:szCs w:val="21"/>
          <w:highlight w:val="none"/>
        </w:rPr>
        <w:t>本协议一式</w:t>
      </w:r>
      <w:r>
        <w:rPr>
          <w:rFonts w:hint="eastAsia"/>
          <w:color w:val="auto"/>
          <w:sz w:val="21"/>
          <w:szCs w:val="21"/>
          <w:highlight w:val="none"/>
          <w:lang w:val="en-US" w:eastAsia="zh-CN"/>
        </w:rPr>
        <w:t xml:space="preserve">  </w:t>
      </w:r>
      <w:r>
        <w:rPr>
          <w:color w:val="auto"/>
          <w:sz w:val="21"/>
          <w:szCs w:val="21"/>
          <w:highlight w:val="none"/>
        </w:rPr>
        <w:t>份，甲乙双方各执</w:t>
      </w:r>
      <w:r>
        <w:rPr>
          <w:rFonts w:hint="eastAsia"/>
          <w:color w:val="auto"/>
          <w:sz w:val="21"/>
          <w:szCs w:val="21"/>
          <w:highlight w:val="none"/>
          <w:lang w:val="en-US" w:eastAsia="zh-CN"/>
        </w:rPr>
        <w:t xml:space="preserve">  </w:t>
      </w:r>
      <w:r>
        <w:rPr>
          <w:color w:val="auto"/>
          <w:sz w:val="21"/>
          <w:szCs w:val="21"/>
          <w:highlight w:val="none"/>
        </w:rPr>
        <w:t>份，具有同等法律效力。</w:t>
      </w:r>
    </w:p>
    <w:p w14:paraId="712D385D">
      <w:pPr>
        <w:pStyle w:val="38"/>
        <w:spacing w:line="360" w:lineRule="auto"/>
        <w:ind w:right="25" w:rightChars="12" w:firstLine="420" w:firstLineChars="200"/>
        <w:jc w:val="both"/>
        <w:rPr>
          <w:rFonts w:hint="eastAsia" w:cs="Times New Roman"/>
          <w:color w:val="auto"/>
          <w:sz w:val="21"/>
          <w:szCs w:val="21"/>
          <w:highlight w:val="none"/>
        </w:rPr>
      </w:pPr>
      <w:r>
        <w:rPr>
          <w:rFonts w:hint="eastAsia" w:cs="Times New Roman"/>
          <w:color w:val="auto"/>
          <w:sz w:val="21"/>
          <w:szCs w:val="21"/>
          <w:highlight w:val="none"/>
        </w:rPr>
        <w:t>2、本合同经各方签署后生效。</w:t>
      </w:r>
    </w:p>
    <w:p w14:paraId="0F59BA49">
      <w:pPr>
        <w:spacing w:line="360" w:lineRule="auto"/>
        <w:jc w:val="center"/>
        <w:rPr>
          <w:rFonts w:ascii="宋体" w:hAnsi="宋体"/>
          <w:b/>
          <w:color w:val="auto"/>
          <w:sz w:val="36"/>
          <w:szCs w:val="36"/>
          <w:highlight w:val="none"/>
        </w:rPr>
      </w:pPr>
    </w:p>
    <w:p w14:paraId="12D7E256">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ind w:right="-249" w:firstLine="42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甲方（公章）：                                      乙方（公章）：</w:t>
      </w:r>
    </w:p>
    <w:p w14:paraId="3773700C">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ind w:right="-249" w:firstLine="42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法定代表人（负责人）                             法定代表人（负责人）</w:t>
      </w:r>
    </w:p>
    <w:p w14:paraId="7CA0A957">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ind w:right="-249" w:firstLine="42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或授权代理人（签字）：                           或授权代理人（签字）： </w:t>
      </w:r>
    </w:p>
    <w:p w14:paraId="07B8E855">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ind w:right="-249" w:firstLine="42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联系电话：                                       联系电话：</w:t>
      </w:r>
    </w:p>
    <w:p w14:paraId="22576BC2">
      <w:pPr>
        <w:keepNext w:val="0"/>
        <w:keepLines w:val="0"/>
        <w:pageBreakBefore w:val="0"/>
        <w:widowControl/>
        <w:shd w:val="clear" w:color="auto" w:fill="FFFFFF"/>
        <w:kinsoku/>
        <w:wordWrap/>
        <w:overflowPunct/>
        <w:topLinePunct w:val="0"/>
        <w:autoSpaceDE/>
        <w:autoSpaceDN/>
        <w:bidi w:val="0"/>
        <w:adjustRightInd/>
        <w:snapToGrid/>
        <w:spacing w:before="150" w:after="150" w:line="360" w:lineRule="auto"/>
        <w:ind w:right="-249" w:firstLine="42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签字日期：    年    月    日                      签字日期：     年    月    日</w:t>
      </w:r>
    </w:p>
    <w:p w14:paraId="0D17A5B3">
      <w:pPr>
        <w:pStyle w:val="9"/>
        <w:rPr>
          <w:rFonts w:ascii="宋体" w:hAnsi="宋体"/>
          <w:b/>
          <w:color w:val="auto"/>
          <w:sz w:val="36"/>
          <w:szCs w:val="36"/>
          <w:highlight w:val="none"/>
        </w:rPr>
      </w:pPr>
    </w:p>
    <w:p w14:paraId="27974D59">
      <w:pPr>
        <w:pStyle w:val="9"/>
        <w:rPr>
          <w:rFonts w:hint="eastAsia"/>
          <w:b/>
          <w:bCs/>
          <w:color w:val="auto"/>
          <w:sz w:val="32"/>
          <w:szCs w:val="32"/>
          <w:highlight w:val="none"/>
        </w:rPr>
      </w:pPr>
    </w:p>
    <w:p w14:paraId="23A1AAF8">
      <w:pPr>
        <w:pStyle w:val="10"/>
        <w:rPr>
          <w:rFonts w:hint="eastAsia"/>
          <w:b/>
          <w:bCs/>
          <w:color w:val="auto"/>
          <w:sz w:val="32"/>
          <w:szCs w:val="32"/>
          <w:highlight w:val="none"/>
        </w:rPr>
      </w:pPr>
    </w:p>
    <w:p w14:paraId="07CADA34">
      <w:pPr>
        <w:rPr>
          <w:rFonts w:hint="eastAsia"/>
          <w:b/>
          <w:bCs/>
          <w:color w:val="auto"/>
          <w:sz w:val="32"/>
          <w:szCs w:val="32"/>
          <w:highlight w:val="none"/>
        </w:rPr>
      </w:pPr>
    </w:p>
    <w:p w14:paraId="45441F72">
      <w:pPr>
        <w:pStyle w:val="2"/>
        <w:rPr>
          <w:rFonts w:hint="eastAsia"/>
          <w:color w:val="auto"/>
          <w:highlight w:val="none"/>
        </w:rPr>
      </w:pPr>
    </w:p>
    <w:p w14:paraId="24CB5BF0">
      <w:pPr>
        <w:pStyle w:val="10"/>
        <w:rPr>
          <w:rFonts w:hint="eastAsia"/>
          <w:color w:val="auto"/>
          <w:highlight w:val="none"/>
        </w:rPr>
      </w:pPr>
    </w:p>
    <w:p w14:paraId="223B082D">
      <w:pPr>
        <w:jc w:val="center"/>
        <w:rPr>
          <w:b/>
          <w:bCs/>
          <w:color w:val="auto"/>
          <w:sz w:val="32"/>
          <w:szCs w:val="32"/>
          <w:highlight w:val="none"/>
        </w:rPr>
      </w:pPr>
      <w:r>
        <w:rPr>
          <w:rFonts w:hint="eastAsia"/>
          <w:b/>
          <w:bCs/>
          <w:color w:val="auto"/>
          <w:sz w:val="32"/>
          <w:szCs w:val="32"/>
          <w:highlight w:val="none"/>
        </w:rPr>
        <w:t>廉政承诺书</w:t>
      </w:r>
    </w:p>
    <w:p w14:paraId="758DDD30">
      <w:pPr>
        <w:spacing w:line="600" w:lineRule="auto"/>
        <w:rPr>
          <w:rFonts w:ascii="宋体" w:hAnsi="宋体" w:cs="宋体"/>
          <w:color w:val="auto"/>
          <w:szCs w:val="21"/>
          <w:highlight w:val="none"/>
        </w:rPr>
      </w:pPr>
      <w:r>
        <w:rPr>
          <w:rFonts w:hint="eastAsia" w:ascii="宋体" w:hAnsi="宋体" w:cs="宋体"/>
          <w:color w:val="auto"/>
          <w:szCs w:val="21"/>
          <w:highlight w:val="none"/>
          <w:u w:val="single"/>
          <w:lang w:eastAsia="zh-CN"/>
        </w:rPr>
        <w:t>台州市椒江区医疗保障局</w:t>
      </w:r>
      <w:r>
        <w:rPr>
          <w:rFonts w:hint="eastAsia" w:ascii="宋体" w:hAnsi="宋体" w:cs="宋体"/>
          <w:color w:val="auto"/>
          <w:szCs w:val="21"/>
          <w:highlight w:val="none"/>
        </w:rPr>
        <w:t>：</w:t>
      </w:r>
    </w:p>
    <w:p w14:paraId="689F0C88">
      <w:pPr>
        <w:adjustRightInd w:val="0"/>
        <w:snapToGrid w:val="0"/>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根据《台州市国资委关于进一步规范市属企业资金存放等财务事项管理的意见》（台国资〔2016〕67号）、《市国资委关于进一步加强市属企业资金存放管理的通知》（台国资〔2018〕166号）、《台州市国资委关于印发台州市市属企业资金存放管理暂行办法的通知》（台国资〔2019〕８９号）相关规定，现就本行参加贵单位</w:t>
      </w:r>
      <w:r>
        <w:rPr>
          <w:rFonts w:hint="eastAsia" w:ascii="宋体" w:hAnsi="宋体" w:cs="宋体"/>
          <w:color w:val="auto"/>
          <w:szCs w:val="21"/>
          <w:highlight w:val="none"/>
          <w:u w:val="single"/>
          <w:lang w:eastAsia="zh-CN"/>
        </w:rPr>
        <w:t>台州市椒江区医疗保障局长期护理保险支出户专户的招标项目</w:t>
      </w:r>
      <w:r>
        <w:rPr>
          <w:rFonts w:hint="eastAsia" w:ascii="宋体" w:hAnsi="宋体" w:cs="宋体"/>
          <w:color w:val="auto"/>
          <w:szCs w:val="21"/>
          <w:highlight w:val="none"/>
        </w:rPr>
        <w:t>作出如下承诺：</w:t>
      </w:r>
    </w:p>
    <w:p w14:paraId="273DC3E9">
      <w:pPr>
        <w:adjustRightInd w:val="0"/>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1.不向贵单位负责资金存放管理的领导及相关人员进行利益输送；</w:t>
      </w:r>
    </w:p>
    <w:p w14:paraId="1F58016D">
      <w:pPr>
        <w:adjustRightInd w:val="0"/>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2.不将贵单位资金存放与贵单位负责资金存放管理的领导及相关人员在本行的配偶、子女及其配偶和其他直接利益相关人员的业绩、收入、晋升等利益挂钩；</w:t>
      </w:r>
    </w:p>
    <w:p w14:paraId="4712D164">
      <w:pPr>
        <w:adjustRightInd w:val="0"/>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3.严格执行利益回避制度，贵单位资金竞争性存放相关人员的配偶、子女及其配偶和其他直接利益相关人员为本行工作人员的，不参与贵单位资金竞争性存放工作；</w:t>
      </w:r>
    </w:p>
    <w:p w14:paraId="36236FAC">
      <w:pPr>
        <w:adjustRightInd w:val="0"/>
        <w:snapToGrid w:val="0"/>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4.不发生除上述行为之外的其他任何利益输送行为。</w:t>
      </w:r>
    </w:p>
    <w:p w14:paraId="68BA2DA9">
      <w:pPr>
        <w:adjustRightInd w:val="0"/>
        <w:snapToGrid w:val="0"/>
        <w:spacing w:line="520" w:lineRule="exact"/>
        <w:ind w:firstLine="540"/>
        <w:rPr>
          <w:rFonts w:ascii="宋体" w:hAnsi="宋体" w:cs="宋体"/>
          <w:color w:val="auto"/>
          <w:szCs w:val="21"/>
          <w:highlight w:val="none"/>
        </w:rPr>
      </w:pPr>
      <w:r>
        <w:rPr>
          <w:rFonts w:hint="eastAsia" w:ascii="宋体" w:hAnsi="宋体" w:cs="宋体"/>
          <w:color w:val="auto"/>
          <w:szCs w:val="21"/>
          <w:highlight w:val="none"/>
        </w:rPr>
        <w:t>未遵守以上承诺的，本行自愿接受集团通报和处理，承担相应的一切后果。</w:t>
      </w:r>
    </w:p>
    <w:p w14:paraId="235D6E22">
      <w:pPr>
        <w:adjustRightInd w:val="0"/>
        <w:snapToGrid w:val="0"/>
        <w:spacing w:line="520" w:lineRule="exact"/>
        <w:jc w:val="right"/>
        <w:rPr>
          <w:rFonts w:ascii="宋体" w:hAnsi="宋体" w:cs="宋体"/>
          <w:color w:val="auto"/>
          <w:szCs w:val="21"/>
          <w:highlight w:val="none"/>
        </w:rPr>
      </w:pPr>
      <w:r>
        <w:rPr>
          <w:rFonts w:hint="eastAsia" w:ascii="宋体" w:hAnsi="宋体" w:cs="宋体"/>
          <w:color w:val="auto"/>
          <w:szCs w:val="21"/>
          <w:highlight w:val="none"/>
        </w:rPr>
        <w:t>银行（公章）</w:t>
      </w:r>
    </w:p>
    <w:p w14:paraId="2146B26C">
      <w:pPr>
        <w:jc w:val="right"/>
        <w:rPr>
          <w:rFonts w:ascii="宋体" w:hAnsi="宋体" w:cs="宋体"/>
          <w:color w:val="auto"/>
          <w:szCs w:val="21"/>
          <w:highlight w:val="none"/>
        </w:rPr>
      </w:pPr>
      <w:r>
        <w:rPr>
          <w:rFonts w:hint="eastAsia" w:ascii="宋体" w:hAnsi="宋体" w:cs="宋体"/>
          <w:color w:val="auto"/>
          <w:szCs w:val="21"/>
          <w:highlight w:val="none"/>
        </w:rPr>
        <w:t>年 月 日</w:t>
      </w:r>
    </w:p>
    <w:p w14:paraId="6F045702">
      <w:pPr>
        <w:rPr>
          <w:rFonts w:ascii="仿宋" w:hAnsi="仿宋" w:eastAsia="仿宋" w:cs="仿宋"/>
          <w:color w:val="auto"/>
          <w:sz w:val="32"/>
          <w:szCs w:val="32"/>
          <w:highlight w:val="none"/>
          <w:shd w:val="clear" w:color="auto" w:fill="FFFFFF"/>
        </w:rPr>
      </w:pPr>
    </w:p>
    <w:p w14:paraId="5D792926">
      <w:pPr>
        <w:pStyle w:val="39"/>
        <w:spacing w:line="360" w:lineRule="auto"/>
        <w:ind w:firstLine="2891" w:firstLineChars="900"/>
        <w:rPr>
          <w:rFonts w:hAnsi="宋体" w:eastAsia="宋体"/>
          <w:b/>
          <w:color w:val="auto"/>
          <w:sz w:val="32"/>
          <w:szCs w:val="32"/>
          <w:highlight w:val="none"/>
        </w:rPr>
      </w:pPr>
    </w:p>
    <w:p w14:paraId="2621B974">
      <w:pPr>
        <w:pStyle w:val="39"/>
        <w:spacing w:line="360" w:lineRule="auto"/>
        <w:ind w:firstLine="2891" w:firstLineChars="900"/>
        <w:rPr>
          <w:rFonts w:hAnsi="宋体" w:eastAsia="宋体"/>
          <w:b/>
          <w:color w:val="auto"/>
          <w:sz w:val="32"/>
          <w:szCs w:val="32"/>
          <w:highlight w:val="none"/>
        </w:rPr>
      </w:pPr>
    </w:p>
    <w:p w14:paraId="705AFF3E">
      <w:pPr>
        <w:spacing w:line="360" w:lineRule="auto"/>
        <w:jc w:val="center"/>
        <w:rPr>
          <w:rFonts w:ascii="宋体" w:hAnsi="宋体"/>
          <w:b/>
          <w:color w:val="auto"/>
          <w:sz w:val="36"/>
          <w:szCs w:val="36"/>
          <w:highlight w:val="none"/>
        </w:rPr>
      </w:pPr>
    </w:p>
    <w:p w14:paraId="1789CE63">
      <w:pPr>
        <w:spacing w:line="360" w:lineRule="auto"/>
        <w:rPr>
          <w:rFonts w:ascii="宋体" w:hAnsi="宋体"/>
          <w:b/>
          <w:color w:val="auto"/>
          <w:sz w:val="36"/>
          <w:szCs w:val="36"/>
          <w:highlight w:val="none"/>
        </w:rPr>
      </w:pPr>
    </w:p>
    <w:p w14:paraId="51A89C89">
      <w:pPr>
        <w:rPr>
          <w:color w:val="auto"/>
          <w:highlight w:val="none"/>
        </w:rPr>
      </w:pPr>
    </w:p>
    <w:p w14:paraId="085CB7BB">
      <w:pPr>
        <w:pStyle w:val="2"/>
        <w:rPr>
          <w:color w:val="auto"/>
          <w:highlight w:val="none"/>
        </w:rPr>
      </w:pPr>
    </w:p>
    <w:p w14:paraId="49A42C10">
      <w:pPr>
        <w:pStyle w:val="2"/>
        <w:rPr>
          <w:color w:val="auto"/>
          <w:highlight w:val="none"/>
        </w:rPr>
      </w:pPr>
    </w:p>
    <w:p w14:paraId="708C9D99">
      <w:pPr>
        <w:pStyle w:val="2"/>
        <w:rPr>
          <w:color w:val="auto"/>
          <w:highlight w:val="none"/>
        </w:rPr>
      </w:pPr>
    </w:p>
    <w:p w14:paraId="02776D19">
      <w:pPr>
        <w:pStyle w:val="9"/>
        <w:rPr>
          <w:color w:val="auto"/>
          <w:highlight w:val="none"/>
        </w:rPr>
      </w:pPr>
    </w:p>
    <w:p w14:paraId="20DE1DD4">
      <w:pPr>
        <w:spacing w:line="360" w:lineRule="auto"/>
        <w:jc w:val="center"/>
        <w:rPr>
          <w:rFonts w:ascii="宋体"/>
          <w:b/>
          <w:color w:val="auto"/>
          <w:sz w:val="36"/>
          <w:szCs w:val="36"/>
          <w:highlight w:val="none"/>
        </w:rPr>
      </w:pPr>
      <w:r>
        <w:rPr>
          <w:rFonts w:hint="eastAsia" w:ascii="宋体" w:hAnsi="宋体"/>
          <w:b/>
          <w:color w:val="auto"/>
          <w:sz w:val="36"/>
          <w:szCs w:val="36"/>
          <w:highlight w:val="none"/>
        </w:rPr>
        <w:t>第六章 投标文件格式附件</w:t>
      </w:r>
    </w:p>
    <w:p w14:paraId="72D80247">
      <w:pPr>
        <w:spacing w:line="360" w:lineRule="auto"/>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w:t>
      </w:r>
    </w:p>
    <w:p w14:paraId="484E1688">
      <w:pPr>
        <w:spacing w:line="360" w:lineRule="auto"/>
        <w:rPr>
          <w:rFonts w:ascii="宋体" w:hAnsi="宋体"/>
          <w:b/>
          <w:color w:val="auto"/>
          <w:sz w:val="30"/>
          <w:szCs w:val="30"/>
          <w:highlight w:val="none"/>
        </w:rPr>
      </w:pPr>
    </w:p>
    <w:p w14:paraId="42F4E8AB">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2998D2D">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0E2229C9">
      <w:pPr>
        <w:autoSpaceDE w:val="0"/>
        <w:autoSpaceDN w:val="0"/>
        <w:adjustRightInd w:val="0"/>
        <w:spacing w:line="360" w:lineRule="auto"/>
        <w:jc w:val="center"/>
        <w:rPr>
          <w:rFonts w:ascii="宋体" w:hAnsi="宋体" w:cs="宋体"/>
          <w:color w:val="auto"/>
          <w:sz w:val="84"/>
          <w:szCs w:val="84"/>
          <w:highlight w:val="none"/>
          <w:lang w:val="zh-CN"/>
        </w:rPr>
      </w:pPr>
    </w:p>
    <w:p w14:paraId="5D4A5020">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DA87E18">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5B33D16">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002FD176">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22EEEA13">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b/>
          <w:color w:val="auto"/>
          <w:spacing w:val="40"/>
          <w:sz w:val="28"/>
          <w:szCs w:val="28"/>
          <w:highlight w:val="none"/>
          <w:lang w:val="zh-CN"/>
        </w:rPr>
        <w:t>（资信技术</w:t>
      </w:r>
      <w:r>
        <w:rPr>
          <w:rFonts w:hint="eastAsia" w:ascii="宋体" w:hAnsi="宋体"/>
          <w:b/>
          <w:color w:val="auto"/>
          <w:spacing w:val="40"/>
          <w:sz w:val="28"/>
          <w:szCs w:val="28"/>
          <w:highlight w:val="none"/>
        </w:rPr>
        <w:t>文件）</w:t>
      </w:r>
    </w:p>
    <w:p w14:paraId="4E1DDB2B">
      <w:pPr>
        <w:pStyle w:val="31"/>
        <w:rPr>
          <w:color w:val="auto"/>
          <w:highlight w:val="none"/>
        </w:rPr>
      </w:pPr>
    </w:p>
    <w:p w14:paraId="44467561">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投标人全称（公章）：</w:t>
      </w:r>
    </w:p>
    <w:p w14:paraId="596A2589">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地址：</w:t>
      </w:r>
    </w:p>
    <w:p w14:paraId="546340E8">
      <w:pPr>
        <w:spacing w:line="360" w:lineRule="auto"/>
        <w:ind w:right="532" w:firstLine="720" w:firstLineChars="200"/>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08DB0716">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资信技术文件目录</w:t>
      </w:r>
    </w:p>
    <w:p w14:paraId="7E6E32BB">
      <w:pPr>
        <w:numPr>
          <w:ilvl w:val="0"/>
          <w:numId w:val="7"/>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投标声明书（格式详见附件）；</w:t>
      </w:r>
    </w:p>
    <w:p w14:paraId="116F1D35">
      <w:pPr>
        <w:pStyle w:val="2"/>
        <w:numPr>
          <w:ilvl w:val="0"/>
          <w:numId w:val="0"/>
        </w:numPr>
        <w:ind w:firstLine="420" w:firstLineChars="200"/>
        <w:jc w:val="both"/>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）投标函</w:t>
      </w:r>
      <w:r>
        <w:rPr>
          <w:rFonts w:hint="eastAsia" w:ascii="宋体" w:hAnsi="宋体" w:cs="宋体"/>
          <w:color w:val="auto"/>
          <w:szCs w:val="21"/>
          <w:highlight w:val="none"/>
        </w:rPr>
        <w:t>（格式详见附件）；</w:t>
      </w:r>
    </w:p>
    <w:p w14:paraId="5F1C5A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）法定代表人（负责人）授权委托书（格式详见附件，法定代表人（负责人）亲自办理投标事宜的，则无需提交)；（以营业执照上注明的法定代表人或负责人为准）</w:t>
      </w:r>
    </w:p>
    <w:p w14:paraId="5F7A31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）有效的营业执照和金融许可证（复印件加盖单位公章）；</w:t>
      </w:r>
    </w:p>
    <w:p w14:paraId="5F7167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）近3年内在经营活动中无重大违法违规记录或重大违约事件的证明（格式自拟，加盖单位公章）；</w:t>
      </w:r>
    </w:p>
    <w:p w14:paraId="3E507B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w:t>
      </w:r>
      <w:r>
        <w:rPr>
          <w:rFonts w:hint="eastAsia" w:ascii="宋体" w:hAnsi="宋体"/>
          <w:bCs/>
          <w:color w:val="auto"/>
          <w:szCs w:val="21"/>
          <w:highlight w:val="none"/>
        </w:rPr>
        <w:t>标人认为需要提供的其他文件和资料</w:t>
      </w:r>
      <w:r>
        <w:rPr>
          <w:rFonts w:hint="eastAsia" w:ascii="宋体" w:hAnsi="宋体" w:cs="宋体"/>
          <w:color w:val="auto"/>
          <w:szCs w:val="21"/>
          <w:highlight w:val="none"/>
        </w:rPr>
        <w:t>（结合评标打分标准表自行编制并提供资料）</w:t>
      </w:r>
    </w:p>
    <w:p w14:paraId="6B02CC9F">
      <w:pPr>
        <w:pStyle w:val="10"/>
        <w:ind w:firstLine="0" w:firstLineChars="0"/>
        <w:rPr>
          <w:color w:val="auto"/>
          <w:highlight w:val="none"/>
        </w:rPr>
      </w:pPr>
    </w:p>
    <w:p w14:paraId="559FBA6B">
      <w:pPr>
        <w:spacing w:line="360" w:lineRule="auto"/>
        <w:rPr>
          <w:rFonts w:ascii="宋体" w:hAnsi="宋体"/>
          <w:b/>
          <w:color w:val="auto"/>
          <w:sz w:val="28"/>
          <w:highlight w:val="none"/>
        </w:rPr>
      </w:pPr>
    </w:p>
    <w:p w14:paraId="00EC7E01">
      <w:pPr>
        <w:spacing w:line="360" w:lineRule="auto"/>
        <w:rPr>
          <w:rFonts w:ascii="宋体" w:hAnsi="宋体"/>
          <w:b/>
          <w:color w:val="auto"/>
          <w:sz w:val="28"/>
          <w:highlight w:val="none"/>
        </w:rPr>
      </w:pPr>
    </w:p>
    <w:p w14:paraId="26B5EE39">
      <w:pPr>
        <w:spacing w:line="360" w:lineRule="auto"/>
        <w:rPr>
          <w:rFonts w:ascii="宋体" w:hAnsi="宋体"/>
          <w:b/>
          <w:color w:val="auto"/>
          <w:sz w:val="28"/>
          <w:highlight w:val="none"/>
        </w:rPr>
      </w:pPr>
    </w:p>
    <w:p w14:paraId="789B7F2B">
      <w:pPr>
        <w:spacing w:line="360" w:lineRule="auto"/>
        <w:rPr>
          <w:rFonts w:ascii="宋体" w:hAnsi="宋体"/>
          <w:b/>
          <w:color w:val="auto"/>
          <w:sz w:val="28"/>
          <w:highlight w:val="none"/>
        </w:rPr>
      </w:pPr>
    </w:p>
    <w:p w14:paraId="294A42B0">
      <w:pPr>
        <w:spacing w:line="360" w:lineRule="auto"/>
        <w:rPr>
          <w:rFonts w:ascii="宋体" w:hAnsi="宋体"/>
          <w:b/>
          <w:color w:val="auto"/>
          <w:sz w:val="28"/>
          <w:highlight w:val="none"/>
        </w:rPr>
      </w:pPr>
    </w:p>
    <w:p w14:paraId="6812E00F">
      <w:pPr>
        <w:spacing w:line="360" w:lineRule="auto"/>
        <w:rPr>
          <w:rFonts w:ascii="宋体" w:hAnsi="宋体"/>
          <w:b/>
          <w:color w:val="auto"/>
          <w:sz w:val="28"/>
          <w:highlight w:val="none"/>
        </w:rPr>
      </w:pPr>
    </w:p>
    <w:p w14:paraId="161CDD5D">
      <w:pPr>
        <w:spacing w:line="360" w:lineRule="auto"/>
        <w:rPr>
          <w:rFonts w:ascii="宋体" w:hAnsi="宋体"/>
          <w:b/>
          <w:color w:val="auto"/>
          <w:sz w:val="28"/>
          <w:highlight w:val="none"/>
        </w:rPr>
      </w:pPr>
    </w:p>
    <w:p w14:paraId="1036F3EB">
      <w:pPr>
        <w:spacing w:line="360" w:lineRule="auto"/>
        <w:rPr>
          <w:rFonts w:ascii="宋体" w:hAnsi="宋体"/>
          <w:b/>
          <w:color w:val="auto"/>
          <w:sz w:val="28"/>
          <w:highlight w:val="none"/>
        </w:rPr>
      </w:pPr>
    </w:p>
    <w:p w14:paraId="4184498C">
      <w:pPr>
        <w:spacing w:line="360" w:lineRule="auto"/>
        <w:rPr>
          <w:rFonts w:ascii="宋体" w:hAnsi="宋体"/>
          <w:b/>
          <w:color w:val="auto"/>
          <w:sz w:val="28"/>
          <w:highlight w:val="none"/>
        </w:rPr>
      </w:pPr>
    </w:p>
    <w:p w14:paraId="6896BC26">
      <w:pPr>
        <w:spacing w:line="360" w:lineRule="auto"/>
        <w:rPr>
          <w:rFonts w:ascii="宋体" w:hAnsi="宋体"/>
          <w:b/>
          <w:color w:val="auto"/>
          <w:sz w:val="28"/>
          <w:highlight w:val="none"/>
        </w:rPr>
      </w:pPr>
    </w:p>
    <w:p w14:paraId="32858B99">
      <w:pPr>
        <w:pStyle w:val="15"/>
        <w:rPr>
          <w:rFonts w:ascii="宋体" w:hAnsi="宋体"/>
          <w:b/>
          <w:color w:val="auto"/>
          <w:sz w:val="28"/>
          <w:highlight w:val="none"/>
        </w:rPr>
      </w:pPr>
    </w:p>
    <w:p w14:paraId="498A1348">
      <w:pPr>
        <w:pStyle w:val="15"/>
        <w:rPr>
          <w:rFonts w:hint="eastAsia" w:ascii="宋体" w:hAnsi="宋体" w:eastAsia="宋体"/>
          <w:b/>
          <w:color w:val="auto"/>
          <w:sz w:val="28"/>
          <w:highlight w:val="none"/>
          <w:lang w:eastAsia="zh-CN"/>
        </w:rPr>
      </w:pPr>
    </w:p>
    <w:p w14:paraId="6267BFF1">
      <w:pPr>
        <w:pStyle w:val="15"/>
        <w:rPr>
          <w:rFonts w:hint="eastAsia" w:ascii="宋体" w:hAnsi="宋体" w:eastAsia="宋体"/>
          <w:b/>
          <w:color w:val="auto"/>
          <w:sz w:val="28"/>
          <w:highlight w:val="none"/>
          <w:lang w:eastAsia="zh-CN"/>
        </w:rPr>
      </w:pPr>
    </w:p>
    <w:p w14:paraId="0F311078">
      <w:pPr>
        <w:pStyle w:val="15"/>
        <w:rPr>
          <w:rFonts w:hint="eastAsia" w:ascii="宋体" w:hAnsi="宋体" w:eastAsia="宋体"/>
          <w:b/>
          <w:color w:val="auto"/>
          <w:sz w:val="28"/>
          <w:highlight w:val="none"/>
          <w:lang w:eastAsia="zh-CN"/>
        </w:rPr>
      </w:pPr>
    </w:p>
    <w:p w14:paraId="4B9639B5">
      <w:pPr>
        <w:pStyle w:val="15"/>
        <w:rPr>
          <w:rFonts w:hint="eastAsia" w:ascii="宋体" w:hAnsi="宋体" w:eastAsia="宋体"/>
          <w:b/>
          <w:color w:val="auto"/>
          <w:sz w:val="28"/>
          <w:highlight w:val="none"/>
          <w:lang w:eastAsia="zh-CN"/>
        </w:rPr>
      </w:pPr>
    </w:p>
    <w:p w14:paraId="14A0332A">
      <w:pPr>
        <w:pStyle w:val="9"/>
        <w:rPr>
          <w:color w:val="auto"/>
          <w:highlight w:val="none"/>
        </w:rPr>
      </w:pPr>
    </w:p>
    <w:p w14:paraId="548132F4">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644B6933">
      <w:pPr>
        <w:spacing w:line="360" w:lineRule="auto"/>
        <w:jc w:val="center"/>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11D7D48E">
      <w:pPr>
        <w:snapToGrid w:val="0"/>
        <w:spacing w:beforeLines="50" w:after="50" w:line="288" w:lineRule="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台州中亿工程管理有限公司：</w:t>
      </w:r>
    </w:p>
    <w:p w14:paraId="7C7C102F">
      <w:pPr>
        <w:snapToGrid w:val="0"/>
        <w:spacing w:beforeLines="50" w:after="50" w:line="324"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u w:val="single"/>
        </w:rPr>
        <w:t>（供应商名称）</w:t>
      </w:r>
      <w:r>
        <w:rPr>
          <w:rFonts w:hint="eastAsia" w:ascii="宋体" w:hAnsi="宋体" w:cs="宋体"/>
          <w:color w:val="auto"/>
          <w:kern w:val="0"/>
          <w:sz w:val="22"/>
          <w:szCs w:val="22"/>
          <w:highlight w:val="none"/>
        </w:rPr>
        <w:t>系中华人民共和国合法企业，经营地址：。</w:t>
      </w:r>
    </w:p>
    <w:p w14:paraId="1E8BC6DC">
      <w:pPr>
        <w:snapToGrid w:val="0"/>
        <w:spacing w:beforeLines="50" w:after="50"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w:t>
      </w:r>
      <w:r>
        <w:rPr>
          <w:rFonts w:hint="eastAsia" w:ascii="宋体" w:hAnsi="宋体" w:cs="宋体"/>
          <w:color w:val="auto"/>
          <w:kern w:val="0"/>
          <w:sz w:val="22"/>
          <w:szCs w:val="22"/>
          <w:highlight w:val="none"/>
          <w:u w:val="single"/>
        </w:rPr>
        <w:t xml:space="preserve"> 姓名 </w:t>
      </w:r>
      <w:r>
        <w:rPr>
          <w:rFonts w:hint="eastAsia" w:ascii="宋体" w:hAnsi="宋体" w:cs="宋体"/>
          <w:color w:val="auto"/>
          <w:kern w:val="0"/>
          <w:sz w:val="22"/>
          <w:szCs w:val="22"/>
          <w:highlight w:val="none"/>
        </w:rPr>
        <w:t>）系（</w:t>
      </w:r>
      <w:r>
        <w:rPr>
          <w:rFonts w:hint="eastAsia" w:ascii="宋体" w:hAnsi="宋体" w:cs="宋体"/>
          <w:color w:val="auto"/>
          <w:kern w:val="0"/>
          <w:sz w:val="22"/>
          <w:szCs w:val="22"/>
          <w:highlight w:val="none"/>
          <w:u w:val="single"/>
        </w:rPr>
        <w:t xml:space="preserve"> 供应商名称 </w:t>
      </w:r>
      <w:r>
        <w:rPr>
          <w:rFonts w:hint="eastAsia" w:ascii="宋体" w:hAnsi="宋体" w:cs="宋体"/>
          <w:color w:val="auto"/>
          <w:kern w:val="0"/>
          <w:sz w:val="22"/>
          <w:szCs w:val="22"/>
          <w:highlight w:val="none"/>
        </w:rPr>
        <w:t>）的法定代表人（负责人），我公司自愿参加贵方组织的</w:t>
      </w:r>
      <w:r>
        <w:rPr>
          <w:rFonts w:hint="eastAsia" w:ascii="宋体" w:hAnsi="宋体" w:cs="宋体"/>
          <w:color w:val="auto"/>
          <w:kern w:val="0"/>
          <w:sz w:val="22"/>
          <w:szCs w:val="22"/>
          <w:highlight w:val="none"/>
          <w:u w:val="single"/>
          <w:lang w:eastAsia="zh-CN"/>
        </w:rPr>
        <w:t>台州市椒江区医疗保障局长期护理保险支出户专户的招标项目</w:t>
      </w:r>
      <w:r>
        <w:rPr>
          <w:rFonts w:hint="eastAsia" w:ascii="宋体" w:hAnsi="宋体" w:cs="宋体"/>
          <w:color w:val="auto"/>
          <w:kern w:val="0"/>
          <w:sz w:val="22"/>
          <w:szCs w:val="22"/>
          <w:highlight w:val="none"/>
        </w:rPr>
        <w:t>公开招标（编号：</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rPr>
        <w:t>）的投标，为此，我公司就本次投标有关事项郑重声明如下：</w:t>
      </w:r>
    </w:p>
    <w:p w14:paraId="679E0844">
      <w:pPr>
        <w:snapToGrid w:val="0"/>
        <w:spacing w:beforeLines="50" w:after="50" w:line="360" w:lineRule="auto"/>
        <w:ind w:firstLine="440" w:firstLineChars="200"/>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szCs w:val="22"/>
          <w:highlight w:val="none"/>
        </w:rPr>
        <w:t>我公司声明截止投标时间近三年以来：在政府采购领域中的项目招标、投标和合同履约期间无在处罚期限内的任何不当行为记录；无重大违法记录（重大违法记录是指供应商因违法经营受到刑事处罚或者责令停产停业、吊销许可证或者执照、较大数额罚款等行政处罚）。</w:t>
      </w:r>
    </w:p>
    <w:p w14:paraId="0D793CCE">
      <w:pPr>
        <w:snapToGrid w:val="0"/>
        <w:spacing w:beforeLines="50" w:after="50"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192D453">
      <w:pPr>
        <w:snapToGrid w:val="0"/>
        <w:spacing w:beforeLines="50" w:after="5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3、我</w:t>
      </w:r>
      <w:r>
        <w:rPr>
          <w:rFonts w:hint="eastAsia" w:ascii="宋体" w:hAnsi="宋体" w:cs="宋体"/>
          <w:color w:val="auto"/>
          <w:kern w:val="0"/>
          <w:sz w:val="22"/>
          <w:szCs w:val="22"/>
          <w:highlight w:val="none"/>
          <w:lang w:val="zh-CN"/>
        </w:rPr>
        <w:t>公司</w:t>
      </w:r>
      <w:r>
        <w:rPr>
          <w:rFonts w:hint="eastAsia" w:ascii="宋体" w:hAnsi="宋体" w:cs="宋体"/>
          <w:color w:val="auto"/>
          <w:sz w:val="22"/>
          <w:szCs w:val="22"/>
          <w:highlight w:val="none"/>
        </w:rPr>
        <w:t>不是采购人的附属机构；在获知本项目采购信息后，与采购人聘请的为此项目提供咨询服务的公司及其附属机构没有任何联系。</w:t>
      </w:r>
    </w:p>
    <w:p w14:paraId="647DA586">
      <w:pPr>
        <w:snapToGrid w:val="0"/>
        <w:spacing w:beforeLines="50" w:after="50" w:line="360" w:lineRule="auto"/>
        <w:ind w:firstLine="440" w:firstLineChars="200"/>
        <w:rPr>
          <w:rFonts w:ascii="宋体" w:hAnsi="宋体" w:cs="宋体"/>
          <w:color w:val="auto"/>
          <w:kern w:val="0"/>
          <w:sz w:val="22"/>
          <w:szCs w:val="22"/>
          <w:highlight w:val="none"/>
          <w:lang w:val="af-ZA"/>
        </w:rPr>
      </w:pPr>
      <w:r>
        <w:rPr>
          <w:rFonts w:hint="eastAsia" w:ascii="宋体" w:hAnsi="宋体" w:cs="宋体"/>
          <w:color w:val="auto"/>
          <w:sz w:val="22"/>
          <w:szCs w:val="22"/>
          <w:highlight w:val="none"/>
        </w:rPr>
        <w:t>4、</w:t>
      </w:r>
      <w:r>
        <w:rPr>
          <w:rFonts w:hint="eastAsia" w:ascii="宋体" w:hAnsi="宋体" w:cs="宋体"/>
          <w:color w:val="auto"/>
          <w:kern w:val="0"/>
          <w:sz w:val="22"/>
          <w:szCs w:val="22"/>
          <w:highlight w:val="none"/>
        </w:rPr>
        <w:t>我</w:t>
      </w:r>
      <w:r>
        <w:rPr>
          <w:rFonts w:hint="eastAsia" w:ascii="宋体" w:hAnsi="宋体" w:cs="宋体"/>
          <w:color w:val="auto"/>
          <w:kern w:val="0"/>
          <w:sz w:val="22"/>
          <w:szCs w:val="22"/>
          <w:highlight w:val="none"/>
          <w:lang w:val="zh-CN"/>
        </w:rPr>
        <w:t>公司</w:t>
      </w:r>
      <w:r>
        <w:rPr>
          <w:rFonts w:hint="eastAsia" w:ascii="宋体" w:hAnsi="宋体" w:cs="宋体"/>
          <w:color w:val="auto"/>
          <w:kern w:val="0"/>
          <w:sz w:val="22"/>
          <w:szCs w:val="22"/>
          <w:highlight w:val="none"/>
        </w:rPr>
        <w:t>保证，</w:t>
      </w:r>
      <w:r>
        <w:rPr>
          <w:rFonts w:hint="eastAsia" w:ascii="宋体" w:hAnsi="宋体" w:cs="宋体"/>
          <w:color w:val="auto"/>
          <w:kern w:val="0"/>
          <w:sz w:val="22"/>
          <w:szCs w:val="22"/>
          <w:highlight w:val="none"/>
          <w:lang w:val="af-ZA"/>
        </w:rPr>
        <w:t>采购人在中华人民共和国境内使用</w:t>
      </w:r>
      <w:r>
        <w:rPr>
          <w:rFonts w:hint="eastAsia" w:ascii="宋体" w:hAnsi="宋体" w:cs="宋体"/>
          <w:color w:val="auto"/>
          <w:kern w:val="0"/>
          <w:sz w:val="22"/>
          <w:szCs w:val="22"/>
          <w:highlight w:val="none"/>
        </w:rPr>
        <w:t>我</w:t>
      </w:r>
      <w:r>
        <w:rPr>
          <w:rFonts w:hint="eastAsia" w:ascii="宋体" w:hAnsi="宋体" w:cs="宋体"/>
          <w:color w:val="auto"/>
          <w:kern w:val="0"/>
          <w:sz w:val="22"/>
          <w:szCs w:val="22"/>
          <w:highlight w:val="none"/>
          <w:lang w:val="zh-CN"/>
        </w:rPr>
        <w:t>公司</w:t>
      </w:r>
      <w:r>
        <w:rPr>
          <w:rFonts w:hint="eastAsia" w:ascii="宋体" w:hAnsi="宋体" w:cs="宋体"/>
          <w:color w:val="auto"/>
          <w:kern w:val="0"/>
          <w:sz w:val="22"/>
          <w:szCs w:val="2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CECF706">
      <w:pPr>
        <w:snapToGrid w:val="0"/>
        <w:spacing w:beforeLines="50" w:after="50" w:line="360" w:lineRule="auto"/>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lang w:val="af-ZA"/>
        </w:rPr>
        <w:t>5、我</w:t>
      </w:r>
      <w:r>
        <w:rPr>
          <w:rFonts w:hint="eastAsia" w:ascii="宋体" w:hAnsi="宋体" w:cs="宋体"/>
          <w:color w:val="auto"/>
          <w:kern w:val="0"/>
          <w:sz w:val="22"/>
          <w:szCs w:val="22"/>
          <w:highlight w:val="none"/>
          <w:lang w:val="zh-CN"/>
        </w:rPr>
        <w:t>公司</w:t>
      </w:r>
      <w:r>
        <w:rPr>
          <w:rFonts w:hint="eastAsia" w:ascii="宋体" w:hAnsi="宋体" w:cs="宋体"/>
          <w:color w:val="auto"/>
          <w:kern w:val="0"/>
          <w:sz w:val="22"/>
          <w:szCs w:val="22"/>
          <w:highlight w:val="none"/>
          <w:lang w:val="af-ZA"/>
        </w:rPr>
        <w:t>严格履行采购合同，不降低合同约定的产品质量和服务，不擅自变更、中止、终止合同，或拒绝履行合同义务；</w:t>
      </w:r>
    </w:p>
    <w:p w14:paraId="42062970">
      <w:pPr>
        <w:snapToGrid w:val="0"/>
        <w:spacing w:beforeLines="50" w:after="5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6、以上事项如有虚假或隐瞒，我</w:t>
      </w:r>
      <w:r>
        <w:rPr>
          <w:rFonts w:hint="eastAsia" w:ascii="宋体" w:hAnsi="宋体" w:cs="宋体"/>
          <w:color w:val="auto"/>
          <w:kern w:val="0"/>
          <w:sz w:val="22"/>
          <w:szCs w:val="22"/>
          <w:highlight w:val="none"/>
          <w:lang w:val="zh-CN"/>
        </w:rPr>
        <w:t>公司</w:t>
      </w:r>
      <w:r>
        <w:rPr>
          <w:rFonts w:hint="eastAsia" w:ascii="宋体" w:hAnsi="宋体" w:cs="宋体"/>
          <w:color w:val="auto"/>
          <w:sz w:val="22"/>
          <w:szCs w:val="22"/>
          <w:highlight w:val="none"/>
        </w:rPr>
        <w:t>愿意承担一切后果，并不再寻求任何旨在减轻或免除法律责任的辩解。</w:t>
      </w:r>
    </w:p>
    <w:p w14:paraId="40A35E41">
      <w:pPr>
        <w:adjustRightInd w:val="0"/>
        <w:snapToGrid w:val="0"/>
        <w:spacing w:line="360" w:lineRule="auto"/>
        <w:ind w:firstLine="480"/>
        <w:rPr>
          <w:rFonts w:ascii="宋体" w:hAnsi="宋体" w:cs="宋体"/>
          <w:color w:val="auto"/>
          <w:kern w:val="0"/>
          <w:sz w:val="22"/>
          <w:szCs w:val="22"/>
          <w:highlight w:val="none"/>
        </w:rPr>
      </w:pPr>
    </w:p>
    <w:p w14:paraId="269C2499">
      <w:pPr>
        <w:widowControl/>
        <w:shd w:val="clear" w:color="auto" w:fill="FFFFFF"/>
        <w:wordWrap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投标人名称（盖章）：</w:t>
      </w:r>
    </w:p>
    <w:p w14:paraId="01AF15A6">
      <w:pPr>
        <w:spacing w:line="360" w:lineRule="auto"/>
        <w:ind w:firstLine="435"/>
        <w:jc w:val="right"/>
        <w:rPr>
          <w:rFonts w:ascii="宋体" w:hAnsi="宋体" w:cs="宋体"/>
          <w:color w:val="auto"/>
          <w:sz w:val="24"/>
          <w:highlight w:val="none"/>
        </w:rPr>
      </w:pPr>
      <w:r>
        <w:rPr>
          <w:rFonts w:hint="eastAsia" w:ascii="宋体" w:hAnsi="宋体" w:eastAsia="宋体" w:cs="宋体"/>
          <w:color w:val="auto"/>
          <w:sz w:val="24"/>
          <w:highlight w:val="none"/>
        </w:rPr>
        <w:t>法定代表人（负责人）或授权委托</w:t>
      </w:r>
      <w:r>
        <w:rPr>
          <w:rFonts w:hint="eastAsia" w:ascii="宋体" w:hAnsi="宋体" w:cs="宋体"/>
          <w:color w:val="auto"/>
          <w:sz w:val="24"/>
          <w:highlight w:val="none"/>
        </w:rPr>
        <w:t>人(签字或盖章)：</w:t>
      </w:r>
    </w:p>
    <w:p w14:paraId="4ABAD6A5">
      <w:pPr>
        <w:spacing w:line="360" w:lineRule="auto"/>
        <w:ind w:firstLine="435"/>
        <w:jc w:val="center"/>
        <w:rPr>
          <w:rFonts w:ascii="宋体" w:hAnsi="宋体"/>
          <w:b/>
          <w:color w:val="auto"/>
          <w:sz w:val="28"/>
          <w:highlight w:val="none"/>
          <w:lang w:val="zh-CN"/>
        </w:rPr>
      </w:pPr>
      <w:r>
        <w:rPr>
          <w:rFonts w:hint="eastAsia" w:ascii="宋体" w:hAnsi="宋体" w:cs="宋体"/>
          <w:color w:val="auto"/>
          <w:sz w:val="24"/>
          <w:highlight w:val="none"/>
        </w:rPr>
        <w:t xml:space="preserve">        日        期：</w:t>
      </w:r>
    </w:p>
    <w:p w14:paraId="27E3A748">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lang w:val="zh-CN"/>
        </w:rPr>
        <w:t>附件</w:t>
      </w:r>
      <w:r>
        <w:rPr>
          <w:rFonts w:hint="eastAsia" w:ascii="宋体" w:hAnsi="宋体"/>
          <w:b/>
          <w:color w:val="auto"/>
          <w:sz w:val="28"/>
          <w:highlight w:val="none"/>
          <w:lang w:val="en-US" w:eastAsia="zh-CN"/>
        </w:rPr>
        <w:t>3</w:t>
      </w:r>
    </w:p>
    <w:p w14:paraId="19C8DE3D">
      <w:pPr>
        <w:pStyle w:val="6"/>
        <w:overflowPunct w:val="0"/>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3D89BC32">
      <w:pPr>
        <w:pStyle w:val="39"/>
        <w:spacing w:line="360" w:lineRule="auto"/>
        <w:jc w:val="center"/>
        <w:rPr>
          <w:rFonts w:hAnsi="宋体" w:eastAsia="宋体"/>
          <w:b/>
          <w:color w:val="auto"/>
          <w:sz w:val="21"/>
          <w:szCs w:val="21"/>
          <w:highlight w:val="none"/>
        </w:rPr>
      </w:pPr>
    </w:p>
    <w:p w14:paraId="21EAEBA4">
      <w:pPr>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致：</w:t>
      </w:r>
      <w:r>
        <w:rPr>
          <w:rFonts w:hint="eastAsia" w:ascii="宋体" w:hAnsi="宋体" w:cs="宋体"/>
          <w:color w:val="auto"/>
          <w:szCs w:val="21"/>
          <w:highlight w:val="none"/>
          <w:u w:val="single"/>
          <w:lang w:eastAsia="zh-CN"/>
        </w:rPr>
        <w:t>台州市椒江区医疗保障局</w:t>
      </w:r>
    </w:p>
    <w:p w14:paraId="7F879BB6">
      <w:pPr>
        <w:pStyle w:val="39"/>
        <w:spacing w:line="360" w:lineRule="auto"/>
        <w:ind w:right="-252" w:rightChars="-120"/>
        <w:rPr>
          <w:rFonts w:hAnsi="宋体" w:eastAsia="宋体"/>
          <w:color w:val="auto"/>
          <w:sz w:val="21"/>
          <w:szCs w:val="21"/>
          <w:highlight w:val="none"/>
        </w:rPr>
      </w:pPr>
      <w:r>
        <w:rPr>
          <w:rFonts w:hint="eastAsia" w:hAnsi="宋体" w:eastAsia="宋体"/>
          <w:color w:val="auto"/>
          <w:sz w:val="21"/>
          <w:szCs w:val="21"/>
          <w:highlight w:val="none"/>
        </w:rPr>
        <w:t xml:space="preserve">     根据你方</w:t>
      </w:r>
      <w:r>
        <w:rPr>
          <w:rFonts w:hint="eastAsia" w:hAnsi="宋体" w:eastAsia="宋体" w:cs="宋体"/>
          <w:color w:val="auto"/>
          <w:sz w:val="21"/>
          <w:szCs w:val="21"/>
          <w:highlight w:val="none"/>
          <w:u w:val="single"/>
          <w:lang w:eastAsia="zh-CN"/>
        </w:rPr>
        <w:t>台州市椒江区医疗保障局长期护理保险支出户专户的招标项目</w:t>
      </w:r>
      <w:r>
        <w:rPr>
          <w:rFonts w:hint="eastAsia" w:hAnsi="宋体" w:eastAsia="宋体"/>
          <w:color w:val="auto"/>
          <w:sz w:val="21"/>
          <w:szCs w:val="21"/>
          <w:highlight w:val="none"/>
        </w:rPr>
        <w:t>的招标文件，经仔细阅读和研究，决定购买标书并参加投标。</w:t>
      </w:r>
    </w:p>
    <w:p w14:paraId="77758A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1、我们愿意按照招标文件的一切要求，决定投该项目的全部内容。</w:t>
      </w:r>
    </w:p>
    <w:p w14:paraId="314B47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2、我们愿意提供招标方在招标文件中要求的所有资料。</w:t>
      </w:r>
    </w:p>
    <w:p w14:paraId="0260EF29">
      <w:pPr>
        <w:pStyle w:val="39"/>
        <w:spacing w:line="360" w:lineRule="auto"/>
        <w:ind w:firstLine="420" w:firstLineChars="200"/>
        <w:rPr>
          <w:rFonts w:hAnsi="宋体" w:eastAsia="宋体"/>
          <w:color w:val="auto"/>
          <w:sz w:val="21"/>
          <w:szCs w:val="21"/>
          <w:highlight w:val="none"/>
        </w:rPr>
      </w:pPr>
      <w:r>
        <w:rPr>
          <w:rFonts w:hint="eastAsia" w:hAnsi="宋体" w:eastAsia="宋体"/>
          <w:color w:val="auto"/>
          <w:sz w:val="21"/>
          <w:szCs w:val="21"/>
          <w:highlight w:val="none"/>
        </w:rPr>
        <w:t>3、</w:t>
      </w:r>
      <w:r>
        <w:rPr>
          <w:rFonts w:hAnsi="宋体" w:eastAsia="宋体"/>
          <w:color w:val="auto"/>
          <w:sz w:val="21"/>
          <w:szCs w:val="21"/>
          <w:highlight w:val="none"/>
        </w:rPr>
        <w:t>我们同意从规定的开标日期起遵循本投标文件，并在规定的投标有效期期满之前均具有约束力</w:t>
      </w:r>
      <w:r>
        <w:rPr>
          <w:rFonts w:hint="eastAsia" w:hAnsi="宋体" w:eastAsia="宋体"/>
          <w:color w:val="auto"/>
          <w:sz w:val="21"/>
          <w:szCs w:val="21"/>
          <w:highlight w:val="none"/>
        </w:rPr>
        <w:t>。</w:t>
      </w:r>
    </w:p>
    <w:p w14:paraId="2983014E">
      <w:pPr>
        <w:spacing w:line="520" w:lineRule="exact"/>
        <w:ind w:firstLine="420" w:firstLineChars="200"/>
        <w:rPr>
          <w:rFonts w:eastAsia="仿宋_GB2312"/>
          <w:color w:val="auto"/>
          <w:szCs w:val="21"/>
          <w:highlight w:val="none"/>
        </w:rPr>
      </w:pPr>
      <w:r>
        <w:rPr>
          <w:rFonts w:hint="eastAsia" w:hAnsi="宋体"/>
          <w:color w:val="auto"/>
          <w:szCs w:val="21"/>
          <w:highlight w:val="none"/>
        </w:rPr>
        <w:t>4、</w:t>
      </w:r>
      <w:r>
        <w:rPr>
          <w:color w:val="auto"/>
          <w:szCs w:val="21"/>
          <w:highlight w:val="none"/>
        </w:rPr>
        <w:t>保证严格执行招标文件规定的合同条款，并承担合同规定的责任义务</w:t>
      </w:r>
      <w:r>
        <w:rPr>
          <w:rFonts w:hint="eastAsia"/>
          <w:color w:val="auto"/>
          <w:szCs w:val="21"/>
          <w:highlight w:val="none"/>
        </w:rPr>
        <w:t>。</w:t>
      </w:r>
    </w:p>
    <w:p w14:paraId="67CFAD5F">
      <w:pPr>
        <w:pStyle w:val="39"/>
        <w:spacing w:line="360" w:lineRule="auto"/>
        <w:rPr>
          <w:rFonts w:hAnsi="宋体" w:eastAsia="宋体"/>
          <w:color w:val="auto"/>
          <w:sz w:val="21"/>
          <w:szCs w:val="21"/>
          <w:highlight w:val="none"/>
        </w:rPr>
      </w:pPr>
      <w:r>
        <w:rPr>
          <w:rFonts w:hint="eastAsia" w:hAnsi="宋体" w:eastAsia="宋体"/>
          <w:color w:val="auto"/>
          <w:sz w:val="21"/>
          <w:szCs w:val="21"/>
          <w:highlight w:val="none"/>
        </w:rPr>
        <w:t xml:space="preserve">    5、我们愿意遵守招标通告及招标文件中所列的收费标准。</w:t>
      </w:r>
    </w:p>
    <w:p w14:paraId="290358B6">
      <w:pPr>
        <w:pStyle w:val="39"/>
        <w:spacing w:line="360" w:lineRule="auto"/>
        <w:ind w:firstLine="420" w:firstLineChars="200"/>
        <w:rPr>
          <w:rFonts w:hAnsi="宋体" w:eastAsia="宋体"/>
          <w:color w:val="auto"/>
          <w:sz w:val="21"/>
          <w:szCs w:val="21"/>
          <w:highlight w:val="none"/>
        </w:rPr>
      </w:pPr>
      <w:r>
        <w:rPr>
          <w:rFonts w:hint="eastAsia" w:hAnsi="宋体" w:eastAsia="宋体"/>
          <w:color w:val="auto"/>
          <w:sz w:val="21"/>
          <w:szCs w:val="21"/>
          <w:highlight w:val="none"/>
        </w:rPr>
        <w:t>6、我们承诺该项投标在开标后的全过程中保持有效，不作任何更改和变动。</w:t>
      </w:r>
    </w:p>
    <w:p w14:paraId="48137C22">
      <w:pPr>
        <w:pStyle w:val="39"/>
        <w:spacing w:line="360" w:lineRule="auto"/>
        <w:ind w:right="-252" w:rightChars="-120" w:firstLine="420" w:firstLineChars="200"/>
        <w:rPr>
          <w:rFonts w:hAnsi="宋体" w:eastAsia="宋体"/>
          <w:color w:val="auto"/>
          <w:sz w:val="21"/>
          <w:szCs w:val="21"/>
          <w:highlight w:val="none"/>
        </w:rPr>
      </w:pPr>
      <w:r>
        <w:rPr>
          <w:rFonts w:hint="eastAsia" w:hAnsi="宋体" w:eastAsia="宋体"/>
          <w:color w:val="auto"/>
          <w:sz w:val="21"/>
          <w:szCs w:val="21"/>
          <w:highlight w:val="none"/>
        </w:rPr>
        <w:t>7、我们愿意按招标文件的规定交纳投标保证金。</w:t>
      </w:r>
    </w:p>
    <w:p w14:paraId="10C7DC44">
      <w:pPr>
        <w:pStyle w:val="39"/>
        <w:spacing w:line="360" w:lineRule="auto"/>
        <w:ind w:firstLine="420" w:firstLineChars="200"/>
        <w:rPr>
          <w:rFonts w:hAnsi="宋体" w:eastAsia="宋体"/>
          <w:color w:val="auto"/>
          <w:sz w:val="21"/>
          <w:szCs w:val="21"/>
          <w:highlight w:val="none"/>
        </w:rPr>
      </w:pPr>
      <w:r>
        <w:rPr>
          <w:rFonts w:hint="eastAsia" w:hAnsi="宋体" w:eastAsia="宋体"/>
          <w:color w:val="auto"/>
          <w:sz w:val="21"/>
          <w:szCs w:val="21"/>
          <w:highlight w:val="none"/>
        </w:rPr>
        <w:t>8、如果我们中标，我们愿意在签订合同时按招标文件要求支付中标服务费。</w:t>
      </w:r>
    </w:p>
    <w:p w14:paraId="44E6EC33">
      <w:pPr>
        <w:overflowPunct w:val="0"/>
        <w:spacing w:line="360" w:lineRule="auto"/>
        <w:ind w:right="-315" w:rightChars="-150" w:firstLine="420" w:firstLineChars="200"/>
        <w:rPr>
          <w:rFonts w:ascii="宋体" w:hAnsi="宋体"/>
          <w:color w:val="auto"/>
          <w:szCs w:val="21"/>
          <w:highlight w:val="none"/>
        </w:rPr>
      </w:pPr>
      <w:r>
        <w:rPr>
          <w:rFonts w:hint="eastAsia" w:ascii="宋体" w:hAnsi="宋体"/>
          <w:color w:val="auto"/>
          <w:szCs w:val="21"/>
          <w:highlight w:val="none"/>
        </w:rPr>
        <w:t>9、所有有关本次投标的函电，请按下列方法联系。</w:t>
      </w:r>
    </w:p>
    <w:p w14:paraId="69426EA9">
      <w:pPr>
        <w:overflowPunct w:val="0"/>
        <w:spacing w:line="360" w:lineRule="auto"/>
        <w:ind w:right="-315" w:rightChars="-150" w:firstLine="420" w:firstLineChars="200"/>
        <w:rPr>
          <w:rFonts w:ascii="宋体" w:hAnsi="宋体"/>
          <w:color w:val="auto"/>
          <w:szCs w:val="21"/>
          <w:highlight w:val="none"/>
        </w:rPr>
      </w:pPr>
    </w:p>
    <w:p w14:paraId="6C69E82F">
      <w:pPr>
        <w:spacing w:line="360" w:lineRule="auto"/>
        <w:ind w:firstLine="2415" w:firstLineChars="1150"/>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（盖章）　　</w:t>
      </w:r>
    </w:p>
    <w:p w14:paraId="4E6A19D7">
      <w:pPr>
        <w:spacing w:line="360" w:lineRule="auto"/>
        <w:ind w:firstLine="2415" w:firstLineChars="1150"/>
        <w:rPr>
          <w:rFonts w:ascii="宋体" w:hAnsi="宋体"/>
          <w:color w:val="auto"/>
          <w:szCs w:val="21"/>
          <w:highlight w:val="none"/>
          <w:u w:val="single"/>
        </w:rPr>
      </w:pPr>
      <w:r>
        <w:rPr>
          <w:rFonts w:hint="eastAsia" w:ascii="宋体" w:hAnsi="宋体"/>
          <w:color w:val="auto"/>
          <w:szCs w:val="21"/>
          <w:highlight w:val="none"/>
        </w:rPr>
        <w:t>单位地址：</w:t>
      </w:r>
      <w:r>
        <w:rPr>
          <w:rFonts w:hint="eastAsia" w:ascii="宋体" w:hAnsi="宋体"/>
          <w:color w:val="auto"/>
          <w:szCs w:val="21"/>
          <w:highlight w:val="none"/>
          <w:u w:val="single"/>
        </w:rPr>
        <w:t>　　　　　　　　　　　　　　　　　　</w:t>
      </w:r>
    </w:p>
    <w:p w14:paraId="1F4E4C54">
      <w:pPr>
        <w:spacing w:line="360" w:lineRule="auto"/>
        <w:ind w:firstLine="2415" w:firstLineChars="1150"/>
        <w:rPr>
          <w:rFonts w:ascii="宋体" w:hAnsi="宋体"/>
          <w:color w:val="auto"/>
          <w:szCs w:val="21"/>
          <w:highlight w:val="none"/>
          <w:u w:val="single"/>
        </w:rPr>
      </w:pPr>
      <w:r>
        <w:rPr>
          <w:rFonts w:hint="eastAsia" w:ascii="宋体" w:hAnsi="宋体"/>
          <w:color w:val="auto"/>
          <w:szCs w:val="21"/>
          <w:highlight w:val="none"/>
        </w:rPr>
        <w:t>法定代表人（负责人）或其委托代理人：</w:t>
      </w:r>
      <w:r>
        <w:rPr>
          <w:rFonts w:hint="eastAsia" w:ascii="宋体" w:hAnsi="宋体"/>
          <w:color w:val="auto"/>
          <w:szCs w:val="21"/>
          <w:highlight w:val="none"/>
          <w:u w:val="single"/>
        </w:rPr>
        <w:t>　　（签字或盖章）　</w:t>
      </w:r>
    </w:p>
    <w:p w14:paraId="46DC5D5F">
      <w:pPr>
        <w:spacing w:line="360" w:lineRule="auto"/>
        <w:ind w:firstLine="2415" w:firstLineChars="115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w:t>
      </w:r>
      <w:r>
        <w:rPr>
          <w:rFonts w:hint="eastAsia" w:ascii="宋体" w:hAnsi="宋体"/>
          <w:color w:val="auto"/>
          <w:szCs w:val="21"/>
          <w:highlight w:val="none"/>
        </w:rPr>
        <w:t>电话：</w:t>
      </w:r>
      <w:r>
        <w:rPr>
          <w:rFonts w:hint="eastAsia" w:ascii="宋体" w:hAnsi="宋体"/>
          <w:color w:val="auto"/>
          <w:szCs w:val="21"/>
          <w:highlight w:val="none"/>
          <w:u w:val="single"/>
        </w:rPr>
        <w:t>　　　　</w:t>
      </w:r>
      <w:r>
        <w:rPr>
          <w:rFonts w:hint="eastAsia" w:ascii="宋体" w:hAnsi="宋体"/>
          <w:color w:val="auto"/>
          <w:szCs w:val="21"/>
          <w:highlight w:val="none"/>
        </w:rPr>
        <w:t>传真：</w:t>
      </w:r>
      <w:r>
        <w:rPr>
          <w:rFonts w:hint="eastAsia" w:ascii="宋体" w:hAnsi="宋体"/>
          <w:color w:val="auto"/>
          <w:szCs w:val="21"/>
          <w:highlight w:val="none"/>
          <w:u w:val="single"/>
        </w:rPr>
        <w:t>　　　　</w:t>
      </w:r>
    </w:p>
    <w:p w14:paraId="1322A501">
      <w:pPr>
        <w:spacing w:line="360" w:lineRule="auto"/>
        <w:ind w:firstLine="2415" w:firstLineChars="1150"/>
        <w:rPr>
          <w:rFonts w:ascii="宋体" w:hAnsi="宋体"/>
          <w:color w:val="auto"/>
          <w:szCs w:val="21"/>
          <w:highlight w:val="none"/>
        </w:rPr>
      </w:pPr>
      <w:r>
        <w:rPr>
          <w:rFonts w:hint="eastAsia" w:ascii="宋体" w:hAnsi="宋体"/>
          <w:color w:val="auto"/>
          <w:szCs w:val="21"/>
          <w:highlight w:val="none"/>
        </w:rPr>
        <w:t>日期：　　　　　　　年　　　　　月　　　　　日</w:t>
      </w:r>
    </w:p>
    <w:p w14:paraId="714B00F6">
      <w:pPr>
        <w:adjustRightInd w:val="0"/>
        <w:snapToGrid w:val="0"/>
        <w:spacing w:line="360" w:lineRule="auto"/>
        <w:ind w:right="480"/>
        <w:rPr>
          <w:rFonts w:ascii="宋体" w:hAnsi="宋体"/>
          <w:b/>
          <w:color w:val="auto"/>
          <w:szCs w:val="21"/>
          <w:highlight w:val="none"/>
        </w:rPr>
      </w:pPr>
    </w:p>
    <w:p w14:paraId="268E49CC">
      <w:pPr>
        <w:rPr>
          <w:rFonts w:ascii="宋体" w:hAnsi="宋体" w:cs="宋体"/>
          <w:b/>
          <w:color w:val="auto"/>
          <w:sz w:val="28"/>
          <w:highlight w:val="none"/>
        </w:rPr>
      </w:pPr>
    </w:p>
    <w:p w14:paraId="270BCCF2">
      <w:pPr>
        <w:pStyle w:val="10"/>
        <w:rPr>
          <w:color w:val="auto"/>
          <w:highlight w:val="none"/>
        </w:rPr>
      </w:pPr>
    </w:p>
    <w:p w14:paraId="55951B81">
      <w:pPr>
        <w:spacing w:line="360" w:lineRule="auto"/>
        <w:ind w:firstLine="435"/>
        <w:jc w:val="center"/>
        <w:rPr>
          <w:rFonts w:ascii="宋体" w:hAnsi="宋体" w:cs="宋体"/>
          <w:color w:val="auto"/>
          <w:sz w:val="24"/>
          <w:highlight w:val="none"/>
          <w:u w:val="single"/>
        </w:rPr>
      </w:pPr>
    </w:p>
    <w:p w14:paraId="1964E09E">
      <w:pPr>
        <w:spacing w:line="360" w:lineRule="auto"/>
        <w:ind w:left="549" w:hanging="549" w:hangingChars="171"/>
        <w:jc w:val="center"/>
        <w:rPr>
          <w:rFonts w:hint="eastAsia"/>
          <w:b/>
          <w:color w:val="auto"/>
          <w:sz w:val="32"/>
          <w:szCs w:val="32"/>
          <w:highlight w:val="none"/>
        </w:rPr>
      </w:pPr>
    </w:p>
    <w:p w14:paraId="5FC4A089">
      <w:pPr>
        <w:spacing w:line="360" w:lineRule="auto"/>
        <w:ind w:left="549" w:hanging="549" w:hangingChars="171"/>
        <w:jc w:val="center"/>
        <w:rPr>
          <w:rFonts w:hint="eastAsia"/>
          <w:b/>
          <w:color w:val="auto"/>
          <w:sz w:val="32"/>
          <w:szCs w:val="32"/>
          <w:highlight w:val="none"/>
        </w:rPr>
      </w:pPr>
    </w:p>
    <w:p w14:paraId="3B1D5D49">
      <w:pPr>
        <w:spacing w:line="360" w:lineRule="auto"/>
        <w:rPr>
          <w:rFonts w:hint="eastAsia"/>
          <w:b/>
          <w:color w:val="auto"/>
          <w:sz w:val="32"/>
          <w:szCs w:val="32"/>
          <w:highlight w:val="none"/>
        </w:rPr>
      </w:pPr>
      <w:r>
        <w:rPr>
          <w:rFonts w:hint="eastAsia" w:ascii="宋体" w:hAnsi="宋体"/>
          <w:b/>
          <w:color w:val="auto"/>
          <w:sz w:val="28"/>
          <w:highlight w:val="none"/>
          <w:lang w:val="zh-CN"/>
        </w:rPr>
        <w:t>附件</w:t>
      </w:r>
      <w:r>
        <w:rPr>
          <w:rFonts w:hint="eastAsia" w:ascii="宋体" w:hAnsi="宋体"/>
          <w:b/>
          <w:color w:val="auto"/>
          <w:sz w:val="28"/>
          <w:highlight w:val="none"/>
          <w:lang w:val="en-US" w:eastAsia="zh-CN"/>
        </w:rPr>
        <w:t>4</w:t>
      </w:r>
    </w:p>
    <w:p w14:paraId="090244A7">
      <w:pPr>
        <w:spacing w:line="360" w:lineRule="auto"/>
        <w:ind w:left="549" w:hanging="549" w:hangingChars="171"/>
        <w:jc w:val="center"/>
        <w:rPr>
          <w:rFonts w:ascii="宋体" w:hAnsi="宋体"/>
          <w:b/>
          <w:color w:val="auto"/>
          <w:sz w:val="32"/>
          <w:szCs w:val="32"/>
          <w:highlight w:val="none"/>
        </w:rPr>
      </w:pPr>
      <w:r>
        <w:rPr>
          <w:rFonts w:hint="eastAsia"/>
          <w:b/>
          <w:color w:val="auto"/>
          <w:sz w:val="32"/>
          <w:szCs w:val="32"/>
          <w:highlight w:val="none"/>
        </w:rPr>
        <w:t>授权委托书</w:t>
      </w:r>
    </w:p>
    <w:p w14:paraId="2517C38E">
      <w:pPr>
        <w:pStyle w:val="13"/>
        <w:spacing w:line="500" w:lineRule="exact"/>
        <w:rPr>
          <w:rFonts w:hAnsi="宋体" w:cs="宋体"/>
          <w:b/>
          <w:color w:val="auto"/>
          <w:sz w:val="21"/>
          <w:szCs w:val="21"/>
          <w:highlight w:val="none"/>
        </w:rPr>
      </w:pPr>
      <w:r>
        <w:rPr>
          <w:rFonts w:hint="eastAsia" w:hAnsi="宋体" w:cs="宋体"/>
          <w:color w:val="auto"/>
          <w:kern w:val="0"/>
          <w:sz w:val="21"/>
          <w:szCs w:val="21"/>
          <w:highlight w:val="none"/>
          <w:u w:val="single"/>
        </w:rPr>
        <w:t>台州中亿工程管理有限公司</w:t>
      </w:r>
      <w:r>
        <w:rPr>
          <w:rFonts w:hint="eastAsia" w:hAnsi="宋体" w:cs="宋体"/>
          <w:b/>
          <w:color w:val="auto"/>
          <w:sz w:val="21"/>
          <w:szCs w:val="21"/>
          <w:highlight w:val="none"/>
        </w:rPr>
        <w:t>：</w:t>
      </w:r>
    </w:p>
    <w:p w14:paraId="50190A3C">
      <w:pPr>
        <w:pStyle w:val="13"/>
        <w:spacing w:line="500" w:lineRule="exact"/>
        <w:ind w:left="239" w:leftChars="114" w:firstLine="630" w:firstLineChars="300"/>
        <w:rPr>
          <w:rFonts w:hAnsi="宋体" w:cs="宋体"/>
          <w:color w:val="auto"/>
          <w:sz w:val="21"/>
          <w:szCs w:val="21"/>
          <w:highlight w:val="none"/>
        </w:rPr>
      </w:pPr>
      <w:r>
        <w:rPr>
          <w:rFonts w:hint="eastAsia" w:hAnsi="宋体" w:cs="宋体"/>
          <w:color w:val="auto"/>
          <w:sz w:val="21"/>
          <w:szCs w:val="21"/>
          <w:highlight w:val="none"/>
          <w:u w:val="single"/>
        </w:rPr>
        <w:t xml:space="preserve">  （供应商全称）  </w:t>
      </w:r>
      <w:r>
        <w:rPr>
          <w:rFonts w:hint="eastAsia" w:hAnsi="宋体" w:cs="宋体"/>
          <w:color w:val="auto"/>
          <w:sz w:val="21"/>
          <w:szCs w:val="21"/>
          <w:highlight w:val="none"/>
        </w:rPr>
        <w:t>法定代表人（负责人）（或营业执照中单位负责人）</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（法定代表人（负责人）或营业执照中单位负责人姓名） </w:t>
      </w:r>
      <w:r>
        <w:rPr>
          <w:rFonts w:hint="eastAsia" w:hAnsi="宋体" w:cs="宋体"/>
          <w:color w:val="auto"/>
          <w:sz w:val="21"/>
          <w:szCs w:val="21"/>
          <w:highlight w:val="none"/>
        </w:rPr>
        <w:t>授权</w:t>
      </w:r>
      <w:r>
        <w:rPr>
          <w:rFonts w:hint="eastAsia" w:hAnsi="宋体" w:cs="宋体"/>
          <w:color w:val="auto"/>
          <w:sz w:val="21"/>
          <w:szCs w:val="21"/>
          <w:highlight w:val="none"/>
          <w:u w:val="single"/>
        </w:rPr>
        <w:t xml:space="preserve">   （授权委托代理人姓名） </w:t>
      </w:r>
      <w:r>
        <w:rPr>
          <w:rFonts w:hint="eastAsia" w:hAnsi="宋体" w:cs="宋体"/>
          <w:color w:val="auto"/>
          <w:sz w:val="21"/>
          <w:szCs w:val="21"/>
          <w:highlight w:val="none"/>
        </w:rPr>
        <w:t>为授权委托代理人，参加贵单位组织的</w:t>
      </w:r>
      <w:r>
        <w:rPr>
          <w:rFonts w:hint="eastAsia" w:hAnsi="宋体" w:cs="宋体"/>
          <w:color w:val="auto"/>
          <w:sz w:val="21"/>
          <w:szCs w:val="21"/>
          <w:highlight w:val="none"/>
          <w:lang w:eastAsia="zh-CN"/>
        </w:rPr>
        <w:t>台州市椒江区医疗保障局长期护理保险支出户专户的招标项目</w:t>
      </w:r>
      <w:r>
        <w:rPr>
          <w:rFonts w:hint="eastAsia" w:hAnsi="宋体" w:cs="宋体"/>
          <w:color w:val="auto"/>
          <w:sz w:val="21"/>
          <w:szCs w:val="21"/>
          <w:highlight w:val="none"/>
        </w:rPr>
        <w:t>的采购活动，并代表我方全权办理针对上述项目的投标、开标、评标、签约等具体事务和签署相关文件。我方对授权委托代理人的签字事项负全部责任。</w:t>
      </w:r>
    </w:p>
    <w:p w14:paraId="03898CAC">
      <w:pPr>
        <w:pStyle w:val="13"/>
        <w:spacing w:line="500" w:lineRule="exact"/>
        <w:ind w:left="139" w:leftChars="66" w:firstLine="420" w:firstLineChars="200"/>
        <w:rPr>
          <w:rFonts w:hAnsi="宋体" w:cs="宋体"/>
          <w:color w:val="auto"/>
          <w:sz w:val="21"/>
          <w:szCs w:val="21"/>
          <w:highlight w:val="none"/>
        </w:rPr>
      </w:pPr>
      <w:r>
        <w:rPr>
          <w:rFonts w:hint="eastAsia" w:hAnsi="宋体" w:cs="宋体"/>
          <w:color w:val="auto"/>
          <w:sz w:val="21"/>
          <w:szCs w:val="21"/>
          <w:highlight w:val="none"/>
        </w:rPr>
        <w:t>在撤销授权的书面通知以前，本授权书一直有效。授权委托代理人在授权委托书有效期内签署的所有文件不因授权的撤销而失效。</w:t>
      </w:r>
    </w:p>
    <w:p w14:paraId="7AF3EC63">
      <w:pPr>
        <w:pStyle w:val="13"/>
        <w:spacing w:line="500" w:lineRule="exact"/>
        <w:ind w:left="139" w:leftChars="66" w:firstLine="420" w:firstLineChars="200"/>
        <w:rPr>
          <w:rFonts w:hAnsi="宋体" w:cs="宋体"/>
          <w:color w:val="auto"/>
          <w:sz w:val="21"/>
          <w:szCs w:val="21"/>
          <w:highlight w:val="none"/>
        </w:rPr>
      </w:pPr>
      <w:r>
        <w:rPr>
          <w:rFonts w:hint="eastAsia" w:hAnsi="宋体" w:cs="宋体"/>
          <w:color w:val="auto"/>
          <w:sz w:val="21"/>
          <w:szCs w:val="21"/>
          <w:highlight w:val="none"/>
        </w:rPr>
        <w:t>授权委托代理人无转委托权，特此委托。</w:t>
      </w:r>
    </w:p>
    <w:p w14:paraId="4B40C167">
      <w:pPr>
        <w:spacing w:line="360" w:lineRule="auto"/>
        <w:rPr>
          <w:color w:val="auto"/>
          <w:sz w:val="21"/>
          <w:szCs w:val="21"/>
          <w:highlight w:val="none"/>
        </w:rPr>
      </w:pPr>
    </w:p>
    <w:p w14:paraId="295C8B3E">
      <w:pPr>
        <w:spacing w:line="360" w:lineRule="auto"/>
        <w:rPr>
          <w:rFonts w:ascii="宋体" w:cs="宋体"/>
          <w:color w:val="auto"/>
          <w:sz w:val="21"/>
          <w:szCs w:val="21"/>
          <w:highlight w:val="none"/>
        </w:rPr>
      </w:pPr>
      <w:r>
        <w:rPr>
          <w:rFonts w:hint="eastAsia" w:ascii="宋体" w:cs="宋体"/>
          <w:color w:val="auto"/>
          <w:sz w:val="21"/>
          <w:szCs w:val="21"/>
          <w:highlight w:val="none"/>
        </w:rPr>
        <w:t>法定代表人（负责人）签字或盖章：</w:t>
      </w:r>
    </w:p>
    <w:p w14:paraId="72C20B5B">
      <w:pPr>
        <w:spacing w:line="360" w:lineRule="auto"/>
        <w:rPr>
          <w:rFonts w:ascii="宋体" w:cs="宋体"/>
          <w:color w:val="auto"/>
          <w:sz w:val="21"/>
          <w:szCs w:val="21"/>
          <w:highlight w:val="none"/>
        </w:rPr>
      </w:pPr>
    </w:p>
    <w:p w14:paraId="1188E4A6">
      <w:pPr>
        <w:spacing w:line="360" w:lineRule="auto"/>
        <w:rPr>
          <w:rFonts w:ascii="宋体" w:cs="宋体"/>
          <w:color w:val="auto"/>
          <w:sz w:val="21"/>
          <w:szCs w:val="21"/>
          <w:highlight w:val="none"/>
        </w:rPr>
      </w:pPr>
      <w:r>
        <w:rPr>
          <w:rFonts w:hint="eastAsia" w:ascii="宋体" w:cs="宋体"/>
          <w:color w:val="auto"/>
          <w:sz w:val="21"/>
          <w:szCs w:val="21"/>
          <w:highlight w:val="none"/>
        </w:rPr>
        <w:t>投标人全称（公章）：                              日期：</w:t>
      </w:r>
    </w:p>
    <w:p w14:paraId="77722870">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39B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56D17AD0">
            <w:pPr>
              <w:spacing w:line="440" w:lineRule="atLeast"/>
              <w:rPr>
                <w:rFonts w:hint="eastAsia" w:ascii="宋体" w:hAnsi="宋体" w:eastAsia="宋体" w:cs="宋体"/>
                <w:b/>
                <w:color w:val="auto"/>
                <w:sz w:val="21"/>
                <w:szCs w:val="21"/>
                <w:highlight w:val="none"/>
              </w:rPr>
            </w:pPr>
          </w:p>
          <w:p w14:paraId="18DBA78B">
            <w:pPr>
              <w:spacing w:line="440" w:lineRule="atLeast"/>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w:t>
            </w:r>
            <w:r>
              <w:rPr>
                <w:rFonts w:hint="eastAsia" w:ascii="宋体" w:cs="宋体"/>
                <w:color w:val="auto"/>
                <w:sz w:val="21"/>
                <w:szCs w:val="21"/>
                <w:highlight w:val="none"/>
              </w:rPr>
              <w:t>（负责人）</w:t>
            </w:r>
            <w:r>
              <w:rPr>
                <w:rFonts w:hint="eastAsia" w:ascii="宋体" w:hAnsi="宋体" w:eastAsia="宋体" w:cs="宋体"/>
                <w:b/>
                <w:color w:val="auto"/>
                <w:sz w:val="21"/>
                <w:szCs w:val="21"/>
                <w:highlight w:val="none"/>
              </w:rPr>
              <w:t>身份证复印件粘帖处</w:t>
            </w:r>
          </w:p>
        </w:tc>
      </w:tr>
    </w:tbl>
    <w:p w14:paraId="457DAF02">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cs="宋体"/>
          <w:color w:val="auto"/>
          <w:sz w:val="21"/>
          <w:szCs w:val="21"/>
          <w:highlight w:val="none"/>
        </w:rPr>
        <w:t>（负责人）</w:t>
      </w:r>
      <w:r>
        <w:rPr>
          <w:rFonts w:hint="eastAsia" w:ascii="宋体" w:hAnsi="宋体" w:eastAsia="宋体" w:cs="宋体"/>
          <w:color w:val="auto"/>
          <w:sz w:val="21"/>
          <w:szCs w:val="21"/>
          <w:highlight w:val="none"/>
        </w:rPr>
        <w:t xml:space="preserve">姓名：                                 </w:t>
      </w:r>
    </w:p>
    <w:p w14:paraId="30E340A9">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213E259">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632CF76">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F7ABCD2">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CC065BF">
      <w:pPr>
        <w:spacing w:line="440" w:lineRule="atLeast"/>
        <w:rPr>
          <w:rFonts w:hint="eastAsia" w:ascii="宋体" w:hAnsi="宋体" w:eastAsia="宋体" w:cs="宋体"/>
          <w:b/>
          <w:color w:val="auto"/>
          <w:sz w:val="21"/>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D8E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7B31504C">
            <w:pPr>
              <w:spacing w:line="440" w:lineRule="atLeast"/>
              <w:rPr>
                <w:rFonts w:hint="eastAsia" w:ascii="宋体" w:hAnsi="宋体" w:eastAsia="宋体" w:cs="宋体"/>
                <w:b/>
                <w:color w:val="auto"/>
                <w:sz w:val="21"/>
                <w:szCs w:val="21"/>
                <w:highlight w:val="none"/>
              </w:rPr>
            </w:pPr>
          </w:p>
          <w:p w14:paraId="342CF02F">
            <w:pPr>
              <w:spacing w:line="440" w:lineRule="atLeast"/>
              <w:ind w:firstLine="316" w:firstLine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全权代表身份证复印件粘帖处</w:t>
            </w:r>
          </w:p>
        </w:tc>
      </w:tr>
    </w:tbl>
    <w:p w14:paraId="5CF02E44">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全权代表姓名：       </w:t>
      </w:r>
    </w:p>
    <w:p w14:paraId="5C685A45">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23996B8">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邮箱：</w:t>
      </w:r>
    </w:p>
    <w:p w14:paraId="490FB347">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C83A598">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EF0232F">
      <w:pPr>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_5b8b_4f53">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14F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8B1A">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9B8D">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431C">
    <w:pPr>
      <w:spacing w:line="20" w:lineRule="atLeast"/>
      <w:rPr>
        <w:rFonts w:ascii="宋体" w:hAnsi="宋体" w:cs="宋体"/>
        <w:b/>
        <w:i/>
        <w:color w:val="000000"/>
        <w:kern w:val="0"/>
        <w:szCs w:val="21"/>
        <w:u w:val="single"/>
      </w:rPr>
    </w:pPr>
    <w:r>
      <w:rPr>
        <w:rFonts w:hint="eastAsia" w:ascii="宋体" w:hAnsi="宋体" w:cs="宋体"/>
        <w:b/>
        <w:i/>
        <w:color w:val="000000"/>
        <w:kern w:val="0"/>
        <w:szCs w:val="21"/>
        <w:u w:val="single"/>
        <w:lang w:eastAsia="zh-CN"/>
      </w:rPr>
      <w:t>台州市椒江区医疗保障局长期护理保险支出户专户的招标项目</w:t>
    </w:r>
    <w:r>
      <w:rPr>
        <w:rFonts w:hint="eastAsia" w:ascii="宋体" w:hAnsi="宋体" w:cs="宋体"/>
        <w:kern w:val="0"/>
        <w:sz w:val="18"/>
        <w:szCs w:val="18"/>
        <w:u w:val="single"/>
      </w:rPr>
      <w:t>招标文件</w: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2185" cy="170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170180"/>
                      </a:xfrm>
                      <a:prstGeom prst="rect">
                        <a:avLst/>
                      </a:prstGeom>
                      <a:noFill/>
                      <a:ln>
                        <a:noFill/>
                      </a:ln>
                      <a:effectLst/>
                    </wps:spPr>
                    <wps:txbx>
                      <w:txbxContent>
                        <w:p w14:paraId="1FEF40F4">
                          <w:pPr>
                            <w:pStyle w:val="1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4pt;width:76.55pt;mso-position-horizontal:right;mso-position-horizontal-relative:margin;mso-wrap-style:none;z-index:251659264;mso-width-relative:page;mso-height-relative:page;" filled="f" stroked="f" coordsize="21600,21600" o:gfxdata="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&#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1tlR0gAAAAQBAAAPAAAAAAAAAAEAIAAAACIAAABk&#10;cnMvZG93bnJldi54bWxQSwECFAAUAAAACACHTuJAlR4TXtMBAAClAwAADgAAAAAAAAABACAAAAAh&#10;AQAAZHJzL2Uyb0RvYy54bWxQSwUGAAAAAAYABgBZAQAAZgUAAAAA&#10;">
              <v:fill on="f" focussize="0,0"/>
              <v:stroke on="f"/>
              <v:imagedata o:title=""/>
              <o:lock v:ext="edit" aspectratio="f"/>
              <v:textbox inset="0mm,0mm,0mm,0mm" style="mso-fit-shape-to-text:t;">
                <w:txbxContent>
                  <w:p w14:paraId="1FEF40F4">
                    <w:pPr>
                      <w:pStyle w:val="16"/>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E010">
    <w:pPr>
      <w:spacing w:line="20" w:lineRule="atLeas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972185" cy="170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70180"/>
                      </a:xfrm>
                      <a:prstGeom prst="rect">
                        <a:avLst/>
                      </a:prstGeom>
                      <a:noFill/>
                      <a:ln>
                        <a:noFill/>
                      </a:ln>
                      <a:effectLst/>
                    </wps:spPr>
                    <wps:txbx>
                      <w:txbxContent>
                        <w:p w14:paraId="1F73E101">
                          <w:pPr>
                            <w:pStyle w:val="16"/>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4pt;width:76.55pt;mso-position-horizontal:right;mso-position-horizontal-relative:margin;mso-wrap-style:none;z-index:251660288;mso-width-relative:page;mso-height-relative:page;" filled="f" stroked="f" coordsize="21600,21600" o:gfxdata="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&#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9bZUdIAAAAEAQAADwAAAAAAAAABACAAAAAiAAAA&#10;ZHJzL2Rvd25yZXYueG1sUEsBAhQAFAAAAAgAh07iQIiJ2erUAQAApQMAAA4AAAAAAAAAAQAgAAAA&#10;IQEAAGRycy9lMm9Eb2MueG1sUEsFBgAAAAAGAAYAWQEAAGcFAAAAAA==&#10;">
              <v:fill on="f" focussize="0,0"/>
              <v:stroke on="f"/>
              <v:imagedata o:title=""/>
              <o:lock v:ext="edit" aspectratio="f"/>
              <v:textbox inset="0mm,0mm,0mm,0mm" style="mso-fit-shape-to-text:t;">
                <w:txbxContent>
                  <w:p w14:paraId="1F73E101">
                    <w:pPr>
                      <w:pStyle w:val="16"/>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99073"/>
    <w:multiLevelType w:val="singleLevel"/>
    <w:tmpl w:val="A1099073"/>
    <w:lvl w:ilvl="0" w:tentative="0">
      <w:start w:val="1"/>
      <w:numFmt w:val="chineseCounting"/>
      <w:suff w:val="nothing"/>
      <w:lvlText w:val="%1、"/>
      <w:lvlJc w:val="left"/>
      <w:rPr>
        <w:rFonts w:hint="eastAsia"/>
      </w:rPr>
    </w:lvl>
  </w:abstractNum>
  <w:abstractNum w:abstractNumId="1">
    <w:nsid w:val="F90CEA64"/>
    <w:multiLevelType w:val="singleLevel"/>
    <w:tmpl w:val="F90CEA64"/>
    <w:lvl w:ilvl="0" w:tentative="0">
      <w:start w:val="1"/>
      <w:numFmt w:val="decimal"/>
      <w:suff w:val="nothing"/>
      <w:lvlText w:val="（%1）"/>
      <w:lvlJc w:val="left"/>
    </w:lvl>
  </w:abstractNum>
  <w:abstractNum w:abstractNumId="2">
    <w:nsid w:val="00000008"/>
    <w:multiLevelType w:val="singleLevel"/>
    <w:tmpl w:val="00000008"/>
    <w:lvl w:ilvl="0" w:tentative="0">
      <w:start w:val="2"/>
      <w:numFmt w:val="chineseCounting"/>
      <w:suff w:val="space"/>
      <w:lvlText w:val="第%1章"/>
      <w:lvlJc w:val="left"/>
      <w:rPr>
        <w:rFonts w:hint="eastAsia" w:cs="Times New Roman"/>
      </w:rPr>
    </w:lvl>
  </w:abstractNum>
  <w:abstractNum w:abstractNumId="3">
    <w:nsid w:val="00000009"/>
    <w:multiLevelType w:val="singleLevel"/>
    <w:tmpl w:val="00000009"/>
    <w:lvl w:ilvl="0" w:tentative="0">
      <w:start w:val="1"/>
      <w:numFmt w:val="japaneseCounting"/>
      <w:lvlText w:val="%1、"/>
      <w:lvlJc w:val="left"/>
      <w:pPr>
        <w:tabs>
          <w:tab w:val="left" w:pos="960"/>
        </w:tabs>
        <w:ind w:left="960" w:hanging="600"/>
      </w:pPr>
      <w:rPr>
        <w:rFonts w:hint="eastAsia" w:cs="Times New Roman"/>
      </w:rPr>
    </w:lvl>
  </w:abstractNum>
  <w:abstractNum w:abstractNumId="4">
    <w:nsid w:val="5630DFC9"/>
    <w:multiLevelType w:val="singleLevel"/>
    <w:tmpl w:val="5630DFC9"/>
    <w:lvl w:ilvl="0" w:tentative="0">
      <w:start w:val="3"/>
      <w:numFmt w:val="chineseCounting"/>
      <w:suff w:val="nothing"/>
      <w:lvlText w:val="%1、"/>
      <w:lvlJc w:val="left"/>
    </w:lvl>
  </w:abstractNum>
  <w:abstractNum w:abstractNumId="5">
    <w:nsid w:val="619BEDB0"/>
    <w:multiLevelType w:val="singleLevel"/>
    <w:tmpl w:val="619BEDB0"/>
    <w:lvl w:ilvl="0" w:tentative="0">
      <w:start w:val="1"/>
      <w:numFmt w:val="decimal"/>
      <w:suff w:val="nothing"/>
      <w:lvlText w:val="（%1）"/>
      <w:lvlJc w:val="left"/>
    </w:lvl>
  </w:abstractNum>
  <w:abstractNum w:abstractNumId="6">
    <w:nsid w:val="7EA8373C"/>
    <w:multiLevelType w:val="singleLevel"/>
    <w:tmpl w:val="7EA8373C"/>
    <w:lvl w:ilvl="0" w:tentative="0">
      <w:start w:val="1"/>
      <w:numFmt w:val="chineseCounting"/>
      <w:suff w:val="nothing"/>
      <w:lvlText w:val="（%1）"/>
      <w:lvlJc w:val="left"/>
      <w:rPr>
        <w:rFonts w:hint="eastAsia"/>
      </w:r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TI5OWZlYzcyNWFkNmY0MjIxNjA4YTY3N2IxZGYifQ=="/>
  </w:docVars>
  <w:rsids>
    <w:rsidRoot w:val="0284032C"/>
    <w:rsid w:val="000C335A"/>
    <w:rsid w:val="000C7A2D"/>
    <w:rsid w:val="0016577C"/>
    <w:rsid w:val="00196A61"/>
    <w:rsid w:val="001A541A"/>
    <w:rsid w:val="002C23C6"/>
    <w:rsid w:val="002C72F2"/>
    <w:rsid w:val="002E4A3E"/>
    <w:rsid w:val="00372F85"/>
    <w:rsid w:val="00394245"/>
    <w:rsid w:val="00401756"/>
    <w:rsid w:val="00410042"/>
    <w:rsid w:val="0041064B"/>
    <w:rsid w:val="00416C87"/>
    <w:rsid w:val="004541BF"/>
    <w:rsid w:val="00491411"/>
    <w:rsid w:val="005068BA"/>
    <w:rsid w:val="00542FB9"/>
    <w:rsid w:val="005C6BCA"/>
    <w:rsid w:val="00611C31"/>
    <w:rsid w:val="00621285"/>
    <w:rsid w:val="00626578"/>
    <w:rsid w:val="0068536D"/>
    <w:rsid w:val="006A2F17"/>
    <w:rsid w:val="006D0469"/>
    <w:rsid w:val="006D5A8C"/>
    <w:rsid w:val="006F581B"/>
    <w:rsid w:val="0076167E"/>
    <w:rsid w:val="007F263D"/>
    <w:rsid w:val="008C2E1B"/>
    <w:rsid w:val="00941E0C"/>
    <w:rsid w:val="00945B36"/>
    <w:rsid w:val="009D1DC6"/>
    <w:rsid w:val="00AD504F"/>
    <w:rsid w:val="00B60E19"/>
    <w:rsid w:val="00CA6E6D"/>
    <w:rsid w:val="00CD3E23"/>
    <w:rsid w:val="00CE130A"/>
    <w:rsid w:val="00E72460"/>
    <w:rsid w:val="00ED3DCD"/>
    <w:rsid w:val="01154EDD"/>
    <w:rsid w:val="0132783D"/>
    <w:rsid w:val="01413AD1"/>
    <w:rsid w:val="017D4F5C"/>
    <w:rsid w:val="01A00C4B"/>
    <w:rsid w:val="01C963F3"/>
    <w:rsid w:val="027107B6"/>
    <w:rsid w:val="02751185"/>
    <w:rsid w:val="0284032C"/>
    <w:rsid w:val="029E702E"/>
    <w:rsid w:val="050B287F"/>
    <w:rsid w:val="05533A10"/>
    <w:rsid w:val="057228FE"/>
    <w:rsid w:val="05C00253"/>
    <w:rsid w:val="05C371AF"/>
    <w:rsid w:val="06537376"/>
    <w:rsid w:val="069552CB"/>
    <w:rsid w:val="06D01FD2"/>
    <w:rsid w:val="07707311"/>
    <w:rsid w:val="07B307F2"/>
    <w:rsid w:val="07FB307F"/>
    <w:rsid w:val="08246246"/>
    <w:rsid w:val="0863666D"/>
    <w:rsid w:val="0878647D"/>
    <w:rsid w:val="08CF045B"/>
    <w:rsid w:val="0A8B07A3"/>
    <w:rsid w:val="0AF67B2D"/>
    <w:rsid w:val="0B0835EB"/>
    <w:rsid w:val="0C321039"/>
    <w:rsid w:val="0C4E16FF"/>
    <w:rsid w:val="0CF54541"/>
    <w:rsid w:val="0CF6342B"/>
    <w:rsid w:val="0D523741"/>
    <w:rsid w:val="0D5A43A4"/>
    <w:rsid w:val="0D611BD6"/>
    <w:rsid w:val="0D780369"/>
    <w:rsid w:val="0DA26F5D"/>
    <w:rsid w:val="0FC503EA"/>
    <w:rsid w:val="108D558D"/>
    <w:rsid w:val="1193257A"/>
    <w:rsid w:val="12280F14"/>
    <w:rsid w:val="13253DB5"/>
    <w:rsid w:val="14D902A4"/>
    <w:rsid w:val="14FC0436"/>
    <w:rsid w:val="15073BE1"/>
    <w:rsid w:val="156279B3"/>
    <w:rsid w:val="15673B02"/>
    <w:rsid w:val="15D53161"/>
    <w:rsid w:val="166444E5"/>
    <w:rsid w:val="17361246"/>
    <w:rsid w:val="174D31CB"/>
    <w:rsid w:val="17A821AF"/>
    <w:rsid w:val="18512847"/>
    <w:rsid w:val="186C31D5"/>
    <w:rsid w:val="1976154E"/>
    <w:rsid w:val="197E7242"/>
    <w:rsid w:val="1B8A32CE"/>
    <w:rsid w:val="1CC96E50"/>
    <w:rsid w:val="1D7B207F"/>
    <w:rsid w:val="1DE026A3"/>
    <w:rsid w:val="1E076320"/>
    <w:rsid w:val="1E123657"/>
    <w:rsid w:val="1E855507"/>
    <w:rsid w:val="1EAF1528"/>
    <w:rsid w:val="1EFA1FEF"/>
    <w:rsid w:val="1F48153F"/>
    <w:rsid w:val="202A2B59"/>
    <w:rsid w:val="203B3A61"/>
    <w:rsid w:val="20847C5E"/>
    <w:rsid w:val="20BE1E36"/>
    <w:rsid w:val="21100A08"/>
    <w:rsid w:val="216E0227"/>
    <w:rsid w:val="22333A2F"/>
    <w:rsid w:val="22774E97"/>
    <w:rsid w:val="227E5DC3"/>
    <w:rsid w:val="23C0613D"/>
    <w:rsid w:val="24001B90"/>
    <w:rsid w:val="24424F22"/>
    <w:rsid w:val="246A716A"/>
    <w:rsid w:val="24783621"/>
    <w:rsid w:val="2529279D"/>
    <w:rsid w:val="253D487F"/>
    <w:rsid w:val="25493224"/>
    <w:rsid w:val="26056EE9"/>
    <w:rsid w:val="2665408D"/>
    <w:rsid w:val="27266901"/>
    <w:rsid w:val="288E20DE"/>
    <w:rsid w:val="28FF4F5F"/>
    <w:rsid w:val="29127DD1"/>
    <w:rsid w:val="29942B2D"/>
    <w:rsid w:val="2996455E"/>
    <w:rsid w:val="29C56BF1"/>
    <w:rsid w:val="2AB95E4A"/>
    <w:rsid w:val="2B314DBC"/>
    <w:rsid w:val="2B4A79DC"/>
    <w:rsid w:val="2B940F71"/>
    <w:rsid w:val="2C5C0569"/>
    <w:rsid w:val="2C6803E8"/>
    <w:rsid w:val="2DAA05D8"/>
    <w:rsid w:val="2DFF6930"/>
    <w:rsid w:val="2F740E9D"/>
    <w:rsid w:val="2FB31080"/>
    <w:rsid w:val="2FBC2844"/>
    <w:rsid w:val="303F54F2"/>
    <w:rsid w:val="306D3BC0"/>
    <w:rsid w:val="30FB78B8"/>
    <w:rsid w:val="315216B2"/>
    <w:rsid w:val="31875436"/>
    <w:rsid w:val="318D26EA"/>
    <w:rsid w:val="32786EF6"/>
    <w:rsid w:val="33114128"/>
    <w:rsid w:val="346F763A"/>
    <w:rsid w:val="34CC69B3"/>
    <w:rsid w:val="34D80120"/>
    <w:rsid w:val="35301D0A"/>
    <w:rsid w:val="353D61D5"/>
    <w:rsid w:val="36015455"/>
    <w:rsid w:val="363A3A45"/>
    <w:rsid w:val="36921B2D"/>
    <w:rsid w:val="369D6F2B"/>
    <w:rsid w:val="37000B25"/>
    <w:rsid w:val="38C56C0D"/>
    <w:rsid w:val="38E66069"/>
    <w:rsid w:val="39565AB7"/>
    <w:rsid w:val="395C1320"/>
    <w:rsid w:val="39661FCD"/>
    <w:rsid w:val="39741F61"/>
    <w:rsid w:val="39E03482"/>
    <w:rsid w:val="3A676E81"/>
    <w:rsid w:val="3CB054DF"/>
    <w:rsid w:val="3D0715A3"/>
    <w:rsid w:val="3D3835BD"/>
    <w:rsid w:val="3E1E45F7"/>
    <w:rsid w:val="3E300685"/>
    <w:rsid w:val="3E80785E"/>
    <w:rsid w:val="3F024C61"/>
    <w:rsid w:val="3F874C1D"/>
    <w:rsid w:val="402B37FA"/>
    <w:rsid w:val="405D597D"/>
    <w:rsid w:val="40C4201E"/>
    <w:rsid w:val="41530365"/>
    <w:rsid w:val="42755200"/>
    <w:rsid w:val="4296266E"/>
    <w:rsid w:val="42CB6968"/>
    <w:rsid w:val="4318478E"/>
    <w:rsid w:val="44BF645D"/>
    <w:rsid w:val="44F47522"/>
    <w:rsid w:val="45051511"/>
    <w:rsid w:val="4545710C"/>
    <w:rsid w:val="455A494F"/>
    <w:rsid w:val="458E50C3"/>
    <w:rsid w:val="46CA4D3F"/>
    <w:rsid w:val="46E568EE"/>
    <w:rsid w:val="47630328"/>
    <w:rsid w:val="481B4154"/>
    <w:rsid w:val="491B34A6"/>
    <w:rsid w:val="492B72F3"/>
    <w:rsid w:val="4990032C"/>
    <w:rsid w:val="4B09298A"/>
    <w:rsid w:val="4C612351"/>
    <w:rsid w:val="4C800A2A"/>
    <w:rsid w:val="4EBF6FC0"/>
    <w:rsid w:val="4F0567E8"/>
    <w:rsid w:val="4F354C7F"/>
    <w:rsid w:val="5060129E"/>
    <w:rsid w:val="514B3CFC"/>
    <w:rsid w:val="516923D4"/>
    <w:rsid w:val="51B55619"/>
    <w:rsid w:val="524F15CA"/>
    <w:rsid w:val="52574EBB"/>
    <w:rsid w:val="531616DB"/>
    <w:rsid w:val="53162004"/>
    <w:rsid w:val="53743880"/>
    <w:rsid w:val="53C51DA1"/>
    <w:rsid w:val="543547EF"/>
    <w:rsid w:val="545E160B"/>
    <w:rsid w:val="54A83213"/>
    <w:rsid w:val="559D264C"/>
    <w:rsid w:val="55B160F8"/>
    <w:rsid w:val="55EA524D"/>
    <w:rsid w:val="56921A85"/>
    <w:rsid w:val="56996C69"/>
    <w:rsid w:val="56AC3ADE"/>
    <w:rsid w:val="56B77662"/>
    <w:rsid w:val="575C5BE9"/>
    <w:rsid w:val="59584A4C"/>
    <w:rsid w:val="5A7C3611"/>
    <w:rsid w:val="5B4D241F"/>
    <w:rsid w:val="5BAF11E7"/>
    <w:rsid w:val="5BB66216"/>
    <w:rsid w:val="5C516698"/>
    <w:rsid w:val="5C677510"/>
    <w:rsid w:val="5CBA0400"/>
    <w:rsid w:val="5DCD61A7"/>
    <w:rsid w:val="5F7C1524"/>
    <w:rsid w:val="5FBA0C62"/>
    <w:rsid w:val="60082DB8"/>
    <w:rsid w:val="600E4A5F"/>
    <w:rsid w:val="60D1085C"/>
    <w:rsid w:val="61047F6F"/>
    <w:rsid w:val="6142054C"/>
    <w:rsid w:val="6151253D"/>
    <w:rsid w:val="63145878"/>
    <w:rsid w:val="63D36624"/>
    <w:rsid w:val="64274782"/>
    <w:rsid w:val="66992C2B"/>
    <w:rsid w:val="66C1269D"/>
    <w:rsid w:val="67322A96"/>
    <w:rsid w:val="673B7F17"/>
    <w:rsid w:val="691E399C"/>
    <w:rsid w:val="69782D5D"/>
    <w:rsid w:val="6B287ED4"/>
    <w:rsid w:val="6B2B3DFF"/>
    <w:rsid w:val="6BAD286C"/>
    <w:rsid w:val="6BB107A8"/>
    <w:rsid w:val="6BEE38CF"/>
    <w:rsid w:val="6C507484"/>
    <w:rsid w:val="6D3C6797"/>
    <w:rsid w:val="6D635AD2"/>
    <w:rsid w:val="6DF86D28"/>
    <w:rsid w:val="6E3855FE"/>
    <w:rsid w:val="6E423D58"/>
    <w:rsid w:val="6EBE2506"/>
    <w:rsid w:val="70447695"/>
    <w:rsid w:val="704B11CB"/>
    <w:rsid w:val="705838E8"/>
    <w:rsid w:val="71A62431"/>
    <w:rsid w:val="71F92EA9"/>
    <w:rsid w:val="72127AFF"/>
    <w:rsid w:val="728C43FF"/>
    <w:rsid w:val="72FA2D13"/>
    <w:rsid w:val="73B02D02"/>
    <w:rsid w:val="745A5CAD"/>
    <w:rsid w:val="74CF1091"/>
    <w:rsid w:val="74D01899"/>
    <w:rsid w:val="74F36D4A"/>
    <w:rsid w:val="75BF7F65"/>
    <w:rsid w:val="769604E1"/>
    <w:rsid w:val="76BC651A"/>
    <w:rsid w:val="770245AD"/>
    <w:rsid w:val="77304C77"/>
    <w:rsid w:val="777D3C34"/>
    <w:rsid w:val="78A23952"/>
    <w:rsid w:val="79581A8C"/>
    <w:rsid w:val="79C03CC0"/>
    <w:rsid w:val="7AE24EA8"/>
    <w:rsid w:val="7B9E3DDC"/>
    <w:rsid w:val="7C4B4301"/>
    <w:rsid w:val="7CA67789"/>
    <w:rsid w:val="7D464AF6"/>
    <w:rsid w:val="7D480840"/>
    <w:rsid w:val="7D8B70AB"/>
    <w:rsid w:val="7E105802"/>
    <w:rsid w:val="7EF73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08" w:lineRule="auto"/>
      <w:outlineLvl w:val="1"/>
    </w:pPr>
    <w:rPr>
      <w:rFonts w:ascii="Arial" w:hAnsi="Arial" w:eastAsia="黑体"/>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styleId="5">
    <w:name w:val="table of authorities"/>
    <w:basedOn w:val="1"/>
    <w:next w:val="1"/>
    <w:qFormat/>
    <w:uiPriority w:val="0"/>
    <w:pPr>
      <w:ind w:left="420" w:leftChars="200"/>
    </w:pPr>
  </w:style>
  <w:style w:type="paragraph" w:styleId="6">
    <w:name w:val="Normal Indent"/>
    <w:basedOn w:val="1"/>
    <w:next w:val="1"/>
    <w:qFormat/>
    <w:uiPriority w:val="0"/>
    <w:pPr>
      <w:ind w:firstLine="420"/>
    </w:pPr>
    <w:rPr>
      <w:szCs w:val="20"/>
    </w:rPr>
  </w:style>
  <w:style w:type="paragraph" w:styleId="7">
    <w:name w:val="Salutation"/>
    <w:basedOn w:val="1"/>
    <w:next w:val="1"/>
    <w:qFormat/>
    <w:uiPriority w:val="99"/>
    <w:rPr>
      <w:sz w:val="28"/>
    </w:rPr>
  </w:style>
  <w:style w:type="paragraph" w:styleId="8">
    <w:name w:val="Body Text 3"/>
    <w:basedOn w:val="1"/>
    <w:unhideWhenUsed/>
    <w:qFormat/>
    <w:uiPriority w:val="99"/>
    <w:pPr>
      <w:spacing w:line="360" w:lineRule="auto"/>
      <w:jc w:val="center"/>
    </w:pPr>
    <w:rPr>
      <w:rFonts w:ascii="宋体" w:hAnsi="宋体"/>
      <w:bCs/>
      <w:iCs/>
      <w:szCs w:val="28"/>
    </w:rPr>
  </w:style>
  <w:style w:type="paragraph" w:styleId="9">
    <w:name w:val="Body Text"/>
    <w:basedOn w:val="1"/>
    <w:next w:val="10"/>
    <w:qFormat/>
    <w:uiPriority w:val="0"/>
  </w:style>
  <w:style w:type="paragraph" w:styleId="10">
    <w:name w:val="Body Text First Indent"/>
    <w:basedOn w:val="9"/>
    <w:next w:val="1"/>
    <w:qFormat/>
    <w:uiPriority w:val="0"/>
    <w:pPr>
      <w:ind w:firstLine="420" w:firstLineChars="10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djustRightInd w:val="0"/>
      <w:snapToGrid w:val="0"/>
      <w:spacing w:line="360" w:lineRule="auto"/>
      <w:ind w:left="567" w:leftChars="270" w:right="-150" w:rightChars="-150" w:firstLine="480" w:firstLineChars="200"/>
    </w:pPr>
    <w:rPr>
      <w:rFonts w:ascii="宋体"/>
      <w:sz w:val="24"/>
      <w:szCs w:val="20"/>
    </w:rPr>
  </w:style>
  <w:style w:type="paragraph" w:styleId="13">
    <w:name w:val="Plain Text"/>
    <w:basedOn w:val="1"/>
    <w:next w:val="14"/>
    <w:qFormat/>
    <w:uiPriority w:val="0"/>
    <w:rPr>
      <w:rFonts w:ascii="宋体" w:hAnsi="Courier New"/>
    </w:rPr>
  </w:style>
  <w:style w:type="paragraph" w:styleId="14">
    <w:name w:val="Date"/>
    <w:basedOn w:val="1"/>
    <w:next w:val="1"/>
    <w:qFormat/>
    <w:uiPriority w:val="0"/>
    <w:pPr>
      <w:ind w:left="2500" w:leftChars="2500"/>
    </w:pPr>
    <w:rPr>
      <w:rFonts w:ascii="Calibri" w:hAnsi="Calibri" w:eastAsia="楷体_GB2312"/>
      <w:sz w:val="32"/>
      <w:szCs w:val="2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4"/>
    <w:basedOn w:val="1"/>
    <w:next w:val="1"/>
    <w:unhideWhenUsed/>
    <w:qFormat/>
    <w:uiPriority w:val="39"/>
    <w:pPr>
      <w:ind w:left="1260" w:leftChars="600"/>
    </w:pPr>
  </w:style>
  <w:style w:type="paragraph" w:styleId="18">
    <w:name w:val="Body Text Indent 3"/>
    <w:basedOn w:val="1"/>
    <w:qFormat/>
    <w:uiPriority w:val="0"/>
    <w:pPr>
      <w:spacing w:after="120"/>
      <w:ind w:left="420" w:leftChars="200"/>
    </w:pPr>
    <w:rPr>
      <w:sz w:val="16"/>
      <w:szCs w:val="16"/>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11"/>
    <w:qFormat/>
    <w:uiPriority w:val="0"/>
    <w:pPr>
      <w:tabs>
        <w:tab w:val="left" w:pos="720"/>
        <w:tab w:val="left" w:pos="900"/>
        <w:tab w:val="left" w:pos="1260"/>
        <w:tab w:val="left" w:pos="2160"/>
        <w:tab w:val="left" w:pos="2880"/>
        <w:tab w:val="left" w:pos="3600"/>
        <w:tab w:val="left" w:pos="4320"/>
        <w:tab w:val="left" w:pos="5040"/>
        <w:tab w:val="left" w:pos="5760"/>
      </w:tabs>
      <w:ind w:firstLine="420"/>
    </w:pPr>
    <w:rPr>
      <w:szCs w:val="21"/>
    </w:rPr>
  </w:style>
  <w:style w:type="character" w:styleId="24">
    <w:name w:val="page number"/>
    <w:basedOn w:val="23"/>
    <w:qFormat/>
    <w:uiPriority w:val="0"/>
  </w:style>
  <w:style w:type="character" w:styleId="25">
    <w:name w:val="HTML Typewriter"/>
    <w:qFormat/>
    <w:uiPriority w:val="0"/>
    <w:rPr>
      <w:rFonts w:hint="eastAsia" w:ascii="黑体" w:hAnsi="Courier New" w:eastAsia="黑体" w:cs="Times New Roman"/>
      <w:sz w:val="14"/>
      <w:szCs w:val="24"/>
    </w:rPr>
  </w:style>
  <w:style w:type="paragraph" w:customStyle="1" w:styleId="2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列出段落1"/>
    <w:basedOn w:val="1"/>
    <w:qFormat/>
    <w:uiPriority w:val="0"/>
    <w:pPr>
      <w:ind w:firstLine="420" w:firstLineChars="200"/>
    </w:pPr>
    <w:rPr>
      <w:rFonts w:ascii="Calibri" w:hAnsi="Calibri"/>
      <w:szCs w:val="22"/>
    </w:rPr>
  </w:style>
  <w:style w:type="paragraph" w:customStyle="1" w:styleId="29">
    <w:name w:val="首行缩进"/>
    <w:basedOn w:val="1"/>
    <w:qFormat/>
    <w:uiPriority w:val="0"/>
    <w:pPr>
      <w:spacing w:line="360" w:lineRule="auto"/>
      <w:ind w:firstLine="480" w:firstLineChars="200"/>
      <w:jc w:val="left"/>
    </w:pPr>
    <w:rPr>
      <w:rFonts w:ascii="宋体" w:hAnsi="宋体"/>
      <w:sz w:val="24"/>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
    <w:name w:val="表格文字"/>
    <w:basedOn w:val="1"/>
    <w:next w:val="9"/>
    <w:qFormat/>
    <w:uiPriority w:val="0"/>
    <w:pPr>
      <w:adjustRightInd w:val="0"/>
      <w:spacing w:line="420" w:lineRule="atLeast"/>
      <w:jc w:val="left"/>
      <w:textAlignment w:val="baseline"/>
    </w:pPr>
    <w:rPr>
      <w:kern w:val="0"/>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reader-word-layer"/>
    <w:basedOn w:val="1"/>
    <w:qFormat/>
    <w:uiPriority w:val="0"/>
    <w:pPr>
      <w:widowControl/>
      <w:spacing w:beforeAutospacing="1" w:afterAutospacing="1"/>
      <w:jc w:val="left"/>
    </w:pPr>
    <w:rPr>
      <w:rFonts w:ascii="宋体" w:hAnsi="宋体" w:cs="宋体"/>
      <w:kern w:val="0"/>
      <w:sz w:val="24"/>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公文样式"/>
    <w:basedOn w:val="1"/>
    <w:qFormat/>
    <w:uiPriority w:val="0"/>
    <w:pPr>
      <w:ind w:firstLine="640" w:firstLineChars="200"/>
    </w:pPr>
    <w:rPr>
      <w:rFonts w:ascii="宋体" w:hAnsi="宋体"/>
      <w:sz w:val="32"/>
      <w:szCs w:val="32"/>
    </w:rPr>
  </w:style>
  <w:style w:type="paragraph" w:customStyle="1" w:styleId="38">
    <w:name w:val="p0"/>
    <w:basedOn w:val="1"/>
    <w:qFormat/>
    <w:uiPriority w:val="0"/>
    <w:pPr>
      <w:widowControl/>
      <w:jc w:val="left"/>
    </w:pPr>
    <w:rPr>
      <w:rFonts w:ascii="宋体" w:hAnsi="宋体" w:cs="宋体"/>
      <w:color w:val="000000"/>
      <w:kern w:val="0"/>
      <w:sz w:val="24"/>
    </w:rPr>
  </w:style>
  <w:style w:type="paragraph" w:customStyle="1" w:styleId="39">
    <w:name w:val="纯文本1"/>
    <w:basedOn w:val="1"/>
    <w:qFormat/>
    <w:uiPriority w:val="0"/>
    <w:pPr>
      <w:adjustRightInd w:val="0"/>
    </w:pPr>
    <w:rPr>
      <w:rFonts w:ascii="宋体" w:hAnsi="Courier New" w:eastAsia="楷体_GB2312"/>
      <w:sz w:val="28"/>
    </w:rPr>
  </w:style>
  <w:style w:type="paragraph" w:customStyle="1" w:styleId="40">
    <w:name w:val="纯文本11"/>
    <w:basedOn w:val="1"/>
    <w:qFormat/>
    <w:uiPriority w:val="0"/>
    <w:pPr>
      <w:adjustRightInd w:val="0"/>
    </w:pPr>
    <w:rPr>
      <w:rFonts w:ascii="宋体" w:hAnsi="Courier New" w:eastAsia="楷体_GB2312"/>
      <w:sz w:val="28"/>
    </w:rPr>
  </w:style>
  <w:style w:type="character" w:customStyle="1" w:styleId="41">
    <w:name w:val="font31"/>
    <w:basedOn w:val="2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8190</Words>
  <Characters>8378</Characters>
  <Lines>120</Lines>
  <Paragraphs>33</Paragraphs>
  <TotalTime>19</TotalTime>
  <ScaleCrop>false</ScaleCrop>
  <LinksUpToDate>false</LinksUpToDate>
  <CharactersWithSpaces>8468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2024-08-30T13:30:00Z</dcterms:created>
  <dc:creator>Administrator</dc:creator>
  <cp:lastModifiedBy>ZYCYQ</cp:lastModifiedBy>
  <cp:lastPrinted>2024-11-20T01:35:00Z</cp:lastPrinted>
  <dcterms:modified xsi:type="dcterms:W3CDTF">2024-11-27T08:47:25Z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7500FA044D3B4CE693D723ECC4D655A0_13</vt:lpwstr>
  </property>
</Properties>
</file>