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83BC4BA">
      <w:pPr>
        <w:rPr>
          <w:rFonts w:ascii="宋体" w:hAnsi="宋体" w:cs="宋体"/>
          <w:color w:val="000000" w:themeColor="text1"/>
        </w:rPr>
      </w:pPr>
    </w:p>
    <w:p w14:paraId="5EE7218D">
      <w:pPr>
        <w:pStyle w:val="9"/>
        <w:jc w:val="center"/>
        <w:rPr>
          <w:rFonts w:ascii="宋体" w:hAnsi="宋体" w:cs="宋体"/>
          <w:color w:val="000000" w:themeColor="text1"/>
        </w:rPr>
      </w:pPr>
      <w:r>
        <w:rPr>
          <w:rFonts w:hint="eastAsia" w:ascii="宋体" w:hAnsi="宋体" w:cs="宋体"/>
          <w:color w:val="000000" w:themeColor="text1"/>
        </w:rPr>
        <w:drawing>
          <wp:anchor distT="0" distB="0" distL="0" distR="0" simplePos="0" relativeHeight="251661312" behindDoc="1" locked="0" layoutInCell="1" allowOverlap="1">
            <wp:simplePos x="0" y="0"/>
            <wp:positionH relativeFrom="column">
              <wp:posOffset>239395</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0" cstate="print"/>
                    <a:stretch>
                      <a:fillRect/>
                    </a:stretch>
                  </pic:blipFill>
                  <pic:spPr>
                    <a:xfrm>
                      <a:off x="0" y="0"/>
                      <a:ext cx="5488940" cy="2279015"/>
                    </a:xfrm>
                    <a:prstGeom prst="rect">
                      <a:avLst/>
                    </a:prstGeom>
                  </pic:spPr>
                </pic:pic>
              </a:graphicData>
            </a:graphic>
          </wp:anchor>
        </w:drawing>
      </w:r>
    </w:p>
    <w:p w14:paraId="19D88C55">
      <w:pPr>
        <w:pStyle w:val="9"/>
        <w:jc w:val="center"/>
        <w:rPr>
          <w:rFonts w:ascii="宋体" w:hAnsi="宋体" w:cs="宋体"/>
          <w:color w:val="000000" w:themeColor="text1"/>
        </w:rPr>
      </w:pPr>
    </w:p>
    <w:p w14:paraId="5A999AEA">
      <w:pPr>
        <w:pStyle w:val="9"/>
        <w:jc w:val="center"/>
        <w:rPr>
          <w:rFonts w:ascii="宋体" w:hAnsi="宋体" w:cs="宋体"/>
          <w:color w:val="000000" w:themeColor="text1"/>
        </w:rPr>
      </w:pPr>
    </w:p>
    <w:p w14:paraId="6B5186C4">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hAnsi="宋体" w:cs="宋体"/>
          <w:b/>
          <w:color w:val="000000" w:themeColor="text1"/>
          <w:kern w:val="0"/>
          <w:sz w:val="84"/>
          <w:szCs w:val="84"/>
        </w:rPr>
      </w:pPr>
      <w:r>
        <w:rPr>
          <w:rFonts w:hint="eastAsia" w:ascii="宋体" w:hAnsi="宋体" w:cs="宋体"/>
          <w:b/>
          <w:color w:val="000000" w:themeColor="text1"/>
          <w:kern w:val="0"/>
          <w:sz w:val="84"/>
          <w:szCs w:val="84"/>
        </w:rPr>
        <w:t xml:space="preserve"> </w:t>
      </w:r>
    </w:p>
    <w:p w14:paraId="130B018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hAnsi="宋体" w:cs="宋体"/>
          <w:b/>
          <w:color w:val="000000" w:themeColor="text1"/>
          <w:kern w:val="0"/>
          <w:sz w:val="84"/>
          <w:szCs w:val="84"/>
        </w:rPr>
      </w:pPr>
    </w:p>
    <w:p w14:paraId="74212B0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hAnsi="宋体" w:cs="宋体"/>
          <w:b/>
          <w:color w:val="000000" w:themeColor="text1"/>
          <w:kern w:val="0"/>
          <w:sz w:val="72"/>
          <w:szCs w:val="72"/>
        </w:rPr>
      </w:pPr>
    </w:p>
    <w:p w14:paraId="10D2950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hAnsi="宋体" w:cs="宋体"/>
          <w:b/>
          <w:color w:val="000000" w:themeColor="text1"/>
          <w:kern w:val="0"/>
          <w:sz w:val="72"/>
          <w:szCs w:val="72"/>
        </w:rPr>
      </w:pPr>
      <w:r>
        <w:rPr>
          <w:rFonts w:hint="eastAsia" w:ascii="宋体" w:hAnsi="宋体" w:cs="宋体"/>
          <w:b/>
          <w:color w:val="000000" w:themeColor="text1"/>
          <w:kern w:val="0"/>
          <w:sz w:val="72"/>
          <w:szCs w:val="72"/>
        </w:rPr>
        <w:t xml:space="preserve">   政府采购招标文件</w:t>
      </w:r>
    </w:p>
    <w:p w14:paraId="1B5CB65F">
      <w:pPr>
        <w:spacing w:line="360" w:lineRule="auto"/>
        <w:jc w:val="center"/>
        <w:rPr>
          <w:rFonts w:ascii="宋体" w:hAnsi="宋体" w:cs="宋体"/>
          <w:color w:val="000000" w:themeColor="text1"/>
          <w:kern w:val="0"/>
          <w:sz w:val="28"/>
          <w:szCs w:val="28"/>
        </w:rPr>
      </w:pPr>
      <w:r>
        <w:rPr>
          <w:rFonts w:hint="eastAsia" w:ascii="宋体" w:hAnsi="宋体" w:cs="宋体"/>
          <w:b/>
          <w:bCs/>
          <w:color w:val="000000" w:themeColor="text1"/>
          <w:kern w:val="0"/>
          <w:sz w:val="32"/>
          <w:szCs w:val="32"/>
        </w:rPr>
        <w:t>（电子招投标方式）</w:t>
      </w:r>
    </w:p>
    <w:p w14:paraId="039575DC">
      <w:pPr>
        <w:spacing w:line="360" w:lineRule="auto"/>
        <w:jc w:val="center"/>
        <w:rPr>
          <w:rFonts w:ascii="宋体" w:hAnsi="宋体" w:cs="宋体"/>
          <w:b/>
          <w:color w:val="000000" w:themeColor="text1"/>
          <w:kern w:val="0"/>
          <w:sz w:val="28"/>
          <w:szCs w:val="28"/>
        </w:rPr>
      </w:pPr>
      <w:r>
        <w:rPr>
          <w:rFonts w:hint="eastAsia" w:ascii="宋体" w:hAnsi="宋体" w:cs="宋体"/>
          <w:color w:val="000000" w:themeColor="text1"/>
          <w:kern w:val="0"/>
          <w:sz w:val="28"/>
          <w:szCs w:val="28"/>
        </w:rPr>
        <w:t>项目编号：</w:t>
      </w:r>
      <w:r>
        <w:rPr>
          <w:rFonts w:hint="eastAsia" w:ascii="宋体" w:hAnsi="宋体" w:cs="宋体"/>
          <w:color w:val="000000" w:themeColor="text1"/>
          <w:kern w:val="0"/>
          <w:sz w:val="28"/>
          <w:szCs w:val="28"/>
          <w:u w:val="single"/>
        </w:rPr>
        <w:t xml:space="preserve"> tzya2025-hy08 </w:t>
      </w:r>
    </w:p>
    <w:p w14:paraId="180B7150">
      <w:pPr>
        <w:pStyle w:val="9"/>
        <w:jc w:val="center"/>
        <w:rPr>
          <w:rFonts w:ascii="宋体" w:hAnsi="宋体" w:cs="宋体"/>
          <w:color w:val="auto"/>
          <w:highlight w:val="none"/>
        </w:rPr>
      </w:pPr>
    </w:p>
    <w:p w14:paraId="198A2774">
      <w:pPr>
        <w:pStyle w:val="9"/>
        <w:jc w:val="center"/>
        <w:rPr>
          <w:rFonts w:ascii="宋体" w:hAnsi="宋体" w:cs="宋体"/>
          <w:color w:val="auto"/>
          <w:highlight w:val="none"/>
        </w:rPr>
      </w:pPr>
    </w:p>
    <w:p w14:paraId="468FC17B">
      <w:pPr>
        <w:spacing w:line="360" w:lineRule="auto"/>
        <w:ind w:left="1405" w:hanging="1405" w:hangingChars="500"/>
        <w:jc w:val="center"/>
        <w:rPr>
          <w:rFonts w:ascii="宋体" w:hAnsi="宋体" w:cs="宋体"/>
          <w:color w:val="auto"/>
          <w:highlight w:val="none"/>
        </w:rPr>
      </w:pPr>
      <w:r>
        <w:rPr>
          <w:rFonts w:hint="eastAsia" w:ascii="宋体" w:hAnsi="宋体" w:cs="宋体"/>
          <w:b/>
          <w:bCs/>
          <w:color w:val="auto"/>
          <w:kern w:val="0"/>
          <w:sz w:val="28"/>
          <w:szCs w:val="28"/>
          <w:highlight w:val="none"/>
        </w:rPr>
        <w:t>采购项目：</w:t>
      </w:r>
      <w:r>
        <w:rPr>
          <w:rFonts w:hint="eastAsia" w:ascii="宋体" w:hAnsi="宋体" w:cs="宋体"/>
          <w:color w:val="auto"/>
          <w:kern w:val="0"/>
          <w:sz w:val="28"/>
          <w:szCs w:val="28"/>
          <w:highlight w:val="none"/>
          <w:u w:val="single"/>
        </w:rPr>
        <w:t xml:space="preserve"> 黄岩区中考标准化考点建设项目</w:t>
      </w:r>
    </w:p>
    <w:p w14:paraId="3982C300">
      <w:pPr>
        <w:spacing w:line="360" w:lineRule="auto"/>
        <w:jc w:val="center"/>
        <w:rPr>
          <w:rFonts w:ascii="宋体" w:hAnsi="宋体" w:cs="宋体"/>
          <w:color w:val="auto"/>
          <w:kern w:val="0"/>
          <w:sz w:val="28"/>
          <w:szCs w:val="28"/>
          <w:highlight w:val="none"/>
          <w:u w:val="single"/>
        </w:rPr>
      </w:pPr>
      <w:r>
        <w:rPr>
          <w:rFonts w:hint="eastAsia" w:ascii="宋体" w:hAnsi="宋体" w:cs="宋体"/>
          <w:b/>
          <w:bCs/>
          <w:color w:val="auto"/>
          <w:kern w:val="0"/>
          <w:sz w:val="28"/>
          <w:szCs w:val="28"/>
          <w:highlight w:val="none"/>
        </w:rPr>
        <w:t>采 购 人：</w:t>
      </w:r>
      <w:r>
        <w:rPr>
          <w:rFonts w:hint="eastAsia" w:ascii="宋体" w:hAnsi="宋体" w:cs="宋体"/>
          <w:color w:val="auto"/>
          <w:kern w:val="0"/>
          <w:sz w:val="28"/>
          <w:szCs w:val="28"/>
          <w:highlight w:val="none"/>
          <w:u w:val="single"/>
        </w:rPr>
        <w:t xml:space="preserve"> 台州市黄岩区教育局</w:t>
      </w:r>
    </w:p>
    <w:p w14:paraId="0FAB90CA">
      <w:pPr>
        <w:pStyle w:val="9"/>
        <w:rPr>
          <w:rFonts w:ascii="宋体" w:hAnsi="宋体" w:cs="宋体"/>
          <w:color w:val="auto"/>
          <w:highlight w:val="none"/>
        </w:rPr>
      </w:pPr>
    </w:p>
    <w:p w14:paraId="5ABE09C5">
      <w:pPr>
        <w:pStyle w:val="9"/>
        <w:rPr>
          <w:rFonts w:ascii="宋体" w:hAnsi="宋体" w:cs="宋体"/>
          <w:color w:val="auto"/>
          <w:highlight w:val="none"/>
        </w:rPr>
      </w:pPr>
    </w:p>
    <w:p w14:paraId="0A11C4A3">
      <w:pPr>
        <w:pStyle w:val="9"/>
        <w:rPr>
          <w:rFonts w:ascii="宋体" w:hAnsi="宋体" w:cs="宋体"/>
          <w:color w:val="auto"/>
          <w:highlight w:val="none"/>
        </w:rPr>
      </w:pPr>
    </w:p>
    <w:p w14:paraId="46EE3AA7">
      <w:pPr>
        <w:pStyle w:val="10"/>
        <w:ind w:firstLine="210"/>
        <w:rPr>
          <w:color w:val="auto"/>
          <w:highlight w:val="none"/>
        </w:rPr>
      </w:pPr>
    </w:p>
    <w:p w14:paraId="7FB08E00">
      <w:pPr>
        <w:spacing w:line="360" w:lineRule="auto"/>
        <w:ind w:firstLine="1405" w:firstLineChars="500"/>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采购代理机构：</w:t>
      </w:r>
      <w:r>
        <w:rPr>
          <w:rFonts w:hint="eastAsia" w:ascii="宋体" w:hAnsi="宋体" w:cs="宋体"/>
          <w:color w:val="auto"/>
          <w:kern w:val="0"/>
          <w:sz w:val="28"/>
          <w:szCs w:val="28"/>
          <w:highlight w:val="none"/>
        </w:rPr>
        <w:t>台州永安工程咨询有限公司</w:t>
      </w:r>
    </w:p>
    <w:p w14:paraId="7E4638A9">
      <w:pPr>
        <w:pStyle w:val="9"/>
        <w:rPr>
          <w:rFonts w:ascii="宋体" w:hAnsi="宋体" w:cs="宋体"/>
          <w:color w:val="auto"/>
          <w:highlight w:val="none"/>
        </w:rPr>
      </w:pPr>
    </w:p>
    <w:p w14:paraId="0824B6E4">
      <w:pPr>
        <w:pStyle w:val="9"/>
        <w:jc w:val="center"/>
        <w:rPr>
          <w:rFonts w:ascii="宋体" w:hAnsi="宋体" w:cs="宋体"/>
          <w:color w:val="auto"/>
          <w:kern w:val="0"/>
          <w:szCs w:val="21"/>
          <w:highlight w:val="none"/>
        </w:rPr>
      </w:pPr>
      <w:r>
        <w:rPr>
          <w:rFonts w:hint="eastAsia" w:ascii="宋体" w:hAnsi="宋体" w:cs="宋体"/>
          <w:color w:val="auto"/>
          <w:kern w:val="0"/>
          <w:sz w:val="28"/>
          <w:szCs w:val="28"/>
          <w:highlight w:val="none"/>
        </w:rPr>
        <w:t>二○二五年二月</w:t>
      </w:r>
    </w:p>
    <w:p w14:paraId="391FBB76">
      <w:pPr>
        <w:pStyle w:val="9"/>
        <w:jc w:val="center"/>
        <w:rPr>
          <w:rFonts w:ascii="宋体" w:hAnsi="宋体" w:cs="宋体"/>
          <w:color w:val="auto"/>
          <w:kern w:val="0"/>
          <w:szCs w:val="21"/>
          <w:highlight w:val="none"/>
        </w:rPr>
      </w:pPr>
    </w:p>
    <w:p w14:paraId="626CF126">
      <w:pPr>
        <w:pStyle w:val="9"/>
        <w:rPr>
          <w:rFonts w:ascii="宋体" w:hAnsi="宋体" w:cs="宋体"/>
          <w:color w:val="auto"/>
          <w:highlight w:val="none"/>
        </w:rPr>
      </w:pPr>
    </w:p>
    <w:p w14:paraId="70245CC1">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09AE0CC1">
      <w:pPr>
        <w:spacing w:line="360" w:lineRule="auto"/>
        <w:rPr>
          <w:rFonts w:ascii="宋体" w:hAnsi="宋体" w:cs="宋体"/>
          <w:color w:val="auto"/>
          <w:sz w:val="28"/>
          <w:szCs w:val="28"/>
          <w:highlight w:val="none"/>
        </w:rPr>
      </w:pPr>
    </w:p>
    <w:p w14:paraId="293DB3BC">
      <w:pPr>
        <w:numPr>
          <w:ilvl w:val="0"/>
          <w:numId w:val="2"/>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公开招标采购公告</w:t>
      </w:r>
    </w:p>
    <w:p w14:paraId="5545CAB4">
      <w:pPr>
        <w:numPr>
          <w:ilvl w:val="0"/>
          <w:numId w:val="2"/>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投标人须知</w:t>
      </w:r>
    </w:p>
    <w:p w14:paraId="22516D6D">
      <w:pPr>
        <w:numPr>
          <w:ilvl w:val="0"/>
          <w:numId w:val="2"/>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评标办法及评分标准</w:t>
      </w:r>
    </w:p>
    <w:p w14:paraId="602AE764">
      <w:pPr>
        <w:numPr>
          <w:ilvl w:val="0"/>
          <w:numId w:val="2"/>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公开招标需求</w:t>
      </w:r>
    </w:p>
    <w:p w14:paraId="096D2AD3">
      <w:pPr>
        <w:numPr>
          <w:ilvl w:val="0"/>
          <w:numId w:val="2"/>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政府采购合同主要条款</w:t>
      </w:r>
    </w:p>
    <w:p w14:paraId="44BD9ECA">
      <w:pPr>
        <w:numPr>
          <w:ilvl w:val="0"/>
          <w:numId w:val="2"/>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投标文件格式附件</w:t>
      </w:r>
    </w:p>
    <w:p w14:paraId="558F35B9">
      <w:pPr>
        <w:pStyle w:val="9"/>
        <w:jc w:val="center"/>
        <w:rPr>
          <w:rFonts w:ascii="宋体" w:hAnsi="宋体" w:cs="宋体"/>
          <w:color w:val="auto"/>
          <w:highlight w:val="none"/>
        </w:rPr>
      </w:pPr>
    </w:p>
    <w:p w14:paraId="2C7AC155">
      <w:pPr>
        <w:pStyle w:val="9"/>
        <w:jc w:val="center"/>
        <w:rPr>
          <w:rFonts w:ascii="宋体" w:hAnsi="宋体" w:cs="宋体"/>
          <w:color w:val="auto"/>
          <w:highlight w:val="none"/>
        </w:rPr>
      </w:pPr>
    </w:p>
    <w:p w14:paraId="26E8D53B">
      <w:pPr>
        <w:pStyle w:val="9"/>
        <w:jc w:val="center"/>
        <w:rPr>
          <w:rFonts w:ascii="宋体" w:hAnsi="宋体" w:cs="宋体"/>
          <w:color w:val="auto"/>
          <w:highlight w:val="none"/>
        </w:rPr>
      </w:pPr>
    </w:p>
    <w:p w14:paraId="6977CC9E">
      <w:pPr>
        <w:pStyle w:val="9"/>
        <w:jc w:val="center"/>
        <w:rPr>
          <w:rFonts w:ascii="宋体" w:hAnsi="宋体" w:cs="宋体"/>
          <w:color w:val="auto"/>
          <w:highlight w:val="none"/>
        </w:rPr>
      </w:pPr>
    </w:p>
    <w:p w14:paraId="737A5059">
      <w:pPr>
        <w:pStyle w:val="9"/>
        <w:jc w:val="center"/>
        <w:rPr>
          <w:rFonts w:ascii="宋体" w:hAnsi="宋体" w:cs="宋体"/>
          <w:color w:val="auto"/>
          <w:highlight w:val="none"/>
        </w:rPr>
      </w:pPr>
    </w:p>
    <w:p w14:paraId="4D939BFB">
      <w:pPr>
        <w:pStyle w:val="9"/>
        <w:jc w:val="center"/>
        <w:rPr>
          <w:rFonts w:ascii="宋体" w:hAnsi="宋体" w:cs="宋体"/>
          <w:color w:val="auto"/>
          <w:highlight w:val="none"/>
        </w:rPr>
      </w:pPr>
    </w:p>
    <w:p w14:paraId="7D11782B">
      <w:pPr>
        <w:pStyle w:val="9"/>
        <w:jc w:val="center"/>
        <w:rPr>
          <w:rFonts w:ascii="宋体" w:hAnsi="宋体" w:cs="宋体"/>
          <w:color w:val="auto"/>
          <w:highlight w:val="none"/>
        </w:rPr>
      </w:pPr>
    </w:p>
    <w:p w14:paraId="7A845774">
      <w:pPr>
        <w:pStyle w:val="9"/>
        <w:jc w:val="center"/>
        <w:rPr>
          <w:rFonts w:ascii="宋体" w:hAnsi="宋体" w:cs="宋体"/>
          <w:color w:val="auto"/>
          <w:highlight w:val="none"/>
        </w:rPr>
      </w:pPr>
    </w:p>
    <w:p w14:paraId="2F76F65B">
      <w:pPr>
        <w:pStyle w:val="9"/>
        <w:jc w:val="center"/>
        <w:rPr>
          <w:rFonts w:ascii="宋体" w:hAnsi="宋体" w:cs="宋体"/>
          <w:color w:val="auto"/>
          <w:highlight w:val="none"/>
        </w:rPr>
      </w:pPr>
    </w:p>
    <w:p w14:paraId="386DDEF1">
      <w:pPr>
        <w:pStyle w:val="9"/>
        <w:jc w:val="center"/>
        <w:rPr>
          <w:rFonts w:ascii="宋体" w:hAnsi="宋体" w:cs="宋体"/>
          <w:color w:val="auto"/>
          <w:highlight w:val="none"/>
        </w:rPr>
      </w:pPr>
    </w:p>
    <w:p w14:paraId="288B05B3">
      <w:pPr>
        <w:pStyle w:val="9"/>
        <w:jc w:val="center"/>
        <w:rPr>
          <w:rFonts w:ascii="宋体" w:hAnsi="宋体" w:cs="宋体"/>
          <w:color w:val="auto"/>
          <w:highlight w:val="none"/>
        </w:rPr>
      </w:pPr>
    </w:p>
    <w:p w14:paraId="265BC4B1">
      <w:pPr>
        <w:pStyle w:val="9"/>
        <w:jc w:val="center"/>
        <w:rPr>
          <w:rFonts w:ascii="宋体" w:hAnsi="宋体" w:cs="宋体"/>
          <w:color w:val="auto"/>
          <w:highlight w:val="none"/>
        </w:rPr>
      </w:pPr>
    </w:p>
    <w:p w14:paraId="1A330ADD">
      <w:pPr>
        <w:pStyle w:val="9"/>
        <w:jc w:val="center"/>
        <w:rPr>
          <w:rFonts w:ascii="宋体" w:hAnsi="宋体" w:cs="宋体"/>
          <w:color w:val="auto"/>
          <w:highlight w:val="none"/>
        </w:rPr>
      </w:pPr>
    </w:p>
    <w:p w14:paraId="382699F5">
      <w:pPr>
        <w:pStyle w:val="9"/>
        <w:jc w:val="center"/>
        <w:rPr>
          <w:rFonts w:ascii="宋体" w:hAnsi="宋体" w:cs="宋体"/>
          <w:color w:val="auto"/>
          <w:highlight w:val="none"/>
        </w:rPr>
      </w:pPr>
    </w:p>
    <w:p w14:paraId="2C404026">
      <w:pPr>
        <w:pStyle w:val="9"/>
        <w:jc w:val="center"/>
        <w:rPr>
          <w:rFonts w:ascii="宋体" w:hAnsi="宋体" w:cs="宋体"/>
          <w:color w:val="auto"/>
          <w:highlight w:val="none"/>
        </w:rPr>
      </w:pPr>
    </w:p>
    <w:p w14:paraId="0C185178">
      <w:pPr>
        <w:pStyle w:val="9"/>
        <w:jc w:val="center"/>
        <w:rPr>
          <w:rFonts w:ascii="宋体" w:hAnsi="宋体" w:cs="宋体"/>
          <w:color w:val="auto"/>
          <w:highlight w:val="none"/>
        </w:rPr>
      </w:pPr>
    </w:p>
    <w:p w14:paraId="45DE0B49">
      <w:pPr>
        <w:pStyle w:val="9"/>
        <w:jc w:val="center"/>
        <w:rPr>
          <w:rFonts w:ascii="宋体" w:hAnsi="宋体" w:cs="宋体"/>
          <w:color w:val="auto"/>
          <w:highlight w:val="none"/>
        </w:rPr>
      </w:pPr>
    </w:p>
    <w:p w14:paraId="0C34204B">
      <w:pPr>
        <w:pStyle w:val="9"/>
        <w:rPr>
          <w:rFonts w:ascii="宋体" w:hAnsi="宋体" w:cs="宋体"/>
          <w:color w:val="auto"/>
          <w:highlight w:val="none"/>
        </w:rPr>
      </w:pPr>
    </w:p>
    <w:p w14:paraId="2C8EE41A">
      <w:p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第一章 公开</w:t>
      </w:r>
      <w:r>
        <w:rPr>
          <w:rFonts w:hint="eastAsia" w:ascii="宋体" w:hAnsi="宋体" w:cs="宋体"/>
          <w:b/>
          <w:color w:val="auto"/>
          <w:sz w:val="36"/>
          <w:szCs w:val="36"/>
          <w:highlight w:val="none"/>
        </w:rPr>
        <w:t>招标采购公告</w:t>
      </w:r>
    </w:p>
    <w:p w14:paraId="77106B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cs="宋体"/>
          <w:b/>
          <w:bCs/>
          <w:color w:val="auto"/>
          <w:szCs w:val="21"/>
          <w:highlight w:val="none"/>
        </w:rPr>
        <w:t>台州市黄岩区教育局</w:t>
      </w:r>
      <w:r>
        <w:rPr>
          <w:rFonts w:hint="eastAsia" w:ascii="宋体" w:hAnsi="宋体" w:cs="宋体"/>
          <w:color w:val="auto"/>
          <w:szCs w:val="21"/>
          <w:highlight w:val="none"/>
        </w:rPr>
        <w:t>委托，现就其</w:t>
      </w:r>
      <w:r>
        <w:rPr>
          <w:rFonts w:hint="eastAsia" w:ascii="宋体" w:hAnsi="宋体" w:cs="宋体"/>
          <w:b/>
          <w:bCs/>
          <w:color w:val="auto"/>
          <w:szCs w:val="21"/>
          <w:highlight w:val="none"/>
        </w:rPr>
        <w:t>黄岩区中考标准化考点建设项目</w:t>
      </w:r>
      <w:r>
        <w:rPr>
          <w:rFonts w:hint="eastAsia" w:ascii="宋体" w:hAnsi="宋体" w:cs="宋体"/>
          <w:color w:val="auto"/>
          <w:szCs w:val="21"/>
          <w:highlight w:val="none"/>
        </w:rPr>
        <w:t>进行公开招标采购，欢迎合格供应商前来投标。</w:t>
      </w:r>
    </w:p>
    <w:p w14:paraId="27E8444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一、项目编号：tzya2025-hy08</w:t>
      </w:r>
    </w:p>
    <w:p w14:paraId="4396D14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二、招标项目概况：</w:t>
      </w:r>
    </w:p>
    <w:tbl>
      <w:tblPr>
        <w:tblStyle w:val="23"/>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343"/>
        <w:gridCol w:w="1633"/>
        <w:gridCol w:w="833"/>
        <w:gridCol w:w="800"/>
        <w:gridCol w:w="1728"/>
        <w:gridCol w:w="680"/>
      </w:tblGrid>
      <w:tr w14:paraId="2F4B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25" w:type="dxa"/>
            <w:vAlign w:val="center"/>
          </w:tcPr>
          <w:p w14:paraId="5FBBD52E">
            <w:pPr>
              <w:tabs>
                <w:tab w:val="left" w:pos="8280"/>
              </w:tabs>
              <w:autoSpaceDE w:val="0"/>
              <w:autoSpaceDN w:val="0"/>
              <w:adjustRightInd w:val="0"/>
              <w:ind w:right="25"/>
              <w:jc w:val="center"/>
              <w:rPr>
                <w:rFonts w:ascii="宋体" w:hAnsi="宋体" w:cs="宋体"/>
                <w:b/>
                <w:color w:val="auto"/>
                <w:szCs w:val="21"/>
                <w:highlight w:val="none"/>
              </w:rPr>
            </w:pPr>
            <w:bookmarkStart w:id="0" w:name="EBc3c9f0bc06b6413d849824fe98ba274c"/>
            <w:r>
              <w:rPr>
                <w:rFonts w:hint="eastAsia" w:ascii="宋体" w:hAnsi="宋体" w:cs="宋体"/>
                <w:b/>
                <w:color w:val="auto"/>
                <w:szCs w:val="21"/>
                <w:highlight w:val="none"/>
              </w:rPr>
              <w:t>序号</w:t>
            </w:r>
          </w:p>
        </w:tc>
        <w:tc>
          <w:tcPr>
            <w:tcW w:w="2343" w:type="dxa"/>
            <w:vAlign w:val="center"/>
          </w:tcPr>
          <w:p w14:paraId="5DB57363">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项目名称</w:t>
            </w:r>
          </w:p>
        </w:tc>
        <w:tc>
          <w:tcPr>
            <w:tcW w:w="1633" w:type="dxa"/>
            <w:vAlign w:val="center"/>
          </w:tcPr>
          <w:p w14:paraId="519C5582">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kern w:val="0"/>
                <w:szCs w:val="21"/>
                <w:highlight w:val="none"/>
              </w:rPr>
              <w:t>简要技术要求</w:t>
            </w:r>
          </w:p>
        </w:tc>
        <w:tc>
          <w:tcPr>
            <w:tcW w:w="833" w:type="dxa"/>
            <w:vAlign w:val="center"/>
          </w:tcPr>
          <w:p w14:paraId="345790ED">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800" w:type="dxa"/>
            <w:vAlign w:val="center"/>
          </w:tcPr>
          <w:p w14:paraId="1FE44021">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728" w:type="dxa"/>
            <w:vAlign w:val="center"/>
          </w:tcPr>
          <w:p w14:paraId="7B7BEE62">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预算/最高限价</w:t>
            </w:r>
          </w:p>
          <w:p w14:paraId="01B4EAE5">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680" w:type="dxa"/>
            <w:vAlign w:val="center"/>
          </w:tcPr>
          <w:p w14:paraId="5630FAA6">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207B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25" w:type="dxa"/>
            <w:vAlign w:val="center"/>
          </w:tcPr>
          <w:p w14:paraId="2836A44B">
            <w:pPr>
              <w:tabs>
                <w:tab w:val="left" w:pos="8280"/>
              </w:tabs>
              <w:autoSpaceDE w:val="0"/>
              <w:autoSpaceDN w:val="0"/>
              <w:adjustRightInd w:val="0"/>
              <w:ind w:right="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343" w:type="dxa"/>
            <w:vAlign w:val="center"/>
          </w:tcPr>
          <w:p w14:paraId="55A1C8A4">
            <w:pPr>
              <w:tabs>
                <w:tab w:val="left" w:pos="8280"/>
              </w:tabs>
              <w:autoSpaceDE w:val="0"/>
              <w:autoSpaceDN w:val="0"/>
              <w:adjustRightInd w:val="0"/>
              <w:ind w:right="25"/>
              <w:jc w:val="center"/>
              <w:rPr>
                <w:rFonts w:ascii="宋体" w:hAnsi="宋体" w:cs="宋体"/>
                <w:color w:val="auto"/>
                <w:szCs w:val="21"/>
                <w:highlight w:val="none"/>
              </w:rPr>
            </w:pPr>
            <w:r>
              <w:rPr>
                <w:rFonts w:hint="eastAsia" w:ascii="宋体" w:hAnsi="宋体" w:cs="宋体"/>
                <w:color w:val="auto"/>
                <w:szCs w:val="21"/>
                <w:highlight w:val="none"/>
              </w:rPr>
              <w:t>黄岩区中考标准化考点建设项目</w:t>
            </w:r>
          </w:p>
        </w:tc>
        <w:tc>
          <w:tcPr>
            <w:tcW w:w="1633" w:type="dxa"/>
            <w:vAlign w:val="center"/>
          </w:tcPr>
          <w:p w14:paraId="57119C95">
            <w:pPr>
              <w:tabs>
                <w:tab w:val="left" w:pos="8280"/>
              </w:tabs>
              <w:autoSpaceDE w:val="0"/>
              <w:autoSpaceDN w:val="0"/>
              <w:adjustRightInd w:val="0"/>
              <w:ind w:right="25"/>
              <w:jc w:val="center"/>
              <w:rPr>
                <w:rFonts w:ascii="宋体" w:hAnsi="宋体" w:cs="宋体"/>
                <w:color w:val="auto"/>
                <w:szCs w:val="21"/>
                <w:highlight w:val="none"/>
              </w:rPr>
            </w:pPr>
            <w:r>
              <w:rPr>
                <w:rFonts w:hint="eastAsia" w:ascii="宋体" w:hAnsi="宋体" w:cs="宋体"/>
                <w:color w:val="auto"/>
                <w:szCs w:val="21"/>
                <w:highlight w:val="none"/>
              </w:rPr>
              <w:t>详见项目需求</w:t>
            </w:r>
          </w:p>
        </w:tc>
        <w:tc>
          <w:tcPr>
            <w:tcW w:w="833" w:type="dxa"/>
            <w:vAlign w:val="center"/>
          </w:tcPr>
          <w:p w14:paraId="2A5903E5">
            <w:pPr>
              <w:tabs>
                <w:tab w:val="left" w:pos="8280"/>
              </w:tabs>
              <w:autoSpaceDE w:val="0"/>
              <w:autoSpaceDN w:val="0"/>
              <w:adjustRightInd w:val="0"/>
              <w:ind w:right="25"/>
              <w:jc w:val="center"/>
              <w:rPr>
                <w:rFonts w:ascii="宋体" w:hAnsi="宋体" w:cs="宋体"/>
                <w:color w:val="auto"/>
                <w:szCs w:val="21"/>
                <w:highlight w:val="none"/>
              </w:rPr>
            </w:pPr>
            <w:r>
              <w:rPr>
                <w:rFonts w:hint="eastAsia" w:ascii="宋体" w:hAnsi="宋体" w:cs="宋体"/>
                <w:color w:val="auto"/>
                <w:szCs w:val="21"/>
                <w:highlight w:val="none"/>
              </w:rPr>
              <w:t>1</w:t>
            </w:r>
          </w:p>
        </w:tc>
        <w:tc>
          <w:tcPr>
            <w:tcW w:w="800" w:type="dxa"/>
            <w:vAlign w:val="center"/>
          </w:tcPr>
          <w:p w14:paraId="2B39E616">
            <w:pPr>
              <w:widowControl/>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728" w:type="dxa"/>
            <w:vAlign w:val="center"/>
          </w:tcPr>
          <w:p w14:paraId="2424CD67">
            <w:pPr>
              <w:tabs>
                <w:tab w:val="left" w:pos="8280"/>
              </w:tabs>
              <w:autoSpaceDE w:val="0"/>
              <w:autoSpaceDN w:val="0"/>
              <w:adjustRightInd w:val="0"/>
              <w:ind w:right="25"/>
              <w:jc w:val="center"/>
              <w:rPr>
                <w:rFonts w:ascii="宋体" w:hAnsi="宋体" w:cs="宋体"/>
                <w:color w:val="auto"/>
                <w:szCs w:val="21"/>
                <w:highlight w:val="none"/>
              </w:rPr>
            </w:pPr>
            <w:r>
              <w:rPr>
                <w:rFonts w:hint="eastAsia" w:ascii="宋体" w:hAnsi="宋体" w:cs="宋体"/>
                <w:color w:val="auto"/>
                <w:szCs w:val="21"/>
                <w:highlight w:val="none"/>
              </w:rPr>
              <w:t>485</w:t>
            </w:r>
          </w:p>
        </w:tc>
        <w:tc>
          <w:tcPr>
            <w:tcW w:w="680" w:type="dxa"/>
            <w:vAlign w:val="center"/>
          </w:tcPr>
          <w:p w14:paraId="1BB5AA34">
            <w:pPr>
              <w:tabs>
                <w:tab w:val="left" w:pos="8280"/>
              </w:tabs>
              <w:autoSpaceDE w:val="0"/>
              <w:autoSpaceDN w:val="0"/>
              <w:adjustRightInd w:val="0"/>
              <w:ind w:right="25"/>
              <w:jc w:val="center"/>
              <w:rPr>
                <w:rFonts w:ascii="宋体" w:hAnsi="宋体" w:cs="宋体"/>
                <w:color w:val="auto"/>
                <w:szCs w:val="21"/>
                <w:highlight w:val="none"/>
              </w:rPr>
            </w:pPr>
          </w:p>
        </w:tc>
      </w:tr>
      <w:bookmarkEnd w:id="0"/>
    </w:tbl>
    <w:p w14:paraId="34626201">
      <w:pPr>
        <w:tabs>
          <w:tab w:val="left" w:pos="0"/>
        </w:tabs>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u w:val="single"/>
        </w:rPr>
        <w:t>本项目采用“电子交易”的方式提交投标文件（还可以提供备份投标文件），请各投标人按照要求进行。</w:t>
      </w:r>
    </w:p>
    <w:p w14:paraId="7580D1D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三、合格投标人的资格条件：</w:t>
      </w:r>
    </w:p>
    <w:p w14:paraId="2665BAD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符合《中华人民共和国政府采购法》第二十二条及其他法律、行政法规规定的对投标主体的要求。未被“信用中国”（www.creditchina.gov.cn）、中国政府采购网（www.ccgp.gov.cn）列入失信被执行人、重大税收违法失信主体、政府采购严重违法失信行为记录名单。</w:t>
      </w:r>
    </w:p>
    <w:p w14:paraId="490EDD4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（二）本项目供应商特定资格要求</w:t>
      </w:r>
    </w:p>
    <w:p w14:paraId="141D7AC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（1）本项目不接受联合体投标。</w:t>
      </w:r>
    </w:p>
    <w:p w14:paraId="1955C2FE">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61C909C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四、招标文件获取的方式、时间:</w:t>
      </w:r>
    </w:p>
    <w:p w14:paraId="04428AAE">
      <w:pPr>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1、</w:t>
      </w:r>
      <w:r>
        <w:rPr>
          <w:rFonts w:hint="eastAsia" w:ascii="宋体" w:hAnsi="宋体" w:cs="宋体"/>
          <w:b/>
          <w:color w:val="auto"/>
          <w:szCs w:val="21"/>
          <w:highlight w:val="none"/>
        </w:rPr>
        <w:t>本项目招标文件实行“浙江政府采购网”</w:t>
      </w:r>
      <w:r>
        <w:rPr>
          <w:rStyle w:val="26"/>
          <w:rFonts w:hint="eastAsia" w:ascii="宋体" w:hAnsi="宋体" w:cs="宋体"/>
          <w:color w:val="auto"/>
          <w:sz w:val="21"/>
          <w:szCs w:val="21"/>
          <w:highlight w:val="none"/>
        </w:rPr>
        <w:t>（http://zfcg.czt.zj.gov.cn）</w:t>
      </w:r>
      <w:r>
        <w:rPr>
          <w:rFonts w:hint="eastAsia" w:ascii="宋体" w:hAnsi="宋体" w:cs="宋体"/>
          <w:b/>
          <w:color w:val="auto"/>
          <w:szCs w:val="21"/>
          <w:highlight w:val="none"/>
        </w:rPr>
        <w:t>在线获取，不提供招标文件纸质版。供应商获取招标文件前应先完成“浙江政府采购网”的账号注册。</w:t>
      </w:r>
    </w:p>
    <w:p w14:paraId="68DCBD75">
      <w:pPr>
        <w:spacing w:line="360" w:lineRule="auto"/>
        <w:ind w:firstLine="422" w:firstLineChars="200"/>
        <w:rPr>
          <w:rStyle w:val="26"/>
          <w:rFonts w:ascii="宋体" w:hAnsi="宋体" w:cs="宋体"/>
          <w:color w:val="auto"/>
          <w:sz w:val="21"/>
          <w:szCs w:val="21"/>
          <w:highlight w:val="none"/>
        </w:rPr>
      </w:pPr>
      <w:r>
        <w:rPr>
          <w:rFonts w:hint="eastAsia" w:ascii="宋体" w:hAnsi="宋体" w:cs="宋体"/>
          <w:b/>
          <w:bCs/>
          <w:color w:val="auto"/>
          <w:szCs w:val="21"/>
          <w:highlight w:val="none"/>
        </w:rPr>
        <w:t>2、获取</w:t>
      </w:r>
      <w:r>
        <w:rPr>
          <w:rStyle w:val="26"/>
          <w:rFonts w:hint="eastAsia" w:ascii="宋体" w:hAnsi="宋体" w:cs="宋体"/>
          <w:color w:val="auto"/>
          <w:sz w:val="21"/>
          <w:szCs w:val="21"/>
          <w:highlight w:val="none"/>
        </w:rPr>
        <w:t>方式：潜在供应商登陆政府采购云平台，在线申请获取招标文件</w:t>
      </w:r>
      <w:r>
        <w:rPr>
          <w:rStyle w:val="26"/>
          <w:rFonts w:hint="eastAsia" w:ascii="宋体" w:hAnsi="宋体" w:cs="宋体"/>
          <w:b w:val="0"/>
          <w:bCs/>
          <w:color w:val="auto"/>
          <w:sz w:val="21"/>
          <w:szCs w:val="21"/>
          <w:highlight w:val="none"/>
        </w:rPr>
        <w:t>（进入“项目采购”应用，在获取招标文件菜单中选择项目，申请获取招标文件，本项目招标文件不收取工本费；</w:t>
      </w:r>
      <w:r>
        <w:rPr>
          <w:rStyle w:val="26"/>
          <w:rFonts w:hint="eastAsia" w:ascii="宋体" w:hAnsi="宋体" w:cs="宋体"/>
          <w:b w:val="0"/>
          <w:bCs/>
          <w:color w:val="auto"/>
          <w:sz w:val="21"/>
          <w:szCs w:val="21"/>
          <w:highlight w:val="none"/>
          <w:u w:val="single"/>
        </w:rPr>
        <w:t>仅需浏览招标文件的供应商可点击“游客，浏览招标文件”直接下载招标文件浏览</w:t>
      </w:r>
      <w:r>
        <w:rPr>
          <w:rStyle w:val="26"/>
          <w:rFonts w:hint="eastAsia" w:ascii="宋体" w:hAnsi="宋体" w:cs="宋体"/>
          <w:b w:val="0"/>
          <w:bCs/>
          <w:color w:val="auto"/>
          <w:sz w:val="21"/>
          <w:szCs w:val="21"/>
          <w:highlight w:val="none"/>
        </w:rPr>
        <w:t>）；</w:t>
      </w:r>
    </w:p>
    <w:p w14:paraId="78D213AC">
      <w:pPr>
        <w:spacing w:line="360" w:lineRule="auto"/>
        <w:ind w:firstLine="422" w:firstLineChars="200"/>
        <w:rPr>
          <w:rFonts w:ascii="宋体" w:hAnsi="宋体" w:cs="宋体"/>
          <w:color w:val="auto"/>
          <w:szCs w:val="21"/>
          <w:highlight w:val="none"/>
        </w:rPr>
      </w:pPr>
      <w:r>
        <w:rPr>
          <w:rStyle w:val="26"/>
          <w:rFonts w:hint="eastAsia" w:ascii="宋体" w:hAnsi="宋体" w:cs="宋体"/>
          <w:color w:val="auto"/>
          <w:sz w:val="21"/>
          <w:szCs w:val="21"/>
          <w:highlight w:val="none"/>
        </w:rPr>
        <w:t>3、</w:t>
      </w:r>
      <w:r>
        <w:rPr>
          <w:rFonts w:hint="eastAsia" w:ascii="宋体" w:hAnsi="宋体" w:cs="宋体"/>
          <w:b/>
          <w:bCs/>
          <w:color w:val="auto"/>
          <w:szCs w:val="21"/>
          <w:highlight w:val="none"/>
        </w:rPr>
        <w:t>获取（公告）时间</w:t>
      </w:r>
      <w:r>
        <w:rPr>
          <w:rFonts w:hint="eastAsia" w:ascii="宋体" w:hAnsi="宋体" w:cs="宋体"/>
          <w:color w:val="auto"/>
          <w:szCs w:val="21"/>
          <w:highlight w:val="none"/>
        </w:rPr>
        <w:t>：自本公告发布之日起至投标文件递交截止时间止；</w:t>
      </w:r>
    </w:p>
    <w:p w14:paraId="23464C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Style w:val="26"/>
          <w:rFonts w:hint="eastAsia" w:ascii="宋体" w:hAnsi="宋体" w:cs="宋体"/>
          <w:b w:val="0"/>
          <w:color w:val="auto"/>
          <w:sz w:val="21"/>
          <w:szCs w:val="21"/>
          <w:highlight w:val="none"/>
        </w:rPr>
        <w:t>供应商网上报名操作指南：“浙江政府采购网-办事指南-省采中心-网上报名”（http://zfcg.czt.zj.gov.cn/bs_other/2018-03-30/12002.html）。</w:t>
      </w:r>
    </w:p>
    <w:p w14:paraId="40AC8949">
      <w:pPr>
        <w:pStyle w:val="19"/>
        <w:widowControl w:val="0"/>
        <w:spacing w:before="0" w:beforeAutospacing="0" w:after="0" w:afterAutospacing="0" w:line="360" w:lineRule="auto"/>
        <w:ind w:firstLine="420" w:firstLineChars="200"/>
        <w:rPr>
          <w:rFonts w:cs="宋体"/>
          <w:color w:val="auto"/>
          <w:sz w:val="21"/>
          <w:szCs w:val="21"/>
          <w:highlight w:val="none"/>
        </w:rPr>
      </w:pPr>
      <w:r>
        <w:rPr>
          <w:rStyle w:val="26"/>
          <w:rFonts w:hint="eastAsia" w:ascii="宋体" w:hAnsi="宋体" w:cs="宋体"/>
          <w:b w:val="0"/>
          <w:color w:val="auto"/>
          <w:sz w:val="21"/>
          <w:szCs w:val="21"/>
          <w:highlight w:val="none"/>
        </w:rPr>
        <w:t>5、供应商获取招标文件时须提交的文件资料：无；</w:t>
      </w:r>
    </w:p>
    <w:p w14:paraId="56768871">
      <w:pPr>
        <w:pStyle w:val="19"/>
        <w:widowControl w:val="0"/>
        <w:spacing w:before="0" w:beforeAutospacing="0" w:after="0" w:afterAutospacing="0" w:line="360" w:lineRule="auto"/>
        <w:ind w:firstLine="422" w:firstLineChars="200"/>
        <w:rPr>
          <w:rFonts w:cs="宋体"/>
          <w:color w:val="auto"/>
          <w:sz w:val="21"/>
          <w:szCs w:val="21"/>
          <w:highlight w:val="none"/>
        </w:rPr>
      </w:pPr>
      <w:r>
        <w:rPr>
          <w:rStyle w:val="26"/>
          <w:rFonts w:hint="eastAsia" w:ascii="宋体" w:hAnsi="宋体" w:cs="宋体"/>
          <w:color w:val="auto"/>
          <w:sz w:val="21"/>
          <w:szCs w:val="21"/>
          <w:highlight w:val="none"/>
        </w:rPr>
        <w:t>6、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63FB11D5">
      <w:pPr>
        <w:pStyle w:val="19"/>
        <w:widowControl w:val="0"/>
        <w:spacing w:before="0" w:beforeAutospacing="0" w:after="0" w:afterAutospacing="0" w:line="360" w:lineRule="auto"/>
        <w:ind w:firstLine="422" w:firstLineChars="200"/>
        <w:rPr>
          <w:rStyle w:val="26"/>
          <w:rFonts w:ascii="宋体" w:hAnsi="宋体" w:cs="宋体"/>
          <w:color w:val="auto"/>
          <w:sz w:val="21"/>
          <w:szCs w:val="21"/>
          <w:highlight w:val="none"/>
        </w:rPr>
      </w:pPr>
      <w:r>
        <w:rPr>
          <w:rStyle w:val="26"/>
          <w:rFonts w:hint="eastAsia" w:ascii="宋体" w:hAnsi="宋体" w:cs="宋体"/>
          <w:color w:val="auto"/>
          <w:sz w:val="21"/>
          <w:szCs w:val="21"/>
          <w:highlight w:val="none"/>
        </w:rPr>
        <w:t>注：请供应商按上述要求获取招标文件，如未在“政府采购云平台”系统内完成相关流程，引起的投标无效责任自负。</w:t>
      </w:r>
    </w:p>
    <w:p w14:paraId="64AB440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五、招标答疑会</w:t>
      </w:r>
    </w:p>
    <w:p w14:paraId="4456A8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无</w:t>
      </w:r>
    </w:p>
    <w:p w14:paraId="75694B1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六、投标须知：</w:t>
      </w:r>
    </w:p>
    <w:p w14:paraId="0D300F1F">
      <w:pPr>
        <w:pStyle w:val="53"/>
        <w:widowControl w:val="0"/>
        <w:spacing w:line="360" w:lineRule="auto"/>
        <w:ind w:firstLine="422" w:firstLineChars="200"/>
        <w:rPr>
          <w:rFonts w:ascii="宋体" w:hAnsi="宋体"/>
          <w:color w:val="auto"/>
          <w:highlight w:val="none"/>
        </w:rPr>
      </w:pPr>
      <w:r>
        <w:rPr>
          <w:rFonts w:hint="eastAsia" w:ascii="宋体" w:hAnsi="宋体"/>
          <w:b/>
          <w:bCs/>
          <w:color w:val="auto"/>
          <w:highlight w:val="none"/>
        </w:rPr>
        <w:t>1、投标截止时间与地点</w:t>
      </w:r>
      <w:r>
        <w:rPr>
          <w:rFonts w:hint="eastAsia" w:ascii="宋体" w:hAnsi="宋体"/>
          <w:color w:val="auto"/>
          <w:highlight w:val="none"/>
        </w:rPr>
        <w:t xml:space="preserve">：2025年  月  日14:30整，地点：通过“政府采购云平台（www.zcygov.cn）”实行在线投标响应   </w:t>
      </w:r>
    </w:p>
    <w:p w14:paraId="061D7AB8">
      <w:pPr>
        <w:pStyle w:val="53"/>
        <w:widowControl w:val="0"/>
        <w:spacing w:line="360" w:lineRule="auto"/>
        <w:ind w:firstLine="422" w:firstLineChars="200"/>
        <w:rPr>
          <w:rFonts w:ascii="宋体" w:hAnsi="宋体"/>
          <w:color w:val="auto"/>
          <w:highlight w:val="none"/>
        </w:rPr>
      </w:pPr>
      <w:r>
        <w:rPr>
          <w:rFonts w:hint="eastAsia" w:ascii="宋体" w:hAnsi="宋体"/>
          <w:b/>
          <w:bCs/>
          <w:color w:val="auto"/>
          <w:highlight w:val="none"/>
        </w:rPr>
        <w:t>2、开标时间及地点</w:t>
      </w:r>
      <w:r>
        <w:rPr>
          <w:rFonts w:hint="eastAsia" w:ascii="宋体" w:hAnsi="宋体"/>
          <w:color w:val="auto"/>
          <w:highlight w:val="none"/>
        </w:rPr>
        <w:t>：2025年  月  日14:30整，地点：</w:t>
      </w:r>
      <w:r>
        <w:rPr>
          <w:rFonts w:hint="eastAsia" w:ascii="宋体" w:hAnsi="宋体"/>
          <w:color w:val="auto"/>
          <w:kern w:val="2"/>
          <w:szCs w:val="24"/>
          <w:highlight w:val="none"/>
        </w:rPr>
        <w:t>通过“政府采购云平台（www.zcygov.cn）”实行在线投标响应</w:t>
      </w:r>
    </w:p>
    <w:p w14:paraId="052617C8">
      <w:pPr>
        <w:pStyle w:val="53"/>
        <w:widowControl w:val="0"/>
        <w:spacing w:line="360" w:lineRule="auto"/>
        <w:ind w:firstLine="422" w:firstLineChars="200"/>
        <w:rPr>
          <w:rFonts w:ascii="宋体" w:hAnsi="宋体"/>
          <w:color w:val="auto"/>
          <w:highlight w:val="none"/>
        </w:rPr>
      </w:pPr>
      <w:r>
        <w:rPr>
          <w:rFonts w:hint="eastAsia" w:ascii="宋体" w:hAnsi="宋体"/>
          <w:b/>
          <w:bCs/>
          <w:color w:val="auto"/>
          <w:highlight w:val="none"/>
        </w:rPr>
        <w:t>3、解密截止时间</w:t>
      </w:r>
      <w:r>
        <w:rPr>
          <w:rFonts w:hint="eastAsia" w:ascii="宋体" w:hAnsi="宋体"/>
          <w:color w:val="auto"/>
          <w:highlight w:val="none"/>
        </w:rPr>
        <w:t>：2025年  月  日15:00整</w:t>
      </w:r>
    </w:p>
    <w:p w14:paraId="6D4D4E9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七、在线投标响应（电子投标）说明</w:t>
      </w:r>
    </w:p>
    <w:p w14:paraId="2C8C2379">
      <w:pPr>
        <w:pStyle w:val="13"/>
        <w:spacing w:line="360" w:lineRule="auto"/>
        <w:ind w:firstLine="422" w:firstLineChars="200"/>
        <w:rPr>
          <w:rFonts w:hAnsi="宋体" w:cs="宋体"/>
          <w:b/>
          <w:bCs/>
          <w:color w:val="auto"/>
          <w:kern w:val="0"/>
          <w:szCs w:val="21"/>
          <w:highlight w:val="none"/>
        </w:rPr>
      </w:pPr>
      <w:r>
        <w:rPr>
          <w:rFonts w:hint="eastAsia" w:hAnsi="宋体" w:cs="宋体"/>
          <w:b/>
          <w:bCs/>
          <w:color w:val="auto"/>
          <w:kern w:val="0"/>
          <w:szCs w:val="21"/>
          <w:highlight w:val="none"/>
        </w:rPr>
        <w:t>1、本项目通过“政府采购云平台（www.zcygov.cn）”实行在线投标响应（电子投标），供应商应先安装“政采云电子投标客户端”，并按照本招标文件和“政府采购云平台”的要求，通过“政采云电子投标客户端”编制并加密投标文件。</w:t>
      </w:r>
      <w:r>
        <w:rPr>
          <w:rFonts w:hint="eastAsia" w:hAnsi="宋体" w:cs="宋体"/>
          <w:color w:val="auto"/>
          <w:szCs w:val="21"/>
          <w:highlight w:val="none"/>
        </w:rPr>
        <w:t>▲</w:t>
      </w:r>
      <w:r>
        <w:rPr>
          <w:rFonts w:hint="eastAsia" w:hAnsi="宋体" w:cs="宋体"/>
          <w:b/>
          <w:bCs/>
          <w:color w:val="auto"/>
          <w:kern w:val="0"/>
          <w:szCs w:val="21"/>
          <w:highlight w:val="none"/>
        </w:rPr>
        <w:t>供应商未按规定加密的投标文件，“政府采购云平台”将予以拒收。</w:t>
      </w:r>
    </w:p>
    <w:p w14:paraId="2E178527">
      <w:pPr>
        <w:pStyle w:val="13"/>
        <w:spacing w:line="360" w:lineRule="auto"/>
        <w:ind w:firstLine="422" w:firstLineChars="200"/>
        <w:rPr>
          <w:rFonts w:hAnsi="宋体" w:cs="宋体"/>
          <w:b/>
          <w:bCs/>
          <w:color w:val="auto"/>
          <w:kern w:val="0"/>
          <w:szCs w:val="21"/>
          <w:highlight w:val="none"/>
        </w:rPr>
      </w:pPr>
      <w:r>
        <w:rPr>
          <w:rFonts w:hint="eastAsia" w:hAnsi="宋体" w:cs="宋体"/>
          <w:b/>
          <w:bCs/>
          <w:color w:val="auto"/>
          <w:kern w:val="0"/>
          <w:szCs w:val="21"/>
          <w:highlight w:val="none"/>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36BC9271">
      <w:pPr>
        <w:pStyle w:val="53"/>
        <w:widowControl w:val="0"/>
        <w:spacing w:line="360" w:lineRule="auto"/>
        <w:ind w:firstLine="422" w:firstLineChars="200"/>
        <w:rPr>
          <w:rFonts w:ascii="宋体" w:hAnsi="宋体"/>
          <w:b/>
          <w:bCs/>
          <w:color w:val="auto"/>
          <w:highlight w:val="none"/>
        </w:rPr>
      </w:pPr>
      <w:r>
        <w:rPr>
          <w:rFonts w:hint="eastAsia" w:ascii="宋体" w:hAnsi="宋体"/>
          <w:b/>
          <w:bCs/>
          <w:color w:val="auto"/>
          <w:highlight w:val="none"/>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color w:val="auto"/>
          <w:highlight w:val="none"/>
        </w:rPr>
        <w:fldChar w:fldCharType="begin"/>
      </w:r>
      <w:r>
        <w:rPr>
          <w:color w:val="auto"/>
          <w:highlight w:val="none"/>
        </w:rPr>
        <w:instrText xml:space="preserve"> HYPERLINK "http://zfcg.czt.zj.gov.cn/bidClientTemplate/2019-05-27/12945.html" \o "CA驱动和申领流程" </w:instrText>
      </w:r>
      <w:r>
        <w:rPr>
          <w:color w:val="auto"/>
          <w:highlight w:val="none"/>
        </w:rPr>
        <w:fldChar w:fldCharType="separate"/>
      </w:r>
      <w:r>
        <w:rPr>
          <w:rFonts w:hint="eastAsia" w:ascii="宋体" w:hAnsi="宋体"/>
          <w:b/>
          <w:bCs/>
          <w:color w:val="auto"/>
          <w:highlight w:val="none"/>
        </w:rPr>
        <w:t>CA驱动和申领流程</w:t>
      </w:r>
      <w:r>
        <w:rPr>
          <w:rFonts w:hint="eastAsia" w:ascii="宋体" w:hAnsi="宋体"/>
          <w:b/>
          <w:bCs/>
          <w:color w:val="auto"/>
          <w:highlight w:val="none"/>
        </w:rPr>
        <w:fldChar w:fldCharType="end"/>
      </w:r>
      <w:r>
        <w:rPr>
          <w:rFonts w:hint="eastAsia" w:ascii="宋体" w:hAnsi="宋体"/>
          <w:b/>
          <w:bCs/>
          <w:color w:val="auto"/>
          <w:highlight w:val="none"/>
        </w:rPr>
        <w:t>”进行查阅；</w:t>
      </w:r>
    </w:p>
    <w:p w14:paraId="3473E0ED">
      <w:pPr>
        <w:pStyle w:val="13"/>
        <w:spacing w:line="360" w:lineRule="auto"/>
        <w:ind w:firstLine="422" w:firstLineChars="200"/>
        <w:rPr>
          <w:rFonts w:hAnsi="宋体" w:cs="宋体"/>
          <w:b/>
          <w:bCs/>
          <w:color w:val="auto"/>
          <w:kern w:val="0"/>
          <w:szCs w:val="21"/>
          <w:highlight w:val="none"/>
        </w:rPr>
      </w:pPr>
      <w:r>
        <w:rPr>
          <w:rFonts w:hint="eastAsia" w:hAnsi="宋体" w:cs="宋体"/>
          <w:b/>
          <w:bCs/>
          <w:color w:val="auto"/>
          <w:kern w:val="0"/>
          <w:szCs w:val="21"/>
          <w:highlight w:val="none"/>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color w:val="auto"/>
          <w:highlight w:val="none"/>
        </w:rPr>
        <w:fldChar w:fldCharType="begin"/>
      </w:r>
      <w:r>
        <w:rPr>
          <w:color w:val="auto"/>
          <w:highlight w:val="none"/>
        </w:rPr>
        <w:instrText xml:space="preserve"> HYPERLINK "https://service.zcygov.cn/#/knowledges/CW1EtGwBFdiHxlNd6I3m/6IMVAG0BFdiHx" </w:instrText>
      </w:r>
      <w:r>
        <w:rPr>
          <w:color w:val="auto"/>
          <w:highlight w:val="none"/>
        </w:rPr>
        <w:fldChar w:fldCharType="separate"/>
      </w:r>
      <w:r>
        <w:rPr>
          <w:rFonts w:hint="eastAsia" w:hAnsi="宋体" w:cs="宋体"/>
          <w:b/>
          <w:bCs/>
          <w:color w:val="auto"/>
          <w:kern w:val="0"/>
          <w:szCs w:val="21"/>
          <w:highlight w:val="none"/>
        </w:rPr>
        <w:t>https://service.zcygov.cn/#/knowledges/CW1EtGwBFdiHxlNd6I3m/6IMVAG0BFdiHx</w:t>
      </w:r>
      <w:r>
        <w:rPr>
          <w:rFonts w:hint="eastAsia" w:hAnsi="宋体" w:cs="宋体"/>
          <w:b/>
          <w:bCs/>
          <w:color w:val="auto"/>
          <w:kern w:val="0"/>
          <w:szCs w:val="21"/>
          <w:highlight w:val="none"/>
        </w:rPr>
        <w:fldChar w:fldCharType="end"/>
      </w:r>
    </w:p>
    <w:p w14:paraId="0BEF59B6">
      <w:pPr>
        <w:pStyle w:val="13"/>
        <w:spacing w:line="360" w:lineRule="auto"/>
        <w:ind w:firstLine="422" w:firstLineChars="200"/>
        <w:rPr>
          <w:rFonts w:hAnsi="宋体" w:cs="宋体"/>
          <w:b/>
          <w:bCs/>
          <w:color w:val="auto"/>
          <w:kern w:val="0"/>
          <w:szCs w:val="21"/>
          <w:highlight w:val="none"/>
        </w:rPr>
      </w:pPr>
      <w:r>
        <w:rPr>
          <w:rFonts w:hint="eastAsia" w:hAnsi="宋体" w:cs="宋体"/>
          <w:b/>
          <w:bCs/>
          <w:color w:val="auto"/>
          <w:kern w:val="0"/>
          <w:szCs w:val="21"/>
          <w:highlight w:val="none"/>
        </w:rPr>
        <w:t>lNdQ8Na?keyword=%E6%8A%95%E6%A0%87。</w:t>
      </w:r>
    </w:p>
    <w:p w14:paraId="4F66DE61">
      <w:pPr>
        <w:pStyle w:val="13"/>
        <w:spacing w:line="360" w:lineRule="auto"/>
        <w:ind w:firstLine="422" w:firstLineChars="200"/>
        <w:rPr>
          <w:rFonts w:hAnsi="宋体" w:cs="宋体"/>
          <w:b/>
          <w:bCs/>
          <w:color w:val="auto"/>
          <w:kern w:val="0"/>
          <w:szCs w:val="21"/>
          <w:highlight w:val="none"/>
        </w:rPr>
      </w:pPr>
      <w:r>
        <w:rPr>
          <w:rFonts w:hint="eastAsia" w:hAnsi="宋体" w:cs="宋体"/>
          <w:b/>
          <w:bCs/>
          <w:color w:val="auto"/>
          <w:kern w:val="0"/>
          <w:szCs w:val="21"/>
          <w:highlight w:val="none"/>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3DF2D700">
      <w:pPr>
        <w:pStyle w:val="13"/>
        <w:spacing w:line="360" w:lineRule="auto"/>
        <w:ind w:firstLine="422" w:firstLineChars="200"/>
        <w:rPr>
          <w:rFonts w:hAnsi="宋体" w:cs="宋体"/>
          <w:b/>
          <w:bCs/>
          <w:color w:val="auto"/>
          <w:kern w:val="0"/>
          <w:szCs w:val="21"/>
          <w:highlight w:val="none"/>
        </w:rPr>
      </w:pPr>
      <w:r>
        <w:rPr>
          <w:rFonts w:hint="eastAsia" w:hAnsi="宋体" w:cs="宋体"/>
          <w:b/>
          <w:bCs/>
          <w:color w:val="auto"/>
          <w:kern w:val="0"/>
          <w:szCs w:val="21"/>
          <w:highlight w:val="none"/>
        </w:rPr>
        <w:t>5、供应商同时还可以提供经政采云平台加密处理的、</w:t>
      </w:r>
      <w:r>
        <w:rPr>
          <w:rFonts w:hint="eastAsia" w:hAnsi="宋体" w:cs="宋体"/>
          <w:b/>
          <w:bCs/>
          <w:color w:val="auto"/>
          <w:szCs w:val="21"/>
          <w:highlight w:val="none"/>
        </w:rPr>
        <w:t>以介质（U盘）存储的数据电文形式的备份</w:t>
      </w:r>
      <w:r>
        <w:rPr>
          <w:rFonts w:hint="eastAsia" w:hAnsi="宋体" w:cs="宋体"/>
          <w:b/>
          <w:bCs/>
          <w:color w:val="auto"/>
          <w:kern w:val="0"/>
          <w:szCs w:val="21"/>
          <w:highlight w:val="none"/>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hAnsi="宋体" w:cs="宋体"/>
          <w:b/>
          <w:bCs/>
          <w:color w:val="auto"/>
          <w:szCs w:val="21"/>
          <w:highlight w:val="none"/>
        </w:rPr>
        <w:t>建议采用顺丰邮寄（或直接递交）</w:t>
      </w:r>
      <w:r>
        <w:rPr>
          <w:rFonts w:hint="eastAsia" w:hAnsi="宋体" w:cs="宋体"/>
          <w:b/>
          <w:bCs/>
          <w:color w:val="auto"/>
          <w:kern w:val="0"/>
          <w:szCs w:val="21"/>
          <w:highlight w:val="none"/>
        </w:rPr>
        <w:t>到</w:t>
      </w:r>
      <w:r>
        <w:rPr>
          <w:rFonts w:hint="eastAsia" w:hAnsi="宋体" w:cs="宋体"/>
          <w:b/>
          <w:bCs/>
          <w:color w:val="auto"/>
          <w:szCs w:val="21"/>
          <w:highlight w:val="none"/>
        </w:rPr>
        <w:t>台州市椒江区中环世纪6幢801室（交通银行台州分行楼上）收件人：俞雅琪；联系电话：15757696186</w:t>
      </w:r>
      <w:r>
        <w:rPr>
          <w:rFonts w:hint="eastAsia" w:hAnsi="宋体" w:cs="宋体"/>
          <w:b/>
          <w:bCs/>
          <w:color w:val="auto"/>
          <w:kern w:val="0"/>
          <w:szCs w:val="21"/>
          <w:highlight w:val="none"/>
        </w:rPr>
        <w:t>，逾期寄达、到付或未按要求密封将被拒收。</w:t>
      </w:r>
    </w:p>
    <w:p w14:paraId="60DB0E8A">
      <w:pPr>
        <w:pStyle w:val="13"/>
        <w:spacing w:line="360" w:lineRule="auto"/>
        <w:ind w:firstLine="422" w:firstLineChars="200"/>
        <w:rPr>
          <w:rFonts w:hAnsi="宋体" w:cs="宋体"/>
          <w:b/>
          <w:bCs/>
          <w:color w:val="auto"/>
          <w:kern w:val="0"/>
          <w:szCs w:val="21"/>
          <w:highlight w:val="none"/>
        </w:rPr>
      </w:pPr>
      <w:r>
        <w:rPr>
          <w:rFonts w:hint="eastAsia" w:hAnsi="宋体" w:cs="宋体"/>
          <w:b/>
          <w:bCs/>
          <w:color w:val="auto"/>
          <w:kern w:val="0"/>
          <w:szCs w:val="21"/>
          <w:highlight w:val="none"/>
        </w:rPr>
        <w:t>6、</w:t>
      </w:r>
      <w:r>
        <w:rPr>
          <w:rFonts w:hint="eastAsia" w:hAnsi="宋体" w:cs="宋体"/>
          <w:color w:val="auto"/>
          <w:szCs w:val="21"/>
          <w:highlight w:val="none"/>
        </w:rPr>
        <w:t>▲</w:t>
      </w:r>
      <w:r>
        <w:rPr>
          <w:rFonts w:hint="eastAsia" w:hAnsi="宋体" w:cs="宋体"/>
          <w:b/>
          <w:bCs/>
          <w:color w:val="auto"/>
          <w:kern w:val="0"/>
          <w:szCs w:val="21"/>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3D1B2804">
      <w:pPr>
        <w:pStyle w:val="14"/>
        <w:spacing w:line="360" w:lineRule="auto"/>
        <w:ind w:left="0" w:leftChars="0" w:firstLine="422" w:firstLineChars="200"/>
        <w:rPr>
          <w:rFonts w:ascii="宋体" w:hAnsi="宋体" w:eastAsia="宋体" w:cs="宋体"/>
          <w:color w:val="auto"/>
          <w:highlight w:val="none"/>
        </w:rPr>
      </w:pPr>
      <w:r>
        <w:rPr>
          <w:rFonts w:hint="eastAsia" w:ascii="宋体" w:hAnsi="宋体" w:eastAsia="宋体" w:cs="宋体"/>
          <w:b/>
          <w:bCs/>
          <w:color w:val="auto"/>
          <w:kern w:val="0"/>
          <w:sz w:val="21"/>
          <w:szCs w:val="21"/>
          <w:highlight w:val="none"/>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 企业的，联合体视同小微企业。</w:t>
      </w:r>
    </w:p>
    <w:p w14:paraId="4D18D48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八、投标人信用信息查询渠道及截止时点、信用信息查询记录和证据留存的具体方式、信用信息的使用规则：</w:t>
      </w:r>
    </w:p>
    <w:p w14:paraId="16F5A8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1、查询渠道：“信用中国”（www.creditchina.gov.cn）、“中国政府采购网”（www.ccgp.gov.cn）、“浙江政府采购网（</w:t>
      </w:r>
      <w:r>
        <w:rPr>
          <w:rFonts w:hint="eastAsia" w:ascii="宋体" w:hAnsi="宋体" w:cs="宋体"/>
          <w:color w:val="auto"/>
          <w:kern w:val="0"/>
          <w:szCs w:val="21"/>
          <w:highlight w:val="none"/>
        </w:rPr>
        <w:t>http://zfcg.czt.zj.gov.cn</w:t>
      </w:r>
      <w:r>
        <w:rPr>
          <w:rFonts w:hint="eastAsia" w:ascii="宋体" w:hAnsi="宋体" w:cs="宋体"/>
          <w:color w:val="auto"/>
          <w:szCs w:val="21"/>
          <w:highlight w:val="none"/>
        </w:rPr>
        <w:t>）。</w:t>
      </w:r>
    </w:p>
    <w:p w14:paraId="203D96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2、信用信息查询的截止时点：开标后评标前。</w:t>
      </w:r>
    </w:p>
    <w:p w14:paraId="2E7454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3、信用信息查询记录和证据留存的具体方式：由采购代理机构在规定查询时间内打印信用信息查询记录并归入项目档案。</w:t>
      </w:r>
    </w:p>
    <w:p w14:paraId="129AD8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的使用规则：对列入失信被执行人、重大税收违法失信主体、政府采购严重违法失信行为记录名单及其他不符合《中华人民共和国政府采购法》第二十二条规定条件的供应商，将被拒绝其参与政府采购活动。</w:t>
      </w:r>
    </w:p>
    <w:p w14:paraId="6A4104B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九、相关注意事项：</w:t>
      </w:r>
    </w:p>
    <w:p w14:paraId="718706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1、《浙江省财政厅关于进一步发挥政府采购政策功能全力推动经济稳进提质的通知》 (浙财采监</w:t>
      </w:r>
      <w:r>
        <w:rPr>
          <w:rFonts w:ascii="宋体" w:hAnsi="宋体" w:cs="宋体"/>
          <w:color w:val="auto"/>
          <w:sz w:val="24"/>
          <w:highlight w:val="none"/>
        </w:rPr>
        <w:t>〔</w:t>
      </w:r>
      <w:r>
        <w:rPr>
          <w:rFonts w:hint="eastAsia" w:ascii="宋体" w:hAnsi="宋体" w:cs="宋体"/>
          <w:color w:val="auto"/>
          <w:szCs w:val="21"/>
          <w:highlight w:val="none"/>
        </w:rPr>
        <w:t>2022</w:t>
      </w:r>
      <w:r>
        <w:rPr>
          <w:rFonts w:ascii="宋体" w:hAnsi="宋体" w:cs="宋体"/>
          <w:color w:val="auto"/>
          <w:sz w:val="24"/>
          <w:highlight w:val="none"/>
        </w:rPr>
        <w:t>〕</w:t>
      </w:r>
      <w:r>
        <w:rPr>
          <w:rFonts w:hint="eastAsia" w:ascii="宋体" w:hAnsi="宋体" w:cs="宋体"/>
          <w:color w:val="auto"/>
          <w:szCs w:val="21"/>
          <w:highlight w:val="none"/>
        </w:rPr>
        <w:t>3号)、《浙江省财政厅关于进一步促进政府采购公平竞争打造最优营商环境的通知》(浙财采监</w:t>
      </w:r>
      <w:r>
        <w:rPr>
          <w:rFonts w:ascii="宋体" w:hAnsi="宋体" w:cs="宋体"/>
          <w:color w:val="auto"/>
          <w:sz w:val="24"/>
          <w:highlight w:val="none"/>
        </w:rPr>
        <w:t>〔</w:t>
      </w:r>
      <w:r>
        <w:rPr>
          <w:rFonts w:hint="eastAsia" w:ascii="宋体" w:hAnsi="宋体" w:cs="宋体"/>
          <w:color w:val="auto"/>
          <w:szCs w:val="21"/>
          <w:highlight w:val="none"/>
        </w:rPr>
        <w:t>2021</w:t>
      </w:r>
      <w:r>
        <w:rPr>
          <w:rFonts w:ascii="宋体" w:hAnsi="宋体" w:cs="宋体"/>
          <w:color w:val="auto"/>
          <w:sz w:val="24"/>
          <w:highlight w:val="none"/>
        </w:rPr>
        <w:t>〕</w:t>
      </w:r>
      <w:r>
        <w:rPr>
          <w:rFonts w:hint="eastAsia" w:ascii="宋体" w:hAnsi="宋体" w:cs="宋体"/>
          <w:color w:val="auto"/>
          <w:szCs w:val="21"/>
          <w:highlight w:val="none"/>
        </w:rPr>
        <w:t>22号))、《浙江省财政厅关于进一步加大政府采购支持中小企业力度助力扎实稳住经济的通知》 (浙财采监</w:t>
      </w:r>
      <w:r>
        <w:rPr>
          <w:rFonts w:ascii="宋体" w:hAnsi="宋体" w:cs="宋体"/>
          <w:color w:val="auto"/>
          <w:sz w:val="24"/>
          <w:highlight w:val="none"/>
        </w:rPr>
        <w:t>〔</w:t>
      </w:r>
      <w:r>
        <w:rPr>
          <w:rFonts w:hint="eastAsia" w:ascii="宋体" w:hAnsi="宋体" w:cs="宋体"/>
          <w:color w:val="auto"/>
          <w:szCs w:val="21"/>
          <w:highlight w:val="none"/>
        </w:rPr>
        <w:t>2022</w:t>
      </w:r>
      <w:r>
        <w:rPr>
          <w:rFonts w:ascii="宋体" w:hAnsi="宋体" w:cs="宋体"/>
          <w:color w:val="auto"/>
          <w:sz w:val="24"/>
          <w:highlight w:val="none"/>
        </w:rPr>
        <w:t>〕</w:t>
      </w:r>
      <w:r>
        <w:rPr>
          <w:rFonts w:hint="eastAsia" w:ascii="宋体" w:hAnsi="宋体" w:cs="宋体"/>
          <w:color w:val="auto"/>
          <w:szCs w:val="21"/>
          <w:highlight w:val="none"/>
        </w:rPr>
        <w:t>8号)已分别于2022年1月29日、2022年2月1日和2022年7月1日开始实施，此前有关规定与上述文件内容不一致的，按上述文件要求执行。</w:t>
      </w:r>
    </w:p>
    <w:p w14:paraId="584D76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 浙财采监</w:t>
      </w:r>
      <w:r>
        <w:rPr>
          <w:rFonts w:ascii="宋体" w:hAnsi="宋体" w:cs="宋体"/>
          <w:color w:val="auto"/>
          <w:sz w:val="24"/>
          <w:highlight w:val="none"/>
        </w:rPr>
        <w:t>〔</w:t>
      </w:r>
      <w:r>
        <w:rPr>
          <w:rFonts w:hint="eastAsia" w:ascii="宋体" w:hAnsi="宋体" w:cs="宋体"/>
          <w:color w:val="auto"/>
          <w:szCs w:val="21"/>
          <w:highlight w:val="none"/>
        </w:rPr>
        <w:t>2021</w:t>
      </w:r>
      <w:r>
        <w:rPr>
          <w:rFonts w:ascii="宋体" w:hAnsi="宋体" w:cs="宋体"/>
          <w:color w:val="auto"/>
          <w:sz w:val="24"/>
          <w:highlight w:val="none"/>
        </w:rPr>
        <w:t>〕</w:t>
      </w:r>
      <w:r>
        <w:rPr>
          <w:rFonts w:hint="eastAsia" w:ascii="宋体" w:hAnsi="宋体" w:cs="宋体"/>
          <w:color w:val="auto"/>
          <w:szCs w:val="21"/>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0C98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公告期限为5个工作日。供应商认为采购文件使自己的权益受到损害的，可以自获取采购文件之日或采购文件公告期限届满之日起（公告期限届满后获取采购文件的，以公告期限届满之日为准）7个工作日内，后续就采购过程、采购结果提出质疑的，也应在同一环节一次性提出，以供应商线上提供质疑函的时间为提起质疑的时间。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96AE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5E0979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5、请各投标供应商及时办理浙江政府采购网“政府采购供应商注册”手续。</w:t>
      </w:r>
    </w:p>
    <w:p w14:paraId="5A4B92B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w:t>
      </w:r>
      <w:r>
        <w:rPr>
          <w:rFonts w:hint="eastAsia" w:ascii="宋体" w:hAnsi="宋体" w:cs="宋体"/>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42EECA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7、本项目所有公告发布网站：“浙江政府采购网”（</w:t>
      </w:r>
      <w:r>
        <w:rPr>
          <w:rFonts w:hint="eastAsia" w:ascii="宋体" w:hAnsi="宋体" w:cs="宋体"/>
          <w:color w:val="auto"/>
          <w:kern w:val="0"/>
          <w:szCs w:val="21"/>
          <w:highlight w:val="none"/>
        </w:rPr>
        <w:t>http://zfcg.czt.zj.gov.cn）。</w:t>
      </w:r>
    </w:p>
    <w:p w14:paraId="6BECC259">
      <w:pPr>
        <w:pStyle w:val="9"/>
        <w:spacing w:after="0"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8、采购文件发售截止时间之后有潜在供应商提出要求获取采购文件的允许其报名获取，但对采购文件有异议应按规定的时间提出，逾期提出的，采购组织机构可不予受理、答复。</w:t>
      </w:r>
    </w:p>
    <w:p w14:paraId="5F88E27A">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十、联系方式：</w:t>
      </w:r>
    </w:p>
    <w:p w14:paraId="2FE97C2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1、采购代理机构</w:t>
      </w:r>
    </w:p>
    <w:p w14:paraId="6486E2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采购代理机构名称：台州永安工程咨询有限公司</w:t>
      </w:r>
    </w:p>
    <w:p w14:paraId="06FD25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联系人：林女士</w:t>
      </w:r>
    </w:p>
    <w:p w14:paraId="5733A6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联系电话：0576-88882270,15757696186</w:t>
      </w:r>
    </w:p>
    <w:p w14:paraId="760AEE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传真：0576-88882270；</w:t>
      </w:r>
    </w:p>
    <w:p w14:paraId="3E9131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质疑接收人：叶先生</w:t>
      </w:r>
    </w:p>
    <w:p w14:paraId="6DDB22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联系电话：13857637980</w:t>
      </w:r>
    </w:p>
    <w:p w14:paraId="0F940E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地点：台州市椒江区中环世纪6幢801室（交通银行台州分行楼上）</w:t>
      </w:r>
    </w:p>
    <w:p w14:paraId="0E1F834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2、采购人 </w:t>
      </w:r>
    </w:p>
    <w:p w14:paraId="10B5AA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采购人名称：台州市黄岩区教育局</w:t>
      </w:r>
    </w:p>
    <w:p w14:paraId="08113F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询问联系人：徐老师     询问联系电话：0576-84260095</w:t>
      </w:r>
    </w:p>
    <w:p w14:paraId="7D5BE3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质疑联系人：朱老师     质疑联系电话：0576-89197504</w:t>
      </w:r>
    </w:p>
    <w:p w14:paraId="2E55A4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采购人地址：台州市黄岩区政府行政大楼16层</w:t>
      </w:r>
    </w:p>
    <w:p w14:paraId="000B02E5">
      <w:pPr>
        <w:spacing w:line="360" w:lineRule="auto"/>
        <w:ind w:firstLine="422" w:firstLineChars="200"/>
        <w:rPr>
          <w:rFonts w:ascii="宋体" w:hAnsi="宋体" w:cs="宋体"/>
          <w:color w:val="auto"/>
          <w:highlight w:val="none"/>
        </w:rPr>
      </w:pPr>
      <w:r>
        <w:rPr>
          <w:rFonts w:hint="eastAsia" w:ascii="宋体" w:hAnsi="宋体" w:cs="宋体"/>
          <w:b/>
          <w:bCs/>
          <w:color w:val="auto"/>
          <w:szCs w:val="21"/>
          <w:highlight w:val="none"/>
        </w:rPr>
        <w:t>3、同级政府采购监督管理部门</w:t>
      </w:r>
    </w:p>
    <w:p w14:paraId="173223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同级政府采购监督管理部门名称：台州市黄岩区财政局政府采购监管科</w:t>
      </w:r>
    </w:p>
    <w:p w14:paraId="71CE44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联系人：宋先生</w:t>
      </w:r>
    </w:p>
    <w:p w14:paraId="20D798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监督投诉电话：0576-84111005</w:t>
      </w:r>
    </w:p>
    <w:p w14:paraId="45DAE3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地址：台州市黄岩区劳动南路289号</w:t>
      </w:r>
    </w:p>
    <w:p w14:paraId="6A137114">
      <w:pPr>
        <w:pStyle w:val="10"/>
        <w:spacing w:after="0"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4、银行（中标项目贷款咨询）</w:t>
      </w:r>
    </w:p>
    <w:p w14:paraId="2C4658C8">
      <w:pPr>
        <w:spacing w:line="360" w:lineRule="auto"/>
        <w:ind w:firstLine="420" w:firstLineChars="200"/>
        <w:rPr>
          <w:rFonts w:ascii="宋体" w:hAnsi="宋体" w:cs="宋体"/>
          <w:color w:val="auto"/>
          <w:sz w:val="32"/>
          <w:szCs w:val="32"/>
          <w:highlight w:val="none"/>
        </w:rPr>
      </w:pPr>
      <w:r>
        <w:rPr>
          <w:rFonts w:hint="eastAsia" w:ascii="宋体" w:hAnsi="宋体" w:cs="宋体"/>
          <w:color w:val="auto"/>
          <w:szCs w:val="21"/>
          <w:highlight w:val="none"/>
        </w:rPr>
        <w:t>（1）合同履约保函联系方式</w:t>
      </w:r>
    </w:p>
    <w:tbl>
      <w:tblPr>
        <w:tblStyle w:val="24"/>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659C2C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4618809D">
            <w:pPr>
              <w:jc w:val="center"/>
              <w:rPr>
                <w:rFonts w:ascii="宋体" w:hAnsi="宋体" w:cs="宋体"/>
                <w:b/>
                <w:bCs/>
                <w:color w:val="auto"/>
                <w:szCs w:val="21"/>
                <w:highlight w:val="none"/>
              </w:rPr>
            </w:pPr>
            <w:r>
              <w:rPr>
                <w:rFonts w:hint="eastAsia" w:ascii="宋体" w:hAnsi="宋体" w:cs="宋体"/>
                <w:b/>
                <w:bCs/>
                <w:color w:val="auto"/>
                <w:szCs w:val="21"/>
                <w:highlight w:val="none"/>
              </w:rPr>
              <w:t>保险公司名称</w:t>
            </w:r>
          </w:p>
        </w:tc>
        <w:tc>
          <w:tcPr>
            <w:tcW w:w="2288" w:type="dxa"/>
            <w:vAlign w:val="center"/>
          </w:tcPr>
          <w:p w14:paraId="0D5010A6">
            <w:pPr>
              <w:jc w:val="center"/>
              <w:rPr>
                <w:rFonts w:ascii="宋体" w:hAnsi="宋体" w:cs="宋体"/>
                <w:b/>
                <w:bCs/>
                <w:color w:val="auto"/>
                <w:szCs w:val="21"/>
                <w:highlight w:val="none"/>
              </w:rPr>
            </w:pPr>
            <w:r>
              <w:rPr>
                <w:rFonts w:hint="eastAsia" w:ascii="宋体" w:hAnsi="宋体" w:cs="宋体"/>
                <w:b/>
                <w:bCs/>
                <w:color w:val="auto"/>
                <w:szCs w:val="21"/>
                <w:highlight w:val="none"/>
              </w:rPr>
              <w:t>保费率</w:t>
            </w:r>
          </w:p>
        </w:tc>
        <w:tc>
          <w:tcPr>
            <w:tcW w:w="1276" w:type="dxa"/>
            <w:vAlign w:val="center"/>
          </w:tcPr>
          <w:p w14:paraId="051A3868">
            <w:pPr>
              <w:jc w:val="center"/>
              <w:rPr>
                <w:rFonts w:ascii="宋体" w:hAnsi="宋体" w:cs="宋体"/>
                <w:b/>
                <w:bCs/>
                <w:color w:val="auto"/>
                <w:szCs w:val="21"/>
                <w:highlight w:val="none"/>
              </w:rPr>
            </w:pPr>
            <w:r>
              <w:rPr>
                <w:rFonts w:hint="eastAsia" w:ascii="宋体" w:hAnsi="宋体" w:cs="宋体"/>
                <w:b/>
                <w:bCs/>
                <w:color w:val="auto"/>
                <w:szCs w:val="21"/>
                <w:highlight w:val="none"/>
              </w:rPr>
              <w:t>联系人</w:t>
            </w:r>
          </w:p>
        </w:tc>
        <w:tc>
          <w:tcPr>
            <w:tcW w:w="1624" w:type="dxa"/>
            <w:vAlign w:val="center"/>
          </w:tcPr>
          <w:p w14:paraId="23F814E9">
            <w:pPr>
              <w:jc w:val="center"/>
              <w:rPr>
                <w:rFonts w:ascii="宋体" w:hAnsi="宋体" w:cs="宋体"/>
                <w:b/>
                <w:bCs/>
                <w:color w:val="auto"/>
                <w:szCs w:val="21"/>
                <w:highlight w:val="none"/>
              </w:rPr>
            </w:pPr>
            <w:r>
              <w:rPr>
                <w:rFonts w:hint="eastAsia" w:ascii="宋体" w:hAnsi="宋体" w:cs="宋体"/>
                <w:b/>
                <w:bCs/>
                <w:color w:val="auto"/>
                <w:szCs w:val="21"/>
                <w:highlight w:val="none"/>
              </w:rPr>
              <w:t>联系电话</w:t>
            </w:r>
          </w:p>
        </w:tc>
      </w:tr>
      <w:tr w14:paraId="4D9C73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94A6B91">
            <w:pPr>
              <w:jc w:val="left"/>
              <w:rPr>
                <w:rFonts w:ascii="宋体" w:hAnsi="宋体" w:cs="宋体"/>
                <w:color w:val="auto"/>
                <w:szCs w:val="21"/>
                <w:highlight w:val="none"/>
              </w:rPr>
            </w:pPr>
            <w:r>
              <w:rPr>
                <w:rFonts w:hint="eastAsia" w:ascii="宋体" w:hAnsi="宋体" w:cs="宋体"/>
                <w:color w:val="auto"/>
                <w:szCs w:val="21"/>
                <w:highlight w:val="none"/>
              </w:rPr>
              <w:t>中国人寿财产保险股份有限公司台州中心支公司</w:t>
            </w:r>
          </w:p>
        </w:tc>
        <w:tc>
          <w:tcPr>
            <w:tcW w:w="2288" w:type="dxa"/>
            <w:vAlign w:val="center"/>
          </w:tcPr>
          <w:p w14:paraId="35511F93">
            <w:pPr>
              <w:jc w:val="left"/>
              <w:rPr>
                <w:rFonts w:ascii="宋体" w:hAnsi="宋体" w:cs="宋体"/>
                <w:color w:val="auto"/>
                <w:szCs w:val="21"/>
                <w:highlight w:val="none"/>
              </w:rPr>
            </w:pPr>
            <w:r>
              <w:rPr>
                <w:rFonts w:hint="eastAsia" w:ascii="宋体" w:hAnsi="宋体" w:cs="宋体"/>
                <w:color w:val="auto"/>
                <w:szCs w:val="21"/>
                <w:highlight w:val="none"/>
              </w:rPr>
              <w:t>年费率1%，最低保费500元</w:t>
            </w:r>
          </w:p>
        </w:tc>
        <w:tc>
          <w:tcPr>
            <w:tcW w:w="1276" w:type="dxa"/>
            <w:vAlign w:val="center"/>
          </w:tcPr>
          <w:p w14:paraId="1BBEB547">
            <w:pPr>
              <w:jc w:val="center"/>
              <w:rPr>
                <w:rFonts w:ascii="宋体" w:hAnsi="宋体" w:cs="宋体"/>
                <w:color w:val="auto"/>
                <w:szCs w:val="21"/>
                <w:highlight w:val="none"/>
              </w:rPr>
            </w:pPr>
            <w:r>
              <w:rPr>
                <w:rFonts w:hint="eastAsia" w:ascii="宋体" w:hAnsi="宋体" w:cs="宋体"/>
                <w:color w:val="auto"/>
                <w:szCs w:val="21"/>
                <w:highlight w:val="none"/>
              </w:rPr>
              <w:t>徐凌</w:t>
            </w:r>
          </w:p>
        </w:tc>
        <w:tc>
          <w:tcPr>
            <w:tcW w:w="1624" w:type="dxa"/>
            <w:vAlign w:val="center"/>
          </w:tcPr>
          <w:p w14:paraId="3C0DDD6A">
            <w:pPr>
              <w:jc w:val="center"/>
              <w:rPr>
                <w:rFonts w:ascii="宋体" w:hAnsi="宋体" w:cs="宋体"/>
                <w:color w:val="auto"/>
                <w:szCs w:val="21"/>
                <w:highlight w:val="none"/>
              </w:rPr>
            </w:pPr>
            <w:r>
              <w:rPr>
                <w:rFonts w:hint="eastAsia" w:ascii="宋体" w:hAnsi="宋体" w:cs="宋体"/>
                <w:color w:val="auto"/>
                <w:szCs w:val="21"/>
                <w:highlight w:val="none"/>
              </w:rPr>
              <w:t>13905168070</w:t>
            </w:r>
          </w:p>
        </w:tc>
      </w:tr>
      <w:tr w14:paraId="087C0F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3BAD97E">
            <w:pPr>
              <w:jc w:val="left"/>
              <w:rPr>
                <w:rFonts w:ascii="宋体" w:hAnsi="宋体" w:cs="宋体"/>
                <w:color w:val="auto"/>
                <w:szCs w:val="21"/>
                <w:highlight w:val="none"/>
              </w:rPr>
            </w:pPr>
            <w:r>
              <w:rPr>
                <w:rFonts w:hint="eastAsia" w:ascii="宋体" w:hAnsi="宋体" w:cs="宋体"/>
                <w:color w:val="auto"/>
                <w:szCs w:val="21"/>
                <w:highlight w:val="none"/>
              </w:rPr>
              <w:t>永诚财产保险股份有限公司台州分公司</w:t>
            </w:r>
          </w:p>
        </w:tc>
        <w:tc>
          <w:tcPr>
            <w:tcW w:w="2288" w:type="dxa"/>
            <w:vAlign w:val="center"/>
          </w:tcPr>
          <w:p w14:paraId="032ADA48">
            <w:pPr>
              <w:jc w:val="left"/>
              <w:rPr>
                <w:rFonts w:ascii="宋体" w:hAnsi="宋体" w:cs="宋体"/>
                <w:color w:val="auto"/>
                <w:szCs w:val="21"/>
                <w:highlight w:val="none"/>
              </w:rPr>
            </w:pPr>
            <w:r>
              <w:rPr>
                <w:rFonts w:hint="eastAsia" w:ascii="宋体" w:hAnsi="宋体" w:cs="宋体"/>
                <w:color w:val="auto"/>
                <w:szCs w:val="21"/>
                <w:highlight w:val="none"/>
              </w:rPr>
              <w:t>年费率1%，最低保费1000元</w:t>
            </w:r>
          </w:p>
        </w:tc>
        <w:tc>
          <w:tcPr>
            <w:tcW w:w="1276" w:type="dxa"/>
            <w:vAlign w:val="center"/>
          </w:tcPr>
          <w:p w14:paraId="62A22C94">
            <w:pPr>
              <w:jc w:val="center"/>
              <w:rPr>
                <w:rFonts w:ascii="宋体" w:hAnsi="宋体" w:cs="宋体"/>
                <w:color w:val="auto"/>
                <w:szCs w:val="21"/>
                <w:highlight w:val="none"/>
              </w:rPr>
            </w:pPr>
            <w:r>
              <w:rPr>
                <w:rFonts w:hint="eastAsia" w:ascii="宋体" w:hAnsi="宋体" w:cs="宋体"/>
                <w:color w:val="auto"/>
                <w:szCs w:val="21"/>
                <w:highlight w:val="none"/>
              </w:rPr>
              <w:t>尹刚强</w:t>
            </w:r>
          </w:p>
        </w:tc>
        <w:tc>
          <w:tcPr>
            <w:tcW w:w="1624" w:type="dxa"/>
            <w:vAlign w:val="center"/>
          </w:tcPr>
          <w:p w14:paraId="51014F3E">
            <w:pPr>
              <w:jc w:val="center"/>
              <w:rPr>
                <w:rFonts w:ascii="宋体" w:hAnsi="宋体" w:cs="宋体"/>
                <w:color w:val="auto"/>
                <w:szCs w:val="21"/>
                <w:highlight w:val="none"/>
              </w:rPr>
            </w:pPr>
            <w:r>
              <w:rPr>
                <w:rFonts w:hint="eastAsia" w:ascii="宋体" w:hAnsi="宋体" w:cs="宋体"/>
                <w:color w:val="auto"/>
                <w:szCs w:val="21"/>
                <w:highlight w:val="none"/>
              </w:rPr>
              <w:t>13750668184</w:t>
            </w:r>
          </w:p>
        </w:tc>
      </w:tr>
      <w:tr w14:paraId="3D190A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20AF281">
            <w:pPr>
              <w:jc w:val="left"/>
              <w:rPr>
                <w:rFonts w:ascii="宋体" w:hAnsi="宋体" w:cs="宋体"/>
                <w:color w:val="auto"/>
                <w:szCs w:val="21"/>
                <w:highlight w:val="none"/>
              </w:rPr>
            </w:pPr>
            <w:r>
              <w:rPr>
                <w:rFonts w:hint="eastAsia" w:ascii="宋体" w:hAnsi="宋体" w:cs="宋体"/>
                <w:color w:val="auto"/>
                <w:szCs w:val="21"/>
                <w:highlight w:val="none"/>
              </w:rPr>
              <w:t>华泰财产保险有限公司台州中心支公司</w:t>
            </w:r>
          </w:p>
        </w:tc>
        <w:tc>
          <w:tcPr>
            <w:tcW w:w="2288" w:type="dxa"/>
            <w:vAlign w:val="center"/>
          </w:tcPr>
          <w:p w14:paraId="662936B4">
            <w:pPr>
              <w:jc w:val="left"/>
              <w:rPr>
                <w:rFonts w:ascii="宋体" w:hAnsi="宋体" w:cs="宋体"/>
                <w:color w:val="auto"/>
                <w:szCs w:val="21"/>
                <w:highlight w:val="none"/>
              </w:rPr>
            </w:pPr>
            <w:r>
              <w:rPr>
                <w:rFonts w:hint="eastAsia" w:ascii="宋体" w:hAnsi="宋体" w:cs="宋体"/>
                <w:color w:val="auto"/>
                <w:szCs w:val="21"/>
                <w:highlight w:val="none"/>
              </w:rPr>
              <w:t>年费率0.5%，最低保费1000元</w:t>
            </w:r>
          </w:p>
        </w:tc>
        <w:tc>
          <w:tcPr>
            <w:tcW w:w="1276" w:type="dxa"/>
            <w:vAlign w:val="center"/>
          </w:tcPr>
          <w:p w14:paraId="3888C8FF">
            <w:pPr>
              <w:jc w:val="center"/>
              <w:rPr>
                <w:rFonts w:ascii="宋体" w:hAnsi="宋体" w:cs="宋体"/>
                <w:color w:val="auto"/>
                <w:szCs w:val="21"/>
                <w:highlight w:val="none"/>
              </w:rPr>
            </w:pPr>
            <w:r>
              <w:rPr>
                <w:rFonts w:hint="eastAsia" w:ascii="宋体" w:hAnsi="宋体" w:cs="宋体"/>
                <w:color w:val="auto"/>
                <w:szCs w:val="21"/>
                <w:highlight w:val="none"/>
              </w:rPr>
              <w:t>王灵芳</w:t>
            </w:r>
          </w:p>
        </w:tc>
        <w:tc>
          <w:tcPr>
            <w:tcW w:w="1624" w:type="dxa"/>
            <w:vAlign w:val="center"/>
          </w:tcPr>
          <w:p w14:paraId="27E8457E">
            <w:pPr>
              <w:jc w:val="center"/>
              <w:rPr>
                <w:rFonts w:ascii="宋体" w:hAnsi="宋体" w:cs="宋体"/>
                <w:color w:val="auto"/>
                <w:szCs w:val="21"/>
                <w:highlight w:val="none"/>
              </w:rPr>
            </w:pPr>
            <w:r>
              <w:rPr>
                <w:rFonts w:hint="eastAsia" w:ascii="宋体" w:hAnsi="宋体" w:cs="宋体"/>
                <w:color w:val="auto"/>
                <w:szCs w:val="21"/>
                <w:highlight w:val="none"/>
              </w:rPr>
              <w:t>88869818 13586123199</w:t>
            </w:r>
          </w:p>
        </w:tc>
      </w:tr>
      <w:tr w14:paraId="09A0C4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1816596">
            <w:pPr>
              <w:jc w:val="left"/>
              <w:rPr>
                <w:rFonts w:ascii="宋体" w:hAnsi="宋体" w:cs="宋体"/>
                <w:color w:val="auto"/>
                <w:szCs w:val="21"/>
                <w:highlight w:val="none"/>
              </w:rPr>
            </w:pPr>
            <w:r>
              <w:rPr>
                <w:rFonts w:hint="eastAsia" w:ascii="宋体" w:hAnsi="宋体" w:cs="宋体"/>
                <w:color w:val="auto"/>
                <w:szCs w:val="21"/>
                <w:highlight w:val="none"/>
              </w:rPr>
              <w:t>中国大地财产保险股份有限公司台州中心支公司</w:t>
            </w:r>
          </w:p>
        </w:tc>
        <w:tc>
          <w:tcPr>
            <w:tcW w:w="2288" w:type="dxa"/>
            <w:vAlign w:val="center"/>
          </w:tcPr>
          <w:p w14:paraId="601D4760">
            <w:pPr>
              <w:jc w:val="left"/>
              <w:rPr>
                <w:rFonts w:ascii="宋体" w:hAnsi="宋体" w:cs="宋体"/>
                <w:color w:val="auto"/>
                <w:szCs w:val="21"/>
                <w:highlight w:val="none"/>
              </w:rPr>
            </w:pPr>
            <w:r>
              <w:rPr>
                <w:rFonts w:hint="eastAsia" w:ascii="宋体" w:hAnsi="宋体" w:cs="宋体"/>
                <w:color w:val="auto"/>
                <w:szCs w:val="21"/>
                <w:highlight w:val="none"/>
              </w:rPr>
              <w:t>年费率1.5%，最低保费1000元</w:t>
            </w:r>
          </w:p>
        </w:tc>
        <w:tc>
          <w:tcPr>
            <w:tcW w:w="1276" w:type="dxa"/>
            <w:vAlign w:val="center"/>
          </w:tcPr>
          <w:p w14:paraId="303FDF12">
            <w:pPr>
              <w:jc w:val="center"/>
              <w:rPr>
                <w:rFonts w:ascii="宋体" w:hAnsi="宋体" w:cs="宋体"/>
                <w:color w:val="auto"/>
                <w:szCs w:val="21"/>
                <w:highlight w:val="none"/>
              </w:rPr>
            </w:pPr>
            <w:r>
              <w:rPr>
                <w:rFonts w:hint="eastAsia" w:ascii="宋体" w:hAnsi="宋体" w:cs="宋体"/>
                <w:color w:val="auto"/>
                <w:szCs w:val="21"/>
                <w:highlight w:val="none"/>
              </w:rPr>
              <w:t>徐小明</w:t>
            </w:r>
          </w:p>
        </w:tc>
        <w:tc>
          <w:tcPr>
            <w:tcW w:w="1624" w:type="dxa"/>
            <w:vAlign w:val="center"/>
          </w:tcPr>
          <w:p w14:paraId="0B89A2E7">
            <w:pPr>
              <w:jc w:val="center"/>
              <w:rPr>
                <w:rFonts w:ascii="宋体" w:hAnsi="宋体" w:cs="宋体"/>
                <w:color w:val="auto"/>
                <w:szCs w:val="21"/>
                <w:highlight w:val="none"/>
              </w:rPr>
            </w:pPr>
            <w:r>
              <w:rPr>
                <w:rFonts w:hint="eastAsia" w:ascii="宋体" w:hAnsi="宋体" w:cs="宋体"/>
                <w:color w:val="auto"/>
                <w:szCs w:val="21"/>
                <w:highlight w:val="none"/>
              </w:rPr>
              <w:t>88552788      13968603112</w:t>
            </w:r>
          </w:p>
        </w:tc>
      </w:tr>
      <w:tr w14:paraId="706CCC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BA1B14C">
            <w:pPr>
              <w:jc w:val="left"/>
              <w:rPr>
                <w:rFonts w:ascii="宋体" w:hAnsi="宋体" w:cs="宋体"/>
                <w:color w:val="auto"/>
                <w:szCs w:val="21"/>
                <w:highlight w:val="none"/>
              </w:rPr>
            </w:pPr>
            <w:r>
              <w:rPr>
                <w:rFonts w:hint="eastAsia" w:ascii="宋体" w:hAnsi="宋体" w:cs="宋体"/>
                <w:color w:val="auto"/>
                <w:szCs w:val="21"/>
                <w:highlight w:val="none"/>
              </w:rPr>
              <w:t>阳光保险台州中心支公司</w:t>
            </w:r>
          </w:p>
        </w:tc>
        <w:tc>
          <w:tcPr>
            <w:tcW w:w="2288" w:type="dxa"/>
            <w:vAlign w:val="center"/>
          </w:tcPr>
          <w:p w14:paraId="59D88F06">
            <w:pPr>
              <w:jc w:val="left"/>
              <w:rPr>
                <w:rFonts w:ascii="宋体" w:hAnsi="宋体" w:cs="宋体"/>
                <w:color w:val="auto"/>
                <w:szCs w:val="21"/>
                <w:highlight w:val="none"/>
              </w:rPr>
            </w:pPr>
            <w:r>
              <w:rPr>
                <w:rFonts w:hint="eastAsia" w:ascii="宋体" w:hAnsi="宋体" w:cs="宋体"/>
                <w:color w:val="auto"/>
                <w:szCs w:val="21"/>
                <w:highlight w:val="none"/>
              </w:rPr>
              <w:t>年费率1%，最低保费500元</w:t>
            </w:r>
          </w:p>
        </w:tc>
        <w:tc>
          <w:tcPr>
            <w:tcW w:w="1276" w:type="dxa"/>
            <w:vAlign w:val="center"/>
          </w:tcPr>
          <w:p w14:paraId="47DDF518">
            <w:pPr>
              <w:jc w:val="center"/>
              <w:rPr>
                <w:rFonts w:ascii="宋体" w:hAnsi="宋体" w:cs="宋体"/>
                <w:color w:val="auto"/>
                <w:szCs w:val="21"/>
                <w:highlight w:val="none"/>
              </w:rPr>
            </w:pPr>
            <w:r>
              <w:rPr>
                <w:rFonts w:hint="eastAsia" w:ascii="宋体" w:hAnsi="宋体" w:cs="宋体"/>
                <w:color w:val="auto"/>
                <w:szCs w:val="21"/>
                <w:highlight w:val="none"/>
              </w:rPr>
              <w:t>林高明</w:t>
            </w:r>
          </w:p>
        </w:tc>
        <w:tc>
          <w:tcPr>
            <w:tcW w:w="1624" w:type="dxa"/>
            <w:vAlign w:val="center"/>
          </w:tcPr>
          <w:p w14:paraId="636065F4">
            <w:pPr>
              <w:jc w:val="center"/>
              <w:rPr>
                <w:rFonts w:ascii="宋体" w:hAnsi="宋体" w:cs="宋体"/>
                <w:color w:val="auto"/>
                <w:szCs w:val="21"/>
                <w:highlight w:val="none"/>
              </w:rPr>
            </w:pPr>
            <w:r>
              <w:rPr>
                <w:rFonts w:hint="eastAsia" w:ascii="宋体" w:hAnsi="宋体" w:cs="宋体"/>
                <w:color w:val="auto"/>
                <w:szCs w:val="21"/>
                <w:highlight w:val="none"/>
              </w:rPr>
              <w:t>15888682693</w:t>
            </w:r>
          </w:p>
        </w:tc>
      </w:tr>
      <w:tr w14:paraId="64AE81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BED0163">
            <w:pPr>
              <w:jc w:val="left"/>
              <w:rPr>
                <w:rFonts w:ascii="宋体" w:hAnsi="宋体" w:cs="宋体"/>
                <w:color w:val="auto"/>
                <w:szCs w:val="21"/>
                <w:highlight w:val="none"/>
              </w:rPr>
            </w:pPr>
            <w:r>
              <w:rPr>
                <w:rFonts w:hint="eastAsia" w:ascii="宋体" w:hAnsi="宋体" w:cs="宋体"/>
                <w:color w:val="auto"/>
                <w:szCs w:val="21"/>
                <w:highlight w:val="none"/>
              </w:rPr>
              <w:t>中华联合财产保险股份有限公司台州中心支公司</w:t>
            </w:r>
          </w:p>
        </w:tc>
        <w:tc>
          <w:tcPr>
            <w:tcW w:w="2288" w:type="dxa"/>
            <w:vAlign w:val="center"/>
          </w:tcPr>
          <w:p w14:paraId="1602A8A2">
            <w:pPr>
              <w:jc w:val="left"/>
              <w:rPr>
                <w:rFonts w:ascii="宋体" w:hAnsi="宋体" w:cs="宋体"/>
                <w:color w:val="auto"/>
                <w:szCs w:val="21"/>
                <w:highlight w:val="none"/>
              </w:rPr>
            </w:pPr>
            <w:r>
              <w:rPr>
                <w:rFonts w:hint="eastAsia" w:ascii="宋体" w:hAnsi="宋体" w:cs="宋体"/>
                <w:color w:val="auto"/>
                <w:szCs w:val="21"/>
                <w:highlight w:val="none"/>
              </w:rPr>
              <w:t>年费率2%，最低保费500元</w:t>
            </w:r>
          </w:p>
        </w:tc>
        <w:tc>
          <w:tcPr>
            <w:tcW w:w="1276" w:type="dxa"/>
            <w:vAlign w:val="center"/>
          </w:tcPr>
          <w:p w14:paraId="1015CA1E">
            <w:pPr>
              <w:jc w:val="center"/>
              <w:rPr>
                <w:rFonts w:ascii="宋体" w:hAnsi="宋体" w:cs="宋体"/>
                <w:color w:val="auto"/>
                <w:szCs w:val="21"/>
                <w:highlight w:val="none"/>
              </w:rPr>
            </w:pPr>
            <w:r>
              <w:rPr>
                <w:rFonts w:hint="eastAsia" w:ascii="宋体" w:hAnsi="宋体" w:cs="宋体"/>
                <w:color w:val="auto"/>
                <w:szCs w:val="21"/>
                <w:highlight w:val="none"/>
              </w:rPr>
              <w:t>王仙高</w:t>
            </w:r>
          </w:p>
        </w:tc>
        <w:tc>
          <w:tcPr>
            <w:tcW w:w="1624" w:type="dxa"/>
            <w:vAlign w:val="center"/>
          </w:tcPr>
          <w:p w14:paraId="01BA5A5C">
            <w:pPr>
              <w:jc w:val="center"/>
              <w:rPr>
                <w:rFonts w:ascii="宋体" w:hAnsi="宋体" w:cs="宋体"/>
                <w:color w:val="auto"/>
                <w:szCs w:val="21"/>
                <w:highlight w:val="none"/>
              </w:rPr>
            </w:pPr>
            <w:r>
              <w:rPr>
                <w:rFonts w:hint="eastAsia" w:ascii="宋体" w:hAnsi="宋体" w:cs="宋体"/>
                <w:color w:val="auto"/>
                <w:szCs w:val="21"/>
                <w:highlight w:val="none"/>
              </w:rPr>
              <w:t>13858600221</w:t>
            </w:r>
          </w:p>
        </w:tc>
      </w:tr>
      <w:tr w14:paraId="2CCF68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B62459B">
            <w:pPr>
              <w:jc w:val="left"/>
              <w:rPr>
                <w:rFonts w:ascii="宋体" w:hAnsi="宋体" w:cs="宋体"/>
                <w:color w:val="auto"/>
                <w:szCs w:val="21"/>
                <w:highlight w:val="none"/>
              </w:rPr>
            </w:pPr>
            <w:r>
              <w:rPr>
                <w:rFonts w:hint="eastAsia" w:ascii="宋体" w:hAnsi="宋体" w:cs="宋体"/>
                <w:color w:val="auto"/>
                <w:szCs w:val="21"/>
                <w:highlight w:val="none"/>
              </w:rPr>
              <w:t>中国人民财产保险股份有限公司台州中心支公司</w:t>
            </w:r>
          </w:p>
        </w:tc>
        <w:tc>
          <w:tcPr>
            <w:tcW w:w="2288" w:type="dxa"/>
            <w:vAlign w:val="center"/>
          </w:tcPr>
          <w:p w14:paraId="1512820A">
            <w:pPr>
              <w:jc w:val="left"/>
              <w:rPr>
                <w:rFonts w:ascii="宋体" w:hAnsi="宋体" w:cs="宋体"/>
                <w:color w:val="auto"/>
                <w:szCs w:val="21"/>
                <w:highlight w:val="none"/>
              </w:rPr>
            </w:pPr>
            <w:r>
              <w:rPr>
                <w:rFonts w:hint="eastAsia" w:ascii="宋体" w:hAnsi="宋体" w:cs="宋体"/>
                <w:color w:val="auto"/>
                <w:szCs w:val="21"/>
                <w:highlight w:val="none"/>
              </w:rPr>
              <w:t>年费率0.3%，最低保费1000元</w:t>
            </w:r>
          </w:p>
        </w:tc>
        <w:tc>
          <w:tcPr>
            <w:tcW w:w="1276" w:type="dxa"/>
            <w:vAlign w:val="center"/>
          </w:tcPr>
          <w:p w14:paraId="1525A4B0">
            <w:pPr>
              <w:jc w:val="center"/>
              <w:rPr>
                <w:rFonts w:ascii="宋体" w:hAnsi="宋体" w:cs="宋体"/>
                <w:color w:val="auto"/>
                <w:szCs w:val="21"/>
                <w:highlight w:val="none"/>
              </w:rPr>
            </w:pPr>
            <w:r>
              <w:rPr>
                <w:rFonts w:hint="eastAsia" w:ascii="宋体" w:hAnsi="宋体" w:cs="宋体"/>
                <w:color w:val="auto"/>
                <w:szCs w:val="21"/>
                <w:highlight w:val="none"/>
              </w:rPr>
              <w:t>王仙春</w:t>
            </w:r>
          </w:p>
        </w:tc>
        <w:tc>
          <w:tcPr>
            <w:tcW w:w="1624" w:type="dxa"/>
            <w:vAlign w:val="center"/>
          </w:tcPr>
          <w:p w14:paraId="1D26AFC9">
            <w:pPr>
              <w:jc w:val="center"/>
              <w:rPr>
                <w:rFonts w:ascii="宋体" w:hAnsi="宋体" w:cs="宋体"/>
                <w:color w:val="auto"/>
                <w:szCs w:val="21"/>
                <w:highlight w:val="none"/>
              </w:rPr>
            </w:pPr>
            <w:r>
              <w:rPr>
                <w:rFonts w:hint="eastAsia" w:ascii="宋体" w:hAnsi="宋体" w:cs="宋体"/>
                <w:color w:val="auto"/>
                <w:szCs w:val="21"/>
                <w:highlight w:val="none"/>
              </w:rPr>
              <w:t>13515769179</w:t>
            </w:r>
          </w:p>
        </w:tc>
      </w:tr>
      <w:tr w14:paraId="42E806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1F331F9">
            <w:pPr>
              <w:jc w:val="left"/>
              <w:rPr>
                <w:rFonts w:ascii="宋体" w:hAnsi="宋体" w:cs="宋体"/>
                <w:color w:val="auto"/>
                <w:szCs w:val="21"/>
                <w:highlight w:val="none"/>
              </w:rPr>
            </w:pPr>
            <w:r>
              <w:rPr>
                <w:rFonts w:hint="eastAsia" w:ascii="宋体" w:hAnsi="宋体" w:cs="宋体"/>
                <w:color w:val="auto"/>
                <w:szCs w:val="21"/>
                <w:highlight w:val="none"/>
              </w:rPr>
              <w:t>永安财产保险股份有限公司台州中心支公司</w:t>
            </w:r>
          </w:p>
        </w:tc>
        <w:tc>
          <w:tcPr>
            <w:tcW w:w="2288" w:type="dxa"/>
            <w:vAlign w:val="center"/>
          </w:tcPr>
          <w:p w14:paraId="096C4622">
            <w:pPr>
              <w:jc w:val="left"/>
              <w:rPr>
                <w:rFonts w:ascii="宋体" w:hAnsi="宋体" w:cs="宋体"/>
                <w:color w:val="auto"/>
                <w:szCs w:val="21"/>
                <w:highlight w:val="none"/>
              </w:rPr>
            </w:pPr>
            <w:r>
              <w:rPr>
                <w:rFonts w:hint="eastAsia" w:ascii="宋体" w:hAnsi="宋体" w:cs="宋体"/>
                <w:color w:val="auto"/>
                <w:szCs w:val="21"/>
                <w:highlight w:val="none"/>
              </w:rPr>
              <w:t>年费率0.3%，最低保费1000元</w:t>
            </w:r>
          </w:p>
        </w:tc>
        <w:tc>
          <w:tcPr>
            <w:tcW w:w="1276" w:type="dxa"/>
            <w:vAlign w:val="center"/>
          </w:tcPr>
          <w:p w14:paraId="0F4D02A2">
            <w:pPr>
              <w:jc w:val="center"/>
              <w:rPr>
                <w:rFonts w:ascii="宋体" w:hAnsi="宋体" w:cs="宋体"/>
                <w:color w:val="auto"/>
                <w:szCs w:val="21"/>
                <w:highlight w:val="none"/>
              </w:rPr>
            </w:pPr>
            <w:r>
              <w:rPr>
                <w:rFonts w:hint="eastAsia" w:ascii="宋体" w:hAnsi="宋体" w:cs="宋体"/>
                <w:color w:val="auto"/>
                <w:szCs w:val="21"/>
                <w:highlight w:val="none"/>
              </w:rPr>
              <w:t>王春宇</w:t>
            </w:r>
          </w:p>
        </w:tc>
        <w:tc>
          <w:tcPr>
            <w:tcW w:w="1624" w:type="dxa"/>
            <w:vAlign w:val="center"/>
          </w:tcPr>
          <w:p w14:paraId="68D6CB13">
            <w:pPr>
              <w:jc w:val="center"/>
              <w:rPr>
                <w:rFonts w:ascii="宋体" w:hAnsi="宋体" w:cs="宋体"/>
                <w:color w:val="auto"/>
                <w:szCs w:val="21"/>
                <w:highlight w:val="none"/>
              </w:rPr>
            </w:pPr>
            <w:r>
              <w:rPr>
                <w:rFonts w:hint="eastAsia" w:ascii="宋体" w:hAnsi="宋体" w:cs="宋体"/>
                <w:color w:val="auto"/>
                <w:szCs w:val="21"/>
                <w:highlight w:val="none"/>
              </w:rPr>
              <w:t>13676675331</w:t>
            </w:r>
          </w:p>
        </w:tc>
      </w:tr>
    </w:tbl>
    <w:p w14:paraId="4C1467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（2）预付款保函联系方式</w:t>
      </w:r>
    </w:p>
    <w:tbl>
      <w:tblPr>
        <w:tblStyle w:val="24"/>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382E48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1E68FC76">
            <w:pPr>
              <w:jc w:val="center"/>
              <w:rPr>
                <w:rFonts w:ascii="宋体" w:hAnsi="宋体" w:cs="宋体"/>
                <w:b/>
                <w:bCs/>
                <w:color w:val="auto"/>
                <w:szCs w:val="21"/>
                <w:highlight w:val="none"/>
              </w:rPr>
            </w:pPr>
            <w:r>
              <w:rPr>
                <w:rFonts w:hint="eastAsia" w:ascii="宋体" w:hAnsi="宋体" w:cs="宋体"/>
                <w:b/>
                <w:bCs/>
                <w:color w:val="auto"/>
                <w:szCs w:val="21"/>
                <w:highlight w:val="none"/>
              </w:rPr>
              <w:t>保险公司名称</w:t>
            </w:r>
          </w:p>
        </w:tc>
        <w:tc>
          <w:tcPr>
            <w:tcW w:w="2288" w:type="dxa"/>
            <w:vAlign w:val="center"/>
          </w:tcPr>
          <w:p w14:paraId="23F0D5CD">
            <w:pPr>
              <w:jc w:val="center"/>
              <w:rPr>
                <w:rFonts w:ascii="宋体" w:hAnsi="宋体" w:cs="宋体"/>
                <w:b/>
                <w:bCs/>
                <w:color w:val="auto"/>
                <w:szCs w:val="21"/>
                <w:highlight w:val="none"/>
              </w:rPr>
            </w:pPr>
            <w:r>
              <w:rPr>
                <w:rFonts w:hint="eastAsia" w:ascii="宋体" w:hAnsi="宋体" w:cs="宋体"/>
                <w:b/>
                <w:bCs/>
                <w:color w:val="auto"/>
                <w:szCs w:val="21"/>
                <w:highlight w:val="none"/>
              </w:rPr>
              <w:t>保费率</w:t>
            </w:r>
          </w:p>
        </w:tc>
        <w:tc>
          <w:tcPr>
            <w:tcW w:w="1287" w:type="dxa"/>
            <w:vAlign w:val="center"/>
          </w:tcPr>
          <w:p w14:paraId="7B9597F7">
            <w:pPr>
              <w:jc w:val="center"/>
              <w:rPr>
                <w:rFonts w:ascii="宋体" w:hAnsi="宋体" w:cs="宋体"/>
                <w:b/>
                <w:bCs/>
                <w:color w:val="auto"/>
                <w:szCs w:val="21"/>
                <w:highlight w:val="none"/>
              </w:rPr>
            </w:pPr>
            <w:r>
              <w:rPr>
                <w:rFonts w:hint="eastAsia" w:ascii="宋体" w:hAnsi="宋体" w:cs="宋体"/>
                <w:b/>
                <w:bCs/>
                <w:color w:val="auto"/>
                <w:szCs w:val="21"/>
                <w:highlight w:val="none"/>
              </w:rPr>
              <w:t>联系人</w:t>
            </w:r>
          </w:p>
        </w:tc>
        <w:tc>
          <w:tcPr>
            <w:tcW w:w="1600" w:type="dxa"/>
            <w:vAlign w:val="center"/>
          </w:tcPr>
          <w:p w14:paraId="6D8BB002">
            <w:pPr>
              <w:jc w:val="center"/>
              <w:rPr>
                <w:rFonts w:ascii="宋体" w:hAnsi="宋体" w:cs="宋体"/>
                <w:b/>
                <w:bCs/>
                <w:color w:val="auto"/>
                <w:szCs w:val="21"/>
                <w:highlight w:val="none"/>
              </w:rPr>
            </w:pPr>
            <w:r>
              <w:rPr>
                <w:rFonts w:hint="eastAsia" w:ascii="宋体" w:hAnsi="宋体" w:cs="宋体"/>
                <w:b/>
                <w:bCs/>
                <w:color w:val="auto"/>
                <w:szCs w:val="21"/>
                <w:highlight w:val="none"/>
              </w:rPr>
              <w:t>联系电话</w:t>
            </w:r>
          </w:p>
        </w:tc>
      </w:tr>
      <w:tr w14:paraId="0C48C4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EF89C5E">
            <w:pPr>
              <w:jc w:val="left"/>
              <w:rPr>
                <w:rFonts w:ascii="宋体" w:hAnsi="宋体" w:cs="宋体"/>
                <w:color w:val="auto"/>
                <w:szCs w:val="21"/>
                <w:highlight w:val="none"/>
              </w:rPr>
            </w:pPr>
            <w:r>
              <w:rPr>
                <w:rFonts w:hint="eastAsia" w:ascii="宋体" w:hAnsi="宋体" w:cs="宋体"/>
                <w:color w:val="auto"/>
                <w:szCs w:val="21"/>
                <w:highlight w:val="none"/>
              </w:rPr>
              <w:t>中国人寿财产保险股份有限公司台州中心支公司</w:t>
            </w:r>
          </w:p>
        </w:tc>
        <w:tc>
          <w:tcPr>
            <w:tcW w:w="2288" w:type="dxa"/>
          </w:tcPr>
          <w:p w14:paraId="5A5100CC">
            <w:pPr>
              <w:jc w:val="left"/>
              <w:rPr>
                <w:rFonts w:ascii="宋体" w:hAnsi="宋体" w:cs="宋体"/>
                <w:color w:val="auto"/>
                <w:szCs w:val="21"/>
                <w:highlight w:val="none"/>
              </w:rPr>
            </w:pPr>
            <w:r>
              <w:rPr>
                <w:rFonts w:hint="eastAsia" w:ascii="宋体" w:hAnsi="宋体" w:cs="宋体"/>
                <w:color w:val="auto"/>
                <w:szCs w:val="21"/>
                <w:highlight w:val="none"/>
              </w:rPr>
              <w:t>年费率3%，最低保费500元</w:t>
            </w:r>
          </w:p>
        </w:tc>
        <w:tc>
          <w:tcPr>
            <w:tcW w:w="1287" w:type="dxa"/>
            <w:vAlign w:val="center"/>
          </w:tcPr>
          <w:p w14:paraId="171685F8">
            <w:pPr>
              <w:jc w:val="center"/>
              <w:rPr>
                <w:rFonts w:ascii="宋体" w:hAnsi="宋体" w:cs="宋体"/>
                <w:color w:val="auto"/>
                <w:szCs w:val="21"/>
                <w:highlight w:val="none"/>
              </w:rPr>
            </w:pPr>
            <w:r>
              <w:rPr>
                <w:rFonts w:hint="eastAsia" w:ascii="宋体" w:hAnsi="宋体" w:cs="宋体"/>
                <w:color w:val="auto"/>
                <w:szCs w:val="21"/>
                <w:highlight w:val="none"/>
              </w:rPr>
              <w:t>徐凌</w:t>
            </w:r>
          </w:p>
        </w:tc>
        <w:tc>
          <w:tcPr>
            <w:tcW w:w="1600" w:type="dxa"/>
            <w:vAlign w:val="center"/>
          </w:tcPr>
          <w:p w14:paraId="232D7E67">
            <w:pPr>
              <w:jc w:val="center"/>
              <w:rPr>
                <w:rFonts w:ascii="宋体" w:hAnsi="宋体" w:cs="宋体"/>
                <w:color w:val="auto"/>
                <w:szCs w:val="21"/>
                <w:highlight w:val="none"/>
              </w:rPr>
            </w:pPr>
            <w:r>
              <w:rPr>
                <w:rFonts w:hint="eastAsia" w:ascii="宋体" w:hAnsi="宋体" w:cs="宋体"/>
                <w:color w:val="auto"/>
                <w:szCs w:val="21"/>
                <w:highlight w:val="none"/>
              </w:rPr>
              <w:t>13905168070</w:t>
            </w:r>
          </w:p>
        </w:tc>
      </w:tr>
      <w:tr w14:paraId="3ACA34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85BC89B">
            <w:pPr>
              <w:jc w:val="left"/>
              <w:rPr>
                <w:rFonts w:ascii="宋体" w:hAnsi="宋体" w:cs="宋体"/>
                <w:color w:val="auto"/>
                <w:szCs w:val="21"/>
                <w:highlight w:val="none"/>
              </w:rPr>
            </w:pPr>
            <w:r>
              <w:rPr>
                <w:rFonts w:hint="eastAsia" w:ascii="宋体" w:hAnsi="宋体" w:cs="宋体"/>
                <w:color w:val="auto"/>
                <w:szCs w:val="21"/>
                <w:highlight w:val="none"/>
              </w:rPr>
              <w:t>阳光保险台州中心支公司</w:t>
            </w:r>
          </w:p>
        </w:tc>
        <w:tc>
          <w:tcPr>
            <w:tcW w:w="2288" w:type="dxa"/>
          </w:tcPr>
          <w:p w14:paraId="1E1D6456">
            <w:pPr>
              <w:jc w:val="left"/>
              <w:rPr>
                <w:rFonts w:ascii="宋体" w:hAnsi="宋体" w:cs="宋体"/>
                <w:color w:val="auto"/>
                <w:szCs w:val="21"/>
                <w:highlight w:val="none"/>
              </w:rPr>
            </w:pPr>
            <w:r>
              <w:rPr>
                <w:rFonts w:hint="eastAsia" w:ascii="宋体" w:hAnsi="宋体" w:cs="宋体"/>
                <w:color w:val="auto"/>
                <w:szCs w:val="21"/>
                <w:highlight w:val="none"/>
              </w:rPr>
              <w:t>年费率1%，最低保费500元</w:t>
            </w:r>
          </w:p>
        </w:tc>
        <w:tc>
          <w:tcPr>
            <w:tcW w:w="1287" w:type="dxa"/>
            <w:vAlign w:val="center"/>
          </w:tcPr>
          <w:p w14:paraId="57F2312D">
            <w:pPr>
              <w:jc w:val="center"/>
              <w:rPr>
                <w:rFonts w:ascii="宋体" w:hAnsi="宋体" w:cs="宋体"/>
                <w:color w:val="auto"/>
                <w:szCs w:val="21"/>
                <w:highlight w:val="none"/>
              </w:rPr>
            </w:pPr>
            <w:r>
              <w:rPr>
                <w:rFonts w:hint="eastAsia" w:ascii="宋体" w:hAnsi="宋体" w:cs="宋体"/>
                <w:color w:val="auto"/>
                <w:szCs w:val="21"/>
                <w:highlight w:val="none"/>
              </w:rPr>
              <w:t>林高明</w:t>
            </w:r>
          </w:p>
        </w:tc>
        <w:tc>
          <w:tcPr>
            <w:tcW w:w="1600" w:type="dxa"/>
            <w:vAlign w:val="center"/>
          </w:tcPr>
          <w:p w14:paraId="57CAFF90">
            <w:pPr>
              <w:jc w:val="center"/>
              <w:rPr>
                <w:rFonts w:ascii="宋体" w:hAnsi="宋体" w:cs="宋体"/>
                <w:color w:val="auto"/>
                <w:szCs w:val="21"/>
                <w:highlight w:val="none"/>
              </w:rPr>
            </w:pPr>
            <w:r>
              <w:rPr>
                <w:rFonts w:hint="eastAsia" w:ascii="宋体" w:hAnsi="宋体" w:cs="宋体"/>
                <w:color w:val="auto"/>
                <w:szCs w:val="21"/>
                <w:highlight w:val="none"/>
              </w:rPr>
              <w:t>15888682693</w:t>
            </w:r>
          </w:p>
        </w:tc>
      </w:tr>
      <w:tr w14:paraId="0CBB84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DCAD90B">
            <w:pPr>
              <w:jc w:val="left"/>
              <w:rPr>
                <w:rFonts w:ascii="宋体" w:hAnsi="宋体" w:cs="宋体"/>
                <w:color w:val="auto"/>
                <w:szCs w:val="21"/>
                <w:highlight w:val="none"/>
              </w:rPr>
            </w:pPr>
            <w:r>
              <w:rPr>
                <w:rFonts w:hint="eastAsia" w:ascii="宋体" w:hAnsi="宋体" w:cs="宋体"/>
                <w:color w:val="auto"/>
                <w:szCs w:val="21"/>
                <w:highlight w:val="none"/>
              </w:rPr>
              <w:t>天安财产保险股份有限公司台州中心支公司</w:t>
            </w:r>
          </w:p>
        </w:tc>
        <w:tc>
          <w:tcPr>
            <w:tcW w:w="2288" w:type="dxa"/>
          </w:tcPr>
          <w:p w14:paraId="7DC0FD7A">
            <w:pPr>
              <w:jc w:val="left"/>
              <w:rPr>
                <w:rFonts w:ascii="宋体" w:hAnsi="宋体" w:cs="宋体"/>
                <w:color w:val="auto"/>
                <w:szCs w:val="21"/>
                <w:highlight w:val="none"/>
              </w:rPr>
            </w:pPr>
            <w:r>
              <w:rPr>
                <w:rFonts w:hint="eastAsia" w:ascii="宋体" w:hAnsi="宋体" w:cs="宋体"/>
                <w:color w:val="auto"/>
                <w:szCs w:val="21"/>
                <w:highlight w:val="none"/>
              </w:rPr>
              <w:t>年费率1%-2%，最低保费500元</w:t>
            </w:r>
          </w:p>
        </w:tc>
        <w:tc>
          <w:tcPr>
            <w:tcW w:w="1287" w:type="dxa"/>
            <w:vAlign w:val="center"/>
          </w:tcPr>
          <w:p w14:paraId="20C0AE4D">
            <w:pPr>
              <w:jc w:val="center"/>
              <w:rPr>
                <w:rFonts w:ascii="宋体" w:hAnsi="宋体" w:cs="宋体"/>
                <w:color w:val="auto"/>
                <w:szCs w:val="21"/>
                <w:highlight w:val="none"/>
              </w:rPr>
            </w:pPr>
            <w:r>
              <w:rPr>
                <w:rFonts w:hint="eastAsia" w:ascii="宋体" w:hAnsi="宋体" w:cs="宋体"/>
                <w:color w:val="auto"/>
                <w:szCs w:val="21"/>
                <w:highlight w:val="none"/>
              </w:rPr>
              <w:t>罗赛</w:t>
            </w:r>
          </w:p>
        </w:tc>
        <w:tc>
          <w:tcPr>
            <w:tcW w:w="1600" w:type="dxa"/>
            <w:vAlign w:val="center"/>
          </w:tcPr>
          <w:p w14:paraId="7B099D5F">
            <w:pPr>
              <w:jc w:val="center"/>
              <w:rPr>
                <w:rFonts w:ascii="宋体" w:hAnsi="宋体" w:cs="宋体"/>
                <w:color w:val="auto"/>
                <w:szCs w:val="21"/>
                <w:highlight w:val="none"/>
              </w:rPr>
            </w:pPr>
            <w:r>
              <w:rPr>
                <w:rFonts w:hint="eastAsia" w:ascii="宋体" w:hAnsi="宋体" w:cs="宋体"/>
                <w:color w:val="auto"/>
                <w:szCs w:val="21"/>
                <w:highlight w:val="none"/>
              </w:rPr>
              <w:t>13736605643</w:t>
            </w:r>
          </w:p>
        </w:tc>
      </w:tr>
    </w:tbl>
    <w:p w14:paraId="4B95FB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（3）中标供应商如有融资需求，可使用以下银行的政采贷服务。</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7FFB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7710FAC4">
            <w:pPr>
              <w:jc w:val="center"/>
              <w:rPr>
                <w:rFonts w:ascii="宋体" w:hAnsi="宋体" w:cs="宋体"/>
                <w:color w:val="auto"/>
                <w:szCs w:val="21"/>
                <w:highlight w:val="none"/>
              </w:rPr>
            </w:pPr>
            <w:r>
              <w:rPr>
                <w:rFonts w:hint="eastAsia" w:ascii="宋体" w:hAnsi="宋体" w:cs="宋体"/>
                <w:color w:val="auto"/>
                <w:szCs w:val="21"/>
                <w:highlight w:val="none"/>
              </w:rPr>
              <w:t>银行</w:t>
            </w:r>
          </w:p>
        </w:tc>
        <w:tc>
          <w:tcPr>
            <w:tcW w:w="1334" w:type="dxa"/>
            <w:vAlign w:val="center"/>
          </w:tcPr>
          <w:p w14:paraId="40A53A04">
            <w:pPr>
              <w:jc w:val="center"/>
              <w:rPr>
                <w:rFonts w:ascii="宋体" w:hAnsi="宋体" w:cs="宋体"/>
                <w:color w:val="auto"/>
                <w:szCs w:val="21"/>
                <w:highlight w:val="none"/>
              </w:rPr>
            </w:pPr>
            <w:r>
              <w:rPr>
                <w:rFonts w:hint="eastAsia" w:ascii="宋体" w:hAnsi="宋体" w:cs="宋体"/>
                <w:color w:val="auto"/>
                <w:szCs w:val="21"/>
                <w:highlight w:val="none"/>
              </w:rPr>
              <w:t>贷款年利率</w:t>
            </w:r>
          </w:p>
        </w:tc>
        <w:tc>
          <w:tcPr>
            <w:tcW w:w="1688" w:type="dxa"/>
            <w:vAlign w:val="center"/>
          </w:tcPr>
          <w:p w14:paraId="1E8F4A0D">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131" w:type="dxa"/>
            <w:vAlign w:val="center"/>
          </w:tcPr>
          <w:p w14:paraId="0EB1BA44">
            <w:pPr>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14:paraId="2E8B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2067E961">
            <w:pPr>
              <w:jc w:val="center"/>
              <w:rPr>
                <w:rFonts w:ascii="宋体" w:hAnsi="宋体" w:cs="宋体"/>
                <w:color w:val="auto"/>
                <w:szCs w:val="21"/>
                <w:highlight w:val="none"/>
              </w:rPr>
            </w:pPr>
            <w:r>
              <w:rPr>
                <w:rFonts w:hint="eastAsia" w:ascii="宋体" w:hAnsi="宋体" w:cs="宋体"/>
                <w:color w:val="auto"/>
                <w:szCs w:val="21"/>
                <w:highlight w:val="none"/>
              </w:rPr>
              <w:t>中国工商银行</w:t>
            </w:r>
          </w:p>
        </w:tc>
        <w:tc>
          <w:tcPr>
            <w:tcW w:w="1334" w:type="dxa"/>
            <w:vAlign w:val="center"/>
          </w:tcPr>
          <w:p w14:paraId="2E25C690">
            <w:pPr>
              <w:jc w:val="center"/>
              <w:rPr>
                <w:rFonts w:ascii="宋体" w:hAnsi="宋体" w:cs="宋体"/>
                <w:color w:val="auto"/>
                <w:szCs w:val="21"/>
                <w:highlight w:val="none"/>
              </w:rPr>
            </w:pPr>
            <w:r>
              <w:rPr>
                <w:rFonts w:hint="eastAsia" w:ascii="宋体" w:hAnsi="宋体" w:cs="宋体"/>
                <w:color w:val="auto"/>
                <w:szCs w:val="21"/>
                <w:highlight w:val="none"/>
              </w:rPr>
              <w:t>3.8%起</w:t>
            </w:r>
          </w:p>
        </w:tc>
        <w:tc>
          <w:tcPr>
            <w:tcW w:w="1688" w:type="dxa"/>
            <w:vAlign w:val="center"/>
          </w:tcPr>
          <w:p w14:paraId="576ACFFC">
            <w:pPr>
              <w:jc w:val="center"/>
              <w:rPr>
                <w:rFonts w:ascii="宋体" w:hAnsi="宋体" w:cs="宋体"/>
                <w:color w:val="auto"/>
                <w:szCs w:val="21"/>
                <w:highlight w:val="none"/>
              </w:rPr>
            </w:pPr>
            <w:r>
              <w:rPr>
                <w:rFonts w:hint="eastAsia" w:ascii="宋体" w:hAnsi="宋体" w:cs="宋体"/>
                <w:color w:val="auto"/>
                <w:szCs w:val="21"/>
                <w:highlight w:val="none"/>
              </w:rPr>
              <w:t>卢嘉诚</w:t>
            </w:r>
          </w:p>
        </w:tc>
        <w:tc>
          <w:tcPr>
            <w:tcW w:w="2131" w:type="dxa"/>
            <w:vAlign w:val="center"/>
          </w:tcPr>
          <w:p w14:paraId="21BA9A96">
            <w:pPr>
              <w:jc w:val="center"/>
              <w:rPr>
                <w:rFonts w:ascii="宋体" w:hAnsi="宋体" w:cs="宋体"/>
                <w:color w:val="auto"/>
                <w:szCs w:val="21"/>
                <w:highlight w:val="none"/>
              </w:rPr>
            </w:pPr>
            <w:r>
              <w:rPr>
                <w:rFonts w:hint="eastAsia" w:ascii="宋体" w:hAnsi="宋体" w:cs="宋体"/>
                <w:color w:val="auto"/>
                <w:szCs w:val="21"/>
                <w:highlight w:val="none"/>
              </w:rPr>
              <w:t>88588246  13867658508</w:t>
            </w:r>
          </w:p>
        </w:tc>
      </w:tr>
      <w:tr w14:paraId="10C2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1D1B86E1">
            <w:pPr>
              <w:jc w:val="center"/>
              <w:rPr>
                <w:rFonts w:ascii="宋体" w:hAnsi="宋体" w:cs="宋体"/>
                <w:color w:val="auto"/>
                <w:szCs w:val="21"/>
                <w:highlight w:val="none"/>
              </w:rPr>
            </w:pPr>
            <w:r>
              <w:rPr>
                <w:rFonts w:hint="eastAsia" w:ascii="宋体" w:hAnsi="宋体" w:cs="宋体"/>
                <w:color w:val="auto"/>
                <w:szCs w:val="21"/>
                <w:highlight w:val="none"/>
              </w:rPr>
              <w:t>中国农业银行</w:t>
            </w:r>
          </w:p>
        </w:tc>
        <w:tc>
          <w:tcPr>
            <w:tcW w:w="1334" w:type="dxa"/>
            <w:vAlign w:val="center"/>
          </w:tcPr>
          <w:p w14:paraId="7179A90B">
            <w:pPr>
              <w:jc w:val="center"/>
              <w:rPr>
                <w:rFonts w:ascii="宋体" w:hAnsi="宋体" w:cs="宋体"/>
                <w:color w:val="auto"/>
                <w:szCs w:val="21"/>
                <w:highlight w:val="none"/>
              </w:rPr>
            </w:pPr>
            <w:r>
              <w:rPr>
                <w:rFonts w:hint="eastAsia" w:ascii="宋体" w:hAnsi="宋体" w:cs="宋体"/>
                <w:color w:val="auto"/>
                <w:szCs w:val="21"/>
                <w:highlight w:val="none"/>
              </w:rPr>
              <w:t>3.8%起</w:t>
            </w:r>
          </w:p>
        </w:tc>
        <w:tc>
          <w:tcPr>
            <w:tcW w:w="1688" w:type="dxa"/>
            <w:vAlign w:val="center"/>
          </w:tcPr>
          <w:p w14:paraId="1ED21ED2">
            <w:pPr>
              <w:jc w:val="center"/>
              <w:rPr>
                <w:rFonts w:ascii="宋体" w:hAnsi="宋体" w:cs="宋体"/>
                <w:color w:val="auto"/>
                <w:szCs w:val="21"/>
                <w:highlight w:val="none"/>
              </w:rPr>
            </w:pPr>
            <w:r>
              <w:rPr>
                <w:rFonts w:hint="eastAsia" w:ascii="宋体" w:hAnsi="宋体" w:cs="宋体"/>
                <w:color w:val="auto"/>
                <w:szCs w:val="21"/>
                <w:highlight w:val="none"/>
              </w:rPr>
              <w:t>龚盛</w:t>
            </w:r>
          </w:p>
        </w:tc>
        <w:tc>
          <w:tcPr>
            <w:tcW w:w="2131" w:type="dxa"/>
            <w:vAlign w:val="center"/>
          </w:tcPr>
          <w:p w14:paraId="6759BD2D">
            <w:pPr>
              <w:jc w:val="center"/>
              <w:rPr>
                <w:rFonts w:ascii="宋体" w:hAnsi="宋体" w:cs="宋体"/>
                <w:color w:val="auto"/>
                <w:szCs w:val="21"/>
                <w:highlight w:val="none"/>
              </w:rPr>
            </w:pPr>
            <w:r>
              <w:rPr>
                <w:rFonts w:hint="eastAsia" w:ascii="宋体" w:hAnsi="宋体" w:cs="宋体"/>
                <w:color w:val="auto"/>
                <w:szCs w:val="21"/>
                <w:highlight w:val="none"/>
              </w:rPr>
              <w:t>15858682216</w:t>
            </w:r>
          </w:p>
        </w:tc>
      </w:tr>
      <w:tr w14:paraId="4761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79F3FF34">
            <w:pPr>
              <w:jc w:val="center"/>
              <w:rPr>
                <w:rFonts w:ascii="宋体" w:hAnsi="宋体" w:cs="宋体"/>
                <w:color w:val="auto"/>
                <w:szCs w:val="21"/>
                <w:highlight w:val="none"/>
              </w:rPr>
            </w:pPr>
            <w:r>
              <w:rPr>
                <w:rFonts w:hint="eastAsia" w:ascii="宋体" w:hAnsi="宋体" w:cs="宋体"/>
                <w:color w:val="auto"/>
                <w:szCs w:val="21"/>
                <w:highlight w:val="none"/>
              </w:rPr>
              <w:t>中国建设银行</w:t>
            </w:r>
          </w:p>
        </w:tc>
        <w:tc>
          <w:tcPr>
            <w:tcW w:w="1334" w:type="dxa"/>
            <w:vAlign w:val="center"/>
          </w:tcPr>
          <w:p w14:paraId="34FFB577">
            <w:pPr>
              <w:jc w:val="center"/>
              <w:rPr>
                <w:rFonts w:ascii="宋体" w:hAnsi="宋体" w:cs="宋体"/>
                <w:color w:val="auto"/>
                <w:szCs w:val="21"/>
                <w:highlight w:val="none"/>
              </w:rPr>
            </w:pPr>
            <w:r>
              <w:rPr>
                <w:rFonts w:hint="eastAsia" w:ascii="宋体" w:hAnsi="宋体" w:cs="宋体"/>
                <w:color w:val="auto"/>
                <w:szCs w:val="21"/>
                <w:highlight w:val="none"/>
              </w:rPr>
              <w:t>3.8%起</w:t>
            </w:r>
          </w:p>
        </w:tc>
        <w:tc>
          <w:tcPr>
            <w:tcW w:w="1688" w:type="dxa"/>
            <w:vAlign w:val="center"/>
          </w:tcPr>
          <w:p w14:paraId="5C32C5E0">
            <w:pPr>
              <w:jc w:val="center"/>
              <w:rPr>
                <w:rFonts w:ascii="宋体" w:hAnsi="宋体" w:cs="宋体"/>
                <w:color w:val="auto"/>
                <w:szCs w:val="21"/>
                <w:highlight w:val="none"/>
              </w:rPr>
            </w:pPr>
            <w:r>
              <w:rPr>
                <w:rFonts w:hint="eastAsia" w:ascii="宋体" w:hAnsi="宋体" w:cs="宋体"/>
                <w:color w:val="auto"/>
                <w:szCs w:val="21"/>
                <w:highlight w:val="none"/>
              </w:rPr>
              <w:t>梅晶晶</w:t>
            </w:r>
          </w:p>
        </w:tc>
        <w:tc>
          <w:tcPr>
            <w:tcW w:w="2131" w:type="dxa"/>
            <w:vAlign w:val="center"/>
          </w:tcPr>
          <w:p w14:paraId="5D1ADA3A">
            <w:pPr>
              <w:jc w:val="center"/>
              <w:rPr>
                <w:rFonts w:ascii="宋体" w:hAnsi="宋体" w:cs="宋体"/>
                <w:color w:val="auto"/>
                <w:szCs w:val="21"/>
                <w:highlight w:val="none"/>
              </w:rPr>
            </w:pPr>
            <w:r>
              <w:rPr>
                <w:rFonts w:hint="eastAsia" w:ascii="宋体" w:hAnsi="宋体" w:cs="宋体"/>
                <w:color w:val="auto"/>
                <w:szCs w:val="21"/>
                <w:highlight w:val="none"/>
              </w:rPr>
              <w:t>88525339</w:t>
            </w:r>
          </w:p>
          <w:p w14:paraId="3823784E">
            <w:pPr>
              <w:jc w:val="center"/>
              <w:rPr>
                <w:rFonts w:ascii="宋体" w:hAnsi="宋体" w:cs="宋体"/>
                <w:color w:val="auto"/>
                <w:szCs w:val="21"/>
                <w:highlight w:val="none"/>
              </w:rPr>
            </w:pPr>
            <w:r>
              <w:rPr>
                <w:rFonts w:hint="eastAsia" w:ascii="宋体" w:hAnsi="宋体" w:cs="宋体"/>
                <w:color w:val="auto"/>
                <w:szCs w:val="21"/>
                <w:highlight w:val="none"/>
              </w:rPr>
              <w:t>13736585303</w:t>
            </w:r>
          </w:p>
        </w:tc>
      </w:tr>
      <w:tr w14:paraId="6D15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568C3C7A">
            <w:pPr>
              <w:jc w:val="center"/>
              <w:rPr>
                <w:rFonts w:ascii="宋体" w:hAnsi="宋体" w:cs="宋体"/>
                <w:color w:val="auto"/>
                <w:szCs w:val="21"/>
                <w:highlight w:val="none"/>
              </w:rPr>
            </w:pPr>
            <w:r>
              <w:rPr>
                <w:rFonts w:hint="eastAsia" w:ascii="宋体" w:hAnsi="宋体" w:cs="宋体"/>
                <w:color w:val="auto"/>
                <w:szCs w:val="21"/>
                <w:highlight w:val="none"/>
              </w:rPr>
              <w:t>中国银行</w:t>
            </w:r>
          </w:p>
        </w:tc>
        <w:tc>
          <w:tcPr>
            <w:tcW w:w="1334" w:type="dxa"/>
            <w:vAlign w:val="center"/>
          </w:tcPr>
          <w:p w14:paraId="48E12DD5">
            <w:pPr>
              <w:jc w:val="center"/>
              <w:rPr>
                <w:rFonts w:ascii="宋体" w:hAnsi="宋体" w:cs="宋体"/>
                <w:color w:val="auto"/>
                <w:szCs w:val="21"/>
                <w:highlight w:val="none"/>
              </w:rPr>
            </w:pPr>
            <w:r>
              <w:rPr>
                <w:rFonts w:hint="eastAsia" w:ascii="宋体" w:hAnsi="宋体" w:cs="宋体"/>
                <w:color w:val="auto"/>
                <w:szCs w:val="21"/>
                <w:highlight w:val="none"/>
              </w:rPr>
              <w:t>3.75%起</w:t>
            </w:r>
          </w:p>
        </w:tc>
        <w:tc>
          <w:tcPr>
            <w:tcW w:w="1688" w:type="dxa"/>
            <w:vAlign w:val="center"/>
          </w:tcPr>
          <w:p w14:paraId="11D14AE2">
            <w:pPr>
              <w:jc w:val="center"/>
              <w:rPr>
                <w:rFonts w:ascii="宋体" w:hAnsi="宋体" w:cs="宋体"/>
                <w:color w:val="auto"/>
                <w:szCs w:val="21"/>
                <w:highlight w:val="none"/>
              </w:rPr>
            </w:pPr>
            <w:r>
              <w:rPr>
                <w:rFonts w:hint="eastAsia" w:ascii="宋体" w:hAnsi="宋体" w:cs="宋体"/>
                <w:color w:val="auto"/>
                <w:szCs w:val="21"/>
                <w:highlight w:val="none"/>
              </w:rPr>
              <w:t>王海</w:t>
            </w:r>
          </w:p>
        </w:tc>
        <w:tc>
          <w:tcPr>
            <w:tcW w:w="2131" w:type="dxa"/>
            <w:vAlign w:val="center"/>
          </w:tcPr>
          <w:p w14:paraId="58D918C8">
            <w:pPr>
              <w:jc w:val="center"/>
              <w:rPr>
                <w:rFonts w:ascii="宋体" w:hAnsi="宋体" w:cs="宋体"/>
                <w:color w:val="auto"/>
                <w:szCs w:val="21"/>
                <w:highlight w:val="none"/>
              </w:rPr>
            </w:pPr>
            <w:r>
              <w:rPr>
                <w:rFonts w:hint="eastAsia" w:ascii="宋体" w:hAnsi="宋体" w:cs="宋体"/>
                <w:color w:val="auto"/>
                <w:szCs w:val="21"/>
                <w:highlight w:val="none"/>
              </w:rPr>
              <w:t>13857677798</w:t>
            </w:r>
          </w:p>
        </w:tc>
      </w:tr>
      <w:tr w14:paraId="46E1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28B9EBEC">
            <w:pPr>
              <w:jc w:val="center"/>
              <w:rPr>
                <w:rFonts w:ascii="宋体" w:hAnsi="宋体" w:cs="宋体"/>
                <w:color w:val="auto"/>
                <w:szCs w:val="21"/>
                <w:highlight w:val="none"/>
              </w:rPr>
            </w:pPr>
            <w:r>
              <w:rPr>
                <w:rFonts w:hint="eastAsia" w:ascii="宋体" w:hAnsi="宋体" w:cs="宋体"/>
                <w:color w:val="auto"/>
                <w:szCs w:val="21"/>
                <w:highlight w:val="none"/>
              </w:rPr>
              <w:t>浦发银行台州分行</w:t>
            </w:r>
          </w:p>
        </w:tc>
        <w:tc>
          <w:tcPr>
            <w:tcW w:w="1334" w:type="dxa"/>
            <w:vAlign w:val="center"/>
          </w:tcPr>
          <w:p w14:paraId="043FEF62">
            <w:pPr>
              <w:jc w:val="center"/>
              <w:rPr>
                <w:rFonts w:ascii="宋体" w:hAnsi="宋体" w:cs="宋体"/>
                <w:color w:val="auto"/>
                <w:szCs w:val="21"/>
                <w:highlight w:val="none"/>
              </w:rPr>
            </w:pPr>
            <w:r>
              <w:rPr>
                <w:rFonts w:hint="eastAsia" w:ascii="宋体" w:hAnsi="宋体" w:cs="宋体"/>
                <w:color w:val="auto"/>
                <w:szCs w:val="21"/>
                <w:highlight w:val="none"/>
              </w:rPr>
              <w:t>4.05%起</w:t>
            </w:r>
          </w:p>
        </w:tc>
        <w:tc>
          <w:tcPr>
            <w:tcW w:w="1688" w:type="dxa"/>
            <w:vAlign w:val="center"/>
          </w:tcPr>
          <w:p w14:paraId="6B753A4C">
            <w:pPr>
              <w:jc w:val="center"/>
              <w:rPr>
                <w:rFonts w:ascii="宋体" w:hAnsi="宋体" w:cs="宋体"/>
                <w:color w:val="auto"/>
                <w:szCs w:val="21"/>
                <w:highlight w:val="none"/>
              </w:rPr>
            </w:pPr>
            <w:r>
              <w:rPr>
                <w:rFonts w:hint="eastAsia" w:ascii="宋体" w:hAnsi="宋体" w:cs="宋体"/>
                <w:color w:val="auto"/>
                <w:szCs w:val="21"/>
                <w:highlight w:val="none"/>
              </w:rPr>
              <w:t>王渊</w:t>
            </w:r>
          </w:p>
        </w:tc>
        <w:tc>
          <w:tcPr>
            <w:tcW w:w="2131" w:type="dxa"/>
            <w:vAlign w:val="center"/>
          </w:tcPr>
          <w:p w14:paraId="184BE338">
            <w:pPr>
              <w:jc w:val="center"/>
              <w:rPr>
                <w:rFonts w:ascii="宋体" w:hAnsi="宋体" w:cs="宋体"/>
                <w:color w:val="auto"/>
                <w:szCs w:val="21"/>
                <w:highlight w:val="none"/>
              </w:rPr>
            </w:pPr>
            <w:r>
              <w:rPr>
                <w:rFonts w:hint="eastAsia" w:ascii="宋体" w:hAnsi="宋体" w:cs="宋体"/>
                <w:color w:val="auto"/>
                <w:szCs w:val="21"/>
                <w:highlight w:val="none"/>
              </w:rPr>
              <w:t>13616676319</w:t>
            </w:r>
          </w:p>
        </w:tc>
      </w:tr>
      <w:tr w14:paraId="3A07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13D03C65">
            <w:pPr>
              <w:jc w:val="center"/>
              <w:rPr>
                <w:rFonts w:ascii="宋体" w:hAnsi="宋体" w:cs="宋体"/>
                <w:color w:val="auto"/>
                <w:szCs w:val="21"/>
                <w:highlight w:val="none"/>
              </w:rPr>
            </w:pPr>
            <w:r>
              <w:rPr>
                <w:rFonts w:hint="eastAsia" w:ascii="宋体" w:hAnsi="宋体" w:cs="宋体"/>
                <w:color w:val="auto"/>
                <w:szCs w:val="21"/>
                <w:highlight w:val="none"/>
              </w:rPr>
              <w:t>浦发银行椒江分行</w:t>
            </w:r>
          </w:p>
        </w:tc>
        <w:tc>
          <w:tcPr>
            <w:tcW w:w="1334" w:type="dxa"/>
            <w:vAlign w:val="center"/>
          </w:tcPr>
          <w:p w14:paraId="325FD7D4">
            <w:pPr>
              <w:jc w:val="center"/>
              <w:rPr>
                <w:rFonts w:ascii="宋体" w:hAnsi="宋体" w:cs="宋体"/>
                <w:color w:val="auto"/>
                <w:szCs w:val="21"/>
                <w:highlight w:val="none"/>
              </w:rPr>
            </w:pPr>
            <w:r>
              <w:rPr>
                <w:rFonts w:hint="eastAsia" w:ascii="宋体" w:hAnsi="宋体" w:cs="宋体"/>
                <w:color w:val="auto"/>
                <w:szCs w:val="21"/>
                <w:highlight w:val="none"/>
              </w:rPr>
              <w:t>4.05%起</w:t>
            </w:r>
          </w:p>
        </w:tc>
        <w:tc>
          <w:tcPr>
            <w:tcW w:w="1688" w:type="dxa"/>
            <w:vAlign w:val="center"/>
          </w:tcPr>
          <w:p w14:paraId="3EFA1278">
            <w:pPr>
              <w:jc w:val="center"/>
              <w:rPr>
                <w:rFonts w:ascii="宋体" w:hAnsi="宋体" w:cs="宋体"/>
                <w:color w:val="auto"/>
                <w:szCs w:val="21"/>
                <w:highlight w:val="none"/>
              </w:rPr>
            </w:pPr>
            <w:r>
              <w:rPr>
                <w:rFonts w:hint="eastAsia" w:ascii="宋体" w:hAnsi="宋体" w:cs="宋体"/>
                <w:color w:val="auto"/>
                <w:szCs w:val="21"/>
                <w:highlight w:val="none"/>
              </w:rPr>
              <w:t>孙瑞华</w:t>
            </w:r>
          </w:p>
        </w:tc>
        <w:tc>
          <w:tcPr>
            <w:tcW w:w="2131" w:type="dxa"/>
            <w:vAlign w:val="center"/>
          </w:tcPr>
          <w:p w14:paraId="03E7E944">
            <w:pPr>
              <w:jc w:val="center"/>
              <w:rPr>
                <w:rFonts w:ascii="宋体" w:hAnsi="宋体" w:cs="宋体"/>
                <w:color w:val="auto"/>
                <w:szCs w:val="21"/>
                <w:highlight w:val="none"/>
              </w:rPr>
            </w:pPr>
            <w:r>
              <w:rPr>
                <w:rFonts w:hint="eastAsia" w:ascii="宋体" w:hAnsi="宋体" w:cs="宋体"/>
                <w:color w:val="auto"/>
                <w:szCs w:val="21"/>
                <w:highlight w:val="none"/>
              </w:rPr>
              <w:t>13857688081</w:t>
            </w:r>
          </w:p>
        </w:tc>
      </w:tr>
      <w:tr w14:paraId="05DE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3263923D">
            <w:pPr>
              <w:jc w:val="center"/>
              <w:rPr>
                <w:rFonts w:ascii="宋体" w:hAnsi="宋体" w:cs="宋体"/>
                <w:color w:val="auto"/>
                <w:szCs w:val="21"/>
                <w:highlight w:val="none"/>
              </w:rPr>
            </w:pPr>
            <w:r>
              <w:rPr>
                <w:rFonts w:hint="eastAsia" w:ascii="宋体" w:hAnsi="宋体" w:cs="宋体"/>
                <w:color w:val="auto"/>
                <w:szCs w:val="21"/>
                <w:highlight w:val="none"/>
              </w:rPr>
              <w:t>交通银行台州分行</w:t>
            </w:r>
          </w:p>
        </w:tc>
        <w:tc>
          <w:tcPr>
            <w:tcW w:w="1334" w:type="dxa"/>
            <w:vAlign w:val="center"/>
          </w:tcPr>
          <w:p w14:paraId="47322A6D">
            <w:pPr>
              <w:jc w:val="center"/>
              <w:rPr>
                <w:rFonts w:ascii="宋体" w:hAnsi="宋体" w:cs="宋体"/>
                <w:color w:val="auto"/>
                <w:szCs w:val="21"/>
                <w:highlight w:val="none"/>
              </w:rPr>
            </w:pPr>
            <w:r>
              <w:rPr>
                <w:rFonts w:hint="eastAsia" w:ascii="宋体" w:hAnsi="宋体" w:cs="宋体"/>
                <w:color w:val="auto"/>
                <w:szCs w:val="21"/>
                <w:highlight w:val="none"/>
              </w:rPr>
              <w:t>3.75%起</w:t>
            </w:r>
          </w:p>
        </w:tc>
        <w:tc>
          <w:tcPr>
            <w:tcW w:w="1688" w:type="dxa"/>
            <w:vAlign w:val="center"/>
          </w:tcPr>
          <w:p w14:paraId="12BF3216">
            <w:pPr>
              <w:jc w:val="center"/>
              <w:rPr>
                <w:rFonts w:ascii="宋体" w:hAnsi="宋体" w:cs="宋体"/>
                <w:color w:val="auto"/>
                <w:szCs w:val="21"/>
                <w:highlight w:val="none"/>
              </w:rPr>
            </w:pPr>
            <w:r>
              <w:rPr>
                <w:rFonts w:hint="eastAsia" w:ascii="宋体" w:hAnsi="宋体" w:cs="宋体"/>
                <w:color w:val="auto"/>
                <w:szCs w:val="21"/>
                <w:highlight w:val="none"/>
              </w:rPr>
              <w:t>周翔宇</w:t>
            </w:r>
          </w:p>
        </w:tc>
        <w:tc>
          <w:tcPr>
            <w:tcW w:w="2131" w:type="dxa"/>
            <w:vAlign w:val="center"/>
          </w:tcPr>
          <w:p w14:paraId="3A0DCD6A">
            <w:pPr>
              <w:jc w:val="center"/>
              <w:rPr>
                <w:rFonts w:ascii="宋体" w:hAnsi="宋体" w:cs="宋体"/>
                <w:color w:val="auto"/>
                <w:szCs w:val="21"/>
                <w:highlight w:val="none"/>
              </w:rPr>
            </w:pPr>
            <w:r>
              <w:rPr>
                <w:rFonts w:hint="eastAsia" w:ascii="宋体" w:hAnsi="宋体" w:cs="宋体"/>
                <w:color w:val="auto"/>
                <w:szCs w:val="21"/>
                <w:highlight w:val="none"/>
              </w:rPr>
              <w:t>13867697018</w:t>
            </w:r>
          </w:p>
        </w:tc>
      </w:tr>
      <w:tr w14:paraId="4D8C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3470FD01">
            <w:pPr>
              <w:jc w:val="center"/>
              <w:rPr>
                <w:rFonts w:ascii="宋体" w:hAnsi="宋体" w:cs="宋体"/>
                <w:color w:val="auto"/>
                <w:szCs w:val="21"/>
                <w:highlight w:val="none"/>
              </w:rPr>
            </w:pPr>
            <w:r>
              <w:rPr>
                <w:rFonts w:hint="eastAsia" w:ascii="宋体" w:hAnsi="宋体" w:cs="宋体"/>
                <w:color w:val="auto"/>
                <w:szCs w:val="21"/>
                <w:highlight w:val="none"/>
              </w:rPr>
              <w:t>招商银行台州分行</w:t>
            </w:r>
          </w:p>
        </w:tc>
        <w:tc>
          <w:tcPr>
            <w:tcW w:w="1334" w:type="dxa"/>
            <w:vAlign w:val="center"/>
          </w:tcPr>
          <w:p w14:paraId="4F222C3D">
            <w:pPr>
              <w:jc w:val="center"/>
              <w:rPr>
                <w:rFonts w:ascii="宋体" w:hAnsi="宋体" w:cs="宋体"/>
                <w:color w:val="auto"/>
                <w:szCs w:val="21"/>
                <w:highlight w:val="none"/>
              </w:rPr>
            </w:pPr>
            <w:r>
              <w:rPr>
                <w:rFonts w:hint="eastAsia" w:ascii="宋体" w:hAnsi="宋体" w:cs="宋体"/>
                <w:color w:val="auto"/>
                <w:szCs w:val="21"/>
                <w:highlight w:val="none"/>
              </w:rPr>
              <w:t>4.32%起</w:t>
            </w:r>
          </w:p>
        </w:tc>
        <w:tc>
          <w:tcPr>
            <w:tcW w:w="1688" w:type="dxa"/>
            <w:vAlign w:val="center"/>
          </w:tcPr>
          <w:p w14:paraId="04AFB54F">
            <w:pPr>
              <w:jc w:val="center"/>
              <w:rPr>
                <w:rFonts w:ascii="宋体" w:hAnsi="宋体" w:cs="宋体"/>
                <w:color w:val="auto"/>
                <w:szCs w:val="21"/>
                <w:highlight w:val="none"/>
              </w:rPr>
            </w:pPr>
            <w:r>
              <w:rPr>
                <w:rFonts w:hint="eastAsia" w:ascii="宋体" w:hAnsi="宋体" w:cs="宋体"/>
                <w:color w:val="auto"/>
                <w:szCs w:val="21"/>
                <w:highlight w:val="none"/>
              </w:rPr>
              <w:t>王海玲</w:t>
            </w:r>
          </w:p>
        </w:tc>
        <w:tc>
          <w:tcPr>
            <w:tcW w:w="2131" w:type="dxa"/>
            <w:vAlign w:val="center"/>
          </w:tcPr>
          <w:p w14:paraId="7C1A1D3F">
            <w:pPr>
              <w:jc w:val="center"/>
              <w:rPr>
                <w:rFonts w:ascii="宋体" w:hAnsi="宋体" w:cs="宋体"/>
                <w:color w:val="auto"/>
                <w:szCs w:val="21"/>
                <w:highlight w:val="none"/>
              </w:rPr>
            </w:pPr>
            <w:r>
              <w:rPr>
                <w:rFonts w:hint="eastAsia" w:ascii="宋体" w:hAnsi="宋体" w:cs="宋体"/>
                <w:color w:val="auto"/>
                <w:szCs w:val="21"/>
                <w:highlight w:val="none"/>
              </w:rPr>
              <w:t>13566413827</w:t>
            </w:r>
          </w:p>
        </w:tc>
      </w:tr>
      <w:tr w14:paraId="5CF0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3C537048">
            <w:pPr>
              <w:jc w:val="center"/>
              <w:rPr>
                <w:rFonts w:ascii="宋体" w:hAnsi="宋体" w:cs="宋体"/>
                <w:color w:val="auto"/>
                <w:szCs w:val="21"/>
                <w:highlight w:val="none"/>
              </w:rPr>
            </w:pPr>
            <w:r>
              <w:rPr>
                <w:rFonts w:hint="eastAsia" w:ascii="宋体" w:hAnsi="宋体" w:cs="宋体"/>
                <w:color w:val="auto"/>
                <w:szCs w:val="21"/>
                <w:highlight w:val="none"/>
              </w:rPr>
              <w:t>浙商银行台州分行</w:t>
            </w:r>
          </w:p>
        </w:tc>
        <w:tc>
          <w:tcPr>
            <w:tcW w:w="1334" w:type="dxa"/>
            <w:vAlign w:val="center"/>
          </w:tcPr>
          <w:p w14:paraId="7EDBD626">
            <w:pPr>
              <w:jc w:val="center"/>
              <w:rPr>
                <w:rFonts w:ascii="宋体" w:hAnsi="宋体" w:cs="宋体"/>
                <w:color w:val="auto"/>
                <w:szCs w:val="21"/>
                <w:highlight w:val="none"/>
              </w:rPr>
            </w:pPr>
            <w:r>
              <w:rPr>
                <w:rFonts w:hint="eastAsia" w:ascii="宋体" w:hAnsi="宋体" w:cs="宋体"/>
                <w:color w:val="auto"/>
                <w:szCs w:val="21"/>
                <w:highlight w:val="none"/>
              </w:rPr>
              <w:t>5.01%起</w:t>
            </w:r>
          </w:p>
        </w:tc>
        <w:tc>
          <w:tcPr>
            <w:tcW w:w="1688" w:type="dxa"/>
            <w:vAlign w:val="center"/>
          </w:tcPr>
          <w:p w14:paraId="76C4EEC4">
            <w:pPr>
              <w:jc w:val="center"/>
              <w:rPr>
                <w:rFonts w:ascii="宋体" w:hAnsi="宋体" w:cs="宋体"/>
                <w:color w:val="auto"/>
                <w:szCs w:val="21"/>
                <w:highlight w:val="none"/>
              </w:rPr>
            </w:pPr>
            <w:r>
              <w:rPr>
                <w:rFonts w:hint="eastAsia" w:ascii="宋体" w:hAnsi="宋体" w:cs="宋体"/>
                <w:color w:val="auto"/>
                <w:szCs w:val="21"/>
                <w:highlight w:val="none"/>
              </w:rPr>
              <w:t>章涉漪</w:t>
            </w:r>
          </w:p>
        </w:tc>
        <w:tc>
          <w:tcPr>
            <w:tcW w:w="2131" w:type="dxa"/>
            <w:vAlign w:val="center"/>
          </w:tcPr>
          <w:p w14:paraId="09266501">
            <w:pPr>
              <w:jc w:val="center"/>
              <w:rPr>
                <w:rFonts w:ascii="宋体" w:hAnsi="宋体" w:cs="宋体"/>
                <w:color w:val="auto"/>
                <w:szCs w:val="21"/>
                <w:highlight w:val="none"/>
              </w:rPr>
            </w:pPr>
            <w:r>
              <w:rPr>
                <w:rFonts w:hint="eastAsia" w:ascii="宋体" w:hAnsi="宋体" w:cs="宋体"/>
                <w:color w:val="auto"/>
                <w:szCs w:val="21"/>
                <w:highlight w:val="none"/>
              </w:rPr>
              <w:t>81880185</w:t>
            </w:r>
          </w:p>
          <w:p w14:paraId="69599561">
            <w:pPr>
              <w:jc w:val="center"/>
              <w:rPr>
                <w:rFonts w:ascii="宋体" w:hAnsi="宋体" w:cs="宋体"/>
                <w:color w:val="auto"/>
                <w:szCs w:val="21"/>
                <w:highlight w:val="none"/>
              </w:rPr>
            </w:pPr>
            <w:r>
              <w:rPr>
                <w:rFonts w:hint="eastAsia" w:ascii="宋体" w:hAnsi="宋体" w:cs="宋体"/>
                <w:color w:val="auto"/>
                <w:szCs w:val="21"/>
                <w:highlight w:val="none"/>
              </w:rPr>
              <w:t>13606681262</w:t>
            </w:r>
          </w:p>
        </w:tc>
      </w:tr>
      <w:tr w14:paraId="7213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34550A24">
            <w:pPr>
              <w:jc w:val="center"/>
              <w:rPr>
                <w:rFonts w:ascii="宋体" w:hAnsi="宋体" w:cs="宋体"/>
                <w:color w:val="auto"/>
                <w:szCs w:val="21"/>
                <w:highlight w:val="none"/>
              </w:rPr>
            </w:pPr>
            <w:r>
              <w:rPr>
                <w:rFonts w:hint="eastAsia" w:ascii="宋体" w:hAnsi="宋体" w:cs="宋体"/>
                <w:color w:val="auto"/>
                <w:szCs w:val="21"/>
                <w:highlight w:val="none"/>
              </w:rPr>
              <w:t>中信银行台州分行</w:t>
            </w:r>
          </w:p>
        </w:tc>
        <w:tc>
          <w:tcPr>
            <w:tcW w:w="1334" w:type="dxa"/>
            <w:vAlign w:val="center"/>
          </w:tcPr>
          <w:p w14:paraId="516A9ABA">
            <w:pPr>
              <w:jc w:val="center"/>
              <w:rPr>
                <w:rFonts w:ascii="宋体" w:hAnsi="宋体" w:cs="宋体"/>
                <w:color w:val="auto"/>
                <w:szCs w:val="21"/>
                <w:highlight w:val="none"/>
              </w:rPr>
            </w:pPr>
            <w:r>
              <w:rPr>
                <w:rFonts w:hint="eastAsia" w:ascii="宋体" w:hAnsi="宋体" w:cs="宋体"/>
                <w:color w:val="auto"/>
                <w:szCs w:val="21"/>
                <w:highlight w:val="none"/>
              </w:rPr>
              <w:t>4.15%起</w:t>
            </w:r>
          </w:p>
        </w:tc>
        <w:tc>
          <w:tcPr>
            <w:tcW w:w="1688" w:type="dxa"/>
            <w:vAlign w:val="center"/>
          </w:tcPr>
          <w:p w14:paraId="06979B70">
            <w:pPr>
              <w:jc w:val="center"/>
              <w:rPr>
                <w:rFonts w:ascii="宋体" w:hAnsi="宋体" w:cs="宋体"/>
                <w:color w:val="auto"/>
                <w:szCs w:val="21"/>
                <w:highlight w:val="none"/>
              </w:rPr>
            </w:pPr>
            <w:r>
              <w:rPr>
                <w:rFonts w:hint="eastAsia" w:ascii="宋体" w:hAnsi="宋体" w:cs="宋体"/>
                <w:color w:val="auto"/>
                <w:szCs w:val="21"/>
                <w:highlight w:val="none"/>
              </w:rPr>
              <w:t>陈金园</w:t>
            </w:r>
          </w:p>
        </w:tc>
        <w:tc>
          <w:tcPr>
            <w:tcW w:w="2131" w:type="dxa"/>
            <w:vAlign w:val="center"/>
          </w:tcPr>
          <w:p w14:paraId="42C1E7CF">
            <w:pPr>
              <w:jc w:val="center"/>
              <w:rPr>
                <w:rFonts w:ascii="宋体" w:hAnsi="宋体" w:cs="宋体"/>
                <w:color w:val="auto"/>
                <w:szCs w:val="21"/>
                <w:highlight w:val="none"/>
              </w:rPr>
            </w:pPr>
            <w:r>
              <w:rPr>
                <w:rFonts w:hint="eastAsia" w:ascii="宋体" w:hAnsi="宋体" w:cs="宋体"/>
                <w:color w:val="auto"/>
                <w:szCs w:val="21"/>
                <w:highlight w:val="none"/>
              </w:rPr>
              <w:t>13586052161</w:t>
            </w:r>
          </w:p>
        </w:tc>
      </w:tr>
      <w:tr w14:paraId="2384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1E3C4136">
            <w:pPr>
              <w:jc w:val="center"/>
              <w:rPr>
                <w:rFonts w:ascii="宋体" w:hAnsi="宋体" w:cs="宋体"/>
                <w:color w:val="auto"/>
                <w:szCs w:val="21"/>
                <w:highlight w:val="none"/>
              </w:rPr>
            </w:pPr>
            <w:r>
              <w:rPr>
                <w:rFonts w:hint="eastAsia" w:ascii="宋体" w:hAnsi="宋体" w:cs="宋体"/>
                <w:color w:val="auto"/>
                <w:szCs w:val="21"/>
                <w:highlight w:val="none"/>
              </w:rPr>
              <w:t>华夏银行台州分行</w:t>
            </w:r>
          </w:p>
        </w:tc>
        <w:tc>
          <w:tcPr>
            <w:tcW w:w="1334" w:type="dxa"/>
            <w:vAlign w:val="center"/>
          </w:tcPr>
          <w:p w14:paraId="7A77ED1A">
            <w:pPr>
              <w:jc w:val="center"/>
              <w:rPr>
                <w:rFonts w:ascii="宋体" w:hAnsi="宋体" w:cs="宋体"/>
                <w:color w:val="auto"/>
                <w:szCs w:val="21"/>
                <w:highlight w:val="none"/>
              </w:rPr>
            </w:pPr>
            <w:r>
              <w:rPr>
                <w:rFonts w:hint="eastAsia" w:ascii="宋体" w:hAnsi="宋体" w:cs="宋体"/>
                <w:color w:val="auto"/>
                <w:szCs w:val="21"/>
                <w:highlight w:val="none"/>
              </w:rPr>
              <w:t>4.5%起</w:t>
            </w:r>
          </w:p>
        </w:tc>
        <w:tc>
          <w:tcPr>
            <w:tcW w:w="1688" w:type="dxa"/>
            <w:vAlign w:val="center"/>
          </w:tcPr>
          <w:p w14:paraId="657347C1">
            <w:pPr>
              <w:jc w:val="center"/>
              <w:rPr>
                <w:rFonts w:ascii="宋体" w:hAnsi="宋体" w:cs="宋体"/>
                <w:color w:val="auto"/>
                <w:szCs w:val="21"/>
                <w:highlight w:val="none"/>
              </w:rPr>
            </w:pPr>
            <w:r>
              <w:rPr>
                <w:rFonts w:hint="eastAsia" w:ascii="宋体" w:hAnsi="宋体" w:cs="宋体"/>
                <w:color w:val="auto"/>
                <w:szCs w:val="21"/>
                <w:highlight w:val="none"/>
              </w:rPr>
              <w:t>邱明达</w:t>
            </w:r>
          </w:p>
        </w:tc>
        <w:tc>
          <w:tcPr>
            <w:tcW w:w="2131" w:type="dxa"/>
            <w:vAlign w:val="center"/>
          </w:tcPr>
          <w:p w14:paraId="1829C5E4">
            <w:pPr>
              <w:jc w:val="center"/>
              <w:rPr>
                <w:rFonts w:ascii="宋体" w:hAnsi="宋体" w:cs="宋体"/>
                <w:color w:val="auto"/>
                <w:szCs w:val="21"/>
                <w:highlight w:val="none"/>
              </w:rPr>
            </w:pPr>
            <w:r>
              <w:rPr>
                <w:rFonts w:hint="eastAsia" w:ascii="宋体" w:hAnsi="宋体" w:cs="宋体"/>
                <w:color w:val="auto"/>
                <w:szCs w:val="21"/>
                <w:highlight w:val="none"/>
              </w:rPr>
              <w:t>81871518</w:t>
            </w:r>
          </w:p>
          <w:p w14:paraId="0FEE10DB">
            <w:pPr>
              <w:jc w:val="center"/>
              <w:rPr>
                <w:rFonts w:ascii="宋体" w:hAnsi="宋体" w:cs="宋体"/>
                <w:color w:val="auto"/>
                <w:szCs w:val="21"/>
                <w:highlight w:val="none"/>
              </w:rPr>
            </w:pPr>
            <w:r>
              <w:rPr>
                <w:rFonts w:hint="eastAsia" w:ascii="宋体" w:hAnsi="宋体" w:cs="宋体"/>
                <w:color w:val="auto"/>
                <w:szCs w:val="21"/>
                <w:highlight w:val="none"/>
              </w:rPr>
              <w:t>13736252233</w:t>
            </w:r>
          </w:p>
        </w:tc>
      </w:tr>
      <w:tr w14:paraId="7DE1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6CF52EDD">
            <w:pPr>
              <w:jc w:val="center"/>
              <w:rPr>
                <w:rFonts w:ascii="宋体" w:hAnsi="宋体" w:cs="宋体"/>
                <w:color w:val="auto"/>
                <w:szCs w:val="21"/>
                <w:highlight w:val="none"/>
              </w:rPr>
            </w:pPr>
            <w:r>
              <w:rPr>
                <w:rFonts w:hint="eastAsia" w:ascii="宋体" w:hAnsi="宋体" w:cs="宋体"/>
                <w:color w:val="auto"/>
                <w:szCs w:val="21"/>
                <w:highlight w:val="none"/>
              </w:rPr>
              <w:t>泰隆银行开发区支行</w:t>
            </w:r>
          </w:p>
        </w:tc>
        <w:tc>
          <w:tcPr>
            <w:tcW w:w="1334" w:type="dxa"/>
            <w:vAlign w:val="center"/>
          </w:tcPr>
          <w:p w14:paraId="3DAC31D7">
            <w:pPr>
              <w:jc w:val="center"/>
              <w:rPr>
                <w:rFonts w:ascii="宋体" w:hAnsi="宋体" w:cs="宋体"/>
                <w:color w:val="auto"/>
                <w:szCs w:val="21"/>
                <w:highlight w:val="none"/>
              </w:rPr>
            </w:pPr>
            <w:r>
              <w:rPr>
                <w:rFonts w:hint="eastAsia" w:ascii="宋体" w:hAnsi="宋体" w:cs="宋体"/>
                <w:color w:val="auto"/>
                <w:szCs w:val="21"/>
                <w:highlight w:val="none"/>
              </w:rPr>
              <w:t>5.6%起</w:t>
            </w:r>
          </w:p>
        </w:tc>
        <w:tc>
          <w:tcPr>
            <w:tcW w:w="1688" w:type="dxa"/>
            <w:vAlign w:val="center"/>
          </w:tcPr>
          <w:p w14:paraId="2E97C8E1">
            <w:pPr>
              <w:jc w:val="center"/>
              <w:rPr>
                <w:rFonts w:ascii="宋体" w:hAnsi="宋体" w:cs="宋体"/>
                <w:color w:val="auto"/>
                <w:szCs w:val="21"/>
                <w:highlight w:val="none"/>
              </w:rPr>
            </w:pPr>
            <w:r>
              <w:rPr>
                <w:rFonts w:hint="eastAsia" w:ascii="宋体" w:hAnsi="宋体" w:cs="宋体"/>
                <w:color w:val="auto"/>
                <w:szCs w:val="21"/>
                <w:highlight w:val="none"/>
              </w:rPr>
              <w:t>梁宛莉</w:t>
            </w:r>
          </w:p>
        </w:tc>
        <w:tc>
          <w:tcPr>
            <w:tcW w:w="2131" w:type="dxa"/>
            <w:vAlign w:val="center"/>
          </w:tcPr>
          <w:p w14:paraId="413ECA6C">
            <w:pPr>
              <w:jc w:val="center"/>
              <w:rPr>
                <w:rFonts w:ascii="宋体" w:hAnsi="宋体" w:cs="宋体"/>
                <w:color w:val="auto"/>
                <w:szCs w:val="21"/>
                <w:highlight w:val="none"/>
              </w:rPr>
            </w:pPr>
            <w:r>
              <w:rPr>
                <w:rFonts w:hint="eastAsia" w:ascii="宋体" w:hAnsi="宋体" w:cs="宋体"/>
                <w:color w:val="auto"/>
                <w:szCs w:val="21"/>
                <w:highlight w:val="none"/>
              </w:rPr>
              <w:t>13306869100</w:t>
            </w:r>
          </w:p>
        </w:tc>
      </w:tr>
      <w:tr w14:paraId="2B92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636316D5">
            <w:pPr>
              <w:jc w:val="center"/>
              <w:rPr>
                <w:rFonts w:ascii="宋体" w:hAnsi="宋体" w:cs="宋体"/>
                <w:color w:val="auto"/>
                <w:szCs w:val="21"/>
                <w:highlight w:val="none"/>
              </w:rPr>
            </w:pPr>
            <w:r>
              <w:rPr>
                <w:rFonts w:hint="eastAsia" w:ascii="宋体" w:hAnsi="宋体" w:cs="宋体"/>
                <w:color w:val="auto"/>
                <w:szCs w:val="21"/>
                <w:highlight w:val="none"/>
              </w:rPr>
              <w:t>民泰银行椒江支行</w:t>
            </w:r>
          </w:p>
        </w:tc>
        <w:tc>
          <w:tcPr>
            <w:tcW w:w="1334" w:type="dxa"/>
            <w:vAlign w:val="center"/>
          </w:tcPr>
          <w:p w14:paraId="36DC31A6">
            <w:pPr>
              <w:jc w:val="center"/>
              <w:rPr>
                <w:rFonts w:ascii="宋体" w:hAnsi="宋体" w:cs="宋体"/>
                <w:color w:val="auto"/>
                <w:szCs w:val="21"/>
                <w:highlight w:val="none"/>
              </w:rPr>
            </w:pPr>
            <w:r>
              <w:rPr>
                <w:rFonts w:hint="eastAsia" w:ascii="宋体" w:hAnsi="宋体" w:cs="宋体"/>
                <w:color w:val="auto"/>
                <w:szCs w:val="21"/>
                <w:highlight w:val="none"/>
              </w:rPr>
              <w:t>5.8%起</w:t>
            </w:r>
          </w:p>
        </w:tc>
        <w:tc>
          <w:tcPr>
            <w:tcW w:w="1688" w:type="dxa"/>
            <w:vAlign w:val="center"/>
          </w:tcPr>
          <w:p w14:paraId="4D42A75B">
            <w:pPr>
              <w:jc w:val="center"/>
              <w:rPr>
                <w:rFonts w:ascii="宋体" w:hAnsi="宋体" w:cs="宋体"/>
                <w:color w:val="auto"/>
                <w:szCs w:val="21"/>
                <w:highlight w:val="none"/>
              </w:rPr>
            </w:pPr>
            <w:r>
              <w:rPr>
                <w:rFonts w:hint="eastAsia" w:ascii="宋体" w:hAnsi="宋体" w:cs="宋体"/>
                <w:color w:val="auto"/>
                <w:szCs w:val="21"/>
                <w:highlight w:val="none"/>
              </w:rPr>
              <w:t>陈慧珠</w:t>
            </w:r>
          </w:p>
        </w:tc>
        <w:tc>
          <w:tcPr>
            <w:tcW w:w="2131" w:type="dxa"/>
            <w:vAlign w:val="center"/>
          </w:tcPr>
          <w:p w14:paraId="0C369B94">
            <w:pPr>
              <w:jc w:val="center"/>
              <w:rPr>
                <w:rFonts w:ascii="宋体" w:hAnsi="宋体" w:cs="宋体"/>
                <w:color w:val="auto"/>
                <w:szCs w:val="21"/>
                <w:highlight w:val="none"/>
              </w:rPr>
            </w:pPr>
            <w:r>
              <w:rPr>
                <w:rFonts w:hint="eastAsia" w:ascii="宋体" w:hAnsi="宋体" w:cs="宋体"/>
                <w:color w:val="auto"/>
                <w:szCs w:val="21"/>
                <w:highlight w:val="none"/>
              </w:rPr>
              <w:t>13857699669</w:t>
            </w:r>
          </w:p>
        </w:tc>
      </w:tr>
      <w:tr w14:paraId="7533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7FCD3819">
            <w:pPr>
              <w:jc w:val="center"/>
              <w:rPr>
                <w:rFonts w:ascii="宋体" w:hAnsi="宋体" w:cs="宋体"/>
                <w:color w:val="auto"/>
                <w:szCs w:val="21"/>
                <w:highlight w:val="none"/>
              </w:rPr>
            </w:pPr>
            <w:r>
              <w:rPr>
                <w:rFonts w:hint="eastAsia" w:ascii="宋体" w:hAnsi="宋体" w:cs="宋体"/>
                <w:color w:val="auto"/>
                <w:szCs w:val="21"/>
                <w:highlight w:val="none"/>
              </w:rPr>
              <w:t>绍兴银行台州分行</w:t>
            </w:r>
          </w:p>
        </w:tc>
        <w:tc>
          <w:tcPr>
            <w:tcW w:w="1334" w:type="dxa"/>
            <w:vAlign w:val="center"/>
          </w:tcPr>
          <w:p w14:paraId="02AC2211">
            <w:pPr>
              <w:jc w:val="center"/>
              <w:rPr>
                <w:rFonts w:ascii="宋体" w:hAnsi="宋体" w:cs="宋体"/>
                <w:color w:val="auto"/>
                <w:szCs w:val="21"/>
                <w:highlight w:val="none"/>
              </w:rPr>
            </w:pPr>
            <w:r>
              <w:rPr>
                <w:rFonts w:hint="eastAsia" w:ascii="宋体" w:hAnsi="宋体" w:cs="宋体"/>
                <w:color w:val="auto"/>
                <w:szCs w:val="21"/>
                <w:highlight w:val="none"/>
              </w:rPr>
              <w:t>5.1%起</w:t>
            </w:r>
          </w:p>
        </w:tc>
        <w:tc>
          <w:tcPr>
            <w:tcW w:w="1688" w:type="dxa"/>
            <w:vAlign w:val="center"/>
          </w:tcPr>
          <w:p w14:paraId="5D36B6EE">
            <w:pPr>
              <w:jc w:val="center"/>
              <w:rPr>
                <w:rFonts w:ascii="宋体" w:hAnsi="宋体" w:cs="宋体"/>
                <w:color w:val="auto"/>
                <w:szCs w:val="21"/>
                <w:highlight w:val="none"/>
              </w:rPr>
            </w:pPr>
            <w:r>
              <w:rPr>
                <w:rFonts w:hint="eastAsia" w:ascii="宋体" w:hAnsi="宋体" w:cs="宋体"/>
                <w:color w:val="auto"/>
                <w:szCs w:val="21"/>
                <w:highlight w:val="none"/>
              </w:rPr>
              <w:t>郭庭斌</w:t>
            </w:r>
          </w:p>
        </w:tc>
        <w:tc>
          <w:tcPr>
            <w:tcW w:w="2131" w:type="dxa"/>
            <w:vAlign w:val="center"/>
          </w:tcPr>
          <w:p w14:paraId="31D028C0">
            <w:pPr>
              <w:jc w:val="center"/>
              <w:rPr>
                <w:rFonts w:ascii="宋体" w:hAnsi="宋体" w:cs="宋体"/>
                <w:color w:val="auto"/>
                <w:szCs w:val="21"/>
                <w:highlight w:val="none"/>
              </w:rPr>
            </w:pPr>
            <w:r>
              <w:rPr>
                <w:rFonts w:hint="eastAsia" w:ascii="宋体" w:hAnsi="宋体" w:cs="宋体"/>
                <w:color w:val="auto"/>
                <w:szCs w:val="21"/>
                <w:highlight w:val="none"/>
              </w:rPr>
              <w:t>15958633119</w:t>
            </w:r>
          </w:p>
        </w:tc>
      </w:tr>
      <w:tr w14:paraId="32D4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06D1A630">
            <w:pPr>
              <w:jc w:val="center"/>
              <w:rPr>
                <w:rFonts w:ascii="宋体" w:hAnsi="宋体" w:cs="宋体"/>
                <w:color w:val="auto"/>
                <w:szCs w:val="21"/>
                <w:highlight w:val="none"/>
              </w:rPr>
            </w:pPr>
            <w:r>
              <w:rPr>
                <w:rFonts w:hint="eastAsia" w:ascii="宋体" w:hAnsi="宋体" w:cs="宋体"/>
                <w:color w:val="auto"/>
                <w:szCs w:val="21"/>
                <w:highlight w:val="none"/>
              </w:rPr>
              <w:t>温州银行台州分行</w:t>
            </w:r>
          </w:p>
        </w:tc>
        <w:tc>
          <w:tcPr>
            <w:tcW w:w="1334" w:type="dxa"/>
            <w:vAlign w:val="center"/>
          </w:tcPr>
          <w:p w14:paraId="253807B2">
            <w:pPr>
              <w:jc w:val="center"/>
              <w:rPr>
                <w:rFonts w:ascii="宋体" w:hAnsi="宋体" w:cs="宋体"/>
                <w:color w:val="auto"/>
                <w:szCs w:val="21"/>
                <w:highlight w:val="none"/>
              </w:rPr>
            </w:pPr>
            <w:r>
              <w:rPr>
                <w:rFonts w:hint="eastAsia" w:ascii="宋体" w:hAnsi="宋体" w:cs="宋体"/>
                <w:color w:val="auto"/>
                <w:szCs w:val="21"/>
                <w:highlight w:val="none"/>
              </w:rPr>
              <w:t>4.55%起</w:t>
            </w:r>
          </w:p>
        </w:tc>
        <w:tc>
          <w:tcPr>
            <w:tcW w:w="1688" w:type="dxa"/>
            <w:vAlign w:val="center"/>
          </w:tcPr>
          <w:p w14:paraId="19DC26EA">
            <w:pPr>
              <w:jc w:val="center"/>
              <w:rPr>
                <w:rFonts w:ascii="宋体" w:hAnsi="宋体" w:cs="宋体"/>
                <w:color w:val="auto"/>
                <w:szCs w:val="21"/>
                <w:highlight w:val="none"/>
              </w:rPr>
            </w:pPr>
            <w:r>
              <w:rPr>
                <w:rFonts w:hint="eastAsia" w:ascii="宋体" w:hAnsi="宋体" w:cs="宋体"/>
                <w:color w:val="auto"/>
                <w:szCs w:val="21"/>
                <w:highlight w:val="none"/>
              </w:rPr>
              <w:t>王晓波</w:t>
            </w:r>
          </w:p>
        </w:tc>
        <w:tc>
          <w:tcPr>
            <w:tcW w:w="2131" w:type="dxa"/>
            <w:vAlign w:val="center"/>
          </w:tcPr>
          <w:p w14:paraId="6C238BE9">
            <w:pPr>
              <w:jc w:val="center"/>
              <w:rPr>
                <w:rFonts w:ascii="宋体" w:hAnsi="宋体" w:cs="宋体"/>
                <w:color w:val="auto"/>
                <w:szCs w:val="21"/>
                <w:highlight w:val="none"/>
              </w:rPr>
            </w:pPr>
            <w:r>
              <w:rPr>
                <w:rFonts w:hint="eastAsia" w:ascii="宋体" w:hAnsi="宋体" w:cs="宋体"/>
                <w:color w:val="auto"/>
                <w:szCs w:val="21"/>
                <w:highlight w:val="none"/>
              </w:rPr>
              <w:t>15824005475</w:t>
            </w:r>
          </w:p>
        </w:tc>
      </w:tr>
      <w:tr w14:paraId="6F0F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7E95A262">
            <w:pPr>
              <w:jc w:val="center"/>
              <w:rPr>
                <w:rFonts w:ascii="宋体" w:hAnsi="宋体" w:cs="宋体"/>
                <w:color w:val="auto"/>
                <w:szCs w:val="21"/>
                <w:highlight w:val="none"/>
              </w:rPr>
            </w:pPr>
            <w:r>
              <w:rPr>
                <w:rFonts w:hint="eastAsia" w:ascii="宋体" w:hAnsi="宋体" w:cs="宋体"/>
                <w:color w:val="auto"/>
                <w:szCs w:val="21"/>
                <w:highlight w:val="none"/>
              </w:rPr>
              <w:t>平安银行台州分行</w:t>
            </w:r>
          </w:p>
        </w:tc>
        <w:tc>
          <w:tcPr>
            <w:tcW w:w="1334" w:type="dxa"/>
            <w:vAlign w:val="center"/>
          </w:tcPr>
          <w:p w14:paraId="65136104">
            <w:pPr>
              <w:jc w:val="center"/>
              <w:rPr>
                <w:rFonts w:ascii="宋体" w:hAnsi="宋体" w:cs="宋体"/>
                <w:color w:val="auto"/>
                <w:szCs w:val="21"/>
                <w:highlight w:val="none"/>
              </w:rPr>
            </w:pPr>
            <w:r>
              <w:rPr>
                <w:rFonts w:hint="eastAsia" w:ascii="宋体" w:hAnsi="宋体" w:cs="宋体"/>
                <w:color w:val="auto"/>
                <w:szCs w:val="21"/>
                <w:highlight w:val="none"/>
              </w:rPr>
              <w:t>6.53%起</w:t>
            </w:r>
          </w:p>
        </w:tc>
        <w:tc>
          <w:tcPr>
            <w:tcW w:w="1688" w:type="dxa"/>
            <w:vAlign w:val="center"/>
          </w:tcPr>
          <w:p w14:paraId="225EF4DA">
            <w:pPr>
              <w:jc w:val="center"/>
              <w:rPr>
                <w:rFonts w:ascii="宋体" w:hAnsi="宋体" w:cs="宋体"/>
                <w:color w:val="auto"/>
                <w:szCs w:val="21"/>
                <w:highlight w:val="none"/>
              </w:rPr>
            </w:pPr>
            <w:r>
              <w:rPr>
                <w:rFonts w:hint="eastAsia" w:ascii="宋体" w:hAnsi="宋体" w:cs="宋体"/>
                <w:color w:val="auto"/>
                <w:szCs w:val="21"/>
                <w:highlight w:val="none"/>
              </w:rPr>
              <w:t>李俊丽</w:t>
            </w:r>
          </w:p>
        </w:tc>
        <w:tc>
          <w:tcPr>
            <w:tcW w:w="2131" w:type="dxa"/>
            <w:vAlign w:val="center"/>
          </w:tcPr>
          <w:p w14:paraId="42F87612">
            <w:pPr>
              <w:jc w:val="center"/>
              <w:rPr>
                <w:rFonts w:ascii="宋体" w:hAnsi="宋体" w:cs="宋体"/>
                <w:color w:val="auto"/>
                <w:szCs w:val="21"/>
                <w:highlight w:val="none"/>
              </w:rPr>
            </w:pPr>
            <w:r>
              <w:rPr>
                <w:rFonts w:hint="eastAsia" w:ascii="宋体" w:hAnsi="宋体" w:cs="宋体"/>
                <w:color w:val="auto"/>
                <w:szCs w:val="21"/>
                <w:highlight w:val="none"/>
              </w:rPr>
              <w:t>15906861025</w:t>
            </w:r>
          </w:p>
        </w:tc>
      </w:tr>
      <w:tr w14:paraId="796F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6AACE031">
            <w:pPr>
              <w:jc w:val="center"/>
              <w:rPr>
                <w:rFonts w:ascii="宋体" w:hAnsi="宋体" w:cs="宋体"/>
                <w:color w:val="auto"/>
                <w:szCs w:val="21"/>
                <w:highlight w:val="none"/>
              </w:rPr>
            </w:pPr>
            <w:r>
              <w:rPr>
                <w:rFonts w:hint="eastAsia" w:ascii="宋体" w:hAnsi="宋体" w:cs="宋体"/>
                <w:color w:val="auto"/>
                <w:szCs w:val="21"/>
                <w:highlight w:val="none"/>
              </w:rPr>
              <w:t>宁波银行台州分行</w:t>
            </w:r>
          </w:p>
        </w:tc>
        <w:tc>
          <w:tcPr>
            <w:tcW w:w="1334" w:type="dxa"/>
            <w:vAlign w:val="center"/>
          </w:tcPr>
          <w:p w14:paraId="778D4A49">
            <w:pPr>
              <w:jc w:val="center"/>
              <w:rPr>
                <w:rFonts w:ascii="宋体" w:hAnsi="宋体" w:cs="宋体"/>
                <w:color w:val="auto"/>
                <w:szCs w:val="21"/>
                <w:highlight w:val="none"/>
              </w:rPr>
            </w:pPr>
            <w:r>
              <w:rPr>
                <w:rFonts w:hint="eastAsia" w:ascii="宋体" w:hAnsi="宋体" w:cs="宋体"/>
                <w:color w:val="auto"/>
                <w:szCs w:val="21"/>
                <w:highlight w:val="none"/>
              </w:rPr>
              <w:t>4.35%起</w:t>
            </w:r>
          </w:p>
        </w:tc>
        <w:tc>
          <w:tcPr>
            <w:tcW w:w="1688" w:type="dxa"/>
            <w:vAlign w:val="center"/>
          </w:tcPr>
          <w:p w14:paraId="044044F8">
            <w:pPr>
              <w:jc w:val="center"/>
              <w:rPr>
                <w:rFonts w:ascii="宋体" w:hAnsi="宋体" w:cs="宋体"/>
                <w:color w:val="auto"/>
                <w:szCs w:val="21"/>
                <w:highlight w:val="none"/>
              </w:rPr>
            </w:pPr>
            <w:r>
              <w:rPr>
                <w:rFonts w:hint="eastAsia" w:ascii="宋体" w:hAnsi="宋体" w:cs="宋体"/>
                <w:color w:val="auto"/>
                <w:szCs w:val="21"/>
                <w:highlight w:val="none"/>
              </w:rPr>
              <w:t>戴莉丽</w:t>
            </w:r>
          </w:p>
        </w:tc>
        <w:tc>
          <w:tcPr>
            <w:tcW w:w="2131" w:type="dxa"/>
            <w:vAlign w:val="center"/>
          </w:tcPr>
          <w:p w14:paraId="214692FF">
            <w:pPr>
              <w:jc w:val="center"/>
              <w:rPr>
                <w:rFonts w:ascii="宋体" w:hAnsi="宋体" w:cs="宋体"/>
                <w:color w:val="auto"/>
                <w:szCs w:val="21"/>
                <w:highlight w:val="none"/>
              </w:rPr>
            </w:pPr>
            <w:r>
              <w:rPr>
                <w:rFonts w:hint="eastAsia" w:ascii="宋体" w:hAnsi="宋体" w:cs="宋体"/>
                <w:color w:val="auto"/>
                <w:szCs w:val="21"/>
                <w:highlight w:val="none"/>
              </w:rPr>
              <w:t>13566627207</w:t>
            </w:r>
          </w:p>
        </w:tc>
      </w:tr>
      <w:tr w14:paraId="6617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4B4C2270">
            <w:pPr>
              <w:jc w:val="center"/>
              <w:rPr>
                <w:rFonts w:ascii="宋体" w:hAnsi="宋体" w:cs="宋体"/>
                <w:color w:val="auto"/>
                <w:szCs w:val="21"/>
                <w:highlight w:val="none"/>
              </w:rPr>
            </w:pPr>
            <w:r>
              <w:rPr>
                <w:rFonts w:hint="eastAsia" w:ascii="宋体" w:hAnsi="宋体" w:cs="宋体"/>
                <w:color w:val="auto"/>
                <w:szCs w:val="21"/>
                <w:highlight w:val="none"/>
              </w:rPr>
              <w:t>金华银行台州分行</w:t>
            </w:r>
          </w:p>
        </w:tc>
        <w:tc>
          <w:tcPr>
            <w:tcW w:w="1334" w:type="dxa"/>
            <w:vAlign w:val="center"/>
          </w:tcPr>
          <w:p w14:paraId="4D2860B7">
            <w:pPr>
              <w:jc w:val="center"/>
              <w:rPr>
                <w:rFonts w:ascii="宋体" w:hAnsi="宋体" w:cs="宋体"/>
                <w:color w:val="auto"/>
                <w:szCs w:val="21"/>
                <w:highlight w:val="none"/>
              </w:rPr>
            </w:pPr>
            <w:r>
              <w:rPr>
                <w:rFonts w:hint="eastAsia" w:ascii="宋体" w:hAnsi="宋体" w:cs="宋体"/>
                <w:color w:val="auto"/>
                <w:szCs w:val="21"/>
                <w:highlight w:val="none"/>
              </w:rPr>
              <w:t>4.05%起</w:t>
            </w:r>
          </w:p>
        </w:tc>
        <w:tc>
          <w:tcPr>
            <w:tcW w:w="1688" w:type="dxa"/>
            <w:vAlign w:val="center"/>
          </w:tcPr>
          <w:p w14:paraId="22676144">
            <w:pPr>
              <w:jc w:val="center"/>
              <w:rPr>
                <w:rFonts w:ascii="宋体" w:hAnsi="宋体" w:cs="宋体"/>
                <w:color w:val="auto"/>
                <w:szCs w:val="21"/>
                <w:highlight w:val="none"/>
              </w:rPr>
            </w:pPr>
            <w:r>
              <w:rPr>
                <w:rFonts w:hint="eastAsia" w:ascii="宋体" w:hAnsi="宋体" w:cs="宋体"/>
                <w:color w:val="auto"/>
                <w:szCs w:val="21"/>
                <w:highlight w:val="none"/>
              </w:rPr>
              <w:t>金雪婷</w:t>
            </w:r>
          </w:p>
        </w:tc>
        <w:tc>
          <w:tcPr>
            <w:tcW w:w="2131" w:type="dxa"/>
            <w:vAlign w:val="center"/>
          </w:tcPr>
          <w:p w14:paraId="44D93BCB">
            <w:pPr>
              <w:jc w:val="center"/>
              <w:rPr>
                <w:rFonts w:ascii="宋体" w:hAnsi="宋体" w:cs="宋体"/>
                <w:color w:val="auto"/>
                <w:szCs w:val="21"/>
                <w:highlight w:val="none"/>
              </w:rPr>
            </w:pPr>
            <w:r>
              <w:rPr>
                <w:rFonts w:hint="eastAsia" w:ascii="宋体" w:hAnsi="宋体" w:cs="宋体"/>
                <w:color w:val="auto"/>
                <w:szCs w:val="21"/>
                <w:highlight w:val="none"/>
              </w:rPr>
              <w:t>81886670</w:t>
            </w:r>
          </w:p>
          <w:p w14:paraId="16AB2EB2">
            <w:pPr>
              <w:jc w:val="center"/>
              <w:rPr>
                <w:rFonts w:ascii="宋体" w:hAnsi="宋体" w:cs="宋体"/>
                <w:color w:val="auto"/>
                <w:szCs w:val="21"/>
                <w:highlight w:val="none"/>
              </w:rPr>
            </w:pPr>
            <w:r>
              <w:rPr>
                <w:rFonts w:hint="eastAsia" w:ascii="宋体" w:hAnsi="宋体" w:cs="宋体"/>
                <w:color w:val="auto"/>
                <w:szCs w:val="21"/>
                <w:highlight w:val="none"/>
              </w:rPr>
              <w:t>15968661569</w:t>
            </w:r>
          </w:p>
        </w:tc>
      </w:tr>
      <w:tr w14:paraId="16BF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145772C2">
            <w:pPr>
              <w:jc w:val="center"/>
              <w:rPr>
                <w:rFonts w:ascii="宋体" w:hAnsi="宋体" w:cs="宋体"/>
                <w:color w:val="auto"/>
                <w:szCs w:val="21"/>
                <w:highlight w:val="none"/>
              </w:rPr>
            </w:pPr>
            <w:r>
              <w:rPr>
                <w:rFonts w:hint="eastAsia" w:ascii="宋体" w:hAnsi="宋体" w:cs="宋体"/>
                <w:color w:val="auto"/>
                <w:szCs w:val="21"/>
                <w:highlight w:val="none"/>
              </w:rPr>
              <w:t>台州银行</w:t>
            </w:r>
          </w:p>
        </w:tc>
        <w:tc>
          <w:tcPr>
            <w:tcW w:w="1334" w:type="dxa"/>
            <w:vAlign w:val="center"/>
          </w:tcPr>
          <w:p w14:paraId="64DAFE1A">
            <w:pPr>
              <w:jc w:val="center"/>
              <w:rPr>
                <w:rFonts w:ascii="宋体" w:hAnsi="宋体" w:cs="宋体"/>
                <w:color w:val="auto"/>
                <w:szCs w:val="21"/>
                <w:highlight w:val="none"/>
              </w:rPr>
            </w:pPr>
            <w:r>
              <w:rPr>
                <w:rFonts w:hint="eastAsia" w:ascii="宋体" w:hAnsi="宋体" w:cs="宋体"/>
                <w:color w:val="auto"/>
                <w:szCs w:val="21"/>
                <w:highlight w:val="none"/>
              </w:rPr>
              <w:t>5.6%起</w:t>
            </w:r>
          </w:p>
        </w:tc>
        <w:tc>
          <w:tcPr>
            <w:tcW w:w="1688" w:type="dxa"/>
            <w:vAlign w:val="center"/>
          </w:tcPr>
          <w:p w14:paraId="31A3A257">
            <w:pPr>
              <w:jc w:val="center"/>
              <w:rPr>
                <w:rFonts w:ascii="宋体" w:hAnsi="宋体" w:cs="宋体"/>
                <w:color w:val="auto"/>
                <w:szCs w:val="21"/>
                <w:highlight w:val="none"/>
              </w:rPr>
            </w:pPr>
            <w:r>
              <w:rPr>
                <w:rFonts w:hint="eastAsia" w:ascii="宋体" w:hAnsi="宋体" w:cs="宋体"/>
                <w:color w:val="auto"/>
                <w:szCs w:val="21"/>
                <w:highlight w:val="none"/>
              </w:rPr>
              <w:t>洪婷</w:t>
            </w:r>
          </w:p>
        </w:tc>
        <w:tc>
          <w:tcPr>
            <w:tcW w:w="2131" w:type="dxa"/>
            <w:vAlign w:val="center"/>
          </w:tcPr>
          <w:p w14:paraId="2CCFB35E">
            <w:pPr>
              <w:jc w:val="center"/>
              <w:rPr>
                <w:rFonts w:ascii="宋体" w:hAnsi="宋体" w:cs="宋体"/>
                <w:color w:val="auto"/>
                <w:szCs w:val="21"/>
                <w:highlight w:val="none"/>
              </w:rPr>
            </w:pPr>
            <w:r>
              <w:rPr>
                <w:rFonts w:hint="eastAsia" w:ascii="宋体" w:hAnsi="宋体" w:cs="宋体"/>
                <w:color w:val="auto"/>
                <w:szCs w:val="21"/>
                <w:highlight w:val="none"/>
              </w:rPr>
              <w:t>15858624999</w:t>
            </w:r>
          </w:p>
        </w:tc>
      </w:tr>
      <w:tr w14:paraId="698F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73D7E2EF">
            <w:pPr>
              <w:jc w:val="center"/>
              <w:rPr>
                <w:rFonts w:ascii="宋体" w:hAnsi="宋体" w:cs="宋体"/>
                <w:color w:val="auto"/>
                <w:szCs w:val="21"/>
                <w:highlight w:val="none"/>
              </w:rPr>
            </w:pPr>
            <w:r>
              <w:rPr>
                <w:rFonts w:hint="eastAsia" w:ascii="宋体" w:hAnsi="宋体" w:cs="宋体"/>
                <w:color w:val="auto"/>
                <w:szCs w:val="21"/>
                <w:highlight w:val="none"/>
              </w:rPr>
              <w:t>邮储银行台州分行</w:t>
            </w:r>
          </w:p>
        </w:tc>
        <w:tc>
          <w:tcPr>
            <w:tcW w:w="1334" w:type="dxa"/>
            <w:vAlign w:val="center"/>
          </w:tcPr>
          <w:p w14:paraId="786E6CAD">
            <w:pPr>
              <w:jc w:val="center"/>
              <w:rPr>
                <w:rFonts w:ascii="宋体" w:hAnsi="宋体" w:cs="宋体"/>
                <w:color w:val="auto"/>
                <w:szCs w:val="21"/>
                <w:highlight w:val="none"/>
              </w:rPr>
            </w:pPr>
            <w:r>
              <w:rPr>
                <w:rFonts w:hint="eastAsia" w:ascii="宋体" w:hAnsi="宋体" w:cs="宋体"/>
                <w:color w:val="auto"/>
                <w:szCs w:val="21"/>
                <w:highlight w:val="none"/>
              </w:rPr>
              <w:t>3.85%起</w:t>
            </w:r>
          </w:p>
        </w:tc>
        <w:tc>
          <w:tcPr>
            <w:tcW w:w="1688" w:type="dxa"/>
            <w:vAlign w:val="center"/>
          </w:tcPr>
          <w:p w14:paraId="29B66DA9">
            <w:pPr>
              <w:jc w:val="center"/>
              <w:rPr>
                <w:rFonts w:ascii="宋体" w:hAnsi="宋体" w:cs="宋体"/>
                <w:color w:val="auto"/>
                <w:szCs w:val="21"/>
                <w:highlight w:val="none"/>
              </w:rPr>
            </w:pPr>
            <w:r>
              <w:rPr>
                <w:rFonts w:hint="eastAsia" w:ascii="宋体" w:hAnsi="宋体" w:cs="宋体"/>
                <w:color w:val="auto"/>
                <w:szCs w:val="21"/>
                <w:highlight w:val="none"/>
              </w:rPr>
              <w:t>董庆</w:t>
            </w:r>
          </w:p>
        </w:tc>
        <w:tc>
          <w:tcPr>
            <w:tcW w:w="2131" w:type="dxa"/>
            <w:vAlign w:val="center"/>
          </w:tcPr>
          <w:p w14:paraId="22FBBA0C">
            <w:pPr>
              <w:jc w:val="center"/>
              <w:rPr>
                <w:rFonts w:ascii="宋体" w:hAnsi="宋体" w:cs="宋体"/>
                <w:color w:val="auto"/>
                <w:szCs w:val="21"/>
                <w:highlight w:val="none"/>
              </w:rPr>
            </w:pPr>
            <w:r>
              <w:rPr>
                <w:rFonts w:hint="eastAsia" w:ascii="宋体" w:hAnsi="宋体" w:cs="宋体"/>
                <w:color w:val="auto"/>
                <w:szCs w:val="21"/>
                <w:highlight w:val="none"/>
              </w:rPr>
              <w:t>81888982</w:t>
            </w:r>
          </w:p>
          <w:p w14:paraId="775C89CD">
            <w:pPr>
              <w:jc w:val="center"/>
              <w:rPr>
                <w:rFonts w:ascii="宋体" w:hAnsi="宋体" w:cs="宋体"/>
                <w:color w:val="auto"/>
                <w:szCs w:val="21"/>
                <w:highlight w:val="none"/>
              </w:rPr>
            </w:pPr>
            <w:r>
              <w:rPr>
                <w:rFonts w:hint="eastAsia" w:ascii="宋体" w:hAnsi="宋体" w:cs="宋体"/>
                <w:color w:val="auto"/>
                <w:szCs w:val="21"/>
                <w:highlight w:val="none"/>
              </w:rPr>
              <w:t>18957683735</w:t>
            </w:r>
          </w:p>
        </w:tc>
      </w:tr>
    </w:tbl>
    <w:p w14:paraId="6813B47B">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十一、采购（中标）公告发布媒体：</w:t>
      </w:r>
      <w:r>
        <w:rPr>
          <w:rFonts w:hint="eastAsia" w:ascii="宋体" w:hAnsi="宋体" w:cs="宋体"/>
          <w:color w:val="auto"/>
          <w:szCs w:val="21"/>
          <w:highlight w:val="none"/>
        </w:rPr>
        <w:t>浙江政府采购网（</w:t>
      </w:r>
      <w:r>
        <w:rPr>
          <w:color w:val="auto"/>
          <w:highlight w:val="none"/>
        </w:rPr>
        <w:fldChar w:fldCharType="begin"/>
      </w:r>
      <w:r>
        <w:rPr>
          <w:color w:val="auto"/>
          <w:highlight w:val="none"/>
        </w:rPr>
        <w:instrText xml:space="preserve"> HYPERLINK "http://www.zjzfcg.gov.cn/new/" </w:instrText>
      </w:r>
      <w:r>
        <w:rPr>
          <w:color w:val="auto"/>
          <w:highlight w:val="none"/>
        </w:rPr>
        <w:fldChar w:fldCharType="separate"/>
      </w:r>
      <w:r>
        <w:rPr>
          <w:rStyle w:val="28"/>
          <w:rFonts w:hint="eastAsia" w:ascii="宋体" w:hAnsi="宋体" w:cs="宋体"/>
          <w:color w:val="auto"/>
          <w:szCs w:val="21"/>
          <w:highlight w:val="none"/>
        </w:rPr>
        <w:t>http://zfcg.czt.zj.gov.cn</w:t>
      </w:r>
      <w:r>
        <w:rPr>
          <w:rStyle w:val="28"/>
          <w:rFonts w:hint="eastAsia" w:ascii="宋体" w:hAnsi="宋体" w:cs="宋体"/>
          <w:color w:val="auto"/>
          <w:szCs w:val="21"/>
          <w:highlight w:val="none"/>
        </w:rPr>
        <w:fldChar w:fldCharType="end"/>
      </w:r>
      <w:r>
        <w:rPr>
          <w:rFonts w:hint="eastAsia" w:ascii="宋体" w:hAnsi="宋体" w:cs="宋体"/>
          <w:color w:val="auto"/>
          <w:szCs w:val="21"/>
          <w:highlight w:val="none"/>
        </w:rPr>
        <w:t>）</w:t>
      </w:r>
    </w:p>
    <w:p w14:paraId="10C3E9C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44942686">
      <w:pPr>
        <w:jc w:val="right"/>
        <w:rPr>
          <w:rFonts w:ascii="宋体" w:hAnsi="宋体" w:cs="宋体"/>
          <w:color w:val="auto"/>
          <w:szCs w:val="21"/>
          <w:highlight w:val="none"/>
        </w:rPr>
      </w:pPr>
    </w:p>
    <w:p w14:paraId="3530B22E">
      <w:pPr>
        <w:jc w:val="right"/>
        <w:rPr>
          <w:rFonts w:ascii="宋体" w:hAnsi="宋体" w:cs="宋体"/>
          <w:color w:val="auto"/>
          <w:szCs w:val="21"/>
          <w:highlight w:val="none"/>
        </w:rPr>
      </w:pPr>
      <w:r>
        <w:rPr>
          <w:rFonts w:hint="eastAsia" w:ascii="宋体" w:hAnsi="宋体" w:cs="宋体"/>
          <w:color w:val="auto"/>
          <w:szCs w:val="21"/>
          <w:highlight w:val="none"/>
        </w:rPr>
        <w:t>台州永安工程咨询有限公司</w:t>
      </w:r>
    </w:p>
    <w:p w14:paraId="5B63572B">
      <w:pPr>
        <w:pStyle w:val="9"/>
        <w:jc w:val="right"/>
        <w:rPr>
          <w:rFonts w:ascii="宋体" w:hAnsi="宋体" w:cs="宋体"/>
          <w:color w:val="auto"/>
          <w:szCs w:val="21"/>
          <w:highlight w:val="none"/>
        </w:rPr>
      </w:pPr>
      <w:r>
        <w:rPr>
          <w:rFonts w:hint="eastAsia" w:ascii="宋体" w:hAnsi="宋体" w:cs="宋体"/>
          <w:color w:val="auto"/>
          <w:szCs w:val="21"/>
          <w:highlight w:val="none"/>
        </w:rPr>
        <w:t>二○二五年二月</w:t>
      </w:r>
    </w:p>
    <w:p w14:paraId="5D9C6652">
      <w:pPr>
        <w:pStyle w:val="9"/>
        <w:jc w:val="right"/>
        <w:rPr>
          <w:rFonts w:ascii="宋体" w:hAnsi="宋体" w:cs="宋体"/>
          <w:color w:val="auto"/>
          <w:szCs w:val="21"/>
          <w:highlight w:val="none"/>
        </w:rPr>
      </w:pPr>
    </w:p>
    <w:p w14:paraId="1C2A46C2">
      <w:pPr>
        <w:pStyle w:val="9"/>
        <w:jc w:val="right"/>
        <w:rPr>
          <w:rFonts w:ascii="宋体" w:hAnsi="宋体" w:cs="宋体"/>
          <w:color w:val="auto"/>
          <w:sz w:val="24"/>
          <w:highlight w:val="none"/>
        </w:rPr>
      </w:pPr>
    </w:p>
    <w:p w14:paraId="193FCE18">
      <w:pPr>
        <w:pStyle w:val="10"/>
        <w:ind w:firstLine="240"/>
        <w:rPr>
          <w:rFonts w:ascii="宋体" w:hAnsi="宋体" w:cs="宋体"/>
          <w:color w:val="auto"/>
          <w:sz w:val="24"/>
          <w:highlight w:val="none"/>
        </w:rPr>
      </w:pPr>
    </w:p>
    <w:p w14:paraId="2E093708">
      <w:pPr>
        <w:rPr>
          <w:rFonts w:ascii="宋体" w:hAnsi="宋体" w:cs="宋体"/>
          <w:color w:val="auto"/>
          <w:highlight w:val="none"/>
        </w:rPr>
      </w:pPr>
    </w:p>
    <w:p w14:paraId="0ED696AE">
      <w:pPr>
        <w:numPr>
          <w:ilvl w:val="0"/>
          <w:numId w:val="3"/>
        </w:numPr>
        <w:spacing w:line="360" w:lineRule="auto"/>
        <w:jc w:val="center"/>
        <w:rPr>
          <w:rFonts w:ascii="宋体" w:hAnsi="宋体" w:cs="宋体"/>
          <w:b/>
          <w:color w:val="auto"/>
          <w:sz w:val="36"/>
          <w:szCs w:val="36"/>
          <w:highlight w:val="none"/>
        </w:rPr>
        <w:sectPr>
          <w:headerReference r:id="rId3" w:type="default"/>
          <w:footerReference r:id="rId4" w:type="default"/>
          <w:pgSz w:w="11906" w:h="16838"/>
          <w:pgMar w:top="1440" w:right="1440" w:bottom="1440" w:left="1803" w:header="851" w:footer="992" w:gutter="0"/>
          <w:cols w:space="0" w:num="1"/>
          <w:docGrid w:type="lines" w:linePitch="325" w:charSpace="0"/>
        </w:sectPr>
      </w:pPr>
    </w:p>
    <w:p w14:paraId="631B1896">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第二章 投标人须知</w:t>
      </w:r>
    </w:p>
    <w:p w14:paraId="5AA71CB0">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前  附 表</w:t>
      </w:r>
    </w:p>
    <w:tbl>
      <w:tblPr>
        <w:tblStyle w:val="23"/>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123"/>
        <w:gridCol w:w="6692"/>
      </w:tblGrid>
      <w:tr w14:paraId="11A7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18" w:type="dxa"/>
            <w:vAlign w:val="center"/>
          </w:tcPr>
          <w:p w14:paraId="1B57E25A">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2123" w:type="dxa"/>
            <w:vAlign w:val="center"/>
          </w:tcPr>
          <w:p w14:paraId="3ACF9AC0">
            <w:pPr>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6692" w:type="dxa"/>
            <w:vAlign w:val="center"/>
          </w:tcPr>
          <w:p w14:paraId="4D0B4CC8">
            <w:pPr>
              <w:jc w:val="center"/>
              <w:rPr>
                <w:rFonts w:ascii="宋体" w:hAnsi="宋体" w:cs="宋体"/>
                <w:b/>
                <w:bCs/>
                <w:color w:val="auto"/>
                <w:szCs w:val="21"/>
                <w:highlight w:val="none"/>
              </w:rPr>
            </w:pPr>
            <w:r>
              <w:rPr>
                <w:rFonts w:hint="eastAsia" w:ascii="宋体" w:hAnsi="宋体" w:cs="宋体"/>
                <w:b/>
                <w:bCs/>
                <w:color w:val="auto"/>
                <w:szCs w:val="21"/>
                <w:highlight w:val="none"/>
              </w:rPr>
              <w:t>内容</w:t>
            </w:r>
          </w:p>
        </w:tc>
      </w:tr>
      <w:tr w14:paraId="56C2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14:paraId="1AB20641">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123" w:type="dxa"/>
            <w:vAlign w:val="center"/>
          </w:tcPr>
          <w:p w14:paraId="04A2E39F">
            <w:pPr>
              <w:jc w:val="center"/>
              <w:rPr>
                <w:rFonts w:ascii="宋体" w:hAnsi="宋体" w:cs="宋体"/>
                <w:color w:val="auto"/>
                <w:szCs w:val="21"/>
                <w:highlight w:val="none"/>
              </w:rPr>
            </w:pPr>
            <w:r>
              <w:rPr>
                <w:rFonts w:hint="eastAsia" w:ascii="宋体" w:hAnsi="宋体" w:cs="宋体"/>
                <w:color w:val="auto"/>
                <w:szCs w:val="21"/>
                <w:highlight w:val="none"/>
              </w:rPr>
              <w:t>项目说明</w:t>
            </w:r>
          </w:p>
        </w:tc>
        <w:tc>
          <w:tcPr>
            <w:tcW w:w="6692" w:type="dxa"/>
            <w:vAlign w:val="center"/>
          </w:tcPr>
          <w:p w14:paraId="34AC32E8">
            <w:pPr>
              <w:rPr>
                <w:rFonts w:ascii="宋体" w:hAnsi="宋体" w:cs="宋体"/>
                <w:color w:val="auto"/>
                <w:szCs w:val="21"/>
                <w:highlight w:val="none"/>
              </w:rPr>
            </w:pPr>
            <w:r>
              <w:rPr>
                <w:rFonts w:hint="eastAsia" w:ascii="宋体" w:hAnsi="宋体" w:cs="宋体"/>
                <w:color w:val="auto"/>
                <w:szCs w:val="21"/>
                <w:highlight w:val="none"/>
              </w:rPr>
              <w:t>项目类别：货物类</w:t>
            </w:r>
          </w:p>
          <w:p w14:paraId="03EF322F">
            <w:pPr>
              <w:rPr>
                <w:rFonts w:ascii="宋体" w:hAnsi="宋体" w:cs="宋体"/>
                <w:color w:val="auto"/>
                <w:szCs w:val="21"/>
                <w:highlight w:val="none"/>
              </w:rPr>
            </w:pPr>
            <w:r>
              <w:rPr>
                <w:rFonts w:hint="eastAsia" w:ascii="宋体" w:hAnsi="宋体" w:cs="宋体"/>
                <w:color w:val="auto"/>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二）工业。</w:t>
            </w:r>
          </w:p>
        </w:tc>
      </w:tr>
      <w:tr w14:paraId="6C71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14:paraId="57083CB0">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123" w:type="dxa"/>
            <w:vAlign w:val="center"/>
          </w:tcPr>
          <w:p w14:paraId="7884C4C6">
            <w:pPr>
              <w:jc w:val="center"/>
              <w:rPr>
                <w:rFonts w:ascii="宋体" w:hAnsi="宋体" w:cs="宋体"/>
                <w:color w:val="auto"/>
                <w:szCs w:val="21"/>
                <w:highlight w:val="none"/>
              </w:rPr>
            </w:pPr>
            <w:r>
              <w:rPr>
                <w:rFonts w:hint="eastAsia" w:ascii="宋体" w:hAnsi="宋体" w:cs="宋体"/>
                <w:color w:val="auto"/>
                <w:szCs w:val="21"/>
                <w:highlight w:val="none"/>
              </w:rPr>
              <w:t>供应商特定资格要求</w:t>
            </w:r>
          </w:p>
        </w:tc>
        <w:tc>
          <w:tcPr>
            <w:tcW w:w="6692" w:type="dxa"/>
            <w:vAlign w:val="center"/>
          </w:tcPr>
          <w:p w14:paraId="358A35FE">
            <w:pPr>
              <w:rPr>
                <w:rFonts w:ascii="宋体" w:hAnsi="宋体" w:cs="宋体"/>
                <w:color w:val="auto"/>
                <w:szCs w:val="21"/>
                <w:highlight w:val="none"/>
              </w:rPr>
            </w:pPr>
            <w:r>
              <w:rPr>
                <w:rFonts w:hint="eastAsia" w:ascii="宋体" w:hAnsi="宋体" w:cs="宋体"/>
                <w:color w:val="auto"/>
                <w:szCs w:val="21"/>
                <w:highlight w:val="none"/>
              </w:rPr>
              <w:t>符合招标公告资格要求的供应商</w:t>
            </w:r>
          </w:p>
        </w:tc>
      </w:tr>
      <w:tr w14:paraId="187B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14:paraId="220A561F">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123" w:type="dxa"/>
            <w:vAlign w:val="center"/>
          </w:tcPr>
          <w:p w14:paraId="5ED732A4">
            <w:pPr>
              <w:jc w:val="center"/>
              <w:rPr>
                <w:rFonts w:ascii="宋体" w:hAnsi="宋体" w:cs="宋体"/>
                <w:color w:val="auto"/>
                <w:szCs w:val="21"/>
                <w:highlight w:val="none"/>
              </w:rPr>
            </w:pPr>
            <w:r>
              <w:rPr>
                <w:rFonts w:hint="eastAsia" w:ascii="宋体" w:hAnsi="宋体" w:cs="宋体"/>
                <w:color w:val="auto"/>
                <w:szCs w:val="21"/>
                <w:highlight w:val="none"/>
              </w:rPr>
              <w:t>答疑会或现场踏勘</w:t>
            </w:r>
          </w:p>
        </w:tc>
        <w:tc>
          <w:tcPr>
            <w:tcW w:w="6692" w:type="dxa"/>
            <w:vAlign w:val="center"/>
          </w:tcPr>
          <w:p w14:paraId="0602C58A">
            <w:pPr>
              <w:rPr>
                <w:rFonts w:ascii="宋体" w:hAnsi="宋体" w:cs="宋体"/>
                <w:color w:val="auto"/>
                <w:szCs w:val="21"/>
                <w:highlight w:val="none"/>
              </w:rPr>
            </w:pPr>
            <w:r>
              <w:rPr>
                <w:rFonts w:hint="eastAsia" w:ascii="宋体" w:hAnsi="宋体" w:cs="宋体"/>
                <w:color w:val="auto"/>
                <w:szCs w:val="21"/>
                <w:highlight w:val="none"/>
              </w:rPr>
              <w:t>无</w:t>
            </w:r>
          </w:p>
        </w:tc>
      </w:tr>
      <w:tr w14:paraId="6639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8" w:type="dxa"/>
            <w:vAlign w:val="center"/>
          </w:tcPr>
          <w:p w14:paraId="0062E1AE">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2123" w:type="dxa"/>
            <w:vAlign w:val="center"/>
          </w:tcPr>
          <w:p w14:paraId="13F70034">
            <w:pPr>
              <w:jc w:val="center"/>
              <w:rPr>
                <w:rFonts w:ascii="宋体" w:hAnsi="宋体" w:cs="宋体"/>
                <w:color w:val="auto"/>
                <w:szCs w:val="21"/>
                <w:highlight w:val="none"/>
              </w:rPr>
            </w:pPr>
            <w:r>
              <w:rPr>
                <w:rFonts w:hint="eastAsia" w:ascii="宋体" w:hAnsi="宋体" w:cs="宋体"/>
                <w:color w:val="auto"/>
                <w:szCs w:val="21"/>
                <w:highlight w:val="none"/>
              </w:rPr>
              <w:t>投标文件组成要求</w:t>
            </w:r>
          </w:p>
        </w:tc>
        <w:tc>
          <w:tcPr>
            <w:tcW w:w="6692" w:type="dxa"/>
            <w:vAlign w:val="center"/>
          </w:tcPr>
          <w:p w14:paraId="6F041A5A">
            <w:pPr>
              <w:rPr>
                <w:rFonts w:ascii="宋体" w:hAnsi="宋体" w:cs="宋体"/>
                <w:color w:val="auto"/>
                <w:szCs w:val="21"/>
                <w:highlight w:val="none"/>
              </w:rPr>
            </w:pPr>
            <w:r>
              <w:rPr>
                <w:rFonts w:hint="eastAsia" w:ascii="宋体" w:hAnsi="宋体" w:cs="宋体"/>
                <w:color w:val="auto"/>
                <w:szCs w:val="21"/>
                <w:highlight w:val="none"/>
              </w:rPr>
              <w:t>本项目实行电子投标，供应商应准备电子投标文件、还可以提供以介质（U盘）存储的数据电文形式的备份投标文件。</w:t>
            </w:r>
          </w:p>
          <w:p w14:paraId="312E7AB0">
            <w:pPr>
              <w:rPr>
                <w:rFonts w:ascii="宋体" w:hAnsi="宋体" w:cs="宋体"/>
                <w:color w:val="auto"/>
                <w:szCs w:val="21"/>
                <w:highlight w:val="none"/>
              </w:rPr>
            </w:pPr>
            <w:r>
              <w:rPr>
                <w:rFonts w:hint="eastAsia" w:ascii="宋体" w:hAnsi="宋体" w:cs="宋体"/>
                <w:color w:val="auto"/>
                <w:szCs w:val="21"/>
                <w:highlight w:val="none"/>
              </w:rPr>
              <w:t>1、电子投标文件：指通过“政采云电子投标客户端”完成投标文件编制后生成并加密的数据电文形式的电子投标文件。</w:t>
            </w:r>
          </w:p>
          <w:p w14:paraId="0121C23C">
            <w:pPr>
              <w:rPr>
                <w:rFonts w:ascii="宋体" w:hAnsi="宋体" w:cs="宋体"/>
                <w:color w:val="auto"/>
                <w:szCs w:val="21"/>
                <w:highlight w:val="none"/>
              </w:rPr>
            </w:pPr>
            <w:r>
              <w:rPr>
                <w:rFonts w:hint="eastAsia" w:ascii="宋体" w:hAnsi="宋体" w:cs="宋体"/>
                <w:color w:val="auto"/>
                <w:szCs w:val="21"/>
                <w:highlight w:val="none"/>
              </w:rPr>
              <w:t>2、备份投标文件：是指“电子投标文件”同时生成的数据电文形式的电子文件（备份标书），以U盘形式提供。</w:t>
            </w:r>
          </w:p>
          <w:p w14:paraId="0FEC39B6">
            <w:pPr>
              <w:rPr>
                <w:rFonts w:ascii="宋体" w:hAnsi="宋体" w:cs="宋体"/>
                <w:color w:val="auto"/>
                <w:szCs w:val="21"/>
                <w:highlight w:val="none"/>
              </w:rPr>
            </w:pPr>
            <w:r>
              <w:rPr>
                <w:rFonts w:hint="eastAsia" w:ascii="宋体" w:hAnsi="宋体" w:cs="宋体"/>
                <w:color w:val="auto"/>
                <w:szCs w:val="21"/>
                <w:highlight w:val="none"/>
              </w:rPr>
              <w:t>以上两类投标文件均由资格证明文件、商务技术文件、报价文件三部分组成。</w:t>
            </w:r>
          </w:p>
        </w:tc>
      </w:tr>
      <w:tr w14:paraId="4698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14:paraId="061CA502">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2123" w:type="dxa"/>
            <w:vAlign w:val="center"/>
          </w:tcPr>
          <w:p w14:paraId="7E9BF290">
            <w:pPr>
              <w:jc w:val="center"/>
              <w:rPr>
                <w:rFonts w:ascii="宋体" w:hAnsi="宋体" w:cs="宋体"/>
                <w:color w:val="auto"/>
                <w:szCs w:val="21"/>
                <w:highlight w:val="none"/>
              </w:rPr>
            </w:pPr>
            <w:r>
              <w:rPr>
                <w:rFonts w:hint="eastAsia" w:ascii="宋体" w:hAnsi="宋体" w:cs="宋体"/>
                <w:color w:val="auto"/>
                <w:szCs w:val="21"/>
                <w:highlight w:val="none"/>
              </w:rPr>
              <w:t>投标文件有效期</w:t>
            </w:r>
          </w:p>
        </w:tc>
        <w:tc>
          <w:tcPr>
            <w:tcW w:w="6692" w:type="dxa"/>
            <w:vAlign w:val="center"/>
          </w:tcPr>
          <w:p w14:paraId="0A199600">
            <w:pPr>
              <w:rPr>
                <w:rFonts w:ascii="宋体" w:hAnsi="宋体" w:cs="宋体"/>
                <w:color w:val="auto"/>
                <w:szCs w:val="21"/>
                <w:highlight w:val="none"/>
              </w:rPr>
            </w:pPr>
            <w:r>
              <w:rPr>
                <w:rFonts w:hint="eastAsia" w:ascii="宋体" w:hAnsi="宋体" w:cs="宋体"/>
                <w:color w:val="auto"/>
                <w:szCs w:val="21"/>
                <w:highlight w:val="none"/>
              </w:rPr>
              <w:t>▲投标有效期为90天，投标有效期从提交投标文件的截止之日起算。</w:t>
            </w:r>
          </w:p>
        </w:tc>
      </w:tr>
      <w:tr w14:paraId="6D11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14:paraId="2F8009A4">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2123" w:type="dxa"/>
            <w:vAlign w:val="center"/>
          </w:tcPr>
          <w:p w14:paraId="5B4497EC">
            <w:pPr>
              <w:pStyle w:val="9"/>
              <w:jc w:val="center"/>
              <w:rPr>
                <w:rFonts w:ascii="宋体" w:hAnsi="宋体" w:cs="宋体"/>
                <w:color w:val="auto"/>
                <w:szCs w:val="21"/>
                <w:highlight w:val="none"/>
              </w:rPr>
            </w:pPr>
            <w:r>
              <w:rPr>
                <w:rFonts w:hint="eastAsia" w:ascii="宋体" w:hAnsi="宋体" w:cs="宋体"/>
                <w:color w:val="auto"/>
                <w:szCs w:val="21"/>
                <w:highlight w:val="none"/>
              </w:rPr>
              <w:t>电子投标文件的传输递交</w:t>
            </w:r>
          </w:p>
        </w:tc>
        <w:tc>
          <w:tcPr>
            <w:tcW w:w="6692" w:type="dxa"/>
            <w:vAlign w:val="center"/>
          </w:tcPr>
          <w:p w14:paraId="325FD40C">
            <w:pPr>
              <w:rPr>
                <w:rFonts w:ascii="宋体" w:hAnsi="宋体" w:cs="宋体"/>
                <w:b/>
                <w:bCs/>
                <w:color w:val="auto"/>
                <w:szCs w:val="21"/>
                <w:highlight w:val="none"/>
                <w:u w:val="single"/>
              </w:rPr>
            </w:pPr>
            <w:r>
              <w:rPr>
                <w:rFonts w:hint="eastAsia" w:ascii="宋体" w:hAnsi="宋体" w:cs="宋体"/>
                <w:b/>
                <w:bCs/>
                <w:color w:val="auto"/>
                <w:szCs w:val="21"/>
                <w:highlight w:val="none"/>
              </w:rPr>
              <w:t>截止时间：</w:t>
            </w:r>
            <w:r>
              <w:rPr>
                <w:rFonts w:hint="eastAsia" w:ascii="宋体" w:hAnsi="宋体" w:cs="宋体"/>
                <w:color w:val="auto"/>
                <w:szCs w:val="21"/>
                <w:highlight w:val="none"/>
              </w:rPr>
              <w:t xml:space="preserve"> </w:t>
            </w:r>
            <w:r>
              <w:rPr>
                <w:rFonts w:hint="eastAsia" w:ascii="宋体" w:hAnsi="宋体" w:cs="宋体"/>
                <w:b/>
                <w:bCs/>
                <w:color w:val="auto"/>
                <w:szCs w:val="21"/>
                <w:highlight w:val="none"/>
                <w:u w:val="single"/>
              </w:rPr>
              <w:t>2025年  月  日14:30整</w:t>
            </w:r>
          </w:p>
          <w:p w14:paraId="494BD9FE">
            <w:pPr>
              <w:rPr>
                <w:rFonts w:ascii="宋体" w:hAnsi="宋体" w:cs="宋体"/>
                <w:color w:val="auto"/>
                <w:szCs w:val="21"/>
                <w:highlight w:val="none"/>
              </w:rPr>
            </w:pPr>
            <w:r>
              <w:rPr>
                <w:rFonts w:hint="eastAsia" w:ascii="宋体" w:hAnsi="宋体" w:cs="宋体"/>
                <w:color w:val="auto"/>
                <w:szCs w:val="21"/>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4994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14:paraId="154EDE89">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2123" w:type="dxa"/>
            <w:vAlign w:val="center"/>
          </w:tcPr>
          <w:p w14:paraId="421FE35A">
            <w:pPr>
              <w:jc w:val="center"/>
              <w:rPr>
                <w:rFonts w:ascii="宋体" w:hAnsi="宋体" w:cs="宋体"/>
                <w:color w:val="auto"/>
                <w:szCs w:val="21"/>
                <w:highlight w:val="none"/>
              </w:rPr>
            </w:pPr>
            <w:r>
              <w:rPr>
                <w:rFonts w:hint="eastAsia" w:ascii="宋体" w:hAnsi="宋体" w:cs="宋体"/>
                <w:color w:val="auto"/>
                <w:szCs w:val="21"/>
                <w:highlight w:val="none"/>
              </w:rPr>
              <w:t>备份投标文件的递交</w:t>
            </w:r>
          </w:p>
        </w:tc>
        <w:tc>
          <w:tcPr>
            <w:tcW w:w="6692" w:type="dxa"/>
            <w:vAlign w:val="center"/>
          </w:tcPr>
          <w:p w14:paraId="02A26A51">
            <w:pPr>
              <w:pStyle w:val="53"/>
              <w:snapToGrid w:val="0"/>
              <w:rPr>
                <w:rFonts w:ascii="宋体" w:hAnsi="宋体"/>
                <w:color w:val="auto"/>
                <w:kern w:val="2"/>
                <w:highlight w:val="none"/>
              </w:rPr>
            </w:pPr>
            <w:r>
              <w:rPr>
                <w:rFonts w:hint="eastAsia" w:ascii="宋体" w:hAnsi="宋体"/>
                <w:color w:val="auto"/>
                <w:kern w:val="2"/>
                <w:highlight w:val="none"/>
              </w:rPr>
              <w:t>供应商同时还可以提供经政采云平台加密处理的、以介质（U盘）存储的数据电文形式的备份投标文件（不强制要求，未递交备份文件的风险由供应商自行承担）。递交备份投标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或直接递交到</w:t>
            </w:r>
            <w:r>
              <w:rPr>
                <w:rFonts w:hint="eastAsia" w:ascii="宋体" w:hAnsi="宋体"/>
                <w:b/>
                <w:bCs/>
                <w:color w:val="auto"/>
                <w:kern w:val="2"/>
                <w:highlight w:val="none"/>
              </w:rPr>
              <w:t>台州市椒江区中环世纪6幢801室（交通银行台州分行楼上）收件人：俞雅琪；联系电话：15757696186</w:t>
            </w:r>
            <w:r>
              <w:rPr>
                <w:rFonts w:hint="eastAsia" w:ascii="宋体" w:hAnsi="宋体"/>
                <w:color w:val="auto"/>
                <w:kern w:val="2"/>
                <w:highlight w:val="none"/>
              </w:rPr>
              <w:t>，逾期寄达、到付或未按要求密封将被拒收。</w:t>
            </w:r>
            <w:r>
              <w:rPr>
                <w:rFonts w:hint="eastAsia" w:ascii="宋体" w:hAnsi="宋体"/>
                <w:color w:val="auto"/>
                <w:highlight w:val="none"/>
              </w:rPr>
              <w:t>▲</w:t>
            </w:r>
            <w:r>
              <w:rPr>
                <w:rFonts w:hint="eastAsia" w:ascii="宋体" w:hAnsi="宋体"/>
                <w:color w:val="auto"/>
                <w:kern w:val="2"/>
                <w:highlight w:val="none"/>
              </w:rPr>
              <w:t>如投标人未在投标截止时间前完成电子投标文件的传输递交，其备份投标文件也将为无效投标文件。</w:t>
            </w:r>
          </w:p>
          <w:p w14:paraId="1707CC5E">
            <w:pPr>
              <w:rPr>
                <w:rFonts w:ascii="宋体" w:hAnsi="宋体" w:cs="宋体"/>
                <w:color w:val="auto"/>
                <w:szCs w:val="21"/>
                <w:highlight w:val="none"/>
              </w:rPr>
            </w:pPr>
            <w:r>
              <w:rPr>
                <w:rFonts w:hint="eastAsia" w:ascii="宋体" w:hAnsi="宋体" w:cs="宋体"/>
                <w:b/>
                <w:bCs/>
                <w:color w:val="auto"/>
                <w:szCs w:val="21"/>
                <w:highlight w:val="none"/>
              </w:rPr>
              <w:t>截止时间：</w:t>
            </w:r>
            <w:r>
              <w:rPr>
                <w:rFonts w:hint="eastAsia" w:ascii="宋体" w:hAnsi="宋体" w:cs="宋体"/>
                <w:b/>
                <w:bCs/>
                <w:color w:val="auto"/>
                <w:szCs w:val="21"/>
                <w:highlight w:val="none"/>
                <w:u w:val="single"/>
              </w:rPr>
              <w:t xml:space="preserve"> 2025年  月  日14:30整</w:t>
            </w:r>
          </w:p>
        </w:tc>
      </w:tr>
      <w:tr w14:paraId="3454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14:paraId="1AFE20F4">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2123" w:type="dxa"/>
            <w:vAlign w:val="center"/>
          </w:tcPr>
          <w:p w14:paraId="0D5D877E">
            <w:pPr>
              <w:jc w:val="center"/>
              <w:rPr>
                <w:rFonts w:ascii="宋体" w:hAnsi="宋体" w:cs="宋体"/>
                <w:color w:val="auto"/>
                <w:szCs w:val="21"/>
                <w:highlight w:val="none"/>
              </w:rPr>
            </w:pPr>
            <w:r>
              <w:rPr>
                <w:rFonts w:hint="eastAsia" w:ascii="宋体" w:hAnsi="宋体" w:cs="宋体"/>
                <w:color w:val="auto"/>
                <w:szCs w:val="21"/>
                <w:highlight w:val="none"/>
              </w:rPr>
              <w:t>备份投标文件份数及密封要求</w:t>
            </w:r>
          </w:p>
        </w:tc>
        <w:tc>
          <w:tcPr>
            <w:tcW w:w="6692" w:type="dxa"/>
            <w:vAlign w:val="center"/>
          </w:tcPr>
          <w:p w14:paraId="4A6EEC1C">
            <w:pPr>
              <w:pStyle w:val="19"/>
              <w:spacing w:before="0" w:beforeAutospacing="0" w:after="0" w:afterAutospacing="0"/>
              <w:rPr>
                <w:rFonts w:cs="宋体"/>
                <w:color w:val="auto"/>
                <w:sz w:val="21"/>
                <w:szCs w:val="21"/>
                <w:highlight w:val="none"/>
              </w:rPr>
            </w:pPr>
            <w:r>
              <w:rPr>
                <w:rFonts w:hint="eastAsia" w:cs="宋体"/>
                <w:color w:val="auto"/>
                <w:sz w:val="21"/>
                <w:szCs w:val="21"/>
                <w:highlight w:val="none"/>
              </w:rPr>
              <w:t>一份，以U盘形式提供。</w:t>
            </w:r>
          </w:p>
          <w:p w14:paraId="6F409712">
            <w:pPr>
              <w:rPr>
                <w:rFonts w:ascii="宋体" w:hAnsi="宋体" w:cs="宋体"/>
                <w:bCs/>
                <w:color w:val="auto"/>
                <w:szCs w:val="21"/>
                <w:highlight w:val="none"/>
              </w:rPr>
            </w:pPr>
            <w:r>
              <w:rPr>
                <w:rFonts w:hint="eastAsia" w:ascii="宋体" w:hAnsi="宋体" w:cs="宋体"/>
                <w:bCs/>
                <w:color w:val="auto"/>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p>
          <w:p w14:paraId="61FC5445">
            <w:pPr>
              <w:rPr>
                <w:rFonts w:ascii="宋体" w:hAnsi="宋体" w:cs="宋体"/>
                <w:bCs/>
                <w:color w:val="auto"/>
                <w:szCs w:val="21"/>
                <w:highlight w:val="none"/>
              </w:rPr>
            </w:pPr>
            <w:r>
              <w:rPr>
                <w:rFonts w:hint="eastAsia" w:ascii="宋体" w:hAnsi="宋体" w:cs="宋体"/>
                <w:bCs/>
                <w:color w:val="auto"/>
                <w:szCs w:val="21"/>
                <w:highlight w:val="none"/>
              </w:rPr>
              <w:t>未按上述要求密封及加写标记</w:t>
            </w:r>
            <w:r>
              <w:rPr>
                <w:rFonts w:hint="eastAsia" w:ascii="宋体" w:hAnsi="宋体" w:cs="宋体"/>
                <w:color w:val="auto"/>
                <w:highlight w:val="none"/>
              </w:rPr>
              <w:t>将被拒收</w:t>
            </w:r>
            <w:r>
              <w:rPr>
                <w:rFonts w:hint="eastAsia" w:ascii="宋体" w:hAnsi="宋体" w:cs="宋体"/>
                <w:bCs/>
                <w:color w:val="auto"/>
                <w:szCs w:val="21"/>
                <w:highlight w:val="none"/>
              </w:rPr>
              <w:t>，采购代理机构对投标文件的误投和提前启封不负责任。</w:t>
            </w:r>
          </w:p>
          <w:p w14:paraId="7C35C9CF">
            <w:pPr>
              <w:rPr>
                <w:rFonts w:ascii="宋体" w:hAnsi="宋体" w:cs="宋体"/>
                <w:b/>
                <w:bCs/>
                <w:color w:val="auto"/>
                <w:szCs w:val="21"/>
                <w:highlight w:val="none"/>
              </w:rPr>
            </w:pPr>
            <w:r>
              <w:rPr>
                <w:rFonts w:hint="eastAsia" w:ascii="宋体" w:hAnsi="宋体" w:cs="宋体"/>
                <w:color w:val="auto"/>
                <w:szCs w:val="21"/>
                <w:highlight w:val="none"/>
              </w:rPr>
              <w:t>如电子投标文件解密成功，则备份投标文件不再拆封。</w:t>
            </w:r>
          </w:p>
        </w:tc>
      </w:tr>
      <w:tr w14:paraId="268A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18" w:type="dxa"/>
            <w:vAlign w:val="center"/>
          </w:tcPr>
          <w:p w14:paraId="73DC1F73">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2123" w:type="dxa"/>
            <w:vAlign w:val="center"/>
          </w:tcPr>
          <w:p w14:paraId="558957F9">
            <w:pPr>
              <w:jc w:val="center"/>
              <w:rPr>
                <w:rFonts w:ascii="宋体" w:hAnsi="宋体" w:cs="宋体"/>
                <w:color w:val="auto"/>
                <w:szCs w:val="21"/>
                <w:highlight w:val="none"/>
              </w:rPr>
            </w:pPr>
            <w:r>
              <w:rPr>
                <w:rFonts w:hint="eastAsia" w:ascii="宋体" w:hAnsi="宋体" w:cs="宋体"/>
                <w:color w:val="auto"/>
                <w:szCs w:val="21"/>
                <w:highlight w:val="none"/>
              </w:rPr>
              <w:t>电子投标文件解密时间及地点</w:t>
            </w:r>
          </w:p>
        </w:tc>
        <w:tc>
          <w:tcPr>
            <w:tcW w:w="6692" w:type="dxa"/>
            <w:vAlign w:val="center"/>
          </w:tcPr>
          <w:p w14:paraId="4842709D">
            <w:pPr>
              <w:rPr>
                <w:rFonts w:ascii="宋体" w:hAnsi="宋体" w:cs="宋体"/>
                <w:color w:val="auto"/>
                <w:szCs w:val="21"/>
                <w:highlight w:val="none"/>
              </w:rPr>
            </w:pPr>
            <w:r>
              <w:rPr>
                <w:rFonts w:hint="eastAsia" w:ascii="宋体" w:hAnsi="宋体" w:cs="宋体"/>
                <w:color w:val="auto"/>
                <w:szCs w:val="21"/>
                <w:highlight w:val="none"/>
              </w:rPr>
              <w:t>时间：2025年  月  日14:30-15:00（北京时间）</w:t>
            </w:r>
          </w:p>
          <w:p w14:paraId="55ACCFD6">
            <w:pPr>
              <w:pStyle w:val="52"/>
              <w:spacing w:line="240" w:lineRule="auto"/>
              <w:rPr>
                <w:rFonts w:hAnsi="宋体" w:cs="宋体"/>
                <w:color w:val="auto"/>
                <w:sz w:val="21"/>
                <w:szCs w:val="21"/>
                <w:highlight w:val="none"/>
              </w:rPr>
            </w:pPr>
            <w:r>
              <w:rPr>
                <w:rFonts w:hint="eastAsia" w:hAnsi="宋体" w:cs="宋体"/>
                <w:color w:val="auto"/>
                <w:kern w:val="2"/>
                <w:sz w:val="21"/>
                <w:szCs w:val="21"/>
                <w:highlight w:val="none"/>
              </w:rPr>
              <w:t>地点：政采云平台（www.zcygov.cn）</w:t>
            </w:r>
          </w:p>
        </w:tc>
      </w:tr>
      <w:tr w14:paraId="52DD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8" w:type="dxa"/>
            <w:vAlign w:val="center"/>
          </w:tcPr>
          <w:p w14:paraId="15B98450">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2123" w:type="dxa"/>
            <w:vAlign w:val="center"/>
          </w:tcPr>
          <w:p w14:paraId="108463AB">
            <w:pPr>
              <w:jc w:val="center"/>
              <w:rPr>
                <w:rFonts w:ascii="宋体" w:hAnsi="宋体" w:cs="宋体"/>
                <w:color w:val="auto"/>
                <w:szCs w:val="21"/>
                <w:highlight w:val="none"/>
                <w:lang w:val="zh-CN"/>
              </w:rPr>
            </w:pPr>
            <w:r>
              <w:rPr>
                <w:rFonts w:hint="eastAsia" w:ascii="宋体" w:hAnsi="宋体" w:cs="宋体"/>
                <w:color w:val="auto"/>
                <w:szCs w:val="21"/>
                <w:highlight w:val="none"/>
                <w:lang w:val="zh-CN"/>
              </w:rPr>
              <w:t>实质性条款</w:t>
            </w:r>
          </w:p>
        </w:tc>
        <w:tc>
          <w:tcPr>
            <w:tcW w:w="6692" w:type="dxa"/>
            <w:vAlign w:val="center"/>
          </w:tcPr>
          <w:p w14:paraId="2884DF49">
            <w:pPr>
              <w:rPr>
                <w:rFonts w:ascii="宋体" w:hAnsi="宋体" w:cs="宋体"/>
                <w:color w:val="auto"/>
                <w:szCs w:val="21"/>
                <w:highlight w:val="none"/>
                <w:lang w:val="zh-CN"/>
              </w:rPr>
            </w:pPr>
            <w:r>
              <w:rPr>
                <w:rFonts w:hint="eastAsia" w:ascii="宋体" w:hAnsi="宋体" w:cs="宋体"/>
                <w:color w:val="auto"/>
                <w:szCs w:val="21"/>
                <w:highlight w:val="none"/>
                <w:lang w:val="zh-CN"/>
              </w:rPr>
              <w:t>带“</w:t>
            </w:r>
            <w:r>
              <w:rPr>
                <w:rFonts w:hint="eastAsia" w:ascii="宋体" w:hAnsi="宋体" w:cs="宋体"/>
                <w:color w:val="auto"/>
                <w:szCs w:val="21"/>
                <w:highlight w:val="none"/>
              </w:rPr>
              <w:t>▲”的条款是实质性条款，投标文件须作出实质性响应，否则作无效投标处理。</w:t>
            </w:r>
          </w:p>
        </w:tc>
      </w:tr>
      <w:tr w14:paraId="0335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14:paraId="52330AAF">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2123" w:type="dxa"/>
            <w:vAlign w:val="center"/>
          </w:tcPr>
          <w:p w14:paraId="7ECE2CF1">
            <w:pPr>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6692" w:type="dxa"/>
            <w:vAlign w:val="center"/>
          </w:tcPr>
          <w:p w14:paraId="1B1BC421">
            <w:pPr>
              <w:numPr>
                <w:ilvl w:val="0"/>
                <w:numId w:val="4"/>
              </w:numPr>
              <w:jc w:val="left"/>
              <w:rPr>
                <w:rFonts w:ascii="宋体" w:hAnsi="宋体" w:cs="宋体"/>
                <w:color w:val="auto"/>
                <w:highlight w:val="none"/>
              </w:rPr>
            </w:pPr>
            <w:r>
              <w:rPr>
                <w:rFonts w:hint="eastAsia" w:ascii="宋体" w:hAnsi="宋体" w:cs="宋体"/>
                <w:color w:val="auto"/>
                <w:highlight w:val="none"/>
              </w:rPr>
              <w:t>踏勘现场时间及地点：不组织，各投标单位根据自己需要，自行前往勘察现场和周围环境，所产生的费用由投标单位自理。</w:t>
            </w:r>
          </w:p>
          <w:p w14:paraId="76AEC3D2">
            <w:pPr>
              <w:numPr>
                <w:ilvl w:val="0"/>
                <w:numId w:val="4"/>
              </w:numPr>
              <w:jc w:val="left"/>
              <w:rPr>
                <w:rFonts w:ascii="宋体" w:hAnsi="宋体" w:cs="宋体"/>
                <w:color w:val="auto"/>
                <w:szCs w:val="21"/>
                <w:highlight w:val="none"/>
              </w:rPr>
            </w:pPr>
            <w:r>
              <w:rPr>
                <w:rFonts w:hint="eastAsia" w:ascii="宋体" w:hAnsi="宋体" w:cs="宋体"/>
                <w:color w:val="auto"/>
                <w:szCs w:val="21"/>
                <w:highlight w:val="none"/>
              </w:rPr>
              <w:t>节能产品、环保产品：无要求；</w:t>
            </w:r>
          </w:p>
          <w:p w14:paraId="6CDBC2BE">
            <w:pPr>
              <w:numPr>
                <w:ilvl w:val="0"/>
                <w:numId w:val="4"/>
              </w:numPr>
              <w:jc w:val="left"/>
              <w:rPr>
                <w:rFonts w:ascii="宋体" w:hAnsi="宋体" w:cs="宋体"/>
                <w:color w:val="auto"/>
                <w:szCs w:val="21"/>
                <w:highlight w:val="none"/>
              </w:rPr>
            </w:pPr>
            <w:r>
              <w:rPr>
                <w:rFonts w:hint="eastAsia" w:ascii="宋体" w:hAnsi="宋体" w:cs="宋体"/>
                <w:color w:val="auto"/>
                <w:szCs w:val="21"/>
                <w:highlight w:val="none"/>
              </w:rPr>
              <w:t>样品：无要求；</w:t>
            </w:r>
          </w:p>
          <w:p w14:paraId="12C976F0">
            <w:pPr>
              <w:jc w:val="left"/>
              <w:rPr>
                <w:rFonts w:ascii="宋体" w:hAnsi="宋体" w:cs="宋体"/>
                <w:color w:val="auto"/>
                <w:szCs w:val="21"/>
                <w:highlight w:val="none"/>
              </w:rPr>
            </w:pPr>
            <w:r>
              <w:rPr>
                <w:rFonts w:hint="eastAsia" w:ascii="宋体" w:hAnsi="宋体" w:cs="宋体"/>
                <w:color w:val="auto"/>
                <w:szCs w:val="21"/>
                <w:highlight w:val="none"/>
              </w:rPr>
              <w:t>4、现场演示：无要求。</w:t>
            </w:r>
          </w:p>
        </w:tc>
      </w:tr>
      <w:tr w14:paraId="6956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14:paraId="7DD0B50C">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2123" w:type="dxa"/>
            <w:vAlign w:val="center"/>
          </w:tcPr>
          <w:p w14:paraId="5A6E4922">
            <w:pPr>
              <w:jc w:val="center"/>
              <w:rPr>
                <w:rFonts w:ascii="宋体" w:hAnsi="宋体" w:cs="宋体"/>
                <w:color w:val="auto"/>
                <w:szCs w:val="21"/>
                <w:highlight w:val="none"/>
                <w:lang w:val="zh-CN"/>
              </w:rPr>
            </w:pPr>
            <w:r>
              <w:rPr>
                <w:rFonts w:hint="eastAsia" w:ascii="宋体" w:hAnsi="宋体" w:cs="宋体"/>
                <w:color w:val="auto"/>
                <w:szCs w:val="21"/>
                <w:highlight w:val="none"/>
              </w:rPr>
              <w:t>中小企业扶持政策</w:t>
            </w:r>
          </w:p>
        </w:tc>
        <w:tc>
          <w:tcPr>
            <w:tcW w:w="6692" w:type="dxa"/>
            <w:vAlign w:val="center"/>
          </w:tcPr>
          <w:p w14:paraId="57C5470E">
            <w:pPr>
              <w:pStyle w:val="52"/>
              <w:spacing w:line="240" w:lineRule="auto"/>
              <w:rPr>
                <w:rFonts w:hAnsi="宋体" w:cs="宋体"/>
                <w:color w:val="auto"/>
                <w:sz w:val="21"/>
                <w:szCs w:val="21"/>
                <w:highlight w:val="none"/>
                <w:lang w:val="zh-CN"/>
              </w:rPr>
            </w:pPr>
            <w:r>
              <w:rPr>
                <w:rFonts w:hint="eastAsia" w:hAnsi="宋体" w:cs="宋体"/>
                <w:color w:val="auto"/>
                <w:sz w:val="21"/>
                <w:szCs w:val="21"/>
                <w:highlight w:val="none"/>
              </w:rPr>
              <w:t>1、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187C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18" w:type="dxa"/>
            <w:vAlign w:val="center"/>
          </w:tcPr>
          <w:p w14:paraId="6E035426">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2123" w:type="dxa"/>
            <w:vAlign w:val="center"/>
          </w:tcPr>
          <w:p w14:paraId="61303667">
            <w:pPr>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692" w:type="dxa"/>
            <w:vAlign w:val="center"/>
          </w:tcPr>
          <w:p w14:paraId="0F2FFAF7">
            <w:pPr>
              <w:rPr>
                <w:rFonts w:ascii="宋体" w:hAnsi="宋体" w:cs="宋体"/>
                <w:color w:val="auto"/>
                <w:szCs w:val="21"/>
                <w:highlight w:val="none"/>
              </w:rPr>
            </w:pPr>
            <w:r>
              <w:rPr>
                <w:rFonts w:hint="eastAsia" w:ascii="宋体" w:hAnsi="宋体" w:cs="宋体"/>
                <w:color w:val="auto"/>
                <w:szCs w:val="21"/>
                <w:highlight w:val="none"/>
              </w:rPr>
              <w:t>1、各供应商自行在浙江政府采购网下载或查阅采购文件和相关更正公告等，不另行通知，如有遗漏采购人、采购代理机构概不负责。</w:t>
            </w:r>
          </w:p>
          <w:p w14:paraId="0526095B">
            <w:pPr>
              <w:rPr>
                <w:rFonts w:ascii="宋体" w:hAnsi="宋体" w:cs="宋体"/>
                <w:color w:val="auto"/>
                <w:szCs w:val="21"/>
                <w:highlight w:val="none"/>
              </w:rPr>
            </w:pPr>
            <w:r>
              <w:rPr>
                <w:rFonts w:hint="eastAsia" w:ascii="宋体" w:hAnsi="宋体" w:cs="宋体"/>
                <w:color w:val="auto"/>
                <w:szCs w:val="21"/>
                <w:highlight w:val="none"/>
              </w:rPr>
              <w:t>2、两家或两家以上供应商提供的投标文件出自同一终端设备的，或在相同Internet主机分配地址（相同IP地址）报名或网上投标的，后果由供应商自行承担。</w:t>
            </w:r>
          </w:p>
          <w:p w14:paraId="31D01D6C">
            <w:pPr>
              <w:rPr>
                <w:rFonts w:ascii="宋体" w:hAnsi="宋体" w:cs="宋体"/>
                <w:color w:val="auto"/>
                <w:szCs w:val="21"/>
                <w:highlight w:val="none"/>
              </w:rPr>
            </w:pPr>
            <w:r>
              <w:rPr>
                <w:rFonts w:hint="eastAsia" w:ascii="宋体" w:hAnsi="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30CE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18" w:type="dxa"/>
            <w:vAlign w:val="center"/>
          </w:tcPr>
          <w:p w14:paraId="3D0253D2">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2123" w:type="dxa"/>
            <w:vAlign w:val="center"/>
          </w:tcPr>
          <w:p w14:paraId="2D53E8B1">
            <w:pPr>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692" w:type="dxa"/>
            <w:vAlign w:val="center"/>
          </w:tcPr>
          <w:p w14:paraId="41E8917F">
            <w:pPr>
              <w:rPr>
                <w:rFonts w:ascii="宋体" w:hAnsi="宋体" w:cs="宋体"/>
                <w:color w:val="auto"/>
                <w:szCs w:val="21"/>
                <w:highlight w:val="none"/>
              </w:rPr>
            </w:pPr>
            <w:r>
              <w:rPr>
                <w:rFonts w:hint="eastAsia" w:ascii="宋体" w:hAnsi="宋体" w:cs="宋体"/>
                <w:color w:val="auto"/>
                <w:szCs w:val="21"/>
                <w:highlight w:val="none"/>
              </w:rPr>
              <w:t>本招标文件的解释权属于</w:t>
            </w:r>
            <w:r>
              <w:rPr>
                <w:rFonts w:hint="eastAsia" w:ascii="宋体" w:hAnsi="宋体" w:cs="宋体"/>
                <w:b/>
                <w:color w:val="auto"/>
                <w:szCs w:val="21"/>
                <w:highlight w:val="none"/>
              </w:rPr>
              <w:t>台州永安工程咨询有限公司和采购人</w:t>
            </w:r>
          </w:p>
        </w:tc>
      </w:tr>
    </w:tbl>
    <w:p w14:paraId="06D9B950">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一、总则</w:t>
      </w:r>
    </w:p>
    <w:p w14:paraId="5DC8824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 适用范围</w:t>
      </w:r>
    </w:p>
    <w:p w14:paraId="43A0BD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本招标文件适用于本次项目的招标、投标、评标、定标、验收、合同履约、付款等行为（法律、法规另有规定的，从其规定）。</w:t>
      </w:r>
    </w:p>
    <w:p w14:paraId="570F4D0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（二）定义</w:t>
      </w:r>
    </w:p>
    <w:p w14:paraId="5A092F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zh-CN"/>
        </w:rPr>
        <w:t>“采购组织机构”指采购人委托组织招标的采购代理机构。</w:t>
      </w:r>
    </w:p>
    <w:p w14:paraId="79EAAE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2、采购人：是指委托</w:t>
      </w:r>
      <w:r>
        <w:rPr>
          <w:rFonts w:hint="eastAsia" w:ascii="宋体" w:hAnsi="宋体" w:cs="宋体"/>
          <w:color w:val="auto"/>
          <w:szCs w:val="21"/>
          <w:highlight w:val="none"/>
          <w:lang w:val="zh-CN"/>
        </w:rPr>
        <w:t>采购代理机构</w:t>
      </w:r>
      <w:r>
        <w:rPr>
          <w:rFonts w:hint="eastAsia" w:ascii="宋体" w:hAnsi="宋体" w:cs="宋体"/>
          <w:color w:val="auto"/>
          <w:szCs w:val="21"/>
          <w:highlight w:val="none"/>
        </w:rPr>
        <w:t>采购本次项目的国家机关、事业单位和团体组织。</w:t>
      </w:r>
    </w:p>
    <w:p w14:paraId="28E461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3、投标人：是指向采购</w:t>
      </w:r>
      <w:r>
        <w:rPr>
          <w:rFonts w:hint="eastAsia" w:ascii="宋体" w:hAnsi="宋体" w:cs="宋体"/>
          <w:color w:val="auto"/>
          <w:szCs w:val="21"/>
          <w:highlight w:val="none"/>
          <w:lang w:val="zh-CN"/>
        </w:rPr>
        <w:t>组织</w:t>
      </w:r>
      <w:r>
        <w:rPr>
          <w:rFonts w:hint="eastAsia" w:ascii="宋体" w:hAnsi="宋体" w:cs="宋体"/>
          <w:color w:val="auto"/>
          <w:szCs w:val="21"/>
          <w:highlight w:val="none"/>
        </w:rPr>
        <w:t>机构提交投标文件的单位或个人。</w:t>
      </w:r>
    </w:p>
    <w:p w14:paraId="025706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4、货物：是指各种形态和种类的物品，包括原材料、燃料、设备、产品等。</w:t>
      </w:r>
    </w:p>
    <w:p w14:paraId="3036B9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5、服务：是指除货物和工程以外的政府采购对象，包括各类专业服务、信息网络开发服务、金融保险服务、运输服务，以及维修与维护服务等。</w:t>
      </w:r>
    </w:p>
    <w:p w14:paraId="7C14D9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6、“书面形式”包括信函、传真等。</w:t>
      </w:r>
    </w:p>
    <w:p w14:paraId="12E2AA9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7、“▲”系指实质性要求条款。</w:t>
      </w:r>
    </w:p>
    <w:p w14:paraId="3BFCC2E0">
      <w:pPr>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（三）投标费用</w:t>
      </w:r>
    </w:p>
    <w:p w14:paraId="55904A5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不论投标结果如何，投标人均应自行承担所有与投标有关的全部费用（招标文件有相关规定除外）。</w:t>
      </w:r>
    </w:p>
    <w:p w14:paraId="72CB2E8A">
      <w:pPr>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（四）特别说明</w:t>
      </w:r>
    </w:p>
    <w:p w14:paraId="1E7B965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1、投标人投标所使用的资格、信誉、荣誉、业绩与企业认证必须为本法人所拥有。投标人投标所使用的采购项目实施人员必须为本法人员工。▲其中涉及资格条件的如非本法人所拥有，则投标无效。</w:t>
      </w:r>
    </w:p>
    <w:p w14:paraId="4A39597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Cs w:val="21"/>
          <w:highlight w:val="none"/>
        </w:rPr>
        <w:tab/>
      </w:r>
    </w:p>
    <w:p w14:paraId="190178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FC2DE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441050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▲5、为采购项目提供整体设计、规范编制或者项目管理、监理、检测等服务的供应商，不得再参加该采购项目的其他采购活动。</w:t>
      </w:r>
    </w:p>
    <w:p w14:paraId="2945BB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6、投标文件格式中的表格式样可以根据项目差别做适当调整,但应当保持表格样式基本形态不变。</w:t>
      </w:r>
    </w:p>
    <w:p w14:paraId="3FBBDC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3E20A6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6432E7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▲9、本项目不允许转包、分包。</w:t>
      </w:r>
    </w:p>
    <w:p w14:paraId="71B48678">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二、招标文件</w:t>
      </w:r>
    </w:p>
    <w:p w14:paraId="0B999F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（一）招标文件由招标文件总目录所列内容组成。</w:t>
      </w:r>
    </w:p>
    <w:p w14:paraId="4EAE3C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（二）招标文件的澄清或修改</w:t>
      </w:r>
    </w:p>
    <w:p w14:paraId="2626B0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采购代理机构可视采购具体情况对已发出的招标文件进行必要的澄清或者修改。澄清或者修改的内容可能影响投标文件编制的，采购人或者采购代理机构应当在投标截止时间至少15日前，在原公告发布媒体上发布澄清公告，澄清或者修改的内容为招标文件的组成部分；不足15日的，采购人或者采购代理机构应当顺延提交投标文件的截止时间。 </w:t>
      </w:r>
    </w:p>
    <w:p w14:paraId="54082C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D2AE5B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三、投标文件</w:t>
      </w:r>
    </w:p>
    <w:p w14:paraId="736C9E21">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本项目实行电子投标，供应商应准备电子投标文件、还可以提供备份投标文件。</w:t>
      </w:r>
    </w:p>
    <w:p w14:paraId="35E7782A">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zh-CN"/>
        </w:rPr>
        <w:t>电子投标文件按</w:t>
      </w:r>
      <w:r>
        <w:rPr>
          <w:rFonts w:hint="eastAsia" w:ascii="宋体" w:hAnsi="宋体" w:cs="宋体"/>
          <w:bCs/>
          <w:color w:val="auto"/>
          <w:szCs w:val="21"/>
          <w:highlight w:val="none"/>
        </w:rPr>
        <w:t>政府采购</w:t>
      </w:r>
      <w:r>
        <w:rPr>
          <w:rFonts w:hint="eastAsia" w:ascii="宋体" w:hAnsi="宋体" w:cs="宋体"/>
          <w:bCs/>
          <w:color w:val="auto"/>
          <w:szCs w:val="21"/>
          <w:highlight w:val="none"/>
          <w:lang w:val="zh-CN"/>
        </w:rPr>
        <w:t>云平台供应商项目采购</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电子招投标操作指南</w:t>
      </w:r>
      <w:r>
        <w:rPr>
          <w:rFonts w:hint="eastAsia" w:ascii="宋体" w:hAnsi="宋体" w:cs="宋体"/>
          <w:bCs/>
          <w:color w:val="auto"/>
          <w:szCs w:val="21"/>
          <w:highlight w:val="none"/>
        </w:rPr>
        <w:t>（网址：https://helpcenter.zcygov.cn/document/#/document/detail?siteCode=beijing&amp;manualId=359&amp;topicId=1447）</w:t>
      </w:r>
      <w:r>
        <w:rPr>
          <w:rFonts w:hint="eastAsia" w:ascii="宋体" w:hAnsi="宋体" w:cs="宋体"/>
          <w:bCs/>
          <w:color w:val="auto"/>
          <w:szCs w:val="21"/>
          <w:highlight w:val="none"/>
          <w:lang w:val="zh-CN"/>
        </w:rPr>
        <w:t>及本招标文件要求制作、加密并</w:t>
      </w:r>
      <w:r>
        <w:rPr>
          <w:rFonts w:hint="eastAsia" w:ascii="宋体" w:hAnsi="宋体" w:cs="宋体"/>
          <w:bCs/>
          <w:color w:val="auto"/>
          <w:szCs w:val="21"/>
          <w:highlight w:val="none"/>
        </w:rPr>
        <w:t>传输</w:t>
      </w:r>
      <w:r>
        <w:rPr>
          <w:rFonts w:hint="eastAsia" w:ascii="宋体" w:hAnsi="宋体" w:cs="宋体"/>
          <w:bCs/>
          <w:color w:val="auto"/>
          <w:szCs w:val="21"/>
          <w:highlight w:val="none"/>
          <w:lang w:val="zh-CN"/>
        </w:rPr>
        <w:t>递交。</w:t>
      </w:r>
    </w:p>
    <w:p w14:paraId="15C7339C">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lang w:val="zh-CN"/>
        </w:rPr>
        <w:t>备份投标文件是指“电子投标文件”同时生成的数据电文形式的电子文件（备份标书），以U盘形式提供。</w:t>
      </w:r>
    </w:p>
    <w:p w14:paraId="2E274231">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3、投标文件启用顺序和效力：投标文件的启用，按先后顺位分别为电子投标文件、以介质（U盘）存储的数据电文形式的备份投标文件。如果某位投标人的电子投标文件无法按时解密的，可启用以介质（U盘）存储的数据电文形式的备份投标文件。</w:t>
      </w:r>
    </w:p>
    <w:p w14:paraId="04CC213B">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▲未传输递交电子投标文件及未按规定提供相应的备份投标文件的，投标无效。</w:t>
      </w:r>
    </w:p>
    <w:p w14:paraId="397E1CDE">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lang w:val="zh-CN"/>
        </w:rPr>
        <w:t>（一）</w:t>
      </w:r>
      <w:r>
        <w:rPr>
          <w:rFonts w:hint="eastAsia" w:ascii="宋体" w:hAnsi="宋体" w:cs="宋体"/>
          <w:b/>
          <w:bCs/>
          <w:color w:val="auto"/>
          <w:szCs w:val="21"/>
          <w:highlight w:val="none"/>
        </w:rPr>
        <w:t>投标文件的组成</w:t>
      </w:r>
    </w:p>
    <w:p w14:paraId="0406BF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投标人接到招标文件后，按照招标文件的要求提供投标文件（包含电子投标文件和备份投标文件）：由资格证明文件、商务与技术文件和报价文件三部分组成。</w:t>
      </w:r>
    </w:p>
    <w:p w14:paraId="742974A7">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【特别提示：如有要求提供资料原件的，原件另行包装，并与投标文件一起提交，投标截止时间后所有原件不予接收。资料原件也可以用与原件相符的公证原件替代】</w:t>
      </w:r>
    </w:p>
    <w:p w14:paraId="4CE926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1、资格证明文件的组成：</w:t>
      </w:r>
    </w:p>
    <w:p w14:paraId="45CD32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（1）投标声明书；</w:t>
      </w:r>
    </w:p>
    <w:p w14:paraId="0AB566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（2）授权委托书（法定代表人亲自办理投标事宜的，则无需提交)；</w:t>
      </w:r>
    </w:p>
    <w:p w14:paraId="554D2C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（3）法人或者其他组织的营业执照等证明文件，法定代表人和授权代表的身份证明；</w:t>
      </w:r>
    </w:p>
    <w:p w14:paraId="4FC25C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（4）投标人认为需要说明的其他材料；</w:t>
      </w:r>
    </w:p>
    <w:p w14:paraId="0DE6167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2、商务与技术文件的组成：</w:t>
      </w:r>
    </w:p>
    <w:p w14:paraId="4DB8A4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（1）投标人企业情况介绍；</w:t>
      </w:r>
    </w:p>
    <w:p w14:paraId="204273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（2）投标方案描述：</w:t>
      </w:r>
    </w:p>
    <w:p w14:paraId="33219D9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A.项目需求的理解与分析(投标人对项目现状及需求的理解情况，对项目现状和需求描述的全面性、准确性、针对性，对项目重点、难点的把握，解决方案及合理化建议)。</w:t>
      </w:r>
    </w:p>
    <w:p w14:paraId="45DD9A4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B.项目组织实施方案（包括项目工期、确保项目供货的措施或方案、项目实施进度安排、项目实施人员及项目负责人的资质、类似经验及社保证明等）。</w:t>
      </w:r>
    </w:p>
    <w:p w14:paraId="7A8D4F9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C.安装、调试及验收方案（包括项目验收标准和验收方法等）和措施；</w:t>
      </w:r>
    </w:p>
    <w:p w14:paraId="6547152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（3）投标产品描述及相关资料：</w:t>
      </w:r>
    </w:p>
    <w:p w14:paraId="6CDED67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A.投标项目供货清单</w:t>
      </w:r>
      <w:r>
        <w:rPr>
          <w:rFonts w:hint="eastAsia" w:ascii="宋体" w:hAnsi="宋体" w:cs="宋体"/>
          <w:b/>
          <w:bCs/>
          <w:color w:val="auto"/>
          <w:szCs w:val="21"/>
          <w:highlight w:val="none"/>
        </w:rPr>
        <w:t>（均不含报价）</w:t>
      </w:r>
      <w:r>
        <w:rPr>
          <w:rFonts w:hint="eastAsia" w:ascii="宋体" w:hAnsi="宋体" w:cs="宋体"/>
          <w:color w:val="auto"/>
          <w:szCs w:val="21"/>
          <w:highlight w:val="none"/>
        </w:rPr>
        <w:t>。</w:t>
      </w:r>
    </w:p>
    <w:p w14:paraId="63B4B0D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B.产品品牌及型号、技术参数指标、性能特点、图片资料以及所遵循的技术规范、产品质保期、出厂标准、产品质量相关检测报告等内容。</w:t>
      </w:r>
    </w:p>
    <w:p w14:paraId="4C95E63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C.商务及技术响应表。</w:t>
      </w:r>
    </w:p>
    <w:p w14:paraId="5DDE18E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D.投标产品中有节能产品的，应列明投标产品中有列入最新一期财政部、发展改革委公布的“节能产品政府采购清单”明细（提供所投标产品在清单中所处的页码、截图，并以明显标识标注）；投标产品中有环保产品的，应列明投标产品中有列入最新一期财政部、生态环境部公布的“环境标志产品政府采购清单”明细（提供所投标产品在清单中所处的页码、截图，并以明显标识标注）。</w:t>
      </w:r>
    </w:p>
    <w:p w14:paraId="330F63F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【特别提示：节能和环境标志产品最新一期政府采购清单，可在“中国政府采购网”中查看】</w:t>
      </w:r>
    </w:p>
    <w:p w14:paraId="27FDB90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（4）投标人通过的与本项目相关的认证证书或文件；</w:t>
      </w:r>
    </w:p>
    <w:p w14:paraId="035FB88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（5）类似项目的成功案例（投标人类似项目实施情况一览表、合同扫描件等）；</w:t>
      </w:r>
    </w:p>
    <w:p w14:paraId="740ACF2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（6）投标人认为需要提供的其他资料（包括可能影响投标人商务与技术文件评分的各类证明材料）。</w:t>
      </w:r>
    </w:p>
    <w:p w14:paraId="1DEF4C6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（7）售后服务描述及承诺：</w:t>
      </w:r>
    </w:p>
    <w:p w14:paraId="703584A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A.距采购人最近的服务网点详细介绍（包括地理位置、资质资格、技术力量、工作业绩、服务内容及联系电话等）。</w:t>
      </w:r>
    </w:p>
    <w:p w14:paraId="4410DA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B.针对本项目的售后服务措施及承诺（售后技术服务方案、人员配备、服务响应时间、技术培训方案等）。</w:t>
      </w:r>
    </w:p>
    <w:p w14:paraId="52153566">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1C1E92A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3、报价文件的组成</w:t>
      </w:r>
    </w:p>
    <w:p w14:paraId="1226A8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（1）报价文件由开标一览表、报价明细表、中小企业声明函，以及投标人认为其他需要说明的内容组成。</w:t>
      </w:r>
    </w:p>
    <w:p w14:paraId="4B1C30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▲（2）此报价为投标人一次性报出唯一的最终价格，包含其它一切所要涉及到的费用，有选择、附条件的报价将被拒绝。</w:t>
      </w:r>
    </w:p>
    <w:p w14:paraId="5362DE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总报价包括设计费、软件费、设备价款（必备的附件，如配件、备品备件、专用工具和预埋件等）、运输安装调试费、安装人员住宿费、安装所需工具费、验收检测费（含质保期内）、质保期内的维护保养费、技术支持与培训费、税费、采购代理费及不可预见费等所需的一切费用。</w:t>
      </w:r>
    </w:p>
    <w:p w14:paraId="694F72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（4）政府采购优惠政策相关资料。</w:t>
      </w:r>
    </w:p>
    <w:p w14:paraId="0FE842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▲（5）相关报价单需打印或用不褪色的墨水填写， 投标报价单不得涂改和增删，如有错漏必须修改，修改处须由同一签署人签字或盖章，未由同一签署人签字或盖章的修改无效</w:t>
      </w:r>
      <w:r>
        <w:rPr>
          <w:rFonts w:hint="eastAsia" w:ascii="宋体" w:hAnsi="宋体" w:cs="宋体"/>
          <w:color w:val="auto"/>
          <w:kern w:val="0"/>
          <w:szCs w:val="21"/>
          <w:highlight w:val="none"/>
        </w:rPr>
        <w:t>。</w:t>
      </w:r>
      <w:r>
        <w:rPr>
          <w:rFonts w:hint="eastAsia" w:ascii="宋体" w:hAnsi="宋体" w:cs="宋体"/>
          <w:color w:val="auto"/>
          <w:szCs w:val="21"/>
          <w:highlight w:val="none"/>
        </w:rPr>
        <w:t>由于字迹模糊或表达不清引起的后果由投标人负责。</w:t>
      </w:r>
    </w:p>
    <w:p w14:paraId="3EBA34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（6）投标报价应按招标文件中相关附表格式填写。</w:t>
      </w:r>
    </w:p>
    <w:p w14:paraId="7E62F4D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（二）投标文件的制作、封装及递交要求</w:t>
      </w:r>
    </w:p>
    <w:p w14:paraId="118CD0C7">
      <w:pPr>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1、投标文件的签署</w:t>
      </w:r>
    </w:p>
    <w:p w14:paraId="0E0252D2">
      <w:pPr>
        <w:spacing w:line="36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电子投标文件中须加盖投标人公章部分均采用CA签章，并根据“政府采购云平台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4DB90E0B">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电子投标文件如内容不完整、编排混乱导致投标文件被误读、漏读，或者在按采购文件规定的部位查找不到相关内容的，由投标人自行承担。</w:t>
      </w:r>
    </w:p>
    <w:p w14:paraId="3B42D95B">
      <w:pPr>
        <w:spacing w:line="36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温馨提醒：</w:t>
      </w:r>
      <w:r>
        <w:rPr>
          <w:rFonts w:hint="eastAsia" w:ascii="宋体" w:hAnsi="宋体" w:cs="宋体"/>
          <w:color w:val="auto"/>
          <w:szCs w:val="21"/>
          <w:highlight w:val="none"/>
          <w:u w:val="single"/>
        </w:rPr>
        <w:t>CA签章上目前没有法定代表人或授权代表签字信息，需要投标人联系浙江杭州汇信科技有限公司等相应公司进行办理，或在投标文件中涉及到签字的位置线下签好字然后扫描或者拍照做成PDF的格式亦可。</w:t>
      </w:r>
    </w:p>
    <w:p w14:paraId="0F5210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（3）▲投标文件不得涂改，若有修改错漏处，须加盖单位公章或者法定代表人或授权委托人签字或盖章。投标文件因字迹潦草或表达不清所引起的后果由投标人负责。</w:t>
      </w:r>
    </w:p>
    <w:p w14:paraId="603BCA9D">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2、投标文件的制作</w:t>
      </w:r>
    </w:p>
    <w:p w14:paraId="62E4D5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（1）投标人应按照投标文件组成内容及项目招标需求制作投标文件，不按招标文件要求制作投标文件由此产生的责任由投标人自行承担。</w:t>
      </w:r>
    </w:p>
    <w:p w14:paraId="3758FE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（2）▲投标人应对所提供的全部资料的真实性承担法律责任，投标文件内容中有要求盖章或签字的地方，必须加盖投标人的公章以及法定代表人或授权委托代理人盖章或签字。</w:t>
      </w:r>
    </w:p>
    <w:p w14:paraId="5D846A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以及投标人与采购组织机构就有关投标事宜的所有来往函电，均应以中文汉语书写。▲除签字、盖章、专用名称等特殊情形外，以中文汉语以外的文字表述的投标文件视同未提供，如该文件未提供将影响投标有效性的，则视为投标无效。</w:t>
      </w:r>
    </w:p>
    <w:p w14:paraId="76D4DA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（4）投标计量单位，招标文件已有明确规定的，使用招标文件规定的计量单位；招标文件没有规定的，▲应采用中华人民共和国法定计量单位（货币单位：人民币元），否则视同未响应。</w:t>
      </w:r>
    </w:p>
    <w:p w14:paraId="5A96B0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（5）若投标人不按招标文件的要求提供资格审查材料，其风险由投标人自行承担。</w:t>
      </w:r>
    </w:p>
    <w:p w14:paraId="4AFC143C">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（6）与本次投标无关的内容请不要制作在内，确保投标文件有针对性、简洁明了，同时节约纸张；投标文件建议以A4纸大小双面打印并装订。</w:t>
      </w:r>
    </w:p>
    <w:p w14:paraId="2E2519D0">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3、备份投标文件的封装要求</w:t>
      </w:r>
    </w:p>
    <w:p w14:paraId="1F54BF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备份投标文件在密封袋的封口处加盖投标人公章、法定代表人代表或授权委托代理人印章或签字。封皮上写明项目编号、标项、招标项目名称、投标人名称，并注明“投标文件名称”、“开标时启封”字样，未按上述要求密封及加写标记</w:t>
      </w:r>
      <w:r>
        <w:rPr>
          <w:rFonts w:hint="eastAsia" w:ascii="宋体" w:hAnsi="宋体" w:cs="宋体"/>
          <w:color w:val="auto"/>
          <w:highlight w:val="none"/>
        </w:rPr>
        <w:t>将被拒收</w:t>
      </w:r>
      <w:r>
        <w:rPr>
          <w:rFonts w:hint="eastAsia" w:ascii="宋体" w:hAnsi="宋体" w:cs="宋体"/>
          <w:color w:val="auto"/>
          <w:szCs w:val="21"/>
          <w:highlight w:val="none"/>
        </w:rPr>
        <w:t>，采购代理机构对投标文件的误投和提前启封不负责任。</w:t>
      </w:r>
    </w:p>
    <w:p w14:paraId="2F16D11B">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因密封不严、标记不明而造成失密、拒收、过早启封等情况，采购代理机构概不负责。</w:t>
      </w:r>
    </w:p>
    <w:p w14:paraId="5AE7DD7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4、投标文件的递交要求</w:t>
      </w:r>
    </w:p>
    <w:p w14:paraId="72E9EC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同时还可以提供经政采云平台加密处理的、以介质（U盘）存储的数据电文形式的备份投标文件（不强制要求，未递交备份文件的风险由供应商自行承担）。递交备份投标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或直接递交到</w:t>
      </w:r>
      <w:r>
        <w:rPr>
          <w:rFonts w:hint="eastAsia" w:ascii="宋体" w:hAnsi="宋体" w:cs="宋体"/>
          <w:b/>
          <w:bCs/>
          <w:color w:val="auto"/>
          <w:szCs w:val="21"/>
          <w:highlight w:val="none"/>
        </w:rPr>
        <w:t>台州市椒江区中环世纪6幢801室（交通银行台州分行楼上）收件人：俞雅琪；联系电话：15757696186</w:t>
      </w:r>
      <w:r>
        <w:rPr>
          <w:rFonts w:hint="eastAsia" w:ascii="宋体" w:hAnsi="宋体" w:cs="宋体"/>
          <w:color w:val="auto"/>
          <w:szCs w:val="21"/>
          <w:highlight w:val="none"/>
        </w:rPr>
        <w:t>。投标文件在截止时间后提交、</w:t>
      </w:r>
      <w:r>
        <w:rPr>
          <w:rFonts w:hint="eastAsia" w:ascii="宋体" w:hAnsi="宋体" w:cs="宋体"/>
          <w:color w:val="auto"/>
          <w:highlight w:val="none"/>
        </w:rPr>
        <w:t>到付或未按要求密封的</w:t>
      </w:r>
      <w:r>
        <w:rPr>
          <w:rFonts w:hint="eastAsia" w:ascii="宋体" w:hAnsi="宋体" w:cs="宋体"/>
          <w:color w:val="auto"/>
          <w:szCs w:val="21"/>
          <w:highlight w:val="none"/>
        </w:rPr>
        <w:t>，采购代理机构将拒绝接收。▲如供应商未在投标截止时间前完成电子投标文件的传输递交，其备份投标文件也将为无效备份投标文件。</w:t>
      </w:r>
    </w:p>
    <w:p w14:paraId="141740FA">
      <w:pPr>
        <w:tabs>
          <w:tab w:val="left" w:pos="1418"/>
        </w:tabs>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（2）电子投标文件的相关说明</w:t>
      </w:r>
    </w:p>
    <w:p w14:paraId="5D671575">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供应商进行电子投标应安装客户端软件，并按照采购文件和电子交易平台的要求编制并加密投标文件。▲供应商未按规定加密的投标文件，电子交易平台将拒收。</w:t>
      </w:r>
    </w:p>
    <w:p w14:paraId="35E9620B">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519ADB0">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供应商在电子交易平台传输递交投标文件后，还可以在投标截止时间前提交备份投标文件，若供应商未提交备份投标文件，其后果由供应商自行承担。</w:t>
      </w:r>
    </w:p>
    <w:p w14:paraId="564EB17C">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▲供应商仅提交备份投标文件的，投标无效。</w:t>
      </w:r>
    </w:p>
    <w:p w14:paraId="6B6AEB25">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（3）如有特殊情况，采购代理机构延长截止时间和开标时间，采购代理机构和投标人的权利和义务将受到新的截止时间和开标时间的约束。</w:t>
      </w:r>
    </w:p>
    <w:p w14:paraId="54F07876">
      <w:pPr>
        <w:tabs>
          <w:tab w:val="left" w:pos="1418"/>
        </w:tabs>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5、投标文件的补充、修改和撤回。</w:t>
      </w:r>
    </w:p>
    <w:p w14:paraId="4C1C8090">
      <w:pPr>
        <w:tabs>
          <w:tab w:val="left" w:pos="1418"/>
        </w:tabs>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w:t>
      </w:r>
      <w:r>
        <w:rPr>
          <w:rFonts w:hint="eastAsia" w:ascii="宋体" w:hAnsi="宋体" w:cs="宋体"/>
          <w:color w:val="auto"/>
          <w:szCs w:val="21"/>
          <w:highlight w:val="none"/>
          <w:lang w:val="en-GB"/>
        </w:rPr>
        <w:t>（</w:t>
      </w:r>
      <w:r>
        <w:rPr>
          <w:rFonts w:hint="eastAsia" w:ascii="宋体" w:hAnsi="宋体" w:cs="宋体"/>
          <w:color w:val="auto"/>
          <w:szCs w:val="21"/>
          <w:highlight w:val="none"/>
        </w:rPr>
        <w:t>1</w:t>
      </w:r>
      <w:r>
        <w:rPr>
          <w:rFonts w:hint="eastAsia" w:ascii="宋体" w:hAnsi="宋体" w:cs="宋体"/>
          <w:color w:val="auto"/>
          <w:szCs w:val="21"/>
          <w:highlight w:val="none"/>
          <w:lang w:val="en-GB"/>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B64C7A6">
      <w:pPr>
        <w:tabs>
          <w:tab w:val="left" w:pos="1418"/>
        </w:tabs>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w:t>
      </w:r>
      <w:r>
        <w:rPr>
          <w:rFonts w:hint="eastAsia" w:ascii="宋体" w:hAnsi="宋体" w:cs="宋体"/>
          <w:color w:val="auto"/>
          <w:szCs w:val="21"/>
          <w:highlight w:val="none"/>
        </w:rPr>
        <w:t>2</w:t>
      </w:r>
      <w:r>
        <w:rPr>
          <w:rFonts w:hint="eastAsia" w:ascii="宋体" w:hAnsi="宋体" w:cs="宋体"/>
          <w:color w:val="auto"/>
          <w:szCs w:val="21"/>
          <w:highlight w:val="none"/>
          <w:lang w:val="en-GB"/>
        </w:rPr>
        <w:t>）投标截止时间后，投标供应商不得撤回、修改投标文件。</w:t>
      </w:r>
    </w:p>
    <w:p w14:paraId="6E068850">
      <w:pPr>
        <w:tabs>
          <w:tab w:val="left" w:pos="1418"/>
        </w:tabs>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（3）</w:t>
      </w:r>
      <w:r>
        <w:rPr>
          <w:rFonts w:hint="eastAsia" w:ascii="宋体" w:hAnsi="宋体" w:cs="宋体"/>
          <w:color w:val="auto"/>
          <w:szCs w:val="21"/>
          <w:highlight w:val="none"/>
          <w:lang w:val="en-GB"/>
        </w:rPr>
        <w:t>在开标后规定的投标有效期内，投标人不能撤销投标文件。</w:t>
      </w:r>
    </w:p>
    <w:p w14:paraId="4E043F27">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（三）投标文件的有效期</w:t>
      </w:r>
    </w:p>
    <w:p w14:paraId="0470D1FD">
      <w:pPr>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▲1、</w:t>
      </w:r>
      <w:r>
        <w:rPr>
          <w:rFonts w:hint="eastAsia" w:ascii="宋体" w:hAnsi="宋体" w:cs="宋体"/>
          <w:color w:val="auto"/>
          <w:szCs w:val="21"/>
          <w:highlight w:val="none"/>
          <w:lang w:val="en-GB"/>
        </w:rPr>
        <w:t>自投标截止日起90天投标文件应保持有效。有效期不足的投标文件将被拒绝。</w:t>
      </w:r>
    </w:p>
    <w:p w14:paraId="29234E2E">
      <w:pPr>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2、</w:t>
      </w:r>
      <w:r>
        <w:rPr>
          <w:rFonts w:hint="eastAsia" w:ascii="宋体" w:hAnsi="宋体" w:cs="宋体"/>
          <w:color w:val="auto"/>
          <w:szCs w:val="21"/>
          <w:highlight w:val="none"/>
          <w:lang w:val="en-GB"/>
        </w:rPr>
        <w:t>在符合相关法律法规规定的情况下，采购人可与投标人协商延长投标文件的有效期，这种要求和答复均以书面形式进行。</w:t>
      </w:r>
    </w:p>
    <w:p w14:paraId="4C3EDA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▲3、中标人的投标文件自开标之日起至合同履行完毕均应保持有效。</w:t>
      </w:r>
    </w:p>
    <w:p w14:paraId="52626ACC">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四、开标</w:t>
      </w:r>
    </w:p>
    <w:p w14:paraId="1D4168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（一）开标事项</w:t>
      </w:r>
    </w:p>
    <w:p w14:paraId="07391680">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采购组织机构在“招标公告”规定的时间和地点公开开标，本次招标采用先评审商务资格和技术服务方案，后公开并评审报价的办法实施。</w:t>
      </w:r>
    </w:p>
    <w:p w14:paraId="0838286B">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特别说明：如遇政府采购云平台电子化开标或评审程序调整的，按调整后程序执行。</w:t>
      </w:r>
    </w:p>
    <w:p w14:paraId="084C0AF1">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采购过程中出现以下情形，导致电子交易平台无法正常运行，或者无法保证电子交易的公平、公正和安全时，采购组织机构可中止电子交易活动：</w:t>
      </w:r>
    </w:p>
    <w:p w14:paraId="46BC0DA2">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（1）电子交易平台发生故障而无法登录访问的；</w:t>
      </w:r>
    </w:p>
    <w:p w14:paraId="16C69B33">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2F9FAC9B">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5661AD21">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（4）病毒导致不能进行正常操作的；</w:t>
      </w:r>
    </w:p>
    <w:p w14:paraId="7AFEA7CA">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14:paraId="3596A137">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760D13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 开标程序</w:t>
      </w:r>
    </w:p>
    <w:p w14:paraId="443694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1、开标会由招标项目负责人主持，主持人宣布开标会议开始；</w:t>
      </w:r>
    </w:p>
    <w:p w14:paraId="65329B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2、主持人介绍参加开标会的人员名单；</w:t>
      </w:r>
    </w:p>
    <w:p w14:paraId="1F7DB4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3、主持人宣布评标期间的有关事项，告知应当回避的情形，提请有关人员回避；对投标人进行签到验证。</w:t>
      </w:r>
    </w:p>
    <w:p w14:paraId="71F74C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5F419B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5、采购组织机构点击【开启标书信息】，开启标书成功后进入开标流程。</w:t>
      </w:r>
    </w:p>
    <w:p w14:paraId="6CDA1D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6、资格及商务技术文件评审；</w:t>
      </w:r>
    </w:p>
    <w:p w14:paraId="23559A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7、由主持人公布无效投标的投标人名单、投标无效的原因及其他有效投标的评分汇总分；</w:t>
      </w:r>
    </w:p>
    <w:p w14:paraId="2810F7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8、开启报价响应文件：采购代理机构成功开启报价响应文件后，方可查看各投标人报价情况。</w:t>
      </w:r>
    </w:p>
    <w:p w14:paraId="6A7CD8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9、报价文件评审；</w:t>
      </w:r>
    </w:p>
    <w:p w14:paraId="77140A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10、由主持人公布无效投标的投标人名单、投标无效的原因及其他有效投标的报价文件得分；</w:t>
      </w:r>
    </w:p>
    <w:p w14:paraId="6E305C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11、宣布综合得分结果及中标候选人名单；</w:t>
      </w:r>
    </w:p>
    <w:p w14:paraId="0FD5A6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12、开标会议结束。</w:t>
      </w:r>
    </w:p>
    <w:p w14:paraId="59F8707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五、评标</w:t>
      </w:r>
    </w:p>
    <w:p w14:paraId="2600B4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本项目采用电子评审方法，评标的依据为招标文件和投标文件。</w:t>
      </w:r>
    </w:p>
    <w:p w14:paraId="0CC27DC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（一）组建评标委员会</w:t>
      </w:r>
    </w:p>
    <w:p w14:paraId="29C932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评标委员会由采购人代表和评审专家组成，成员人数为5人以上单数，其中评审专家不得少于成员总数的三分之二。</w:t>
      </w:r>
    </w:p>
    <w:p w14:paraId="67D337E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（二）评标程序</w:t>
      </w:r>
    </w:p>
    <w:p w14:paraId="10343B97">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1、资格审查</w:t>
      </w:r>
    </w:p>
    <w:p w14:paraId="37A04F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74F46C7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2、符合性审查</w:t>
      </w:r>
    </w:p>
    <w:p w14:paraId="388E88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69BE05B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3、综合比较与评价</w:t>
      </w:r>
    </w:p>
    <w:p w14:paraId="47365B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（1）对于投标文件中含义不明确、同类问题表述不一致或者有明显文字和计算错误的内容，评标委员会应当以书面形式要求投标人作出必要的澄清、说明或者补正。</w:t>
      </w:r>
    </w:p>
    <w:p w14:paraId="1161D8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（2）评标委员会应当按照招标文件中规定的评标方法和标准，对符合性审查合格的投标文件进行商务和技术评估，综合比较与评价。</w:t>
      </w:r>
    </w:p>
    <w:p w14:paraId="73B08C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（3）评标时，评标委员会各成员应当独立对每个投标人的投标文件进行评价，并汇总每个投标人的得分。</w:t>
      </w:r>
    </w:p>
    <w:p w14:paraId="6E8EFB4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4、得分确认及评审报告编写</w:t>
      </w:r>
    </w:p>
    <w:p w14:paraId="2D99CE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（1）评标委员会对报价文件进行复核，对于系统计算出的价格分及总得分进行确认；</w:t>
      </w:r>
    </w:p>
    <w:p w14:paraId="447569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（2）评标委员会应当按照招标文件中规定的评标方法和标准，对符合性审查合格的投标文件进行商务和技术评估，综合比较与评价。</w:t>
      </w:r>
    </w:p>
    <w:p w14:paraId="1945AE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（3）评标委员会按评标原则及得分情况编写评审报告。</w:t>
      </w:r>
    </w:p>
    <w:p w14:paraId="0F39B6D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5、评价</w:t>
      </w:r>
    </w:p>
    <w:p w14:paraId="560893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采购组织机构对评标委员会评审专家进行评价。</w:t>
      </w:r>
    </w:p>
    <w:p w14:paraId="3AC68B7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（三）澄清问题的形式</w:t>
      </w:r>
    </w:p>
    <w:p w14:paraId="737801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投标人的澄清、说明或者补正应当采用书面形式，并加盖公章或者由法定代表人或授权委托代理人签字，并不得超出投标文件的范围或者改变投标文件的实质性内容。</w:t>
      </w:r>
    </w:p>
    <w:p w14:paraId="4CC3CDC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（四）错误修正</w:t>
      </w:r>
    </w:p>
    <w:p w14:paraId="010649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投标文件报价出现前后不一致的，除招标文件另有规定外，按照下列规定修正：</w:t>
      </w:r>
    </w:p>
    <w:p w14:paraId="2E0E76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开标一览表（报价表）内容与投标文件中相应内容不一致的，以开标一览表（报价表）为准。政采云平台开标一览表中填报的价格与上传的报价响应文件中开标一览表的报价不一致的，以上传的报价响应文件中开标一览表的价格为准，修正平台上的投标报价；</w:t>
      </w:r>
    </w:p>
    <w:p w14:paraId="0EBE96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122E8B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14:paraId="494DA2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71DD37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▲同时出现两种以上不一致的，按照前款规定的顺序修正。修正应当采用书面形式，并加盖公章，或者由法定代表人或授权委托代理人签字。修正后的报价经投标人确认后产生约束力，投标人不确认</w:t>
      </w:r>
      <w:r>
        <w:rPr>
          <w:rFonts w:hint="eastAsia" w:cs="宋体"/>
          <w:color w:val="auto"/>
          <w:szCs w:val="21"/>
          <w:highlight w:val="none"/>
        </w:rPr>
        <w:t>或未在规定时间内进行有效澄清</w:t>
      </w:r>
      <w:r>
        <w:rPr>
          <w:rFonts w:hint="eastAsia" w:ascii="宋体" w:hAnsi="宋体" w:cs="宋体"/>
          <w:color w:val="auto"/>
          <w:szCs w:val="21"/>
          <w:highlight w:val="none"/>
        </w:rPr>
        <w:t>的，其投标无效。</w:t>
      </w:r>
    </w:p>
    <w:p w14:paraId="76B0BFAC">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（五）投标人存在下列情况之一的，投标无效</w:t>
      </w:r>
    </w:p>
    <w:p w14:paraId="7897D9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599FDE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2、不具备招标文件中规定的资格要求的。</w:t>
      </w:r>
      <w:r>
        <w:rPr>
          <w:rFonts w:hint="eastAsia" w:ascii="宋体" w:hAnsi="宋体" w:cs="宋体"/>
          <w:color w:val="auto"/>
          <w:szCs w:val="21"/>
          <w:highlight w:val="none"/>
        </w:rPr>
        <w:tab/>
      </w:r>
    </w:p>
    <w:p w14:paraId="71A76D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3、投标文件含有采购人不能接受的附加条件的。</w:t>
      </w:r>
    </w:p>
    <w:p w14:paraId="7ADEB8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4、投标人的授权委托代理人未能出具身份证明或与法定代表人授权委托人身份不符的；</w:t>
      </w:r>
    </w:p>
    <w:p w14:paraId="42C3B8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5、投标人的电子投标文件无法按时解密的。</w:t>
      </w:r>
    </w:p>
    <w:p w14:paraId="5F90A5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6、电子投标文件解密失败的，且未在规定时间内提交备份投标文件的；</w:t>
      </w:r>
    </w:p>
    <w:p w14:paraId="44CC67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7、电子投标文件未按规定要求提供电子签章的；</w:t>
      </w:r>
    </w:p>
    <w:p w14:paraId="0DCADE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49B92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9、报价超过招标文件中规定的预算价/最高限(单)价。 </w:t>
      </w:r>
    </w:p>
    <w:p w14:paraId="398706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10、投标参数未如实填写，完全复制粘贴招标参数的。</w:t>
      </w:r>
    </w:p>
    <w:p w14:paraId="549565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11、投标文件提供虚假材料的。 </w:t>
      </w:r>
    </w:p>
    <w:p w14:paraId="2A460A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12、不符合中华人民共和国财政部令第87号《政府采购货物和服务招标投标管理办法》第三十七条情形之一的，视为投标人串通投标，其投标无效，并移送采购监管部门：</w:t>
      </w:r>
    </w:p>
    <w:p w14:paraId="29DB89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w:t>
      </w:r>
    </w:p>
    <w:p w14:paraId="143554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59C6BB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（3）不同投标人的投标文件载明的项目管理成员或者联系人员为同一人；</w:t>
      </w:r>
    </w:p>
    <w:p w14:paraId="144893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0D6D9C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553B77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13、不同供应商的电子投标（响应）文件上传计算机的网卡MAC地址或硬盘序列号等硬件信息相同且无法合理解释的；</w:t>
      </w:r>
    </w:p>
    <w:p w14:paraId="4EB2C2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14、上传的电子投标（响应）文件若出现使用本项目其他投标（响应）供应商的数字证书加密的，或者加盖本项目其他投标（响应）供应商的电子印章的；</w:t>
      </w:r>
    </w:p>
    <w:p w14:paraId="77C998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15、不同供应商的投标（响应）文件的内容存在3处（含）以上错误一致的；</w:t>
      </w:r>
    </w:p>
    <w:p w14:paraId="3F1F0C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16、不同供应商联系人为同一人或不同联系人的联系电话一致的。</w:t>
      </w:r>
    </w:p>
    <w:p w14:paraId="0200BD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17、不符合法律、法规和招标文件中规定的其他实质性要求的（招标文件中打“▲”内容及被拒绝的条款）。</w:t>
      </w:r>
    </w:p>
    <w:p w14:paraId="26387854">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（六）有下列情况之一的，本次招标作为废标处理</w:t>
      </w:r>
    </w:p>
    <w:p w14:paraId="380A43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1、出现影响采购公正的违法、违规行为的；</w:t>
      </w:r>
    </w:p>
    <w:p w14:paraId="027FD3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2、评标委员会发现招标文件存在歧义、重大缺陷导致评标工作无法进行，或者招标文件内容违反国家有关强制性规定的；</w:t>
      </w:r>
    </w:p>
    <w:p w14:paraId="7645FE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3、因重大变故，采购任务取消的；</w:t>
      </w:r>
    </w:p>
    <w:p w14:paraId="093FFA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4、法律、法规和招标文件规定的其他导致评标结果无效的。</w:t>
      </w:r>
    </w:p>
    <w:p w14:paraId="3785478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（七）评标原则和评标办法</w:t>
      </w:r>
    </w:p>
    <w:p w14:paraId="609121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B44D5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2、评标办法。具体评标内容及评分标准等详见《第三章：评标办法及评分标准》。</w:t>
      </w:r>
    </w:p>
    <w:p w14:paraId="2A95EB5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（八）评标过程的监控</w:t>
      </w:r>
    </w:p>
    <w:p w14:paraId="284611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本项目评标过程实行全程录音、录像监控，政府采购监管部门视情进行现场监督，投标人在评标过程中所进行的试图影响评标结果的不公正活动，可能导致其投标被拒绝。</w:t>
      </w:r>
    </w:p>
    <w:p w14:paraId="34E9700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六、定标</w:t>
      </w:r>
    </w:p>
    <w:p w14:paraId="7EB12E1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108F7AD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53B750D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3、发出中标通知书。采购组织机构在发布中标结果的同时，向中标人发出中标通知书。</w:t>
      </w:r>
    </w:p>
    <w:p w14:paraId="3DAFCC11">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C0481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招标代理费：按照中标通知书确定的中标金额，按下附表收费标准，采用差额累进算法向中标单位收取代理服务费。代理服务费结算不足陆仟元的，按定额陆仟元收取。该费用中标方须在领取中标通知书时一次性付清。（单位名称：台州永安工程咨询有限公司；人民币账号：530125998900015；开户行：台州银行黄岩工业园区支行）</w:t>
      </w:r>
    </w:p>
    <w:p w14:paraId="3B2D008E">
      <w:pPr>
        <w:jc w:val="center"/>
        <w:rPr>
          <w:rFonts w:ascii="宋体" w:hAnsi="宋体" w:cs="宋体"/>
          <w:b/>
          <w:bCs/>
          <w:color w:val="auto"/>
          <w:szCs w:val="21"/>
          <w:highlight w:val="none"/>
        </w:rPr>
      </w:pPr>
      <w:r>
        <w:rPr>
          <w:rFonts w:hint="eastAsia" w:ascii="宋体" w:hAnsi="宋体" w:cs="宋体"/>
          <w:b/>
          <w:bCs/>
          <w:color w:val="auto"/>
          <w:szCs w:val="21"/>
          <w:highlight w:val="none"/>
        </w:rPr>
        <w:t>附表：招标代理服务收费标准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72A8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072DBDC5">
            <w:pPr>
              <w:ind w:firstLine="1470" w:firstLineChars="700"/>
              <w:rPr>
                <w:rFonts w:ascii="宋体" w:hAnsi="宋体" w:cs="宋体"/>
                <w:b/>
                <w:color w:val="auto"/>
                <w:szCs w:val="21"/>
                <w:highlight w:val="none"/>
              </w:rPr>
            </w:pPr>
            <w:r>
              <w:rPr>
                <w:rFonts w:ascii="宋体" w:hAnsi="宋体" w:cs="宋体"/>
                <w:color w:val="auto"/>
                <w:highlight w:val="none"/>
              </w:rPr>
              <w:pict>
                <v:line id="_x0000_s1026" o:spid="_x0000_s1026" o:spt="20" style="position:absolute;left:0pt;flip:x y;margin-left:-4.6pt;margin-top:1.7pt;height:57.1pt;width:127.5pt;z-index:251664384;mso-width-relative:page;mso-height-relative:page;"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eVfUAAAACAEAAA8AAAAAAAAAAQAg&#10;AAAAIgAAAGRycy9kb3ducmV2LnhtbFBLAQIUABQAAAAIAIdO4kBz4/Q4EgIAAAQEAAAOAAAAAAAA&#10;AAEAIAAAACMBAABkcnMvZTJvRG9jLnhtbFBLBQYAAAAABgAGAFkBAACnBQAAAAA=&#10;">
                  <v:path arrowok="t"/>
                  <v:fill focussize="0,0"/>
                  <v:stroke/>
                  <v:imagedata o:title=""/>
                  <o:lock v:ext="edit"/>
                </v:line>
              </w:pict>
            </w:r>
            <w:r>
              <w:rPr>
                <w:rFonts w:ascii="宋体" w:hAnsi="宋体" w:cs="宋体"/>
                <w:color w:val="auto"/>
                <w:highlight w:val="none"/>
              </w:rPr>
              <w:pict>
                <v:line id="_x0000_s1028" o:spid="_x0000_s1028" o:spt="20" style="position:absolute;left:0pt;margin-left:50.8pt;margin-top:0pt;height:58.25pt;width:72.65pt;z-index:251663360;mso-width-relative:page;mso-height-relative:page;"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4BhXtUAAAAIAQAADwAAAAAAAAABACAAAAAiAAAAZHJz&#10;L2Rvd25yZXYueG1sUEsBAhQAFAAAAAgAh07iQGx8WwoHAgAA8AMAAA4AAAAAAAAAAQAgAAAAJAEA&#10;AGRycy9lMm9Eb2MueG1sUEsFBgAAAAAGAAYAWQEAAJ0FAAAAAA==&#10;">
                  <v:path arrowok="t"/>
                  <v:fill focussize="0,0"/>
                  <v:stroke/>
                  <v:imagedata o:title=""/>
                  <o:lock v:ext="edit"/>
                </v:line>
              </w:pict>
            </w:r>
            <w:r>
              <w:rPr>
                <w:rFonts w:ascii="宋体" w:hAnsi="宋体" w:cs="宋体"/>
                <w:b/>
                <w:color w:val="auto"/>
                <w:szCs w:val="21"/>
                <w:highlight w:val="none"/>
              </w:rPr>
              <w:pict>
                <v:line id="_x0000_s1027" o:spid="_x0000_s1027" o:spt="20" style="position:absolute;left:0pt;margin-left:-9pt;margin-top:-0.5pt;height:0pt;width:0.05pt;z-index:251662336;mso-width-relative:page;mso-height-relative:page;"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path arrowok="t"/>
                  <v:fill focussize="0,0"/>
                  <v:stroke/>
                  <v:imagedata o:title=""/>
                  <o:lock v:ext="edit"/>
                </v:line>
              </w:pict>
            </w:r>
            <w:r>
              <w:rPr>
                <w:rFonts w:hint="eastAsia" w:ascii="宋体" w:hAnsi="宋体" w:cs="宋体"/>
                <w:b/>
                <w:color w:val="auto"/>
                <w:szCs w:val="21"/>
                <w:highlight w:val="none"/>
              </w:rPr>
              <w:t>服务</w:t>
            </w:r>
          </w:p>
          <w:p w14:paraId="0112589D">
            <w:pPr>
              <w:ind w:firstLine="1054" w:firstLineChars="500"/>
              <w:rPr>
                <w:rFonts w:ascii="宋体" w:hAnsi="宋体" w:cs="宋体"/>
                <w:b/>
                <w:color w:val="auto"/>
                <w:szCs w:val="21"/>
                <w:highlight w:val="none"/>
              </w:rPr>
            </w:pPr>
            <w:r>
              <w:rPr>
                <w:rFonts w:hint="eastAsia" w:ascii="宋体" w:hAnsi="宋体" w:cs="宋体"/>
                <w:b/>
                <w:color w:val="auto"/>
                <w:szCs w:val="21"/>
                <w:highlight w:val="none"/>
              </w:rPr>
              <w:t>费　　类型</w:t>
            </w:r>
          </w:p>
          <w:p w14:paraId="40B218EB">
            <w:pPr>
              <w:ind w:firstLine="1476" w:firstLineChars="700"/>
              <w:rPr>
                <w:rFonts w:ascii="宋体" w:hAnsi="宋体" w:cs="宋体"/>
                <w:b/>
                <w:color w:val="auto"/>
                <w:szCs w:val="21"/>
                <w:highlight w:val="none"/>
              </w:rPr>
            </w:pPr>
            <w:r>
              <w:rPr>
                <w:rFonts w:hint="eastAsia" w:ascii="宋体" w:hAnsi="宋体" w:cs="宋体"/>
                <w:b/>
                <w:color w:val="auto"/>
                <w:szCs w:val="21"/>
                <w:highlight w:val="none"/>
              </w:rPr>
              <w:t>率</w:t>
            </w:r>
          </w:p>
          <w:p w14:paraId="5C7DAAFD">
            <w:pPr>
              <w:rPr>
                <w:rFonts w:ascii="宋体" w:hAnsi="宋体" w:cs="宋体"/>
                <w:b/>
                <w:color w:val="auto"/>
                <w:szCs w:val="21"/>
                <w:highlight w:val="none"/>
              </w:rPr>
            </w:pPr>
            <w:r>
              <w:rPr>
                <w:rFonts w:hint="eastAsia" w:ascii="宋体" w:hAnsi="宋体" w:cs="宋体"/>
                <w:b/>
                <w:color w:val="auto"/>
                <w:szCs w:val="21"/>
                <w:highlight w:val="none"/>
              </w:rPr>
              <w:t>中标金额（万元）</w:t>
            </w:r>
          </w:p>
        </w:tc>
        <w:tc>
          <w:tcPr>
            <w:tcW w:w="2067" w:type="dxa"/>
            <w:vAlign w:val="center"/>
          </w:tcPr>
          <w:p w14:paraId="72F209C7">
            <w:pPr>
              <w:jc w:val="center"/>
              <w:rPr>
                <w:rFonts w:ascii="宋体" w:hAnsi="宋体" w:cs="宋体"/>
                <w:b/>
                <w:color w:val="auto"/>
                <w:szCs w:val="21"/>
                <w:highlight w:val="none"/>
              </w:rPr>
            </w:pPr>
            <w:r>
              <w:rPr>
                <w:rFonts w:hint="eastAsia" w:ascii="宋体" w:hAnsi="宋体" w:cs="宋体"/>
                <w:b/>
                <w:color w:val="auto"/>
                <w:szCs w:val="21"/>
                <w:highlight w:val="none"/>
              </w:rPr>
              <w:t>货物招标</w:t>
            </w:r>
          </w:p>
        </w:tc>
      </w:tr>
      <w:tr w14:paraId="714A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FBD29FC">
            <w:pPr>
              <w:jc w:val="center"/>
              <w:rPr>
                <w:rFonts w:ascii="宋体" w:hAnsi="宋体" w:cs="宋体"/>
                <w:color w:val="auto"/>
                <w:szCs w:val="21"/>
                <w:highlight w:val="none"/>
              </w:rPr>
            </w:pPr>
            <w:r>
              <w:rPr>
                <w:rFonts w:hint="eastAsia" w:ascii="宋体" w:hAnsi="宋体" w:cs="宋体"/>
                <w:color w:val="auto"/>
                <w:szCs w:val="21"/>
                <w:highlight w:val="none"/>
              </w:rPr>
              <w:t>100以下</w:t>
            </w:r>
          </w:p>
        </w:tc>
        <w:tc>
          <w:tcPr>
            <w:tcW w:w="2067" w:type="dxa"/>
          </w:tcPr>
          <w:p w14:paraId="4C372B4A">
            <w:pPr>
              <w:jc w:val="center"/>
              <w:rPr>
                <w:rFonts w:ascii="宋体" w:hAnsi="宋体" w:cs="宋体"/>
                <w:color w:val="auto"/>
                <w:szCs w:val="21"/>
                <w:highlight w:val="none"/>
              </w:rPr>
            </w:pPr>
            <w:r>
              <w:rPr>
                <w:rFonts w:hint="eastAsia" w:ascii="宋体" w:hAnsi="宋体" w:cs="宋体"/>
                <w:color w:val="auto"/>
                <w:szCs w:val="21"/>
                <w:highlight w:val="none"/>
              </w:rPr>
              <w:t>1.5%</w:t>
            </w:r>
          </w:p>
        </w:tc>
      </w:tr>
      <w:tr w14:paraId="0AA2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11098BE">
            <w:pPr>
              <w:jc w:val="center"/>
              <w:rPr>
                <w:rFonts w:ascii="宋体" w:hAnsi="宋体" w:cs="宋体"/>
                <w:color w:val="auto"/>
                <w:szCs w:val="21"/>
                <w:highlight w:val="none"/>
              </w:rPr>
            </w:pPr>
            <w:r>
              <w:rPr>
                <w:rFonts w:hint="eastAsia" w:ascii="宋体" w:hAnsi="宋体" w:cs="宋体"/>
                <w:color w:val="auto"/>
                <w:szCs w:val="21"/>
                <w:highlight w:val="none"/>
              </w:rPr>
              <w:t>100-500</w:t>
            </w:r>
          </w:p>
        </w:tc>
        <w:tc>
          <w:tcPr>
            <w:tcW w:w="2067" w:type="dxa"/>
          </w:tcPr>
          <w:p w14:paraId="3002B5D6">
            <w:pPr>
              <w:jc w:val="center"/>
              <w:rPr>
                <w:rFonts w:ascii="宋体" w:hAnsi="宋体" w:cs="宋体"/>
                <w:color w:val="auto"/>
                <w:szCs w:val="21"/>
                <w:highlight w:val="none"/>
              </w:rPr>
            </w:pPr>
            <w:r>
              <w:rPr>
                <w:rFonts w:hint="eastAsia" w:ascii="宋体" w:hAnsi="宋体" w:cs="宋体"/>
                <w:color w:val="auto"/>
                <w:szCs w:val="21"/>
                <w:highlight w:val="none"/>
              </w:rPr>
              <w:t>1.1%</w:t>
            </w:r>
          </w:p>
        </w:tc>
      </w:tr>
      <w:tr w14:paraId="140E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BCA0C42">
            <w:pPr>
              <w:jc w:val="center"/>
              <w:rPr>
                <w:rFonts w:ascii="宋体" w:hAnsi="宋体" w:cs="宋体"/>
                <w:color w:val="auto"/>
                <w:szCs w:val="21"/>
                <w:highlight w:val="none"/>
              </w:rPr>
            </w:pPr>
            <w:r>
              <w:rPr>
                <w:rFonts w:hint="eastAsia" w:ascii="宋体" w:hAnsi="宋体" w:cs="宋体"/>
                <w:color w:val="auto"/>
                <w:szCs w:val="21"/>
                <w:highlight w:val="none"/>
              </w:rPr>
              <w:t>500-1000</w:t>
            </w:r>
          </w:p>
        </w:tc>
        <w:tc>
          <w:tcPr>
            <w:tcW w:w="2067" w:type="dxa"/>
          </w:tcPr>
          <w:p w14:paraId="2D058F6F">
            <w:pPr>
              <w:jc w:val="center"/>
              <w:rPr>
                <w:rFonts w:ascii="宋体" w:hAnsi="宋体" w:cs="宋体"/>
                <w:color w:val="auto"/>
                <w:szCs w:val="21"/>
                <w:highlight w:val="none"/>
              </w:rPr>
            </w:pPr>
            <w:r>
              <w:rPr>
                <w:rFonts w:hint="eastAsia" w:ascii="宋体" w:hAnsi="宋体" w:cs="宋体"/>
                <w:color w:val="auto"/>
                <w:szCs w:val="21"/>
                <w:highlight w:val="none"/>
              </w:rPr>
              <w:t>0.8%</w:t>
            </w:r>
          </w:p>
        </w:tc>
      </w:tr>
      <w:tr w14:paraId="463C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208FD9D">
            <w:pPr>
              <w:jc w:val="center"/>
              <w:rPr>
                <w:rFonts w:ascii="宋体" w:hAnsi="宋体" w:cs="宋体"/>
                <w:color w:val="auto"/>
                <w:szCs w:val="21"/>
                <w:highlight w:val="none"/>
              </w:rPr>
            </w:pPr>
            <w:r>
              <w:rPr>
                <w:rFonts w:hint="eastAsia" w:ascii="宋体" w:hAnsi="宋体" w:cs="宋体"/>
                <w:color w:val="auto"/>
                <w:szCs w:val="21"/>
                <w:highlight w:val="none"/>
              </w:rPr>
              <w:t>1000-5000</w:t>
            </w:r>
          </w:p>
        </w:tc>
        <w:tc>
          <w:tcPr>
            <w:tcW w:w="2067" w:type="dxa"/>
          </w:tcPr>
          <w:p w14:paraId="1E2F045D">
            <w:pPr>
              <w:jc w:val="center"/>
              <w:rPr>
                <w:rFonts w:ascii="宋体" w:hAnsi="宋体" w:cs="宋体"/>
                <w:color w:val="auto"/>
                <w:szCs w:val="21"/>
                <w:highlight w:val="none"/>
              </w:rPr>
            </w:pPr>
            <w:r>
              <w:rPr>
                <w:rFonts w:hint="eastAsia" w:ascii="宋体" w:hAnsi="宋体" w:cs="宋体"/>
                <w:color w:val="auto"/>
                <w:szCs w:val="21"/>
                <w:highlight w:val="none"/>
              </w:rPr>
              <w:t>0.5%</w:t>
            </w:r>
          </w:p>
        </w:tc>
      </w:tr>
      <w:tr w14:paraId="1B0A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805C044">
            <w:pPr>
              <w:jc w:val="center"/>
              <w:rPr>
                <w:rFonts w:ascii="宋体" w:hAnsi="宋体" w:cs="宋体"/>
                <w:color w:val="auto"/>
                <w:szCs w:val="21"/>
                <w:highlight w:val="none"/>
              </w:rPr>
            </w:pPr>
            <w:r>
              <w:rPr>
                <w:rFonts w:hint="eastAsia" w:ascii="宋体" w:hAnsi="宋体" w:cs="宋体"/>
                <w:color w:val="auto"/>
                <w:szCs w:val="21"/>
                <w:highlight w:val="none"/>
              </w:rPr>
              <w:t>5000-10000</w:t>
            </w:r>
          </w:p>
        </w:tc>
        <w:tc>
          <w:tcPr>
            <w:tcW w:w="2067" w:type="dxa"/>
          </w:tcPr>
          <w:p w14:paraId="32D41512">
            <w:pPr>
              <w:jc w:val="center"/>
              <w:rPr>
                <w:rFonts w:ascii="宋体" w:hAnsi="宋体" w:cs="宋体"/>
                <w:color w:val="auto"/>
                <w:szCs w:val="21"/>
                <w:highlight w:val="none"/>
              </w:rPr>
            </w:pPr>
            <w:r>
              <w:rPr>
                <w:rFonts w:hint="eastAsia" w:ascii="宋体" w:hAnsi="宋体" w:cs="宋体"/>
                <w:color w:val="auto"/>
                <w:szCs w:val="21"/>
                <w:highlight w:val="none"/>
              </w:rPr>
              <w:t>0.25%</w:t>
            </w:r>
          </w:p>
        </w:tc>
      </w:tr>
      <w:tr w14:paraId="3AE2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4DCB382">
            <w:pPr>
              <w:jc w:val="center"/>
              <w:rPr>
                <w:rFonts w:ascii="宋体" w:hAnsi="宋体" w:cs="宋体"/>
                <w:color w:val="auto"/>
                <w:szCs w:val="21"/>
                <w:highlight w:val="none"/>
              </w:rPr>
            </w:pPr>
            <w:r>
              <w:rPr>
                <w:rFonts w:hint="eastAsia" w:ascii="宋体" w:hAnsi="宋体" w:cs="宋体"/>
                <w:color w:val="auto"/>
                <w:szCs w:val="21"/>
                <w:highlight w:val="none"/>
              </w:rPr>
              <w:t>10000-100000</w:t>
            </w:r>
          </w:p>
        </w:tc>
        <w:tc>
          <w:tcPr>
            <w:tcW w:w="2067" w:type="dxa"/>
          </w:tcPr>
          <w:p w14:paraId="660D9B8D">
            <w:pPr>
              <w:jc w:val="center"/>
              <w:rPr>
                <w:rFonts w:ascii="宋体" w:hAnsi="宋体" w:cs="宋体"/>
                <w:color w:val="auto"/>
                <w:szCs w:val="21"/>
                <w:highlight w:val="none"/>
              </w:rPr>
            </w:pPr>
            <w:r>
              <w:rPr>
                <w:rFonts w:hint="eastAsia" w:ascii="宋体" w:hAnsi="宋体" w:cs="宋体"/>
                <w:color w:val="auto"/>
                <w:szCs w:val="21"/>
                <w:highlight w:val="none"/>
              </w:rPr>
              <w:t>0.05%</w:t>
            </w:r>
          </w:p>
        </w:tc>
      </w:tr>
      <w:tr w14:paraId="4172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724CC0F0">
            <w:pPr>
              <w:jc w:val="center"/>
              <w:rPr>
                <w:rFonts w:ascii="宋体" w:hAnsi="宋体" w:cs="宋体"/>
                <w:color w:val="auto"/>
                <w:szCs w:val="21"/>
                <w:highlight w:val="none"/>
              </w:rPr>
            </w:pPr>
            <w:r>
              <w:rPr>
                <w:rFonts w:hint="eastAsia" w:ascii="宋体" w:hAnsi="宋体" w:cs="宋体"/>
                <w:color w:val="auto"/>
                <w:szCs w:val="21"/>
                <w:highlight w:val="none"/>
              </w:rPr>
              <w:t>100000以上</w:t>
            </w:r>
          </w:p>
        </w:tc>
        <w:tc>
          <w:tcPr>
            <w:tcW w:w="2067" w:type="dxa"/>
          </w:tcPr>
          <w:p w14:paraId="53BEA373">
            <w:pPr>
              <w:jc w:val="center"/>
              <w:rPr>
                <w:rFonts w:ascii="宋体" w:hAnsi="宋体" w:cs="宋体"/>
                <w:color w:val="auto"/>
                <w:szCs w:val="21"/>
                <w:highlight w:val="none"/>
              </w:rPr>
            </w:pPr>
            <w:r>
              <w:rPr>
                <w:rFonts w:hint="eastAsia" w:ascii="宋体" w:hAnsi="宋体" w:cs="宋体"/>
                <w:color w:val="auto"/>
                <w:szCs w:val="21"/>
                <w:highlight w:val="none"/>
              </w:rPr>
              <w:t>0.01%</w:t>
            </w:r>
          </w:p>
        </w:tc>
      </w:tr>
    </w:tbl>
    <w:p w14:paraId="608AF1B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七、合同签订及公告</w:t>
      </w:r>
    </w:p>
    <w:p w14:paraId="0233509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（一）签订合同</w:t>
      </w:r>
    </w:p>
    <w:p w14:paraId="61095B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51846C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2、采购人不得向中标人提出任何不合理的要求作为签订合同的条件。</w:t>
      </w:r>
    </w:p>
    <w:p w14:paraId="10CDBB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3、中标供应商无故拖延、拒签合同的,取消中标资格。</w:t>
      </w:r>
    </w:p>
    <w:p w14:paraId="2281C9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20CD72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5、询问或者质疑事项可能影响中标结果的，采购人应当暂停签订合同，已经签订合同的，应当中止履行合同（中标结果的质疑期为中标结果公告期限届满之日起七个工作日）。</w:t>
      </w:r>
    </w:p>
    <w:p w14:paraId="7B3C1E97">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（二）合同公告及备案</w:t>
      </w:r>
    </w:p>
    <w:p w14:paraId="77B936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1、采购人应当自政府采购合同签订之日起2个工作日内，在省级以上财政部门指定的政府采购信息发布媒体及相关网站上公告。</w:t>
      </w:r>
    </w:p>
    <w:p w14:paraId="58B547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2、采购人应当自政府采购合同签订之日起7个工作日内，将政府采购合同副本报同级人民政府财政部门备案以及采购组织机构存档。</w:t>
      </w:r>
    </w:p>
    <w:p w14:paraId="6452D839">
      <w:pPr>
        <w:spacing w:line="360" w:lineRule="auto"/>
        <w:rPr>
          <w:rFonts w:ascii="宋体" w:hAnsi="宋体" w:cs="宋体"/>
          <w:b/>
          <w:color w:val="auto"/>
          <w:sz w:val="36"/>
          <w:szCs w:val="36"/>
          <w:highlight w:val="none"/>
        </w:rPr>
      </w:pPr>
    </w:p>
    <w:p w14:paraId="1D33C7D7">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6D2449AD">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第三章 评标办法及评分标准</w:t>
      </w:r>
    </w:p>
    <w:p w14:paraId="39C0F7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一、采购组织机构将组织评标委员会，对投标人提供的投标文件进行综合评审。</w:t>
      </w:r>
    </w:p>
    <w:p w14:paraId="0611A4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二、本次招标项目的评标方法为综合评分法，总计100分，其中</w:t>
      </w:r>
      <w:r>
        <w:rPr>
          <w:rFonts w:hint="eastAsia" w:ascii="宋体" w:hAnsi="宋体" w:cs="宋体"/>
          <w:color w:val="auto"/>
          <w:szCs w:val="21"/>
          <w:highlight w:val="none"/>
          <w:lang w:val="zh-CN"/>
        </w:rPr>
        <w:t>商务技术文件分值</w:t>
      </w:r>
      <w:r>
        <w:rPr>
          <w:rFonts w:hint="eastAsia" w:ascii="宋体" w:hAnsi="宋体" w:cs="宋体"/>
          <w:color w:val="auto"/>
          <w:szCs w:val="21"/>
          <w:highlight w:val="none"/>
        </w:rPr>
        <w:t>70</w:t>
      </w:r>
      <w:r>
        <w:rPr>
          <w:rFonts w:hint="eastAsia" w:ascii="宋体" w:hAnsi="宋体" w:cs="宋体"/>
          <w:color w:val="auto"/>
          <w:szCs w:val="21"/>
          <w:highlight w:val="none"/>
          <w:lang w:val="zh-CN"/>
        </w:rPr>
        <w:t>分，投标报价分值</w:t>
      </w:r>
      <w:r>
        <w:rPr>
          <w:rFonts w:hint="eastAsia" w:ascii="宋体" w:hAnsi="宋体" w:cs="宋体"/>
          <w:color w:val="auto"/>
          <w:szCs w:val="21"/>
          <w:highlight w:val="none"/>
        </w:rPr>
        <w:t>30</w:t>
      </w:r>
      <w:r>
        <w:rPr>
          <w:rFonts w:hint="eastAsia" w:ascii="宋体" w:hAnsi="宋体" w:cs="宋体"/>
          <w:color w:val="auto"/>
          <w:szCs w:val="21"/>
          <w:highlight w:val="none"/>
          <w:lang w:val="zh-CN"/>
        </w:rPr>
        <w:t>分</w:t>
      </w:r>
      <w:r>
        <w:rPr>
          <w:rFonts w:hint="eastAsia" w:ascii="宋体" w:hAnsi="宋体" w:cs="宋体"/>
          <w:color w:val="auto"/>
          <w:szCs w:val="21"/>
          <w:highlight w:val="none"/>
        </w:rPr>
        <w:t>。评标标准按评分细化条款及分值进行评审。</w:t>
      </w:r>
    </w:p>
    <w:p w14:paraId="2776058C">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（一）商务技术文件中的客观分应由评审小组成员独立评审，</w:t>
      </w:r>
      <w:r>
        <w:rPr>
          <w:rFonts w:hint="eastAsia" w:ascii="宋体" w:hAnsi="宋体" w:cs="宋体"/>
          <w:color w:val="auto"/>
          <w:szCs w:val="21"/>
          <w:highlight w:val="none"/>
        </w:rPr>
        <w:t>但客观分打分应一致</w:t>
      </w:r>
      <w:r>
        <w:rPr>
          <w:rFonts w:hint="eastAsia" w:ascii="宋体" w:hAnsi="宋体" w:cs="宋体"/>
          <w:color w:val="auto"/>
          <w:szCs w:val="21"/>
          <w:highlight w:val="none"/>
          <w:lang w:val="zh-CN"/>
        </w:rPr>
        <w:t>；客观分不一致时，由评审委员会复核或书面说明理由，其余在规定的分值内单独评定打分</w:t>
      </w:r>
      <w:r>
        <w:rPr>
          <w:rFonts w:hint="eastAsia" w:ascii="宋体" w:hAnsi="宋体" w:cs="宋体"/>
          <w:color w:val="auto"/>
          <w:szCs w:val="21"/>
          <w:highlight w:val="none"/>
        </w:rPr>
        <w:t>（小数点后保留1位）</w:t>
      </w:r>
      <w:r>
        <w:rPr>
          <w:rFonts w:hint="eastAsia" w:ascii="宋体" w:hAnsi="宋体" w:cs="宋体"/>
          <w:color w:val="auto"/>
          <w:szCs w:val="21"/>
          <w:highlight w:val="none"/>
          <w:lang w:val="zh-CN"/>
        </w:rPr>
        <w:t>。</w:t>
      </w:r>
    </w:p>
    <w:p w14:paraId="5288488E">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（二）各投标人商务技术文件得分按照评标委员会成员的独立评分结果汇总后的算术平均分计算</w:t>
      </w:r>
      <w:r>
        <w:rPr>
          <w:rFonts w:hint="eastAsia" w:ascii="宋体" w:hAnsi="宋体" w:cs="宋体"/>
          <w:color w:val="auto"/>
          <w:szCs w:val="21"/>
          <w:highlight w:val="none"/>
        </w:rPr>
        <w:t>（小数点后保留2位，四舍五入）</w:t>
      </w:r>
      <w:r>
        <w:rPr>
          <w:rFonts w:hint="eastAsia" w:ascii="宋体" w:hAnsi="宋体" w:cs="宋体"/>
          <w:color w:val="auto"/>
          <w:szCs w:val="21"/>
          <w:highlight w:val="none"/>
          <w:lang w:val="zh-CN"/>
        </w:rPr>
        <w:t>，计算公式为：</w:t>
      </w:r>
    </w:p>
    <w:p w14:paraId="2FA62651">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商务技术文件</w:t>
      </w:r>
      <w:r>
        <w:rPr>
          <w:rFonts w:hint="eastAsia" w:ascii="宋体" w:hAnsi="宋体" w:cs="宋体"/>
          <w:color w:val="auto"/>
          <w:szCs w:val="21"/>
          <w:highlight w:val="none"/>
        </w:rPr>
        <w:t>得分</w:t>
      </w:r>
      <w:r>
        <w:rPr>
          <w:rFonts w:hint="eastAsia" w:ascii="宋体" w:hAnsi="宋体" w:cs="宋体"/>
          <w:color w:val="auto"/>
          <w:szCs w:val="21"/>
          <w:highlight w:val="none"/>
          <w:lang w:val="zh-CN"/>
        </w:rPr>
        <w:t>=评标委员会所有成员评分合计数/评标委员会组成人员数。</w:t>
      </w:r>
    </w:p>
    <w:p w14:paraId="301CCEFF">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（三）投标报价得分采用低价优先法计算</w:t>
      </w:r>
      <w:r>
        <w:rPr>
          <w:rFonts w:hint="eastAsia" w:ascii="宋体" w:hAnsi="宋体" w:cs="宋体"/>
          <w:color w:val="auto"/>
          <w:szCs w:val="21"/>
          <w:highlight w:val="none"/>
        </w:rPr>
        <w:t>（小数点后保留2位，四舍五入）</w:t>
      </w:r>
      <w:r>
        <w:rPr>
          <w:rFonts w:hint="eastAsia" w:ascii="宋体" w:hAnsi="宋体" w:cs="宋体"/>
          <w:color w:val="auto"/>
          <w:szCs w:val="21"/>
          <w:highlight w:val="none"/>
          <w:lang w:val="zh-CN"/>
        </w:rPr>
        <w:t>，即满足招标文件要求且投标价格最低的投标报价为评标基准价，其报价得满分。其他投标人的投标报价得分按下列公式计算：</w:t>
      </w:r>
    </w:p>
    <w:p w14:paraId="25D7EB40">
      <w:pPr>
        <w:spacing w:line="360" w:lineRule="auto"/>
        <w:ind w:firstLine="420" w:firstLineChars="200"/>
        <w:rPr>
          <w:rFonts w:ascii="宋体" w:hAnsi="宋体" w:cs="宋体"/>
          <w:color w:val="auto"/>
          <w:szCs w:val="21"/>
          <w:highlight w:val="none"/>
          <w:u w:val="single"/>
          <w:lang w:val="zh-CN"/>
        </w:rPr>
      </w:pPr>
      <w:r>
        <w:rPr>
          <w:rFonts w:hint="eastAsia" w:ascii="宋体" w:hAnsi="宋体" w:cs="宋体"/>
          <w:color w:val="auto"/>
          <w:szCs w:val="21"/>
          <w:highlight w:val="none"/>
          <w:u w:val="single"/>
          <w:lang w:val="zh-CN"/>
        </w:rPr>
        <w:t>投标报价得分=(评标基准价／投标报价)×</w:t>
      </w:r>
      <w:r>
        <w:rPr>
          <w:rFonts w:hint="eastAsia" w:ascii="宋体" w:hAnsi="宋体" w:cs="宋体"/>
          <w:color w:val="auto"/>
          <w:szCs w:val="21"/>
          <w:highlight w:val="none"/>
          <w:u w:val="single"/>
        </w:rPr>
        <w:t>3</w:t>
      </w:r>
      <w:r>
        <w:rPr>
          <w:rFonts w:hint="eastAsia" w:ascii="宋体" w:hAnsi="宋体" w:cs="宋体"/>
          <w:color w:val="auto"/>
          <w:szCs w:val="21"/>
          <w:highlight w:val="none"/>
          <w:u w:val="single"/>
          <w:lang w:val="zh-CN"/>
        </w:rPr>
        <w:t>0%×100 。</w:t>
      </w:r>
    </w:p>
    <w:p w14:paraId="763AFA86">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（四）投标人综合得分＝商务技术文件得分＋投标报价得分。</w:t>
      </w:r>
    </w:p>
    <w:p w14:paraId="7F1A4353">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（五）政府采购政策及优惠：</w:t>
      </w:r>
    </w:p>
    <w:p w14:paraId="0C8DCFBF">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w:t>
      </w:r>
      <w:r>
        <w:rPr>
          <w:rFonts w:hint="eastAsia" w:ascii="宋体" w:hAnsi="宋体" w:cs="宋体"/>
          <w:color w:val="auto"/>
          <w:szCs w:val="21"/>
          <w:highlight w:val="none"/>
          <w:lang w:val="zh-CN"/>
        </w:rPr>
        <w:t>关于小型、微型企业（简称小微企业）投标：①根据</w:t>
      </w:r>
      <w:r>
        <w:rPr>
          <w:rFonts w:hint="eastAsia" w:ascii="宋体" w:hAnsi="宋体" w:cs="宋体"/>
          <w:color w:val="auto"/>
          <w:szCs w:val="21"/>
          <w:highlight w:val="none"/>
        </w:rPr>
        <w:t>浙江省财政厅</w:t>
      </w:r>
      <w:r>
        <w:rPr>
          <w:rFonts w:hint="eastAsia" w:ascii="宋体" w:hAnsi="宋体" w:cs="宋体"/>
          <w:color w:val="auto"/>
          <w:szCs w:val="21"/>
          <w:highlight w:val="none"/>
          <w:lang w:val="zh-CN"/>
        </w:rPr>
        <w:t>发布的《浙江省财政厅关于进一步发挥政府采购政策功能全力推动经济稳进提质的通知》【</w:t>
      </w:r>
      <w:r>
        <w:rPr>
          <w:rFonts w:hint="eastAsia" w:ascii="宋体" w:hAnsi="宋体" w:cs="宋体"/>
          <w:color w:val="auto"/>
          <w:szCs w:val="21"/>
          <w:highlight w:val="none"/>
        </w:rPr>
        <w:t>浙财采监</w:t>
      </w:r>
      <w:r>
        <w:rPr>
          <w:rFonts w:hint="eastAsia" w:ascii="宋体" w:hAnsi="宋体" w:cs="宋体"/>
          <w:color w:val="auto"/>
          <w:szCs w:val="21"/>
          <w:highlight w:val="none"/>
          <w:lang w:val="zh-CN"/>
        </w:rPr>
        <w:t>（202</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cs="宋体"/>
          <w:color w:val="auto"/>
          <w:szCs w:val="21"/>
          <w:highlight w:val="none"/>
        </w:rPr>
        <w:t>10</w:t>
      </w:r>
      <w:r>
        <w:rPr>
          <w:rFonts w:hint="eastAsia" w:ascii="宋体" w:hAnsi="宋体" w:cs="宋体"/>
          <w:color w:val="auto"/>
          <w:szCs w:val="21"/>
          <w:highlight w:val="none"/>
          <w:lang w:val="zh-CN"/>
        </w:rPr>
        <w:t>%的扣除，用扣除后的价格参加评审。②小微企业投标是指符合《中小企业划型标准规定》的投标人，通过投标提供本企业制造的货物、承担的工程或者服务，或者提供其他小微企业制造的货物。本项所指货物不包括使用大、中型企业注册商标的货物。</w:t>
      </w:r>
    </w:p>
    <w:p w14:paraId="5EEB063E">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620A077A">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3、</w:t>
      </w:r>
      <w:r>
        <w:rPr>
          <w:rFonts w:hint="eastAsia" w:ascii="宋体" w:hAnsi="宋体" w:cs="宋体"/>
          <w:color w:val="auto"/>
          <w:szCs w:val="21"/>
          <w:highlight w:val="none"/>
          <w:lang w:val="zh-CN"/>
        </w:rPr>
        <w:t>残疾人福利性单位在参加政府采购活动时，应提供《残疾人福利性单位声明函》（见附件），视同小型、微型企业，享受小微企业政府采购优惠政策。</w:t>
      </w:r>
    </w:p>
    <w:p w14:paraId="6DBBCAF6">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具体优惠：对于非联合体投标，小型微型企业产品的价格给予</w:t>
      </w:r>
      <w:r>
        <w:rPr>
          <w:rFonts w:hint="eastAsia" w:ascii="宋体" w:hAnsi="宋体" w:cs="宋体"/>
          <w:color w:val="auto"/>
          <w:szCs w:val="21"/>
          <w:highlight w:val="none"/>
        </w:rPr>
        <w:t>10</w:t>
      </w:r>
      <w:r>
        <w:rPr>
          <w:rFonts w:hint="eastAsia" w:ascii="宋体" w:hAnsi="宋体" w:cs="宋体"/>
          <w:color w:val="auto"/>
          <w:szCs w:val="21"/>
          <w:highlight w:val="none"/>
          <w:lang w:val="zh-CN"/>
        </w:rPr>
        <w:t>%的扣除，用扣除后的价格计算评标基准价和投标报价。对于联合体投标，小型、微型企业的协议合同金额占到联合体协议合同总金额30%以上的，可给予联合体</w:t>
      </w:r>
      <w:r>
        <w:rPr>
          <w:rFonts w:hint="eastAsia" w:ascii="宋体" w:hAnsi="宋体" w:cs="宋体"/>
          <w:color w:val="auto"/>
          <w:szCs w:val="21"/>
          <w:highlight w:val="none"/>
        </w:rPr>
        <w:t>6</w:t>
      </w:r>
      <w:r>
        <w:rPr>
          <w:rFonts w:hint="eastAsia" w:ascii="宋体" w:hAnsi="宋体" w:cs="宋体"/>
          <w:color w:val="auto"/>
          <w:szCs w:val="21"/>
          <w:highlight w:val="none"/>
          <w:lang w:val="zh-CN"/>
        </w:rPr>
        <w:t>%的价格扣除。联合体各方均为小型、微型企业的，联合体视同为小型、微型企业享受扶持政策，对于小型微型企业产品的价格给予</w:t>
      </w:r>
      <w:r>
        <w:rPr>
          <w:rFonts w:hint="eastAsia" w:ascii="宋体" w:hAnsi="宋体" w:cs="宋体"/>
          <w:color w:val="auto"/>
          <w:szCs w:val="21"/>
          <w:highlight w:val="none"/>
        </w:rPr>
        <w:t>10</w:t>
      </w:r>
      <w:r>
        <w:rPr>
          <w:rFonts w:hint="eastAsia" w:ascii="宋体" w:hAnsi="宋体" w:cs="宋体"/>
          <w:color w:val="auto"/>
          <w:szCs w:val="21"/>
          <w:highlight w:val="none"/>
          <w:lang w:val="zh-CN"/>
        </w:rPr>
        <w:t>%的扣除，用扣除后的价格计算评标基准价和响应报价。同一投标人（包括联合体），小微企业、监狱企业、残疾人福利性单位价格扣除优惠只享受一次，不得重复享受。</w:t>
      </w:r>
    </w:p>
    <w:p w14:paraId="5B6A8A19">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注：得分以系统计算为准，保留2位小数。</w:t>
      </w:r>
    </w:p>
    <w:p w14:paraId="638851A4">
      <w:pPr>
        <w:pStyle w:val="9"/>
        <w:spacing w:after="0" w:line="360" w:lineRule="auto"/>
        <w:ind w:firstLine="562" w:firstLineChars="200"/>
        <w:jc w:val="left"/>
        <w:rPr>
          <w:rFonts w:ascii="宋体" w:hAnsi="宋体" w:cs="宋体"/>
          <w:color w:val="auto"/>
          <w:szCs w:val="21"/>
          <w:highlight w:val="none"/>
          <w:lang w:val="zh-CN"/>
        </w:rPr>
      </w:pPr>
      <w:r>
        <w:rPr>
          <w:rFonts w:hint="eastAsia" w:ascii="宋体" w:hAnsi="宋体" w:cs="宋体"/>
          <w:b/>
          <w:bCs/>
          <w:color w:val="auto"/>
          <w:sz w:val="28"/>
          <w:szCs w:val="28"/>
          <w:highlight w:val="none"/>
          <w:u w:val="single"/>
        </w:rPr>
        <w:t>*</w:t>
      </w:r>
      <w:r>
        <w:rPr>
          <w:rFonts w:hint="eastAsia" w:ascii="宋体" w:hAnsi="宋体" w:cs="宋体"/>
          <w:b/>
          <w:bCs/>
          <w:color w:val="auto"/>
          <w:szCs w:val="21"/>
          <w:highlight w:val="none"/>
          <w:u w:val="single"/>
          <w:lang w:val="zh-CN"/>
        </w:rPr>
        <w:t>以上证明材料不提供或提供不全的视为自动放弃优惠政策。</w:t>
      </w:r>
    </w:p>
    <w:p w14:paraId="56DB619C">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三、在最大限度地满足</w:t>
      </w:r>
      <w:r>
        <w:rPr>
          <w:rFonts w:hint="eastAsia" w:ascii="宋体" w:hAnsi="宋体" w:cs="宋体"/>
          <w:color w:val="auto"/>
          <w:szCs w:val="21"/>
          <w:highlight w:val="none"/>
        </w:rPr>
        <w:t>招标</w:t>
      </w:r>
      <w:r>
        <w:rPr>
          <w:rFonts w:hint="eastAsia" w:ascii="宋体" w:hAnsi="宋体" w:cs="宋体"/>
          <w:color w:val="auto"/>
          <w:szCs w:val="21"/>
          <w:highlight w:val="none"/>
          <w:lang w:val="zh-CN"/>
        </w:rPr>
        <w:t>文件实质性要求前提下，</w:t>
      </w:r>
      <w:r>
        <w:rPr>
          <w:rFonts w:hint="eastAsia" w:ascii="宋体" w:hAnsi="宋体" w:cs="宋体"/>
          <w:color w:val="auto"/>
          <w:szCs w:val="21"/>
          <w:highlight w:val="none"/>
        </w:rPr>
        <w:t>评标委员会</w:t>
      </w:r>
      <w:r>
        <w:rPr>
          <w:rFonts w:hint="eastAsia" w:ascii="宋体" w:hAnsi="宋体" w:cs="宋体"/>
          <w:color w:val="auto"/>
          <w:szCs w:val="21"/>
          <w:highlight w:val="none"/>
          <w:lang w:val="zh-CN"/>
        </w:rPr>
        <w:t>按照</w:t>
      </w:r>
      <w:r>
        <w:rPr>
          <w:rFonts w:hint="eastAsia" w:ascii="宋体" w:hAnsi="宋体" w:cs="宋体"/>
          <w:color w:val="auto"/>
          <w:szCs w:val="21"/>
          <w:highlight w:val="none"/>
        </w:rPr>
        <w:t>招标</w:t>
      </w:r>
      <w:r>
        <w:rPr>
          <w:rFonts w:hint="eastAsia" w:ascii="宋体" w:hAnsi="宋体" w:cs="宋体"/>
          <w:color w:val="auto"/>
          <w:szCs w:val="21"/>
          <w:highlight w:val="none"/>
          <w:lang w:val="zh-CN"/>
        </w:rPr>
        <w:t>文件中规定的各项因素进行综合评审后，以评审总得分最高的</w:t>
      </w:r>
      <w:r>
        <w:rPr>
          <w:rFonts w:hint="eastAsia" w:ascii="宋体" w:hAnsi="宋体" w:cs="宋体"/>
          <w:color w:val="auto"/>
          <w:szCs w:val="21"/>
          <w:highlight w:val="none"/>
        </w:rPr>
        <w:t>投标人</w:t>
      </w:r>
      <w:r>
        <w:rPr>
          <w:rFonts w:hint="eastAsia" w:ascii="宋体" w:hAnsi="宋体" w:cs="宋体"/>
          <w:color w:val="auto"/>
          <w:szCs w:val="21"/>
          <w:highlight w:val="none"/>
          <w:lang w:val="zh-CN"/>
        </w:rPr>
        <w:t>为</w:t>
      </w:r>
      <w:r>
        <w:rPr>
          <w:rFonts w:hint="eastAsia" w:ascii="宋体" w:hAnsi="宋体" w:cs="宋体"/>
          <w:color w:val="auto"/>
          <w:szCs w:val="21"/>
          <w:highlight w:val="none"/>
        </w:rPr>
        <w:t>第一中标候选人，</w:t>
      </w:r>
      <w:r>
        <w:rPr>
          <w:rFonts w:hint="eastAsia" w:ascii="宋体" w:hAnsi="宋体" w:cs="宋体"/>
          <w:color w:val="auto"/>
          <w:szCs w:val="21"/>
          <w:highlight w:val="none"/>
          <w:lang w:val="zh-CN"/>
        </w:rPr>
        <w:t>评审总得分</w:t>
      </w:r>
      <w:r>
        <w:rPr>
          <w:rFonts w:hint="eastAsia" w:ascii="宋体" w:hAnsi="宋体" w:cs="宋体"/>
          <w:color w:val="auto"/>
          <w:szCs w:val="21"/>
          <w:highlight w:val="none"/>
        </w:rPr>
        <w:t>次</w:t>
      </w:r>
      <w:r>
        <w:rPr>
          <w:rFonts w:hint="eastAsia" w:ascii="宋体" w:hAnsi="宋体" w:cs="宋体"/>
          <w:color w:val="auto"/>
          <w:szCs w:val="21"/>
          <w:highlight w:val="none"/>
          <w:lang w:val="zh-CN"/>
        </w:rPr>
        <w:t>高的</w:t>
      </w:r>
      <w:r>
        <w:rPr>
          <w:rFonts w:hint="eastAsia" w:ascii="宋体" w:hAnsi="宋体" w:cs="宋体"/>
          <w:color w:val="auto"/>
          <w:szCs w:val="21"/>
          <w:highlight w:val="none"/>
        </w:rPr>
        <w:t>投标人</w:t>
      </w:r>
      <w:r>
        <w:rPr>
          <w:rFonts w:hint="eastAsia" w:ascii="宋体" w:hAnsi="宋体" w:cs="宋体"/>
          <w:color w:val="auto"/>
          <w:szCs w:val="21"/>
          <w:highlight w:val="none"/>
          <w:lang w:val="zh-CN"/>
        </w:rPr>
        <w:t>为</w:t>
      </w:r>
      <w:r>
        <w:rPr>
          <w:rFonts w:hint="eastAsia" w:ascii="宋体" w:hAnsi="宋体" w:cs="宋体"/>
          <w:color w:val="auto"/>
          <w:szCs w:val="21"/>
          <w:highlight w:val="none"/>
        </w:rPr>
        <w:t>第二中标候选人</w:t>
      </w:r>
      <w:r>
        <w:rPr>
          <w:rFonts w:hint="eastAsia" w:ascii="宋体" w:hAnsi="宋体" w:cs="宋体"/>
          <w:color w:val="auto"/>
          <w:szCs w:val="21"/>
          <w:highlight w:val="none"/>
          <w:lang w:val="zh-CN"/>
        </w:rPr>
        <w:t>。</w:t>
      </w:r>
    </w:p>
    <w:p w14:paraId="40B28C41">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四、如综合得分相同，投标报价低者为先；如综合得分且投标报价相同的，以技术</w:t>
      </w:r>
      <w:r>
        <w:rPr>
          <w:rFonts w:hint="eastAsia" w:ascii="宋体" w:hAnsi="宋体" w:cs="宋体"/>
          <w:color w:val="auto"/>
          <w:szCs w:val="21"/>
          <w:highlight w:val="none"/>
        </w:rPr>
        <w:t>分</w:t>
      </w:r>
      <w:r>
        <w:rPr>
          <w:rFonts w:hint="eastAsia" w:ascii="宋体" w:hAnsi="宋体" w:cs="宋体"/>
          <w:color w:val="auto"/>
          <w:szCs w:val="21"/>
          <w:highlight w:val="none"/>
          <w:lang w:val="zh-CN"/>
        </w:rPr>
        <w:t>得分较高者为先，技术</w:t>
      </w:r>
      <w:r>
        <w:rPr>
          <w:rFonts w:hint="eastAsia" w:ascii="宋体" w:hAnsi="宋体" w:cs="宋体"/>
          <w:color w:val="auto"/>
          <w:szCs w:val="21"/>
          <w:highlight w:val="none"/>
        </w:rPr>
        <w:t>分</w:t>
      </w:r>
      <w:r>
        <w:rPr>
          <w:rFonts w:hint="eastAsia" w:ascii="宋体" w:hAnsi="宋体" w:cs="宋体"/>
          <w:color w:val="auto"/>
          <w:szCs w:val="21"/>
          <w:highlight w:val="none"/>
          <w:lang w:val="zh-CN"/>
        </w:rPr>
        <w:t>得分也相同的则抽签决定。</w:t>
      </w:r>
    </w:p>
    <w:p w14:paraId="324F0C46">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highlight w:val="none"/>
        </w:rPr>
        <w:t>五、</w:t>
      </w:r>
      <w:r>
        <w:rPr>
          <w:rFonts w:hint="eastAsia" w:ascii="宋体" w:hAnsi="宋体" w:cs="宋体"/>
          <w:color w:val="auto"/>
          <w:szCs w:val="21"/>
          <w:highlight w:val="none"/>
          <w:lang w:val="zh-CN"/>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0DC4A9AD">
      <w:pPr>
        <w:spacing w:line="360" w:lineRule="auto"/>
        <w:ind w:firstLine="420" w:firstLineChars="200"/>
        <w:rPr>
          <w:rFonts w:ascii="宋体" w:hAnsi="宋体" w:cs="宋体"/>
          <w:color w:val="auto"/>
          <w:spacing w:val="10"/>
          <w:szCs w:val="21"/>
          <w:highlight w:val="none"/>
        </w:rPr>
      </w:pPr>
      <w:r>
        <w:rPr>
          <w:rFonts w:hint="eastAsia" w:ascii="宋体" w:hAnsi="宋体" w:cs="宋体"/>
          <w:color w:val="auto"/>
          <w:highlight w:val="none"/>
        </w:rPr>
        <w:t>六、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7E9D3786">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七</w:t>
      </w:r>
      <w:r>
        <w:rPr>
          <w:rFonts w:hint="eastAsia" w:ascii="宋体" w:hAnsi="宋体" w:cs="宋体"/>
          <w:color w:val="auto"/>
          <w:szCs w:val="21"/>
          <w:highlight w:val="none"/>
          <w:lang w:val="zh-CN"/>
        </w:rPr>
        <w:t>、本次评分具体分值细化条款如下表：</w:t>
      </w:r>
    </w:p>
    <w:p w14:paraId="2EE5DBD5">
      <w:pPr>
        <w:spacing w:line="360" w:lineRule="auto"/>
        <w:jc w:val="center"/>
        <w:rPr>
          <w:rFonts w:ascii="宋体" w:hAnsi="宋体" w:cs="宋体"/>
          <w:color w:val="auto"/>
          <w:szCs w:val="21"/>
          <w:highlight w:val="none"/>
          <w:lang w:val="zh-CN"/>
        </w:rPr>
      </w:pPr>
      <w:r>
        <w:rPr>
          <w:rFonts w:hint="eastAsia" w:ascii="宋体" w:hAnsi="宋体" w:cs="宋体"/>
          <w:b/>
          <w:color w:val="auto"/>
          <w:szCs w:val="21"/>
          <w:highlight w:val="none"/>
        </w:rPr>
        <w:t>评标打分标准表</w:t>
      </w:r>
      <w:r>
        <w:rPr>
          <w:rFonts w:hint="eastAsia" w:ascii="宋体" w:hAnsi="宋体" w:cs="宋体"/>
          <w:color w:val="auto"/>
          <w:szCs w:val="21"/>
          <w:highlight w:val="none"/>
          <w:lang w:val="zh-CN"/>
        </w:rPr>
        <w:t xml:space="preserve"> </w:t>
      </w:r>
    </w:p>
    <w:tbl>
      <w:tblPr>
        <w:tblStyle w:val="23"/>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060"/>
        <w:gridCol w:w="5240"/>
        <w:gridCol w:w="880"/>
      </w:tblGrid>
      <w:tr w14:paraId="3075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420" w:type="dxa"/>
            <w:gridSpan w:val="2"/>
            <w:shd w:val="clear" w:color="auto" w:fill="auto"/>
            <w:vAlign w:val="center"/>
          </w:tcPr>
          <w:p w14:paraId="14D9457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5240" w:type="dxa"/>
            <w:shd w:val="clear" w:color="auto" w:fill="auto"/>
            <w:vAlign w:val="center"/>
          </w:tcPr>
          <w:p w14:paraId="4076EB0B">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评分标准</w:t>
            </w:r>
          </w:p>
        </w:tc>
        <w:tc>
          <w:tcPr>
            <w:tcW w:w="880" w:type="dxa"/>
            <w:shd w:val="clear" w:color="auto" w:fill="auto"/>
            <w:vAlign w:val="center"/>
          </w:tcPr>
          <w:p w14:paraId="7018F53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013D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1360" w:type="dxa"/>
            <w:vMerge w:val="restart"/>
            <w:shd w:val="clear" w:color="auto" w:fill="auto"/>
            <w:vAlign w:val="center"/>
          </w:tcPr>
          <w:p w14:paraId="58210B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商务分</w:t>
            </w:r>
          </w:p>
          <w:p w14:paraId="1F4E116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（14分）</w:t>
            </w:r>
          </w:p>
        </w:tc>
        <w:tc>
          <w:tcPr>
            <w:tcW w:w="1060" w:type="dxa"/>
            <w:shd w:val="clear" w:color="auto" w:fill="auto"/>
            <w:vAlign w:val="center"/>
          </w:tcPr>
          <w:p w14:paraId="37B7186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承接经验</w:t>
            </w:r>
          </w:p>
        </w:tc>
        <w:tc>
          <w:tcPr>
            <w:tcW w:w="5240" w:type="dxa"/>
            <w:shd w:val="clear" w:color="auto" w:fill="auto"/>
            <w:vAlign w:val="center"/>
          </w:tcPr>
          <w:p w14:paraId="0416586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投标人自2023年1月1日以来（</w:t>
            </w:r>
            <w:r>
              <w:rPr>
                <w:rFonts w:hint="eastAsia" w:ascii="宋体" w:hAnsi="宋体" w:cs="宋体"/>
                <w:color w:val="auto"/>
                <w:kern w:val="0"/>
                <w:szCs w:val="21"/>
                <w:highlight w:val="none"/>
                <w:lang w:val="zh-CN"/>
              </w:rPr>
              <w:t>以合同签订时间为准</w:t>
            </w:r>
            <w:r>
              <w:rPr>
                <w:rFonts w:hint="eastAsia" w:ascii="宋体" w:hAnsi="宋体" w:cs="宋体"/>
                <w:color w:val="auto"/>
                <w:kern w:val="0"/>
                <w:szCs w:val="21"/>
                <w:highlight w:val="none"/>
              </w:rPr>
              <w:t>）具有标准化考点项目成功案例，每提供1个得1分，最高得3分。</w:t>
            </w:r>
          </w:p>
          <w:p w14:paraId="1BF8DFF4">
            <w:pPr>
              <w:widowControl/>
              <w:jc w:val="left"/>
              <w:rPr>
                <w:rFonts w:ascii="宋体" w:hAnsi="宋体" w:cs="宋体"/>
                <w:color w:val="auto"/>
                <w:kern w:val="0"/>
                <w:szCs w:val="21"/>
                <w:highlight w:val="none"/>
              </w:rPr>
            </w:pPr>
            <w:r>
              <w:rPr>
                <w:rFonts w:hint="eastAsia" w:ascii="宋体" w:hAnsi="宋体" w:cs="宋体"/>
                <w:b/>
                <w:bCs/>
                <w:color w:val="auto"/>
                <w:szCs w:val="21"/>
                <w:highlight w:val="none"/>
              </w:rPr>
              <w:t>（须提供有效的合同或中标通知单扫描件加盖投标人公章编入投标文件中，未提供的不得分）</w:t>
            </w:r>
          </w:p>
        </w:tc>
        <w:tc>
          <w:tcPr>
            <w:tcW w:w="880" w:type="dxa"/>
            <w:shd w:val="clear" w:color="auto" w:fill="auto"/>
            <w:vAlign w:val="center"/>
          </w:tcPr>
          <w:p w14:paraId="33B8DD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r>
      <w:tr w14:paraId="2B77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1360" w:type="dxa"/>
            <w:vMerge w:val="continue"/>
            <w:shd w:val="clear" w:color="auto" w:fill="auto"/>
            <w:vAlign w:val="center"/>
          </w:tcPr>
          <w:p w14:paraId="7376ACA5">
            <w:pPr>
              <w:widowControl/>
              <w:jc w:val="center"/>
              <w:rPr>
                <w:rFonts w:ascii="宋体" w:hAnsi="宋体" w:cs="宋体"/>
                <w:color w:val="auto"/>
                <w:kern w:val="0"/>
                <w:szCs w:val="21"/>
                <w:highlight w:val="none"/>
              </w:rPr>
            </w:pPr>
          </w:p>
        </w:tc>
        <w:tc>
          <w:tcPr>
            <w:tcW w:w="1060" w:type="dxa"/>
            <w:shd w:val="clear" w:color="auto" w:fill="auto"/>
            <w:vAlign w:val="center"/>
          </w:tcPr>
          <w:p w14:paraId="25DEF6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项目负责人</w:t>
            </w:r>
          </w:p>
        </w:tc>
        <w:tc>
          <w:tcPr>
            <w:tcW w:w="5240" w:type="dxa"/>
            <w:shd w:val="clear" w:color="auto" w:fill="auto"/>
            <w:vAlign w:val="center"/>
          </w:tcPr>
          <w:p w14:paraId="72DB2BE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项目负责人具备高级工程师（信息技术专业）职称，人社部门颁发的信息安全工程师、网络工程师、软件设计师、信息系统项目管理师，每提供一个得1分，最高得5分。</w:t>
            </w:r>
          </w:p>
          <w:p w14:paraId="52AD230F">
            <w:pPr>
              <w:widowControl/>
              <w:jc w:val="left"/>
              <w:rPr>
                <w:rFonts w:ascii="宋体" w:hAnsi="宋体" w:cs="宋体"/>
                <w:color w:val="auto"/>
                <w:kern w:val="0"/>
                <w:szCs w:val="21"/>
                <w:highlight w:val="none"/>
              </w:rPr>
            </w:pPr>
            <w:r>
              <w:rPr>
                <w:rFonts w:hint="eastAsia" w:ascii="宋体" w:hAnsi="宋体" w:cs="宋体"/>
                <w:b/>
                <w:bCs/>
                <w:color w:val="auto"/>
                <w:kern w:val="0"/>
                <w:szCs w:val="21"/>
                <w:highlight w:val="none"/>
              </w:rPr>
              <w:t>（须提供人员相应的证书原件彩色清晰扫描件和</w:t>
            </w:r>
            <w:r>
              <w:rPr>
                <w:rFonts w:hint="eastAsia" w:ascii="宋体" w:hAnsi="宋体" w:cs="宋体"/>
                <w:b/>
                <w:bCs/>
                <w:color w:val="auto"/>
                <w:szCs w:val="21"/>
                <w:highlight w:val="none"/>
              </w:rPr>
              <w:t>投标截止时间前的社保缴费证明</w:t>
            </w:r>
            <w:r>
              <w:rPr>
                <w:rFonts w:hint="eastAsia" w:ascii="宋体" w:hAnsi="宋体" w:cs="宋体"/>
                <w:b/>
                <w:bCs/>
                <w:color w:val="auto"/>
                <w:kern w:val="0"/>
                <w:szCs w:val="21"/>
                <w:highlight w:val="none"/>
              </w:rPr>
              <w:t>，社保缴纳单位必须与投标人单位名称一致，</w:t>
            </w:r>
            <w:r>
              <w:rPr>
                <w:rFonts w:hint="eastAsia" w:ascii="宋体" w:hAnsi="宋体" w:cs="宋体"/>
                <w:b/>
                <w:bCs/>
                <w:color w:val="auto"/>
                <w:szCs w:val="21"/>
                <w:highlight w:val="none"/>
              </w:rPr>
              <w:t>加盖投标人公章编入投标文件中，</w:t>
            </w:r>
            <w:r>
              <w:rPr>
                <w:rFonts w:hint="eastAsia" w:ascii="宋体" w:hAnsi="宋体" w:cs="宋体"/>
                <w:b/>
                <w:bCs/>
                <w:color w:val="auto"/>
                <w:kern w:val="0"/>
                <w:szCs w:val="21"/>
                <w:highlight w:val="none"/>
              </w:rPr>
              <w:t>未提供、提供不全或未按要求提供的不得分）</w:t>
            </w:r>
          </w:p>
        </w:tc>
        <w:tc>
          <w:tcPr>
            <w:tcW w:w="880" w:type="dxa"/>
            <w:shd w:val="clear" w:color="auto" w:fill="auto"/>
            <w:vAlign w:val="center"/>
          </w:tcPr>
          <w:p w14:paraId="52AB3E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r>
      <w:tr w14:paraId="126C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360" w:type="dxa"/>
            <w:vMerge w:val="continue"/>
            <w:shd w:val="clear" w:color="auto" w:fill="auto"/>
            <w:vAlign w:val="center"/>
          </w:tcPr>
          <w:p w14:paraId="7D29F02F">
            <w:pPr>
              <w:widowControl/>
              <w:jc w:val="center"/>
              <w:rPr>
                <w:rFonts w:ascii="宋体" w:hAnsi="宋体" w:cs="宋体"/>
                <w:color w:val="auto"/>
                <w:kern w:val="0"/>
                <w:szCs w:val="21"/>
                <w:highlight w:val="none"/>
              </w:rPr>
            </w:pPr>
          </w:p>
        </w:tc>
        <w:tc>
          <w:tcPr>
            <w:tcW w:w="1060" w:type="dxa"/>
            <w:shd w:val="clear" w:color="auto" w:fill="auto"/>
            <w:vAlign w:val="center"/>
          </w:tcPr>
          <w:p w14:paraId="2BA07C8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5240" w:type="dxa"/>
            <w:shd w:val="clear" w:color="auto" w:fill="auto"/>
            <w:vAlign w:val="center"/>
          </w:tcPr>
          <w:p w14:paraId="6E9B941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本项目的技术负责人（除项目负责人外）具备一级建造师（机电工程）认证证书，人社部门颁发的信息系统项目管理师、系统集成项目管理工程师、网络工程师，每提供一个得1分，最高得4分。</w:t>
            </w:r>
          </w:p>
          <w:p w14:paraId="0F7D2B46">
            <w:pPr>
              <w:widowControl/>
              <w:jc w:val="left"/>
              <w:rPr>
                <w:rFonts w:ascii="宋体" w:hAnsi="宋体" w:cs="宋体"/>
                <w:color w:val="auto"/>
                <w:kern w:val="0"/>
                <w:szCs w:val="21"/>
                <w:highlight w:val="none"/>
              </w:rPr>
            </w:pPr>
            <w:r>
              <w:rPr>
                <w:rFonts w:hint="eastAsia" w:ascii="宋体" w:hAnsi="宋体" w:cs="宋体"/>
                <w:b/>
                <w:bCs/>
                <w:color w:val="auto"/>
                <w:kern w:val="0"/>
                <w:szCs w:val="21"/>
                <w:highlight w:val="none"/>
              </w:rPr>
              <w:t>（须提供人员相应的证书原件彩色清晰扫描件和</w:t>
            </w:r>
            <w:r>
              <w:rPr>
                <w:rFonts w:hint="eastAsia" w:ascii="宋体" w:hAnsi="宋体" w:cs="宋体"/>
                <w:b/>
                <w:bCs/>
                <w:color w:val="auto"/>
                <w:szCs w:val="21"/>
                <w:highlight w:val="none"/>
              </w:rPr>
              <w:t>投标截止时间前的社保缴费证明</w:t>
            </w:r>
            <w:r>
              <w:rPr>
                <w:rFonts w:hint="eastAsia" w:ascii="宋体" w:hAnsi="宋体" w:cs="宋体"/>
                <w:b/>
                <w:bCs/>
                <w:color w:val="auto"/>
                <w:kern w:val="0"/>
                <w:szCs w:val="21"/>
                <w:highlight w:val="none"/>
              </w:rPr>
              <w:t>，社保缴纳单位必须与投标人单位名称一致，未提供、提供不全或未按要求提供的不得分）</w:t>
            </w:r>
          </w:p>
        </w:tc>
        <w:tc>
          <w:tcPr>
            <w:tcW w:w="880" w:type="dxa"/>
            <w:shd w:val="clear" w:color="auto" w:fill="auto"/>
            <w:vAlign w:val="center"/>
          </w:tcPr>
          <w:p w14:paraId="2E51BD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r>
      <w:tr w14:paraId="6294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360" w:type="dxa"/>
            <w:vMerge w:val="continue"/>
            <w:shd w:val="clear" w:color="auto" w:fill="auto"/>
            <w:vAlign w:val="center"/>
          </w:tcPr>
          <w:p w14:paraId="4B656AD1">
            <w:pPr>
              <w:widowControl/>
              <w:jc w:val="center"/>
              <w:rPr>
                <w:rFonts w:ascii="宋体" w:hAnsi="宋体" w:cs="宋体"/>
                <w:color w:val="auto"/>
                <w:kern w:val="0"/>
                <w:szCs w:val="21"/>
                <w:highlight w:val="none"/>
              </w:rPr>
            </w:pPr>
          </w:p>
        </w:tc>
        <w:tc>
          <w:tcPr>
            <w:tcW w:w="1060" w:type="dxa"/>
            <w:shd w:val="clear" w:color="auto" w:fill="auto"/>
            <w:vAlign w:val="center"/>
          </w:tcPr>
          <w:p w14:paraId="263DD1E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项目组成员</w:t>
            </w:r>
          </w:p>
        </w:tc>
        <w:tc>
          <w:tcPr>
            <w:tcW w:w="5240" w:type="dxa"/>
            <w:shd w:val="clear" w:color="auto" w:fill="auto"/>
            <w:vAlign w:val="center"/>
          </w:tcPr>
          <w:p w14:paraId="44DC245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项目团队成员（除项目负责人、技术负责人外）人员具有人社部门颁发的信息系统项目管理师、软件设计师、网络工程师、信息安全工程师证书，每提供一本证书得0.5分，最高得2分。一人有多项证书或多人有同一本证书的，只按一次得分。</w:t>
            </w:r>
          </w:p>
          <w:p w14:paraId="5EF686BC">
            <w:pPr>
              <w:widowControl/>
              <w:jc w:val="left"/>
              <w:rPr>
                <w:rFonts w:ascii="宋体" w:hAnsi="宋体" w:cs="宋体"/>
                <w:color w:val="auto"/>
                <w:kern w:val="0"/>
                <w:szCs w:val="21"/>
                <w:highlight w:val="none"/>
              </w:rPr>
            </w:pPr>
            <w:r>
              <w:rPr>
                <w:rFonts w:hint="eastAsia" w:ascii="宋体" w:hAnsi="宋体" w:cs="宋体"/>
                <w:b/>
                <w:bCs/>
                <w:color w:val="auto"/>
                <w:kern w:val="0"/>
                <w:szCs w:val="21"/>
                <w:highlight w:val="none"/>
              </w:rPr>
              <w:t>（须提供相应人员的证书原件彩色清晰扫描件和</w:t>
            </w:r>
            <w:r>
              <w:rPr>
                <w:rFonts w:hint="eastAsia" w:ascii="宋体" w:hAnsi="宋体" w:cs="宋体"/>
                <w:b/>
                <w:bCs/>
                <w:color w:val="auto"/>
                <w:szCs w:val="21"/>
                <w:highlight w:val="none"/>
              </w:rPr>
              <w:t>投标截止时间前的社保缴费证明</w:t>
            </w:r>
            <w:r>
              <w:rPr>
                <w:rFonts w:hint="eastAsia" w:ascii="宋体" w:hAnsi="宋体" w:cs="宋体"/>
                <w:b/>
                <w:bCs/>
                <w:color w:val="auto"/>
                <w:kern w:val="0"/>
                <w:szCs w:val="21"/>
                <w:highlight w:val="none"/>
              </w:rPr>
              <w:t>，社保缴纳单位必须与投标人单位名称一致，</w:t>
            </w:r>
            <w:r>
              <w:rPr>
                <w:rFonts w:hint="eastAsia" w:ascii="宋体" w:hAnsi="宋体" w:cs="宋体"/>
                <w:b/>
                <w:bCs/>
                <w:color w:val="auto"/>
                <w:szCs w:val="21"/>
                <w:highlight w:val="none"/>
              </w:rPr>
              <w:t>加盖投标人公章编入投标文件中，</w:t>
            </w:r>
            <w:r>
              <w:rPr>
                <w:rFonts w:hint="eastAsia" w:ascii="宋体" w:hAnsi="宋体" w:cs="宋体"/>
                <w:b/>
                <w:bCs/>
                <w:color w:val="auto"/>
                <w:kern w:val="0"/>
                <w:szCs w:val="21"/>
                <w:highlight w:val="none"/>
              </w:rPr>
              <w:t>未提供、提供不全或未按要求提供的不得分）</w:t>
            </w:r>
          </w:p>
        </w:tc>
        <w:tc>
          <w:tcPr>
            <w:tcW w:w="880" w:type="dxa"/>
            <w:shd w:val="clear" w:color="auto" w:fill="auto"/>
            <w:vAlign w:val="center"/>
          </w:tcPr>
          <w:p w14:paraId="1A2D958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r>
      <w:tr w14:paraId="0C76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1360" w:type="dxa"/>
            <w:vMerge w:val="restart"/>
            <w:shd w:val="clear" w:color="auto" w:fill="auto"/>
            <w:vAlign w:val="center"/>
          </w:tcPr>
          <w:p w14:paraId="0C7AE08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eastAsia="zh-TW"/>
              </w:rPr>
              <w:t>技术</w:t>
            </w:r>
            <w:r>
              <w:rPr>
                <w:rFonts w:hint="eastAsia" w:ascii="宋体" w:hAnsi="宋体" w:cs="宋体"/>
                <w:color w:val="auto"/>
                <w:kern w:val="0"/>
                <w:szCs w:val="21"/>
                <w:highlight w:val="none"/>
              </w:rPr>
              <w:t>分</w:t>
            </w:r>
          </w:p>
          <w:p w14:paraId="28CEC7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（56</w:t>
            </w:r>
            <w:r>
              <w:rPr>
                <w:rFonts w:hint="eastAsia" w:ascii="宋体" w:hAnsi="宋体" w:cs="宋体"/>
                <w:color w:val="auto"/>
                <w:kern w:val="0"/>
                <w:szCs w:val="21"/>
                <w:highlight w:val="none"/>
                <w:lang w:eastAsia="zh-TW"/>
              </w:rPr>
              <w:t>分</w:t>
            </w:r>
            <w:r>
              <w:rPr>
                <w:rFonts w:hint="eastAsia" w:ascii="宋体" w:hAnsi="宋体" w:cs="宋体"/>
                <w:color w:val="auto"/>
                <w:kern w:val="0"/>
                <w:szCs w:val="21"/>
                <w:highlight w:val="none"/>
              </w:rPr>
              <w:t>）</w:t>
            </w:r>
          </w:p>
        </w:tc>
        <w:tc>
          <w:tcPr>
            <w:tcW w:w="1060" w:type="dxa"/>
            <w:shd w:val="clear" w:color="auto" w:fill="auto"/>
            <w:vAlign w:val="center"/>
          </w:tcPr>
          <w:p w14:paraId="09B43E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技术指标</w:t>
            </w:r>
          </w:p>
        </w:tc>
        <w:tc>
          <w:tcPr>
            <w:tcW w:w="5240" w:type="dxa"/>
            <w:shd w:val="clear" w:color="auto" w:fill="auto"/>
            <w:vAlign w:val="center"/>
          </w:tcPr>
          <w:p w14:paraId="12D03577">
            <w:pPr>
              <w:pStyle w:val="22"/>
              <w:spacing w:after="0"/>
              <w:ind w:left="0" w:leftChars="0" w:firstLine="0"/>
              <w:rPr>
                <w:rFonts w:ascii="宋体" w:hAnsi="宋体" w:cs="宋体"/>
                <w:color w:val="auto"/>
                <w:kern w:val="0"/>
                <w:szCs w:val="21"/>
                <w:highlight w:val="none"/>
              </w:rPr>
            </w:pPr>
            <w:r>
              <w:rPr>
                <w:rFonts w:hint="eastAsia" w:ascii="宋体" w:hAnsi="宋体" w:cs="宋体"/>
                <w:color w:val="auto"/>
                <w:kern w:val="0"/>
                <w:szCs w:val="21"/>
                <w:highlight w:val="none"/>
              </w:rPr>
              <w:t>投标产品参数指标根据投标产品技术指标是否符合招标文件的要求及符合程度进行打分。</w:t>
            </w:r>
          </w:p>
          <w:p w14:paraId="4C28C7AA">
            <w:pPr>
              <w:pStyle w:val="22"/>
              <w:spacing w:after="0"/>
              <w:ind w:left="0" w:leftChars="0" w:firstLine="0"/>
              <w:rPr>
                <w:rFonts w:ascii="宋体" w:hAnsi="宋体" w:cs="宋体"/>
                <w:color w:val="auto"/>
                <w:kern w:val="0"/>
                <w:szCs w:val="21"/>
                <w:highlight w:val="none"/>
              </w:rPr>
            </w:pPr>
            <w:r>
              <w:rPr>
                <w:rFonts w:hint="eastAsia" w:ascii="宋体" w:hAnsi="宋体" w:cs="宋体"/>
                <w:color w:val="auto"/>
                <w:szCs w:val="21"/>
                <w:highlight w:val="none"/>
              </w:rPr>
              <w:t>所投产品技术参数和配置</w:t>
            </w:r>
            <w:r>
              <w:rPr>
                <w:rFonts w:hint="eastAsia" w:ascii="宋体" w:hAnsi="宋体" w:cs="宋体"/>
                <w:color w:val="auto"/>
                <w:kern w:val="0"/>
                <w:szCs w:val="21"/>
                <w:highlight w:val="none"/>
              </w:rPr>
              <w:t>全部符合采购文件技术参数指标要求</w:t>
            </w:r>
            <w:r>
              <w:rPr>
                <w:rFonts w:hint="eastAsia" w:ascii="宋体" w:hAnsi="宋体" w:cs="宋体"/>
                <w:color w:val="auto"/>
                <w:szCs w:val="21"/>
                <w:highlight w:val="none"/>
              </w:rPr>
              <w:t>（第四章 公开招标需求-1.3.2.3.详细技术参数要求）</w:t>
            </w:r>
            <w:r>
              <w:rPr>
                <w:rFonts w:hint="eastAsia" w:ascii="宋体" w:hAnsi="宋体" w:cs="宋体"/>
                <w:color w:val="auto"/>
                <w:kern w:val="0"/>
                <w:szCs w:val="21"/>
                <w:highlight w:val="none"/>
              </w:rPr>
              <w:t>得28分：“★”是产品的重要指标</w:t>
            </w:r>
            <w:r>
              <w:rPr>
                <w:rFonts w:hint="eastAsia" w:ascii="宋体" w:hAnsi="宋体" w:cs="宋体"/>
                <w:color w:val="auto"/>
                <w:szCs w:val="21"/>
                <w:highlight w:val="none"/>
              </w:rPr>
              <w:t>（共22项）</w:t>
            </w:r>
            <w:r>
              <w:rPr>
                <w:rFonts w:hint="eastAsia" w:ascii="宋体" w:hAnsi="宋体" w:cs="宋体"/>
                <w:color w:val="auto"/>
                <w:kern w:val="0"/>
                <w:szCs w:val="21"/>
                <w:highlight w:val="none"/>
              </w:rPr>
              <w:t>，若出现负偏差，每负偏离一项扣1.3分，扣完为止。</w:t>
            </w:r>
          </w:p>
          <w:p w14:paraId="22472B83">
            <w:pPr>
              <w:widowControl/>
              <w:jc w:val="left"/>
              <w:rPr>
                <w:rFonts w:ascii="宋体" w:hAnsi="宋体" w:cs="宋体"/>
                <w:color w:val="auto"/>
                <w:kern w:val="0"/>
                <w:szCs w:val="21"/>
                <w:highlight w:val="none"/>
              </w:rPr>
            </w:pPr>
            <w:r>
              <w:rPr>
                <w:rFonts w:hint="eastAsia" w:ascii="宋体" w:hAnsi="宋体" w:cs="宋体"/>
                <w:b/>
                <w:bCs/>
                <w:color w:val="auto"/>
                <w:szCs w:val="21"/>
                <w:highlight w:val="none"/>
              </w:rPr>
              <w:t>(采购文件中要求提供相关证明资料的技术指标，必须提供按采购文件要求提供相应证明材料，否则以负偏离处理。)</w:t>
            </w:r>
          </w:p>
        </w:tc>
        <w:tc>
          <w:tcPr>
            <w:tcW w:w="880" w:type="dxa"/>
            <w:shd w:val="clear" w:color="auto" w:fill="auto"/>
            <w:vAlign w:val="center"/>
          </w:tcPr>
          <w:p w14:paraId="0A8E978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r>
      <w:tr w14:paraId="2D58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1360" w:type="dxa"/>
            <w:vMerge w:val="continue"/>
            <w:shd w:val="clear" w:color="auto" w:fill="auto"/>
            <w:vAlign w:val="center"/>
          </w:tcPr>
          <w:p w14:paraId="0349E1EF">
            <w:pPr>
              <w:widowControl/>
              <w:jc w:val="center"/>
              <w:rPr>
                <w:rFonts w:ascii="宋体" w:hAnsi="宋体" w:cs="宋体"/>
                <w:color w:val="auto"/>
                <w:kern w:val="0"/>
                <w:szCs w:val="21"/>
                <w:highlight w:val="none"/>
              </w:rPr>
            </w:pPr>
          </w:p>
        </w:tc>
        <w:tc>
          <w:tcPr>
            <w:tcW w:w="1060" w:type="dxa"/>
            <w:shd w:val="clear" w:color="auto" w:fill="auto"/>
            <w:vAlign w:val="center"/>
          </w:tcPr>
          <w:p w14:paraId="601003D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总体方案设计</w:t>
            </w:r>
          </w:p>
        </w:tc>
        <w:tc>
          <w:tcPr>
            <w:tcW w:w="5240" w:type="dxa"/>
            <w:shd w:val="clear" w:color="auto" w:fill="auto"/>
            <w:vAlign w:val="center"/>
          </w:tcPr>
          <w:p w14:paraId="009F944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投标人须提供项目总体建设方案且详细、完善、科学合理，包括网络整体规划，根据方案与本项目需求的吻合程度进行打分。</w:t>
            </w:r>
          </w:p>
          <w:p w14:paraId="5D4EEF65">
            <w:pPr>
              <w:jc w:val="left"/>
              <w:rPr>
                <w:rFonts w:ascii="宋体" w:hAnsi="宋体" w:cs="宋体"/>
                <w:color w:val="auto"/>
                <w:kern w:val="0"/>
                <w:szCs w:val="21"/>
                <w:highlight w:val="none"/>
              </w:rPr>
            </w:pPr>
            <w:r>
              <w:rPr>
                <w:rFonts w:hint="eastAsia" w:ascii="宋体" w:hAnsi="宋体" w:cs="宋体"/>
                <w:color w:val="auto"/>
                <w:spacing w:val="-4"/>
                <w:szCs w:val="21"/>
                <w:highlight w:val="none"/>
              </w:rPr>
              <w:t>一档得5分；二档得4.5分；三档得4分；四档得3.5分；五档得3分；六档得2.5分；七档得2分；八档得1.5分；九档得1分；未提及此项不得分。</w:t>
            </w:r>
          </w:p>
        </w:tc>
        <w:tc>
          <w:tcPr>
            <w:tcW w:w="880" w:type="dxa"/>
            <w:shd w:val="clear" w:color="auto" w:fill="auto"/>
            <w:vAlign w:val="center"/>
          </w:tcPr>
          <w:p w14:paraId="60DEB1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r>
      <w:tr w14:paraId="7E83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360" w:type="dxa"/>
            <w:vMerge w:val="continue"/>
            <w:shd w:val="clear" w:color="auto" w:fill="auto"/>
            <w:vAlign w:val="center"/>
          </w:tcPr>
          <w:p w14:paraId="7DF06EDE">
            <w:pPr>
              <w:widowControl/>
              <w:jc w:val="center"/>
              <w:rPr>
                <w:rFonts w:ascii="宋体" w:hAnsi="宋体" w:cs="宋体"/>
                <w:color w:val="auto"/>
                <w:kern w:val="0"/>
                <w:szCs w:val="21"/>
                <w:highlight w:val="none"/>
              </w:rPr>
            </w:pPr>
          </w:p>
        </w:tc>
        <w:tc>
          <w:tcPr>
            <w:tcW w:w="1060" w:type="dxa"/>
            <w:shd w:val="clear" w:color="auto" w:fill="auto"/>
            <w:vAlign w:val="center"/>
          </w:tcPr>
          <w:p w14:paraId="137D2D0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对接方案</w:t>
            </w:r>
          </w:p>
        </w:tc>
        <w:tc>
          <w:tcPr>
            <w:tcW w:w="5240" w:type="dxa"/>
            <w:shd w:val="clear" w:color="auto" w:fill="auto"/>
            <w:vAlign w:val="center"/>
          </w:tcPr>
          <w:p w14:paraId="16942AA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根据投标人提供的与省、市考试平台互联互通及兼容性的方案描述进行打分。</w:t>
            </w:r>
          </w:p>
          <w:p w14:paraId="602C5991">
            <w:pPr>
              <w:widowControl/>
              <w:jc w:val="left"/>
              <w:rPr>
                <w:rFonts w:ascii="宋体" w:hAnsi="宋体" w:cs="宋体"/>
                <w:color w:val="auto"/>
                <w:kern w:val="0"/>
                <w:szCs w:val="21"/>
                <w:highlight w:val="none"/>
              </w:rPr>
            </w:pPr>
            <w:r>
              <w:rPr>
                <w:rFonts w:hint="eastAsia" w:ascii="宋体" w:hAnsi="宋体" w:cs="宋体"/>
                <w:color w:val="auto"/>
                <w:spacing w:val="-4"/>
                <w:szCs w:val="21"/>
                <w:highlight w:val="none"/>
              </w:rPr>
              <w:t>一档得5分；二档得4.5分；三档得4分；四档得3.5分；五档得3分；六档得2.5分；七档得2分；八档得1.5分；九档得1分；未提及此项不得分。</w:t>
            </w:r>
          </w:p>
        </w:tc>
        <w:tc>
          <w:tcPr>
            <w:tcW w:w="880" w:type="dxa"/>
            <w:shd w:val="clear" w:color="auto" w:fill="auto"/>
            <w:vAlign w:val="center"/>
          </w:tcPr>
          <w:p w14:paraId="6CADEAA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r>
      <w:tr w14:paraId="211C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1360" w:type="dxa"/>
            <w:vMerge w:val="continue"/>
            <w:shd w:val="clear" w:color="auto" w:fill="auto"/>
            <w:vAlign w:val="center"/>
          </w:tcPr>
          <w:p w14:paraId="1987DA1B">
            <w:pPr>
              <w:widowControl/>
              <w:jc w:val="center"/>
              <w:rPr>
                <w:rFonts w:ascii="宋体" w:hAnsi="宋体" w:cs="宋体"/>
                <w:color w:val="auto"/>
                <w:kern w:val="0"/>
                <w:szCs w:val="21"/>
                <w:highlight w:val="none"/>
              </w:rPr>
            </w:pPr>
          </w:p>
        </w:tc>
        <w:tc>
          <w:tcPr>
            <w:tcW w:w="1060" w:type="dxa"/>
            <w:shd w:val="clear" w:color="auto" w:fill="auto"/>
            <w:vAlign w:val="center"/>
          </w:tcPr>
          <w:p w14:paraId="44AE6F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实施方案</w:t>
            </w:r>
          </w:p>
        </w:tc>
        <w:tc>
          <w:tcPr>
            <w:tcW w:w="5240" w:type="dxa"/>
            <w:shd w:val="clear" w:color="auto" w:fill="auto"/>
            <w:vAlign w:val="center"/>
          </w:tcPr>
          <w:p w14:paraId="4D86D9F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根据投标人依据项目要求提供的项目实施方案，包括但不限于前期勘查情况、项目管理方案、实施步骤和进度计划、质量保障方案、项目风险管理、应急处置方案、测试和验收方案等进行打分。</w:t>
            </w:r>
          </w:p>
          <w:p w14:paraId="7B810201">
            <w:pPr>
              <w:jc w:val="left"/>
              <w:rPr>
                <w:rFonts w:ascii="宋体" w:hAnsi="宋体" w:cs="宋体"/>
                <w:color w:val="auto"/>
                <w:kern w:val="0"/>
                <w:szCs w:val="21"/>
                <w:highlight w:val="none"/>
              </w:rPr>
            </w:pPr>
            <w:r>
              <w:rPr>
                <w:rFonts w:hint="eastAsia" w:ascii="宋体" w:hAnsi="宋体" w:cs="宋体"/>
                <w:color w:val="auto"/>
                <w:spacing w:val="-4"/>
                <w:szCs w:val="21"/>
                <w:highlight w:val="none"/>
              </w:rPr>
              <w:t>一档得5分；二档得4.5分；三档得4分；四档得3.5分；五档得3分；六档得2.5分；七档得2分；八档得1.5分；九档得1分；未提及此项不得分。</w:t>
            </w:r>
          </w:p>
        </w:tc>
        <w:tc>
          <w:tcPr>
            <w:tcW w:w="880" w:type="dxa"/>
            <w:shd w:val="clear" w:color="auto" w:fill="auto"/>
            <w:vAlign w:val="center"/>
          </w:tcPr>
          <w:p w14:paraId="46B926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r>
      <w:tr w14:paraId="6E14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60" w:type="dxa"/>
            <w:vMerge w:val="continue"/>
            <w:shd w:val="clear" w:color="auto" w:fill="auto"/>
            <w:vAlign w:val="center"/>
          </w:tcPr>
          <w:p w14:paraId="777EFDF4">
            <w:pPr>
              <w:widowControl/>
              <w:jc w:val="center"/>
              <w:rPr>
                <w:rFonts w:ascii="宋体" w:hAnsi="宋体" w:cs="宋体"/>
                <w:color w:val="auto"/>
                <w:kern w:val="0"/>
                <w:szCs w:val="21"/>
                <w:highlight w:val="none"/>
              </w:rPr>
            </w:pPr>
          </w:p>
        </w:tc>
        <w:tc>
          <w:tcPr>
            <w:tcW w:w="1060" w:type="dxa"/>
            <w:shd w:val="clear" w:color="auto" w:fill="auto"/>
            <w:vAlign w:val="center"/>
          </w:tcPr>
          <w:p w14:paraId="63CD834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大型考试保障方案</w:t>
            </w:r>
          </w:p>
        </w:tc>
        <w:tc>
          <w:tcPr>
            <w:tcW w:w="5240" w:type="dxa"/>
            <w:shd w:val="clear" w:color="auto" w:fill="auto"/>
            <w:vAlign w:val="center"/>
          </w:tcPr>
          <w:p w14:paraId="2CB476B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根据投标人提供的大型考试保障方案描述进行打分。</w:t>
            </w:r>
          </w:p>
          <w:p w14:paraId="494C1C1C">
            <w:pPr>
              <w:widowControl/>
              <w:jc w:val="left"/>
              <w:rPr>
                <w:rFonts w:ascii="宋体" w:hAnsi="宋体" w:cs="宋体"/>
                <w:color w:val="auto"/>
                <w:kern w:val="0"/>
                <w:szCs w:val="21"/>
                <w:highlight w:val="none"/>
              </w:rPr>
            </w:pPr>
            <w:r>
              <w:rPr>
                <w:rFonts w:hint="eastAsia" w:ascii="宋体" w:hAnsi="宋体" w:cs="宋体"/>
                <w:color w:val="auto"/>
                <w:spacing w:val="-4"/>
                <w:szCs w:val="21"/>
                <w:highlight w:val="none"/>
              </w:rPr>
              <w:t>一档得5分；二档得4.5分；三档得4分；四档得3.5分；五档得3分；六档得2.5分；七档得2分；八档得1.5分；九档得1分；未提及此项不得分。</w:t>
            </w:r>
          </w:p>
        </w:tc>
        <w:tc>
          <w:tcPr>
            <w:tcW w:w="880" w:type="dxa"/>
            <w:shd w:val="clear" w:color="auto" w:fill="auto"/>
            <w:vAlign w:val="center"/>
          </w:tcPr>
          <w:p w14:paraId="220774A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r>
      <w:tr w14:paraId="6E8D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60" w:type="dxa"/>
            <w:vMerge w:val="continue"/>
            <w:shd w:val="clear" w:color="auto" w:fill="auto"/>
            <w:vAlign w:val="center"/>
          </w:tcPr>
          <w:p w14:paraId="3DDD12A9">
            <w:pPr>
              <w:widowControl/>
              <w:jc w:val="center"/>
              <w:rPr>
                <w:rFonts w:ascii="宋体" w:hAnsi="宋体" w:cs="宋体"/>
                <w:color w:val="auto"/>
                <w:kern w:val="0"/>
                <w:szCs w:val="21"/>
                <w:highlight w:val="none"/>
              </w:rPr>
            </w:pPr>
          </w:p>
        </w:tc>
        <w:tc>
          <w:tcPr>
            <w:tcW w:w="1060" w:type="dxa"/>
            <w:vMerge w:val="restart"/>
            <w:shd w:val="clear" w:color="auto" w:fill="auto"/>
            <w:vAlign w:val="center"/>
          </w:tcPr>
          <w:p w14:paraId="024699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培训方案</w:t>
            </w:r>
          </w:p>
        </w:tc>
        <w:tc>
          <w:tcPr>
            <w:tcW w:w="5240" w:type="dxa"/>
            <w:shd w:val="clear" w:color="auto" w:fill="auto"/>
            <w:vAlign w:val="center"/>
          </w:tcPr>
          <w:p w14:paraId="2EF4EB6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项目培训负责人具有教育部门颁发的教师资格证，人社部门颁发的信息系统项目管理师、系统集成管理工程师、二级建造师（机电），每个得0.5分，最高得2分。</w:t>
            </w:r>
          </w:p>
          <w:p w14:paraId="76341BAC">
            <w:pPr>
              <w:widowControl/>
              <w:jc w:val="left"/>
              <w:rPr>
                <w:rFonts w:ascii="宋体" w:hAnsi="宋体" w:cs="宋体"/>
                <w:color w:val="auto"/>
                <w:szCs w:val="21"/>
                <w:highlight w:val="none"/>
              </w:rPr>
            </w:pPr>
            <w:r>
              <w:rPr>
                <w:rFonts w:hint="eastAsia" w:ascii="宋体" w:hAnsi="宋体" w:cs="宋体"/>
                <w:b/>
                <w:bCs/>
                <w:color w:val="auto"/>
                <w:kern w:val="0"/>
                <w:szCs w:val="21"/>
                <w:highlight w:val="none"/>
              </w:rPr>
              <w:t>（须提供相应人员的证书原件彩色清晰扫描件和</w:t>
            </w:r>
            <w:r>
              <w:rPr>
                <w:rFonts w:hint="eastAsia" w:ascii="宋体" w:hAnsi="宋体" w:cs="宋体"/>
                <w:b/>
                <w:bCs/>
                <w:color w:val="auto"/>
                <w:szCs w:val="21"/>
                <w:highlight w:val="none"/>
              </w:rPr>
              <w:t>投标截止时间前的社保缴费证明</w:t>
            </w:r>
            <w:r>
              <w:rPr>
                <w:rFonts w:hint="eastAsia" w:ascii="宋体" w:hAnsi="宋体" w:cs="宋体"/>
                <w:b/>
                <w:bCs/>
                <w:color w:val="auto"/>
                <w:kern w:val="0"/>
                <w:szCs w:val="21"/>
                <w:highlight w:val="none"/>
              </w:rPr>
              <w:t>，社保缴纳单位必须与投标人单位名称一致，</w:t>
            </w:r>
            <w:r>
              <w:rPr>
                <w:rFonts w:hint="eastAsia" w:ascii="宋体" w:hAnsi="宋体" w:cs="宋体"/>
                <w:b/>
                <w:bCs/>
                <w:color w:val="auto"/>
                <w:szCs w:val="21"/>
                <w:highlight w:val="none"/>
              </w:rPr>
              <w:t>加盖投标人公章编入投标文件中，</w:t>
            </w:r>
            <w:r>
              <w:rPr>
                <w:rFonts w:hint="eastAsia" w:ascii="宋体" w:hAnsi="宋体" w:cs="宋体"/>
                <w:b/>
                <w:bCs/>
                <w:color w:val="auto"/>
                <w:kern w:val="0"/>
                <w:szCs w:val="21"/>
                <w:highlight w:val="none"/>
              </w:rPr>
              <w:t>未提供、提供不全或未按要求提供的不得分）</w:t>
            </w:r>
          </w:p>
        </w:tc>
        <w:tc>
          <w:tcPr>
            <w:tcW w:w="880" w:type="dxa"/>
            <w:shd w:val="clear" w:color="auto" w:fill="auto"/>
            <w:vAlign w:val="center"/>
          </w:tcPr>
          <w:p w14:paraId="720707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r>
      <w:tr w14:paraId="51C3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60" w:type="dxa"/>
            <w:vMerge w:val="continue"/>
            <w:shd w:val="clear" w:color="auto" w:fill="auto"/>
            <w:vAlign w:val="center"/>
          </w:tcPr>
          <w:p w14:paraId="563B90ED">
            <w:pPr>
              <w:widowControl/>
              <w:jc w:val="center"/>
              <w:rPr>
                <w:rFonts w:ascii="宋体" w:hAnsi="宋体" w:cs="宋体"/>
                <w:color w:val="auto"/>
                <w:kern w:val="0"/>
                <w:szCs w:val="21"/>
                <w:highlight w:val="none"/>
              </w:rPr>
            </w:pPr>
          </w:p>
        </w:tc>
        <w:tc>
          <w:tcPr>
            <w:tcW w:w="1060" w:type="dxa"/>
            <w:vMerge w:val="continue"/>
            <w:shd w:val="clear" w:color="auto" w:fill="auto"/>
            <w:vAlign w:val="center"/>
          </w:tcPr>
          <w:p w14:paraId="3AFF362F">
            <w:pPr>
              <w:widowControl/>
              <w:jc w:val="center"/>
              <w:rPr>
                <w:rFonts w:ascii="宋体" w:hAnsi="宋体" w:cs="宋体"/>
                <w:color w:val="auto"/>
                <w:kern w:val="0"/>
                <w:szCs w:val="21"/>
                <w:highlight w:val="none"/>
              </w:rPr>
            </w:pPr>
          </w:p>
        </w:tc>
        <w:tc>
          <w:tcPr>
            <w:tcW w:w="5240" w:type="dxa"/>
            <w:shd w:val="clear" w:color="auto" w:fill="auto"/>
            <w:vAlign w:val="center"/>
          </w:tcPr>
          <w:p w14:paraId="4D401ACD">
            <w:pPr>
              <w:widowControl/>
              <w:jc w:val="left"/>
              <w:rPr>
                <w:rFonts w:ascii="宋体" w:hAnsi="宋体" w:cs="宋体"/>
                <w:color w:val="auto"/>
                <w:kern w:val="0"/>
                <w:szCs w:val="21"/>
                <w:highlight w:val="none"/>
              </w:rPr>
            </w:pPr>
            <w:r>
              <w:rPr>
                <w:rFonts w:hint="eastAsia" w:ascii="宋体" w:hAnsi="宋体" w:cs="宋体"/>
                <w:color w:val="auto"/>
                <w:szCs w:val="21"/>
                <w:highlight w:val="none"/>
              </w:rPr>
              <w:t>根据投标人提供的培训方案包括但不限于培训目的、培训内容等内容</w:t>
            </w:r>
            <w:r>
              <w:rPr>
                <w:rFonts w:hint="eastAsia" w:ascii="宋体" w:hAnsi="宋体" w:cs="宋体"/>
                <w:color w:val="auto"/>
                <w:kern w:val="0"/>
                <w:szCs w:val="21"/>
                <w:highlight w:val="none"/>
              </w:rPr>
              <w:t>进行打分。</w:t>
            </w:r>
          </w:p>
          <w:p w14:paraId="3B2F4027">
            <w:pPr>
              <w:jc w:val="left"/>
              <w:rPr>
                <w:rFonts w:ascii="宋体" w:hAnsi="宋体" w:cs="宋体"/>
                <w:color w:val="auto"/>
                <w:szCs w:val="21"/>
                <w:highlight w:val="none"/>
              </w:rPr>
            </w:pPr>
            <w:r>
              <w:rPr>
                <w:rFonts w:hint="eastAsia" w:ascii="宋体" w:hAnsi="宋体" w:cs="宋体"/>
                <w:color w:val="auto"/>
                <w:spacing w:val="-4"/>
                <w:szCs w:val="21"/>
                <w:highlight w:val="none"/>
              </w:rPr>
              <w:t>一档得3分；二档得2.5分；三档得2分；四档得1.5分；五档得1分；未提及此项不得分。</w:t>
            </w:r>
          </w:p>
        </w:tc>
        <w:tc>
          <w:tcPr>
            <w:tcW w:w="880" w:type="dxa"/>
            <w:shd w:val="clear" w:color="auto" w:fill="auto"/>
            <w:vAlign w:val="center"/>
          </w:tcPr>
          <w:p w14:paraId="261BA3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r>
      <w:tr w14:paraId="6986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360" w:type="dxa"/>
            <w:vMerge w:val="continue"/>
            <w:shd w:val="clear" w:color="auto" w:fill="auto"/>
            <w:vAlign w:val="center"/>
          </w:tcPr>
          <w:p w14:paraId="30D0B0AA">
            <w:pPr>
              <w:widowControl/>
              <w:jc w:val="center"/>
              <w:rPr>
                <w:rFonts w:ascii="宋体" w:hAnsi="宋体" w:cs="宋体"/>
                <w:color w:val="auto"/>
                <w:kern w:val="0"/>
                <w:szCs w:val="21"/>
                <w:highlight w:val="none"/>
              </w:rPr>
            </w:pPr>
          </w:p>
        </w:tc>
        <w:tc>
          <w:tcPr>
            <w:tcW w:w="1060" w:type="dxa"/>
            <w:shd w:val="clear" w:color="auto" w:fill="auto"/>
            <w:vAlign w:val="center"/>
          </w:tcPr>
          <w:p w14:paraId="0907452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售后服务方案</w:t>
            </w:r>
          </w:p>
        </w:tc>
        <w:tc>
          <w:tcPr>
            <w:tcW w:w="5240" w:type="dxa"/>
            <w:shd w:val="clear" w:color="auto" w:fill="auto"/>
            <w:vAlign w:val="center"/>
          </w:tcPr>
          <w:p w14:paraId="685C0FA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根据</w:t>
            </w:r>
            <w:r>
              <w:rPr>
                <w:rFonts w:hint="eastAsia" w:ascii="宋体" w:hAnsi="宋体" w:cs="宋体"/>
                <w:color w:val="auto"/>
                <w:szCs w:val="21"/>
                <w:highlight w:val="none"/>
              </w:rPr>
              <w:t>投标人提供的</w:t>
            </w:r>
            <w:r>
              <w:rPr>
                <w:rFonts w:hint="eastAsia" w:ascii="宋体" w:hAnsi="宋体" w:cs="宋体"/>
                <w:color w:val="auto"/>
                <w:kern w:val="0"/>
                <w:szCs w:val="21"/>
                <w:highlight w:val="none"/>
              </w:rPr>
              <w:t>售后服务承诺、服务组织架构、服务保障措施等情况进行打分。</w:t>
            </w:r>
          </w:p>
          <w:p w14:paraId="6E1F159A">
            <w:pPr>
              <w:widowControl/>
              <w:jc w:val="left"/>
              <w:rPr>
                <w:rFonts w:ascii="宋体" w:hAnsi="宋体" w:cs="宋体"/>
                <w:color w:val="auto"/>
                <w:kern w:val="0"/>
                <w:szCs w:val="21"/>
                <w:highlight w:val="none"/>
              </w:rPr>
            </w:pPr>
            <w:r>
              <w:rPr>
                <w:rFonts w:hint="eastAsia" w:ascii="宋体" w:hAnsi="宋体" w:cs="宋体"/>
                <w:color w:val="auto"/>
                <w:spacing w:val="-4"/>
                <w:szCs w:val="21"/>
                <w:highlight w:val="none"/>
              </w:rPr>
              <w:t>一档得3分；二档得2.5分；三档得2分；四档得1.5分；五档得1分；未提及此项不得分。</w:t>
            </w:r>
          </w:p>
        </w:tc>
        <w:tc>
          <w:tcPr>
            <w:tcW w:w="880" w:type="dxa"/>
            <w:shd w:val="clear" w:color="auto" w:fill="auto"/>
            <w:vAlign w:val="center"/>
          </w:tcPr>
          <w:p w14:paraId="73FEBCF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r>
      <w:tr w14:paraId="1EA2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420" w:type="dxa"/>
            <w:gridSpan w:val="2"/>
            <w:shd w:val="clear" w:color="auto" w:fill="auto"/>
            <w:vAlign w:val="center"/>
          </w:tcPr>
          <w:p w14:paraId="3893CE21">
            <w:pPr>
              <w:jc w:val="center"/>
              <w:rPr>
                <w:rStyle w:val="57"/>
                <w:rFonts w:ascii="宋体" w:hAnsi="宋体" w:cs="宋体"/>
                <w:color w:val="auto"/>
                <w:kern w:val="0"/>
                <w:szCs w:val="21"/>
                <w:highlight w:val="none"/>
              </w:rPr>
            </w:pPr>
            <w:r>
              <w:rPr>
                <w:rStyle w:val="57"/>
                <w:rFonts w:hint="eastAsia" w:ascii="宋体" w:hAnsi="宋体" w:cs="宋体"/>
                <w:color w:val="auto"/>
                <w:kern w:val="0"/>
                <w:szCs w:val="21"/>
                <w:highlight w:val="none"/>
              </w:rPr>
              <w:t>价格</w:t>
            </w:r>
          </w:p>
          <w:p w14:paraId="1905CC72">
            <w:pPr>
              <w:jc w:val="center"/>
              <w:rPr>
                <w:rFonts w:ascii="宋体" w:hAnsi="宋体" w:cs="宋体"/>
                <w:b/>
                <w:bCs/>
                <w:color w:val="auto"/>
                <w:kern w:val="0"/>
                <w:szCs w:val="21"/>
                <w:highlight w:val="none"/>
              </w:rPr>
            </w:pPr>
            <w:r>
              <w:rPr>
                <w:rStyle w:val="57"/>
                <w:rFonts w:hint="eastAsia" w:ascii="宋体" w:hAnsi="宋体" w:cs="宋体"/>
                <w:color w:val="auto"/>
                <w:kern w:val="0"/>
                <w:szCs w:val="21"/>
                <w:highlight w:val="none"/>
              </w:rPr>
              <w:t>（30分）</w:t>
            </w:r>
          </w:p>
        </w:tc>
        <w:tc>
          <w:tcPr>
            <w:tcW w:w="5240" w:type="dxa"/>
            <w:shd w:val="clear" w:color="auto" w:fill="auto"/>
            <w:vAlign w:val="center"/>
          </w:tcPr>
          <w:p w14:paraId="1B0241C2">
            <w:pPr>
              <w:rPr>
                <w:rFonts w:ascii="宋体" w:hAnsi="宋体" w:cs="宋体"/>
                <w:color w:val="auto"/>
                <w:szCs w:val="21"/>
                <w:highlight w:val="none"/>
                <w:lang w:val="zh-CN"/>
              </w:rPr>
            </w:pPr>
            <w:r>
              <w:rPr>
                <w:rFonts w:hint="eastAsia" w:ascii="宋体" w:hAnsi="宋体" w:cs="宋体"/>
                <w:color w:val="auto"/>
                <w:szCs w:val="21"/>
                <w:highlight w:val="none"/>
              </w:rPr>
              <w:t>取投标合格供应商的投标最终报价最低价</w:t>
            </w:r>
            <w:r>
              <w:rPr>
                <w:rFonts w:hint="eastAsia" w:ascii="宋体" w:hAnsi="宋体" w:cs="宋体"/>
                <w:color w:val="auto"/>
                <w:szCs w:val="21"/>
                <w:highlight w:val="none"/>
                <w:lang w:val="zh-CN"/>
              </w:rPr>
              <w:t>为评标基准价，</w:t>
            </w:r>
            <w:r>
              <w:rPr>
                <w:rFonts w:hint="eastAsia" w:ascii="宋体" w:hAnsi="宋体" w:cs="宋体"/>
                <w:color w:val="auto"/>
                <w:szCs w:val="21"/>
                <w:highlight w:val="none"/>
              </w:rPr>
              <w:t>基准价为30分</w:t>
            </w:r>
            <w:r>
              <w:rPr>
                <w:rFonts w:hint="eastAsia" w:ascii="宋体" w:hAnsi="宋体" w:cs="宋体"/>
                <w:color w:val="auto"/>
                <w:szCs w:val="21"/>
                <w:highlight w:val="none"/>
                <w:lang w:val="zh-CN"/>
              </w:rPr>
              <w:t>。</w:t>
            </w:r>
          </w:p>
          <w:p w14:paraId="3E880EB9">
            <w:pPr>
              <w:rPr>
                <w:rFonts w:ascii="宋体" w:hAnsi="宋体" w:cs="宋体"/>
                <w:color w:val="auto"/>
                <w:szCs w:val="21"/>
                <w:highlight w:val="none"/>
              </w:rPr>
            </w:pPr>
            <w:r>
              <w:rPr>
                <w:rFonts w:hint="eastAsia" w:ascii="宋体" w:hAnsi="宋体" w:cs="宋体"/>
                <w:color w:val="auto"/>
                <w:szCs w:val="21"/>
                <w:highlight w:val="none"/>
                <w:lang w:val="zh-CN"/>
              </w:rPr>
              <w:t>投标报价得分=(评标基准价／投标报价)×</w:t>
            </w:r>
            <w:r>
              <w:rPr>
                <w:rFonts w:hint="eastAsia" w:ascii="宋体" w:hAnsi="宋体" w:cs="宋体"/>
                <w:color w:val="auto"/>
                <w:szCs w:val="21"/>
                <w:highlight w:val="none"/>
              </w:rPr>
              <w:t>30</w:t>
            </w:r>
            <w:r>
              <w:rPr>
                <w:rFonts w:hint="eastAsia" w:ascii="宋体" w:hAnsi="宋体" w:cs="宋体"/>
                <w:color w:val="auto"/>
                <w:szCs w:val="21"/>
                <w:highlight w:val="none"/>
                <w:lang w:val="zh-CN"/>
              </w:rPr>
              <w:t>%×100。（</w:t>
            </w:r>
            <w:r>
              <w:rPr>
                <w:rFonts w:hint="eastAsia" w:ascii="宋体" w:hAnsi="宋体" w:cs="宋体"/>
                <w:color w:val="auto"/>
                <w:szCs w:val="21"/>
                <w:highlight w:val="none"/>
              </w:rPr>
              <w:t>小数点后保留2位小数</w:t>
            </w:r>
            <w:r>
              <w:rPr>
                <w:rFonts w:hint="eastAsia" w:ascii="宋体" w:hAnsi="宋体" w:cs="宋体"/>
                <w:color w:val="auto"/>
                <w:szCs w:val="21"/>
                <w:highlight w:val="none"/>
                <w:lang w:val="zh-CN"/>
              </w:rPr>
              <w:t>）。</w:t>
            </w:r>
          </w:p>
        </w:tc>
        <w:tc>
          <w:tcPr>
            <w:tcW w:w="880" w:type="dxa"/>
            <w:shd w:val="clear" w:color="auto" w:fill="auto"/>
            <w:vAlign w:val="center"/>
          </w:tcPr>
          <w:p w14:paraId="00974BBE">
            <w:pPr>
              <w:jc w:val="center"/>
              <w:rPr>
                <w:rFonts w:ascii="宋体" w:hAnsi="宋体" w:cs="宋体"/>
                <w:color w:val="auto"/>
                <w:kern w:val="0"/>
                <w:szCs w:val="21"/>
                <w:highlight w:val="none"/>
              </w:rPr>
            </w:pPr>
            <w:r>
              <w:rPr>
                <w:rFonts w:hint="eastAsia" w:ascii="宋体" w:hAnsi="宋体" w:cs="宋体"/>
                <w:color w:val="auto"/>
                <w:szCs w:val="21"/>
                <w:highlight w:val="none"/>
              </w:rPr>
              <w:t>30</w:t>
            </w:r>
          </w:p>
        </w:tc>
      </w:tr>
    </w:tbl>
    <w:p w14:paraId="6230EABC">
      <w:pPr>
        <w:pStyle w:val="10"/>
        <w:ind w:firstLine="0" w:firstLineChars="0"/>
        <w:rPr>
          <w:rFonts w:ascii="宋体" w:hAnsi="宋体" w:cs="宋体"/>
          <w:color w:val="auto"/>
          <w:highlight w:val="none"/>
        </w:rPr>
        <w:sectPr>
          <w:pgSz w:w="11906" w:h="16838"/>
          <w:pgMar w:top="1440" w:right="1440" w:bottom="1440" w:left="1803" w:header="851" w:footer="992" w:gutter="0"/>
          <w:cols w:space="0" w:num="1"/>
          <w:docGrid w:type="lines" w:linePitch="325" w:charSpace="0"/>
        </w:sectPr>
      </w:pPr>
    </w:p>
    <w:p w14:paraId="7600694D">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第四章 公开招标需求</w:t>
      </w:r>
    </w:p>
    <w:p w14:paraId="680ACBFC">
      <w:pPr>
        <w:pStyle w:val="4"/>
        <w:keepNext w:val="0"/>
        <w:keepLines w:val="0"/>
        <w:numPr>
          <w:ilvl w:val="1"/>
          <w:numId w:val="0"/>
        </w:numPr>
        <w:tabs>
          <w:tab w:val="left" w:pos="360"/>
        </w:tabs>
        <w:snapToGrid/>
        <w:spacing w:beforeLines="0" w:line="360" w:lineRule="auto"/>
        <w:ind w:firstLine="422" w:firstLineChars="200"/>
        <w:jc w:val="left"/>
        <w:rPr>
          <w:rFonts w:ascii="宋体" w:hAns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 xml:space="preserve"> 项目背景</w:t>
      </w:r>
    </w:p>
    <w:p w14:paraId="40FC9C5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浙江省教育厅关于实施初中学业水平考试全省统一命题的通知》（浙教基〔2023〕51号）、《浙江省教育考试院关于加强2024年初中学业水平考试考务工作的通知》（浙教试院〔2024〕67号）、《台州市教育局关于做好台州市2024年初中学业水平考试与高中招生工作的通知》（台教基〔2024〕28号）精神，2024年起，浙江省初中学业水平考试（中考）实施全省统一命题、统一考试，考试须安排在标准化考点进行，并装有符合规范的可进行监控图像实时传送的网上巡查系统，未完成中考标准化考点建设的县（市、区）要确保2025年中考前全面建成并投入使用。</w:t>
      </w:r>
    </w:p>
    <w:p w14:paraId="0B21ABE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目前黄岩区16个中考考点除北京师范大学台州实验学校外均未建成标准化考点。考虑到中考考试规模大、涉及范围广且意义重大，为进一步加强国家教育考试全过程记录和管理，严密防范和严肃查处考试招生舞弊行为，切实维护考试招生的公平、公正、安全和秩序，根据《教育部办公厅关于开展国家教育考试综合管理平台建设试点工作的通知》（教学厅函[2018]18号）、《浙江省教育厅办公室浙江省财政厅办公室关于开展国家教育考试综合管理平台建设工作的通知》（浙教办考[2018]91号）中“统一规划、统一标准、统筹协调、分步实施、高效务实”等原则和《浙江省教育厅关于实施初中学业水平考试全省统一命题的通知》工作要求，在遵循省市两级指导精神基础上，结合黄岩当地实际情况，本次黄岩区标准化考点建设项目将通过现代信息、管理技术的应用，实现教育考试数字化、智能化、网络化、一体化，逐步规范和优化教育考试工作各个环节和管理程序。</w:t>
      </w:r>
    </w:p>
    <w:p w14:paraId="2BB6D887">
      <w:pPr>
        <w:pStyle w:val="4"/>
        <w:keepNext w:val="0"/>
        <w:keepLines w:val="0"/>
        <w:numPr>
          <w:ilvl w:val="1"/>
          <w:numId w:val="0"/>
        </w:numPr>
        <w:tabs>
          <w:tab w:val="left" w:pos="360"/>
        </w:tabs>
        <w:snapToGrid/>
        <w:spacing w:beforeLines="0" w:line="360" w:lineRule="auto"/>
        <w:ind w:firstLine="422" w:firstLineChars="200"/>
        <w:jc w:val="left"/>
        <w:rPr>
          <w:rFonts w:ascii="宋体" w:hAns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 xml:space="preserve"> 建设目标</w:t>
      </w:r>
    </w:p>
    <w:p w14:paraId="168401D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区计划于2025年建设完成中考标准化考点16个（实验中学、城关中学、东浦中学、北城中学、宁溪初中、灵中初中、澄江中学、新前中学、院桥初中、高桥中学、江口中学、黄初教育集团、沙埠中学、头陀中学、南城中学、北京师范大学台州实验学校）。该项目将严格按照教育部制定的《国家教育考试网上巡查系统视频标准技术规范（2017版）》要求，建成区指挥系统、视频及网络监控系统、无线信号屏蔽系统等，建成巡查管理平台，通过现代信息、管理技术的应用，实现所属考点、考场、保密室和试题运输的远程、实时监控视频录像并接入国家、省、市统一平台，实现互联互通，建成安全、可信、实时、高效的数字化、信息化的国家教育考试巡查、指挥、管理体系，有效提高我区教育考试管理信息化、智能化水平，维护考试安全。</w:t>
      </w:r>
    </w:p>
    <w:p w14:paraId="38E28284">
      <w:pPr>
        <w:pStyle w:val="4"/>
        <w:keepNext w:val="0"/>
        <w:keepLines w:val="0"/>
        <w:numPr>
          <w:ilvl w:val="1"/>
          <w:numId w:val="0"/>
        </w:numPr>
        <w:tabs>
          <w:tab w:val="left" w:pos="360"/>
        </w:tabs>
        <w:snapToGrid/>
        <w:spacing w:beforeLines="0" w:line="360" w:lineRule="auto"/>
        <w:ind w:firstLine="422" w:firstLineChars="200"/>
        <w:jc w:val="left"/>
        <w:rPr>
          <w:rFonts w:ascii="宋体" w:hAns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 xml:space="preserve"> 建设内容及要求</w:t>
      </w:r>
    </w:p>
    <w:p w14:paraId="3E87D09E">
      <w:pPr>
        <w:pStyle w:val="5"/>
        <w:widowControl w:val="0"/>
        <w:numPr>
          <w:ilvl w:val="2"/>
          <w:numId w:val="0"/>
        </w:numPr>
        <w:tabs>
          <w:tab w:val="left" w:pos="360"/>
        </w:tabs>
        <w:autoSpaceDE/>
        <w:autoSpaceDN/>
        <w:snapToGrid/>
        <w:spacing w:line="360" w:lineRule="auto"/>
        <w:ind w:firstLine="422" w:firstLineChars="200"/>
        <w:jc w:val="left"/>
        <w:rPr>
          <w:rFonts w:ascii="宋体" w:hAnsi="宋体" w:cs="宋体"/>
          <w:color w:val="auto"/>
          <w:szCs w:val="21"/>
          <w:highlight w:val="none"/>
        </w:rPr>
      </w:pPr>
      <w:r>
        <w:rPr>
          <w:rFonts w:ascii="宋体" w:hAnsi="宋体" w:cs="宋体"/>
          <w:color w:val="auto"/>
          <w:szCs w:val="21"/>
          <w:highlight w:val="none"/>
        </w:rPr>
        <w:t>1.3.1</w:t>
      </w:r>
      <w:r>
        <w:rPr>
          <w:rFonts w:hint="eastAsia" w:ascii="宋体" w:hAnsi="宋体" w:cs="宋体"/>
          <w:color w:val="auto"/>
          <w:szCs w:val="21"/>
          <w:highlight w:val="none"/>
        </w:rPr>
        <w:t xml:space="preserve"> 建设内容</w:t>
      </w:r>
    </w:p>
    <w:p w14:paraId="76B34938">
      <w:pPr>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本次建设内容主要涉及黄岩区下属实验中学、城关中学、东浦中学、北城中学、宁溪初中、灵中初中、澄江中学、新前中学、院桥初中、高桥中学、江口中学、黄初教育集团、沙埠中学、头陀中学、南城中学、北京师范大学台州实验学校等16所中学标准化考点建设。其中高桥中学、沙埠中学接入到院桥初中；南城中学接入到城关中学；头陀中学接入到澄江中学。</w:t>
      </w:r>
    </w:p>
    <w:tbl>
      <w:tblPr>
        <w:tblStyle w:val="23"/>
        <w:tblW w:w="869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15"/>
        <w:gridCol w:w="945"/>
        <w:gridCol w:w="825"/>
        <w:gridCol w:w="2629"/>
        <w:gridCol w:w="1445"/>
      </w:tblGrid>
      <w:tr w14:paraId="324E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740" w:type="dxa"/>
            <w:vAlign w:val="center"/>
          </w:tcPr>
          <w:p w14:paraId="377AF534">
            <w:pPr>
              <w:tabs>
                <w:tab w:val="left" w:pos="8280"/>
              </w:tabs>
              <w:autoSpaceDE w:val="0"/>
              <w:autoSpaceDN w:val="0"/>
              <w:adjustRightInd w:val="0"/>
              <w:snapToGrid w:val="0"/>
              <w:ind w:right="25"/>
              <w:jc w:val="center"/>
              <w:rPr>
                <w:rFonts w:ascii="宋体" w:hAnsi="宋体" w:cs="宋体"/>
                <w:b/>
                <w:color w:val="auto"/>
                <w:szCs w:val="21"/>
                <w:highlight w:val="none"/>
              </w:rPr>
            </w:pPr>
            <w:r>
              <w:rPr>
                <w:rFonts w:hint="eastAsia" w:ascii="宋体" w:hAnsi="宋体" w:cs="宋体"/>
                <w:b/>
                <w:color w:val="auto"/>
                <w:szCs w:val="21"/>
                <w:highlight w:val="none"/>
              </w:rPr>
              <w:t>标项序号</w:t>
            </w:r>
          </w:p>
        </w:tc>
        <w:tc>
          <w:tcPr>
            <w:tcW w:w="2115" w:type="dxa"/>
            <w:vAlign w:val="center"/>
          </w:tcPr>
          <w:p w14:paraId="143ED131">
            <w:pPr>
              <w:tabs>
                <w:tab w:val="left" w:pos="8280"/>
              </w:tabs>
              <w:autoSpaceDE w:val="0"/>
              <w:autoSpaceDN w:val="0"/>
              <w:adjustRightInd w:val="0"/>
              <w:snapToGrid w:val="0"/>
              <w:ind w:right="25"/>
              <w:jc w:val="center"/>
              <w:rPr>
                <w:rFonts w:ascii="宋体" w:hAnsi="宋体" w:cs="宋体"/>
                <w:b/>
                <w:color w:val="auto"/>
                <w:szCs w:val="21"/>
                <w:highlight w:val="none"/>
              </w:rPr>
            </w:pPr>
            <w:r>
              <w:rPr>
                <w:rFonts w:hint="eastAsia" w:ascii="宋体" w:hAnsi="宋体"/>
                <w:b/>
                <w:color w:val="auto"/>
                <w:szCs w:val="21"/>
                <w:highlight w:val="none"/>
              </w:rPr>
              <w:t>标项名称</w:t>
            </w:r>
          </w:p>
        </w:tc>
        <w:tc>
          <w:tcPr>
            <w:tcW w:w="945" w:type="dxa"/>
            <w:vAlign w:val="center"/>
          </w:tcPr>
          <w:p w14:paraId="72E872C9">
            <w:pPr>
              <w:tabs>
                <w:tab w:val="left" w:pos="8280"/>
              </w:tabs>
              <w:autoSpaceDE w:val="0"/>
              <w:autoSpaceDN w:val="0"/>
              <w:adjustRightInd w:val="0"/>
              <w:snapToGrid w:val="0"/>
              <w:ind w:right="25"/>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825" w:type="dxa"/>
            <w:vAlign w:val="center"/>
          </w:tcPr>
          <w:p w14:paraId="0E1A9C66">
            <w:pPr>
              <w:tabs>
                <w:tab w:val="left" w:pos="8280"/>
              </w:tabs>
              <w:autoSpaceDE w:val="0"/>
              <w:autoSpaceDN w:val="0"/>
              <w:adjustRightInd w:val="0"/>
              <w:snapToGrid w:val="0"/>
              <w:ind w:right="25"/>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2629" w:type="dxa"/>
            <w:vAlign w:val="center"/>
          </w:tcPr>
          <w:p w14:paraId="6E8CF8DF">
            <w:pPr>
              <w:tabs>
                <w:tab w:val="left" w:pos="8280"/>
              </w:tabs>
              <w:autoSpaceDE w:val="0"/>
              <w:autoSpaceDN w:val="0"/>
              <w:adjustRightInd w:val="0"/>
              <w:snapToGrid w:val="0"/>
              <w:ind w:right="25"/>
              <w:jc w:val="center"/>
              <w:rPr>
                <w:rFonts w:ascii="宋体" w:hAnsi="宋体" w:cs="宋体"/>
                <w:b/>
                <w:color w:val="auto"/>
                <w:szCs w:val="21"/>
                <w:highlight w:val="none"/>
              </w:rPr>
            </w:pPr>
            <w:r>
              <w:rPr>
                <w:rFonts w:hint="eastAsia" w:ascii="宋体" w:hAnsi="宋体" w:cs="宋体"/>
                <w:b/>
                <w:color w:val="auto"/>
                <w:szCs w:val="21"/>
                <w:highlight w:val="none"/>
              </w:rPr>
              <w:t>预算金额/最高限价</w:t>
            </w:r>
          </w:p>
          <w:p w14:paraId="680D376D">
            <w:pPr>
              <w:tabs>
                <w:tab w:val="left" w:pos="8280"/>
              </w:tabs>
              <w:autoSpaceDE w:val="0"/>
              <w:autoSpaceDN w:val="0"/>
              <w:adjustRightInd w:val="0"/>
              <w:snapToGrid w:val="0"/>
              <w:ind w:right="25"/>
              <w:jc w:val="center"/>
              <w:rPr>
                <w:rFonts w:ascii="宋体" w:hAnsi="宋体" w:cs="宋体"/>
                <w:b/>
                <w:color w:val="auto"/>
                <w:szCs w:val="21"/>
                <w:highlight w:val="none"/>
              </w:rPr>
            </w:pPr>
            <w:r>
              <w:rPr>
                <w:rFonts w:hint="eastAsia" w:ascii="宋体" w:hAnsi="宋体" w:cs="宋体"/>
                <w:b/>
                <w:color w:val="auto"/>
                <w:szCs w:val="21"/>
                <w:highlight w:val="none"/>
              </w:rPr>
              <w:t>（元）</w:t>
            </w:r>
          </w:p>
        </w:tc>
        <w:tc>
          <w:tcPr>
            <w:tcW w:w="1445" w:type="dxa"/>
            <w:vAlign w:val="center"/>
          </w:tcPr>
          <w:p w14:paraId="4F6BAF0F">
            <w:pPr>
              <w:tabs>
                <w:tab w:val="left" w:pos="8280"/>
              </w:tabs>
              <w:autoSpaceDE w:val="0"/>
              <w:autoSpaceDN w:val="0"/>
              <w:adjustRightInd w:val="0"/>
              <w:snapToGrid w:val="0"/>
              <w:ind w:right="25"/>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05D7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40" w:type="dxa"/>
            <w:vAlign w:val="center"/>
          </w:tcPr>
          <w:p w14:paraId="180CC049">
            <w:pPr>
              <w:tabs>
                <w:tab w:val="left" w:pos="8280"/>
              </w:tabs>
              <w:autoSpaceDE w:val="0"/>
              <w:autoSpaceDN w:val="0"/>
              <w:adjustRightInd w:val="0"/>
              <w:snapToGrid w:val="0"/>
              <w:spacing w:line="360" w:lineRule="auto"/>
              <w:ind w:right="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15" w:type="dxa"/>
            <w:vAlign w:val="center"/>
          </w:tcPr>
          <w:p w14:paraId="37DA750F">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黄岩区中考标准化考点建设项目</w:t>
            </w:r>
          </w:p>
        </w:tc>
        <w:tc>
          <w:tcPr>
            <w:tcW w:w="945" w:type="dxa"/>
            <w:vAlign w:val="center"/>
          </w:tcPr>
          <w:p w14:paraId="0DE45D2F">
            <w:pPr>
              <w:tabs>
                <w:tab w:val="left" w:pos="8280"/>
              </w:tabs>
              <w:autoSpaceDE w:val="0"/>
              <w:autoSpaceDN w:val="0"/>
              <w:adjustRightInd w:val="0"/>
              <w:snapToGrid w:val="0"/>
              <w:spacing w:line="360" w:lineRule="auto"/>
              <w:ind w:right="25"/>
              <w:jc w:val="center"/>
              <w:rPr>
                <w:rFonts w:ascii="宋体" w:hAnsi="宋体" w:cs="宋体"/>
                <w:color w:val="auto"/>
                <w:szCs w:val="21"/>
                <w:highlight w:val="none"/>
              </w:rPr>
            </w:pPr>
            <w:r>
              <w:rPr>
                <w:rFonts w:hint="eastAsia" w:ascii="宋体" w:hAnsi="宋体" w:cs="宋体"/>
                <w:color w:val="auto"/>
                <w:szCs w:val="21"/>
                <w:highlight w:val="none"/>
              </w:rPr>
              <w:t>1</w:t>
            </w:r>
          </w:p>
        </w:tc>
        <w:tc>
          <w:tcPr>
            <w:tcW w:w="825" w:type="dxa"/>
            <w:vAlign w:val="center"/>
          </w:tcPr>
          <w:p w14:paraId="6594FB71">
            <w:pPr>
              <w:widowControl/>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项</w:t>
            </w:r>
          </w:p>
        </w:tc>
        <w:tc>
          <w:tcPr>
            <w:tcW w:w="2629" w:type="dxa"/>
            <w:vAlign w:val="center"/>
          </w:tcPr>
          <w:p w14:paraId="3C783B80">
            <w:pPr>
              <w:widowControl/>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4850000</w:t>
            </w:r>
          </w:p>
        </w:tc>
        <w:tc>
          <w:tcPr>
            <w:tcW w:w="1445" w:type="dxa"/>
            <w:vAlign w:val="center"/>
          </w:tcPr>
          <w:p w14:paraId="6A672BBB">
            <w:pPr>
              <w:snapToGrid w:val="0"/>
              <w:spacing w:line="360" w:lineRule="auto"/>
              <w:rPr>
                <w:rFonts w:ascii="宋体" w:hAnsi="宋体" w:cs="宋体"/>
                <w:color w:val="auto"/>
                <w:kern w:val="0"/>
                <w:szCs w:val="21"/>
                <w:highlight w:val="none"/>
              </w:rPr>
            </w:pPr>
          </w:p>
        </w:tc>
      </w:tr>
    </w:tbl>
    <w:p w14:paraId="68D36928">
      <w:pPr>
        <w:widowControl/>
        <w:snapToGrid w:val="0"/>
        <w:spacing w:line="360" w:lineRule="auto"/>
        <w:jc w:val="center"/>
        <w:rPr>
          <w:rFonts w:ascii="宋体" w:hAnsi="宋体" w:cs="宋体"/>
          <w:color w:val="auto"/>
          <w:kern w:val="0"/>
          <w:szCs w:val="21"/>
          <w:highlight w:val="none"/>
        </w:rPr>
      </w:pPr>
    </w:p>
    <w:p w14:paraId="1EF6D4A7">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各场所摄像头数量（个）</w:t>
      </w:r>
    </w:p>
    <w:tbl>
      <w:tblPr>
        <w:tblStyle w:val="23"/>
        <w:tblW w:w="5083" w:type="pct"/>
        <w:tblInd w:w="0" w:type="dxa"/>
        <w:tblLayout w:type="autofit"/>
        <w:tblCellMar>
          <w:top w:w="0" w:type="dxa"/>
          <w:left w:w="108" w:type="dxa"/>
          <w:bottom w:w="0" w:type="dxa"/>
          <w:right w:w="108" w:type="dxa"/>
        </w:tblCellMar>
      </w:tblPr>
      <w:tblGrid>
        <w:gridCol w:w="1040"/>
        <w:gridCol w:w="1748"/>
        <w:gridCol w:w="1332"/>
        <w:gridCol w:w="1771"/>
        <w:gridCol w:w="1587"/>
        <w:gridCol w:w="1185"/>
      </w:tblGrid>
      <w:tr w14:paraId="5BE9B8B0">
        <w:tblPrEx>
          <w:tblCellMar>
            <w:top w:w="0" w:type="dxa"/>
            <w:left w:w="108" w:type="dxa"/>
            <w:bottom w:w="0" w:type="dxa"/>
            <w:right w:w="108" w:type="dxa"/>
          </w:tblCellMar>
        </w:tblPrEx>
        <w:trPr>
          <w:trHeight w:val="306" w:hRule="atLeast"/>
        </w:trPr>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826DAF">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1009" w:type="pct"/>
            <w:tcBorders>
              <w:top w:val="single" w:color="auto" w:sz="4" w:space="0"/>
              <w:left w:val="nil"/>
              <w:bottom w:val="single" w:color="auto" w:sz="4" w:space="0"/>
              <w:right w:val="single" w:color="auto" w:sz="4" w:space="0"/>
            </w:tcBorders>
            <w:shd w:val="clear" w:color="auto" w:fill="auto"/>
            <w:noWrap/>
            <w:vAlign w:val="center"/>
          </w:tcPr>
          <w:p w14:paraId="46B51FD3">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中考考点名称</w:t>
            </w:r>
          </w:p>
        </w:tc>
        <w:tc>
          <w:tcPr>
            <w:tcW w:w="769" w:type="pct"/>
            <w:tcBorders>
              <w:top w:val="single" w:color="auto" w:sz="4" w:space="0"/>
              <w:left w:val="nil"/>
              <w:bottom w:val="single" w:color="auto" w:sz="4" w:space="0"/>
              <w:right w:val="single" w:color="auto" w:sz="4" w:space="0"/>
            </w:tcBorders>
            <w:shd w:val="clear" w:color="auto" w:fill="auto"/>
            <w:noWrap/>
            <w:vAlign w:val="center"/>
          </w:tcPr>
          <w:p w14:paraId="63D5EC7D">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考场数量</w:t>
            </w:r>
          </w:p>
        </w:tc>
        <w:tc>
          <w:tcPr>
            <w:tcW w:w="1022" w:type="pct"/>
            <w:tcBorders>
              <w:top w:val="single" w:color="auto" w:sz="4" w:space="0"/>
              <w:left w:val="nil"/>
              <w:bottom w:val="single" w:color="auto" w:sz="4" w:space="0"/>
              <w:right w:val="single" w:color="auto" w:sz="4" w:space="0"/>
            </w:tcBorders>
            <w:shd w:val="clear" w:color="auto" w:fill="auto"/>
            <w:noWrap/>
            <w:vAlign w:val="center"/>
          </w:tcPr>
          <w:p w14:paraId="7B17B466">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备用考场数量</w:t>
            </w:r>
          </w:p>
        </w:tc>
        <w:tc>
          <w:tcPr>
            <w:tcW w:w="916" w:type="pct"/>
            <w:tcBorders>
              <w:top w:val="single" w:color="auto" w:sz="4" w:space="0"/>
              <w:left w:val="nil"/>
              <w:bottom w:val="single" w:color="auto" w:sz="4" w:space="0"/>
              <w:right w:val="single" w:color="auto" w:sz="4" w:space="0"/>
            </w:tcBorders>
            <w:shd w:val="clear" w:color="auto" w:fill="auto"/>
            <w:noWrap/>
            <w:vAlign w:val="center"/>
          </w:tcPr>
          <w:p w14:paraId="1BE84B85">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实际点位数量</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384715A3">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备注</w:t>
            </w:r>
          </w:p>
        </w:tc>
      </w:tr>
      <w:tr w14:paraId="7295DC52">
        <w:tblPrEx>
          <w:tblCellMar>
            <w:top w:w="0" w:type="dxa"/>
            <w:left w:w="108" w:type="dxa"/>
            <w:bottom w:w="0" w:type="dxa"/>
            <w:right w:w="108" w:type="dxa"/>
          </w:tblCellMar>
        </w:tblPrEx>
        <w:trPr>
          <w:trHeight w:val="306" w:hRule="atLeast"/>
        </w:trPr>
        <w:tc>
          <w:tcPr>
            <w:tcW w:w="600" w:type="pct"/>
            <w:tcBorders>
              <w:top w:val="nil"/>
              <w:left w:val="single" w:color="auto" w:sz="4" w:space="0"/>
              <w:bottom w:val="single" w:color="auto" w:sz="4" w:space="0"/>
              <w:right w:val="single" w:color="auto" w:sz="4" w:space="0"/>
            </w:tcBorders>
            <w:shd w:val="clear" w:color="auto" w:fill="auto"/>
            <w:noWrap/>
            <w:vAlign w:val="center"/>
          </w:tcPr>
          <w:p w14:paraId="34632F6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c>
          <w:tcPr>
            <w:tcW w:w="1009" w:type="pct"/>
            <w:tcBorders>
              <w:top w:val="nil"/>
              <w:left w:val="nil"/>
              <w:bottom w:val="single" w:color="auto" w:sz="4" w:space="0"/>
              <w:right w:val="single" w:color="auto" w:sz="4" w:space="0"/>
            </w:tcBorders>
            <w:shd w:val="clear" w:color="auto" w:fill="auto"/>
            <w:noWrap/>
            <w:vAlign w:val="center"/>
          </w:tcPr>
          <w:p w14:paraId="5ADA083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实验</w:t>
            </w:r>
          </w:p>
        </w:tc>
        <w:tc>
          <w:tcPr>
            <w:tcW w:w="769" w:type="pct"/>
            <w:tcBorders>
              <w:top w:val="nil"/>
              <w:left w:val="nil"/>
              <w:bottom w:val="single" w:color="auto" w:sz="4" w:space="0"/>
              <w:right w:val="single" w:color="auto" w:sz="4" w:space="0"/>
            </w:tcBorders>
            <w:shd w:val="clear" w:color="auto" w:fill="auto"/>
            <w:noWrap/>
            <w:vAlign w:val="center"/>
          </w:tcPr>
          <w:p w14:paraId="2581DF6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25</w:t>
            </w:r>
          </w:p>
        </w:tc>
        <w:tc>
          <w:tcPr>
            <w:tcW w:w="1022" w:type="pct"/>
            <w:tcBorders>
              <w:top w:val="nil"/>
              <w:left w:val="nil"/>
              <w:bottom w:val="single" w:color="auto" w:sz="4" w:space="0"/>
              <w:right w:val="single" w:color="auto" w:sz="4" w:space="0"/>
            </w:tcBorders>
            <w:shd w:val="clear" w:color="auto" w:fill="auto"/>
            <w:noWrap/>
            <w:vAlign w:val="center"/>
          </w:tcPr>
          <w:p w14:paraId="7D2C410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916" w:type="pct"/>
            <w:tcBorders>
              <w:top w:val="nil"/>
              <w:left w:val="nil"/>
              <w:bottom w:val="single" w:color="auto" w:sz="4" w:space="0"/>
              <w:right w:val="single" w:color="auto" w:sz="4" w:space="0"/>
            </w:tcBorders>
            <w:shd w:val="clear" w:color="auto" w:fill="auto"/>
            <w:noWrap/>
            <w:vAlign w:val="center"/>
          </w:tcPr>
          <w:p w14:paraId="11F53C3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31</w:t>
            </w:r>
          </w:p>
        </w:tc>
        <w:tc>
          <w:tcPr>
            <w:tcW w:w="684" w:type="pct"/>
            <w:vMerge w:val="restart"/>
            <w:tcBorders>
              <w:top w:val="nil"/>
              <w:left w:val="single" w:color="auto" w:sz="4" w:space="0"/>
              <w:right w:val="single" w:color="auto" w:sz="4" w:space="0"/>
            </w:tcBorders>
            <w:shd w:val="clear" w:color="auto" w:fill="auto"/>
            <w:vAlign w:val="center"/>
          </w:tcPr>
          <w:p w14:paraId="611D4B7D">
            <w:pPr>
              <w:widowControl/>
              <w:jc w:val="center"/>
              <w:rPr>
                <w:rFonts w:ascii="宋体" w:hAnsi="宋体" w:cs="宋体"/>
                <w:color w:val="auto"/>
                <w:kern w:val="0"/>
                <w:sz w:val="20"/>
                <w:highlight w:val="none"/>
              </w:rPr>
            </w:pPr>
          </w:p>
        </w:tc>
      </w:tr>
      <w:tr w14:paraId="7AEB3974">
        <w:tblPrEx>
          <w:tblCellMar>
            <w:top w:w="0" w:type="dxa"/>
            <w:left w:w="108" w:type="dxa"/>
            <w:bottom w:w="0" w:type="dxa"/>
            <w:right w:w="108" w:type="dxa"/>
          </w:tblCellMar>
        </w:tblPrEx>
        <w:trPr>
          <w:trHeight w:val="306" w:hRule="atLeast"/>
        </w:trPr>
        <w:tc>
          <w:tcPr>
            <w:tcW w:w="600" w:type="pct"/>
            <w:tcBorders>
              <w:top w:val="nil"/>
              <w:left w:val="single" w:color="auto" w:sz="4" w:space="0"/>
              <w:bottom w:val="single" w:color="auto" w:sz="4" w:space="0"/>
              <w:right w:val="single" w:color="auto" w:sz="4" w:space="0"/>
            </w:tcBorders>
            <w:shd w:val="clear" w:color="auto" w:fill="auto"/>
            <w:noWrap/>
            <w:vAlign w:val="center"/>
          </w:tcPr>
          <w:p w14:paraId="55FA9FB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1009" w:type="pct"/>
            <w:tcBorders>
              <w:top w:val="nil"/>
              <w:left w:val="nil"/>
              <w:bottom w:val="single" w:color="auto" w:sz="4" w:space="0"/>
              <w:right w:val="single" w:color="auto" w:sz="4" w:space="0"/>
            </w:tcBorders>
            <w:shd w:val="clear" w:color="auto" w:fill="auto"/>
            <w:noWrap/>
            <w:vAlign w:val="center"/>
          </w:tcPr>
          <w:p w14:paraId="4BEF122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城关</w:t>
            </w:r>
          </w:p>
        </w:tc>
        <w:tc>
          <w:tcPr>
            <w:tcW w:w="769" w:type="pct"/>
            <w:tcBorders>
              <w:top w:val="nil"/>
              <w:left w:val="nil"/>
              <w:bottom w:val="single" w:color="auto" w:sz="4" w:space="0"/>
              <w:right w:val="single" w:color="auto" w:sz="4" w:space="0"/>
            </w:tcBorders>
            <w:shd w:val="clear" w:color="auto" w:fill="auto"/>
            <w:noWrap/>
            <w:vAlign w:val="center"/>
          </w:tcPr>
          <w:p w14:paraId="773DE9F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25</w:t>
            </w:r>
          </w:p>
        </w:tc>
        <w:tc>
          <w:tcPr>
            <w:tcW w:w="1022" w:type="pct"/>
            <w:tcBorders>
              <w:top w:val="nil"/>
              <w:left w:val="nil"/>
              <w:bottom w:val="single" w:color="auto" w:sz="4" w:space="0"/>
              <w:right w:val="single" w:color="auto" w:sz="4" w:space="0"/>
            </w:tcBorders>
            <w:shd w:val="clear" w:color="auto" w:fill="auto"/>
            <w:noWrap/>
            <w:vAlign w:val="center"/>
          </w:tcPr>
          <w:p w14:paraId="61C3725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916" w:type="pct"/>
            <w:tcBorders>
              <w:top w:val="nil"/>
              <w:left w:val="nil"/>
              <w:bottom w:val="single" w:color="auto" w:sz="4" w:space="0"/>
              <w:right w:val="single" w:color="auto" w:sz="4" w:space="0"/>
            </w:tcBorders>
            <w:shd w:val="clear" w:color="auto" w:fill="auto"/>
            <w:noWrap/>
            <w:vAlign w:val="center"/>
          </w:tcPr>
          <w:p w14:paraId="056B13A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31</w:t>
            </w:r>
          </w:p>
        </w:tc>
        <w:tc>
          <w:tcPr>
            <w:tcW w:w="684" w:type="pct"/>
            <w:vMerge w:val="continue"/>
            <w:tcBorders>
              <w:left w:val="single" w:color="auto" w:sz="4" w:space="0"/>
              <w:right w:val="single" w:color="auto" w:sz="4" w:space="0"/>
            </w:tcBorders>
            <w:vAlign w:val="center"/>
          </w:tcPr>
          <w:p w14:paraId="6B78E935">
            <w:pPr>
              <w:widowControl/>
              <w:jc w:val="center"/>
              <w:rPr>
                <w:rFonts w:ascii="宋体" w:hAnsi="宋体" w:cs="宋体"/>
                <w:color w:val="auto"/>
                <w:kern w:val="0"/>
                <w:sz w:val="20"/>
                <w:highlight w:val="none"/>
              </w:rPr>
            </w:pPr>
          </w:p>
        </w:tc>
      </w:tr>
      <w:tr w14:paraId="2B2B6FA9">
        <w:tblPrEx>
          <w:tblCellMar>
            <w:top w:w="0" w:type="dxa"/>
            <w:left w:w="108" w:type="dxa"/>
            <w:bottom w:w="0" w:type="dxa"/>
            <w:right w:w="108" w:type="dxa"/>
          </w:tblCellMar>
        </w:tblPrEx>
        <w:trPr>
          <w:trHeight w:val="306" w:hRule="atLeast"/>
        </w:trPr>
        <w:tc>
          <w:tcPr>
            <w:tcW w:w="600" w:type="pct"/>
            <w:tcBorders>
              <w:top w:val="nil"/>
              <w:left w:val="single" w:color="auto" w:sz="4" w:space="0"/>
              <w:bottom w:val="single" w:color="auto" w:sz="4" w:space="0"/>
              <w:right w:val="single" w:color="auto" w:sz="4" w:space="0"/>
            </w:tcBorders>
            <w:shd w:val="clear" w:color="auto" w:fill="auto"/>
            <w:noWrap/>
            <w:vAlign w:val="center"/>
          </w:tcPr>
          <w:p w14:paraId="7D11212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c>
          <w:tcPr>
            <w:tcW w:w="1009" w:type="pct"/>
            <w:tcBorders>
              <w:top w:val="nil"/>
              <w:left w:val="nil"/>
              <w:bottom w:val="single" w:color="auto" w:sz="4" w:space="0"/>
              <w:right w:val="single" w:color="auto" w:sz="4" w:space="0"/>
            </w:tcBorders>
            <w:shd w:val="clear" w:color="auto" w:fill="auto"/>
            <w:noWrap/>
            <w:vAlign w:val="center"/>
          </w:tcPr>
          <w:p w14:paraId="34DF472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东浦</w:t>
            </w:r>
          </w:p>
        </w:tc>
        <w:tc>
          <w:tcPr>
            <w:tcW w:w="769" w:type="pct"/>
            <w:tcBorders>
              <w:top w:val="nil"/>
              <w:left w:val="nil"/>
              <w:bottom w:val="single" w:color="auto" w:sz="4" w:space="0"/>
              <w:right w:val="single" w:color="auto" w:sz="4" w:space="0"/>
            </w:tcBorders>
            <w:shd w:val="clear" w:color="auto" w:fill="auto"/>
            <w:noWrap/>
            <w:vAlign w:val="center"/>
          </w:tcPr>
          <w:p w14:paraId="554F32D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25</w:t>
            </w:r>
          </w:p>
        </w:tc>
        <w:tc>
          <w:tcPr>
            <w:tcW w:w="1022" w:type="pct"/>
            <w:tcBorders>
              <w:top w:val="nil"/>
              <w:left w:val="nil"/>
              <w:bottom w:val="single" w:color="auto" w:sz="4" w:space="0"/>
              <w:right w:val="single" w:color="auto" w:sz="4" w:space="0"/>
            </w:tcBorders>
            <w:shd w:val="clear" w:color="auto" w:fill="auto"/>
            <w:noWrap/>
            <w:vAlign w:val="center"/>
          </w:tcPr>
          <w:p w14:paraId="54C2161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916" w:type="pct"/>
            <w:tcBorders>
              <w:top w:val="nil"/>
              <w:left w:val="nil"/>
              <w:bottom w:val="single" w:color="auto" w:sz="4" w:space="0"/>
              <w:right w:val="single" w:color="auto" w:sz="4" w:space="0"/>
            </w:tcBorders>
            <w:shd w:val="clear" w:color="auto" w:fill="auto"/>
            <w:noWrap/>
            <w:vAlign w:val="center"/>
          </w:tcPr>
          <w:p w14:paraId="1F77AB3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31</w:t>
            </w:r>
          </w:p>
        </w:tc>
        <w:tc>
          <w:tcPr>
            <w:tcW w:w="684" w:type="pct"/>
            <w:vMerge w:val="continue"/>
            <w:tcBorders>
              <w:left w:val="single" w:color="auto" w:sz="4" w:space="0"/>
              <w:right w:val="single" w:color="auto" w:sz="4" w:space="0"/>
            </w:tcBorders>
            <w:vAlign w:val="center"/>
          </w:tcPr>
          <w:p w14:paraId="73412074">
            <w:pPr>
              <w:widowControl/>
              <w:jc w:val="center"/>
              <w:rPr>
                <w:rFonts w:ascii="宋体" w:hAnsi="宋体" w:cs="宋体"/>
                <w:color w:val="auto"/>
                <w:kern w:val="0"/>
                <w:sz w:val="20"/>
                <w:highlight w:val="none"/>
              </w:rPr>
            </w:pPr>
          </w:p>
        </w:tc>
      </w:tr>
      <w:tr w14:paraId="22820EA4">
        <w:tblPrEx>
          <w:tblCellMar>
            <w:top w:w="0" w:type="dxa"/>
            <w:left w:w="108" w:type="dxa"/>
            <w:bottom w:w="0" w:type="dxa"/>
            <w:right w:w="108" w:type="dxa"/>
          </w:tblCellMar>
        </w:tblPrEx>
        <w:trPr>
          <w:trHeight w:val="306" w:hRule="atLeast"/>
        </w:trPr>
        <w:tc>
          <w:tcPr>
            <w:tcW w:w="600" w:type="pct"/>
            <w:tcBorders>
              <w:top w:val="nil"/>
              <w:left w:val="single" w:color="auto" w:sz="4" w:space="0"/>
              <w:bottom w:val="single" w:color="auto" w:sz="4" w:space="0"/>
              <w:right w:val="single" w:color="auto" w:sz="4" w:space="0"/>
            </w:tcBorders>
            <w:shd w:val="clear" w:color="auto" w:fill="auto"/>
            <w:noWrap/>
            <w:vAlign w:val="center"/>
          </w:tcPr>
          <w:p w14:paraId="3E0742D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c>
          <w:tcPr>
            <w:tcW w:w="1009" w:type="pct"/>
            <w:tcBorders>
              <w:top w:val="nil"/>
              <w:left w:val="nil"/>
              <w:bottom w:val="single" w:color="auto" w:sz="4" w:space="0"/>
              <w:right w:val="single" w:color="auto" w:sz="4" w:space="0"/>
            </w:tcBorders>
            <w:shd w:val="clear" w:color="auto" w:fill="auto"/>
            <w:noWrap/>
            <w:vAlign w:val="center"/>
          </w:tcPr>
          <w:p w14:paraId="2AD36D9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北城</w:t>
            </w:r>
          </w:p>
        </w:tc>
        <w:tc>
          <w:tcPr>
            <w:tcW w:w="769" w:type="pct"/>
            <w:tcBorders>
              <w:top w:val="nil"/>
              <w:left w:val="nil"/>
              <w:bottom w:val="single" w:color="auto" w:sz="4" w:space="0"/>
              <w:right w:val="single" w:color="auto" w:sz="4" w:space="0"/>
            </w:tcBorders>
            <w:shd w:val="clear" w:color="auto" w:fill="auto"/>
            <w:noWrap/>
            <w:vAlign w:val="center"/>
          </w:tcPr>
          <w:p w14:paraId="57C5823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15</w:t>
            </w:r>
          </w:p>
        </w:tc>
        <w:tc>
          <w:tcPr>
            <w:tcW w:w="1022" w:type="pct"/>
            <w:tcBorders>
              <w:top w:val="nil"/>
              <w:left w:val="nil"/>
              <w:bottom w:val="single" w:color="auto" w:sz="4" w:space="0"/>
              <w:right w:val="single" w:color="auto" w:sz="4" w:space="0"/>
            </w:tcBorders>
            <w:shd w:val="clear" w:color="auto" w:fill="auto"/>
            <w:noWrap/>
            <w:vAlign w:val="center"/>
          </w:tcPr>
          <w:p w14:paraId="74FD1FF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916" w:type="pct"/>
            <w:tcBorders>
              <w:top w:val="nil"/>
              <w:left w:val="nil"/>
              <w:bottom w:val="single" w:color="auto" w:sz="4" w:space="0"/>
              <w:right w:val="single" w:color="auto" w:sz="4" w:space="0"/>
            </w:tcBorders>
            <w:shd w:val="clear" w:color="auto" w:fill="auto"/>
            <w:noWrap/>
            <w:vAlign w:val="center"/>
          </w:tcPr>
          <w:p w14:paraId="439732A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21</w:t>
            </w:r>
          </w:p>
        </w:tc>
        <w:tc>
          <w:tcPr>
            <w:tcW w:w="684" w:type="pct"/>
            <w:vMerge w:val="continue"/>
            <w:tcBorders>
              <w:left w:val="single" w:color="auto" w:sz="4" w:space="0"/>
              <w:right w:val="single" w:color="auto" w:sz="4" w:space="0"/>
            </w:tcBorders>
            <w:vAlign w:val="center"/>
          </w:tcPr>
          <w:p w14:paraId="4B156DD0">
            <w:pPr>
              <w:widowControl/>
              <w:jc w:val="center"/>
              <w:rPr>
                <w:rFonts w:ascii="宋体" w:hAnsi="宋体" w:cs="宋体"/>
                <w:color w:val="auto"/>
                <w:kern w:val="0"/>
                <w:sz w:val="20"/>
                <w:highlight w:val="none"/>
              </w:rPr>
            </w:pPr>
          </w:p>
        </w:tc>
      </w:tr>
      <w:tr w14:paraId="6DDC4512">
        <w:tblPrEx>
          <w:tblCellMar>
            <w:top w:w="0" w:type="dxa"/>
            <w:left w:w="108" w:type="dxa"/>
            <w:bottom w:w="0" w:type="dxa"/>
            <w:right w:w="108" w:type="dxa"/>
          </w:tblCellMar>
        </w:tblPrEx>
        <w:trPr>
          <w:trHeight w:val="306" w:hRule="atLeast"/>
        </w:trPr>
        <w:tc>
          <w:tcPr>
            <w:tcW w:w="600" w:type="pct"/>
            <w:tcBorders>
              <w:top w:val="nil"/>
              <w:left w:val="single" w:color="auto" w:sz="4" w:space="0"/>
              <w:bottom w:val="single" w:color="auto" w:sz="4" w:space="0"/>
              <w:right w:val="single" w:color="auto" w:sz="4" w:space="0"/>
            </w:tcBorders>
            <w:shd w:val="clear" w:color="auto" w:fill="auto"/>
            <w:noWrap/>
            <w:vAlign w:val="center"/>
          </w:tcPr>
          <w:p w14:paraId="3F8C62F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1009" w:type="pct"/>
            <w:tcBorders>
              <w:top w:val="nil"/>
              <w:left w:val="nil"/>
              <w:bottom w:val="single" w:color="auto" w:sz="4" w:space="0"/>
              <w:right w:val="single" w:color="auto" w:sz="4" w:space="0"/>
            </w:tcBorders>
            <w:shd w:val="clear" w:color="auto" w:fill="auto"/>
            <w:noWrap/>
            <w:vAlign w:val="center"/>
          </w:tcPr>
          <w:p w14:paraId="1968193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宁溪</w:t>
            </w:r>
          </w:p>
        </w:tc>
        <w:tc>
          <w:tcPr>
            <w:tcW w:w="769" w:type="pct"/>
            <w:tcBorders>
              <w:top w:val="nil"/>
              <w:left w:val="nil"/>
              <w:bottom w:val="single" w:color="auto" w:sz="4" w:space="0"/>
              <w:right w:val="single" w:color="auto" w:sz="4" w:space="0"/>
            </w:tcBorders>
            <w:shd w:val="clear" w:color="auto" w:fill="auto"/>
            <w:noWrap/>
            <w:vAlign w:val="center"/>
          </w:tcPr>
          <w:p w14:paraId="40C0ECA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w:t>
            </w:r>
          </w:p>
        </w:tc>
        <w:tc>
          <w:tcPr>
            <w:tcW w:w="1022" w:type="pct"/>
            <w:tcBorders>
              <w:top w:val="nil"/>
              <w:left w:val="nil"/>
              <w:bottom w:val="single" w:color="auto" w:sz="4" w:space="0"/>
              <w:right w:val="single" w:color="auto" w:sz="4" w:space="0"/>
            </w:tcBorders>
            <w:shd w:val="clear" w:color="auto" w:fill="auto"/>
            <w:noWrap/>
            <w:vAlign w:val="center"/>
          </w:tcPr>
          <w:p w14:paraId="4E18564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916" w:type="pct"/>
            <w:tcBorders>
              <w:top w:val="nil"/>
              <w:left w:val="nil"/>
              <w:bottom w:val="single" w:color="auto" w:sz="4" w:space="0"/>
              <w:right w:val="single" w:color="auto" w:sz="4" w:space="0"/>
            </w:tcBorders>
            <w:shd w:val="clear" w:color="auto" w:fill="auto"/>
            <w:noWrap/>
            <w:vAlign w:val="center"/>
          </w:tcPr>
          <w:p w14:paraId="3D7E825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13</w:t>
            </w:r>
          </w:p>
        </w:tc>
        <w:tc>
          <w:tcPr>
            <w:tcW w:w="684" w:type="pct"/>
            <w:vMerge w:val="continue"/>
            <w:tcBorders>
              <w:left w:val="single" w:color="auto" w:sz="4" w:space="0"/>
              <w:right w:val="single" w:color="auto" w:sz="4" w:space="0"/>
            </w:tcBorders>
            <w:vAlign w:val="center"/>
          </w:tcPr>
          <w:p w14:paraId="2B716786">
            <w:pPr>
              <w:widowControl/>
              <w:jc w:val="center"/>
              <w:rPr>
                <w:rFonts w:ascii="宋体" w:hAnsi="宋体" w:cs="宋体"/>
                <w:color w:val="auto"/>
                <w:kern w:val="0"/>
                <w:sz w:val="20"/>
                <w:highlight w:val="none"/>
              </w:rPr>
            </w:pPr>
          </w:p>
        </w:tc>
      </w:tr>
      <w:tr w14:paraId="38F119D6">
        <w:tblPrEx>
          <w:tblCellMar>
            <w:top w:w="0" w:type="dxa"/>
            <w:left w:w="108" w:type="dxa"/>
            <w:bottom w:w="0" w:type="dxa"/>
            <w:right w:w="108" w:type="dxa"/>
          </w:tblCellMar>
        </w:tblPrEx>
        <w:trPr>
          <w:trHeight w:val="306" w:hRule="atLeast"/>
        </w:trPr>
        <w:tc>
          <w:tcPr>
            <w:tcW w:w="600" w:type="pct"/>
            <w:tcBorders>
              <w:top w:val="nil"/>
              <w:left w:val="single" w:color="auto" w:sz="4" w:space="0"/>
              <w:bottom w:val="single" w:color="auto" w:sz="4" w:space="0"/>
              <w:right w:val="single" w:color="auto" w:sz="4" w:space="0"/>
            </w:tcBorders>
            <w:shd w:val="clear" w:color="auto" w:fill="auto"/>
            <w:noWrap/>
            <w:vAlign w:val="center"/>
          </w:tcPr>
          <w:p w14:paraId="170828E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w:t>
            </w:r>
          </w:p>
        </w:tc>
        <w:tc>
          <w:tcPr>
            <w:tcW w:w="1009" w:type="pct"/>
            <w:tcBorders>
              <w:top w:val="nil"/>
              <w:left w:val="nil"/>
              <w:bottom w:val="single" w:color="auto" w:sz="4" w:space="0"/>
              <w:right w:val="single" w:color="auto" w:sz="4" w:space="0"/>
            </w:tcBorders>
            <w:shd w:val="clear" w:color="auto" w:fill="auto"/>
            <w:noWrap/>
            <w:vAlign w:val="center"/>
          </w:tcPr>
          <w:p w14:paraId="7C84FFE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灵中</w:t>
            </w:r>
          </w:p>
        </w:tc>
        <w:tc>
          <w:tcPr>
            <w:tcW w:w="769" w:type="pct"/>
            <w:tcBorders>
              <w:top w:val="nil"/>
              <w:left w:val="nil"/>
              <w:bottom w:val="single" w:color="auto" w:sz="4" w:space="0"/>
              <w:right w:val="single" w:color="auto" w:sz="4" w:space="0"/>
            </w:tcBorders>
            <w:shd w:val="clear" w:color="auto" w:fill="auto"/>
            <w:noWrap/>
            <w:vAlign w:val="center"/>
          </w:tcPr>
          <w:p w14:paraId="407F441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w:t>
            </w:r>
          </w:p>
        </w:tc>
        <w:tc>
          <w:tcPr>
            <w:tcW w:w="1022" w:type="pct"/>
            <w:tcBorders>
              <w:top w:val="nil"/>
              <w:left w:val="nil"/>
              <w:bottom w:val="single" w:color="auto" w:sz="4" w:space="0"/>
              <w:right w:val="single" w:color="auto" w:sz="4" w:space="0"/>
            </w:tcBorders>
            <w:shd w:val="clear" w:color="auto" w:fill="auto"/>
            <w:noWrap/>
            <w:vAlign w:val="center"/>
          </w:tcPr>
          <w:p w14:paraId="0AC7B67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916" w:type="pct"/>
            <w:tcBorders>
              <w:top w:val="nil"/>
              <w:left w:val="nil"/>
              <w:bottom w:val="single" w:color="auto" w:sz="4" w:space="0"/>
              <w:right w:val="single" w:color="auto" w:sz="4" w:space="0"/>
            </w:tcBorders>
            <w:shd w:val="clear" w:color="auto" w:fill="auto"/>
            <w:noWrap/>
            <w:vAlign w:val="center"/>
          </w:tcPr>
          <w:p w14:paraId="016B77D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12</w:t>
            </w:r>
          </w:p>
        </w:tc>
        <w:tc>
          <w:tcPr>
            <w:tcW w:w="684" w:type="pct"/>
            <w:vMerge w:val="continue"/>
            <w:tcBorders>
              <w:left w:val="single" w:color="auto" w:sz="4" w:space="0"/>
              <w:right w:val="single" w:color="auto" w:sz="4" w:space="0"/>
            </w:tcBorders>
            <w:vAlign w:val="center"/>
          </w:tcPr>
          <w:p w14:paraId="014BF555">
            <w:pPr>
              <w:widowControl/>
              <w:jc w:val="center"/>
              <w:rPr>
                <w:rFonts w:ascii="宋体" w:hAnsi="宋体" w:cs="宋体"/>
                <w:color w:val="auto"/>
                <w:kern w:val="0"/>
                <w:sz w:val="20"/>
                <w:highlight w:val="none"/>
              </w:rPr>
            </w:pPr>
          </w:p>
        </w:tc>
      </w:tr>
      <w:tr w14:paraId="549FE3AB">
        <w:tblPrEx>
          <w:tblCellMar>
            <w:top w:w="0" w:type="dxa"/>
            <w:left w:w="108" w:type="dxa"/>
            <w:bottom w:w="0" w:type="dxa"/>
            <w:right w:w="108" w:type="dxa"/>
          </w:tblCellMar>
        </w:tblPrEx>
        <w:trPr>
          <w:trHeight w:val="306" w:hRule="atLeast"/>
        </w:trPr>
        <w:tc>
          <w:tcPr>
            <w:tcW w:w="600" w:type="pct"/>
            <w:tcBorders>
              <w:top w:val="nil"/>
              <w:left w:val="single" w:color="auto" w:sz="4" w:space="0"/>
              <w:bottom w:val="single" w:color="auto" w:sz="4" w:space="0"/>
              <w:right w:val="single" w:color="auto" w:sz="4" w:space="0"/>
            </w:tcBorders>
            <w:shd w:val="clear" w:color="auto" w:fill="auto"/>
            <w:noWrap/>
            <w:vAlign w:val="center"/>
          </w:tcPr>
          <w:p w14:paraId="206B443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w:t>
            </w:r>
          </w:p>
        </w:tc>
        <w:tc>
          <w:tcPr>
            <w:tcW w:w="1009" w:type="pct"/>
            <w:tcBorders>
              <w:top w:val="nil"/>
              <w:left w:val="nil"/>
              <w:bottom w:val="single" w:color="auto" w:sz="4" w:space="0"/>
              <w:right w:val="single" w:color="auto" w:sz="4" w:space="0"/>
            </w:tcBorders>
            <w:shd w:val="clear" w:color="auto" w:fill="auto"/>
            <w:noWrap/>
            <w:vAlign w:val="center"/>
          </w:tcPr>
          <w:p w14:paraId="56A1CE6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澄江</w:t>
            </w:r>
          </w:p>
        </w:tc>
        <w:tc>
          <w:tcPr>
            <w:tcW w:w="769" w:type="pct"/>
            <w:tcBorders>
              <w:top w:val="nil"/>
              <w:left w:val="nil"/>
              <w:bottom w:val="single" w:color="auto" w:sz="4" w:space="0"/>
              <w:right w:val="single" w:color="auto" w:sz="4" w:space="0"/>
            </w:tcBorders>
            <w:shd w:val="clear" w:color="auto" w:fill="auto"/>
            <w:noWrap/>
            <w:vAlign w:val="center"/>
          </w:tcPr>
          <w:p w14:paraId="0473FF5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25</w:t>
            </w:r>
          </w:p>
        </w:tc>
        <w:tc>
          <w:tcPr>
            <w:tcW w:w="1022" w:type="pct"/>
            <w:tcBorders>
              <w:top w:val="nil"/>
              <w:left w:val="nil"/>
              <w:bottom w:val="single" w:color="auto" w:sz="4" w:space="0"/>
              <w:right w:val="single" w:color="auto" w:sz="4" w:space="0"/>
            </w:tcBorders>
            <w:shd w:val="clear" w:color="auto" w:fill="auto"/>
            <w:noWrap/>
            <w:vAlign w:val="center"/>
          </w:tcPr>
          <w:p w14:paraId="36E5AF4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916" w:type="pct"/>
            <w:tcBorders>
              <w:top w:val="nil"/>
              <w:left w:val="nil"/>
              <w:bottom w:val="single" w:color="auto" w:sz="4" w:space="0"/>
              <w:right w:val="single" w:color="auto" w:sz="4" w:space="0"/>
            </w:tcBorders>
            <w:shd w:val="clear" w:color="auto" w:fill="auto"/>
            <w:noWrap/>
            <w:vAlign w:val="center"/>
          </w:tcPr>
          <w:p w14:paraId="674E5B3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31</w:t>
            </w:r>
          </w:p>
        </w:tc>
        <w:tc>
          <w:tcPr>
            <w:tcW w:w="684" w:type="pct"/>
            <w:vMerge w:val="continue"/>
            <w:tcBorders>
              <w:left w:val="single" w:color="auto" w:sz="4" w:space="0"/>
              <w:right w:val="single" w:color="auto" w:sz="4" w:space="0"/>
            </w:tcBorders>
            <w:vAlign w:val="center"/>
          </w:tcPr>
          <w:p w14:paraId="07A9F6DD">
            <w:pPr>
              <w:widowControl/>
              <w:jc w:val="center"/>
              <w:rPr>
                <w:rFonts w:ascii="宋体" w:hAnsi="宋体" w:cs="宋体"/>
                <w:color w:val="auto"/>
                <w:kern w:val="0"/>
                <w:sz w:val="20"/>
                <w:highlight w:val="none"/>
              </w:rPr>
            </w:pPr>
          </w:p>
        </w:tc>
      </w:tr>
      <w:tr w14:paraId="5B50266D">
        <w:tblPrEx>
          <w:tblCellMar>
            <w:top w:w="0" w:type="dxa"/>
            <w:left w:w="108" w:type="dxa"/>
            <w:bottom w:w="0" w:type="dxa"/>
            <w:right w:w="108" w:type="dxa"/>
          </w:tblCellMar>
        </w:tblPrEx>
        <w:trPr>
          <w:trHeight w:val="306" w:hRule="atLeast"/>
        </w:trPr>
        <w:tc>
          <w:tcPr>
            <w:tcW w:w="600" w:type="pct"/>
            <w:tcBorders>
              <w:top w:val="nil"/>
              <w:left w:val="single" w:color="auto" w:sz="4" w:space="0"/>
              <w:bottom w:val="single" w:color="auto" w:sz="4" w:space="0"/>
              <w:right w:val="single" w:color="auto" w:sz="4" w:space="0"/>
            </w:tcBorders>
            <w:shd w:val="clear" w:color="auto" w:fill="auto"/>
            <w:noWrap/>
            <w:vAlign w:val="center"/>
          </w:tcPr>
          <w:p w14:paraId="6044F6C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w:t>
            </w:r>
          </w:p>
        </w:tc>
        <w:tc>
          <w:tcPr>
            <w:tcW w:w="1009" w:type="pct"/>
            <w:tcBorders>
              <w:top w:val="nil"/>
              <w:left w:val="nil"/>
              <w:bottom w:val="single" w:color="auto" w:sz="4" w:space="0"/>
              <w:right w:val="single" w:color="auto" w:sz="4" w:space="0"/>
            </w:tcBorders>
            <w:shd w:val="clear" w:color="auto" w:fill="auto"/>
            <w:noWrap/>
            <w:vAlign w:val="center"/>
          </w:tcPr>
          <w:p w14:paraId="5878503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新前</w:t>
            </w:r>
          </w:p>
        </w:tc>
        <w:tc>
          <w:tcPr>
            <w:tcW w:w="769" w:type="pct"/>
            <w:tcBorders>
              <w:top w:val="nil"/>
              <w:left w:val="nil"/>
              <w:bottom w:val="single" w:color="auto" w:sz="4" w:space="0"/>
              <w:right w:val="single" w:color="auto" w:sz="4" w:space="0"/>
            </w:tcBorders>
            <w:shd w:val="clear" w:color="auto" w:fill="auto"/>
            <w:noWrap/>
            <w:vAlign w:val="center"/>
          </w:tcPr>
          <w:p w14:paraId="3C0B274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19</w:t>
            </w:r>
          </w:p>
        </w:tc>
        <w:tc>
          <w:tcPr>
            <w:tcW w:w="1022" w:type="pct"/>
            <w:tcBorders>
              <w:top w:val="nil"/>
              <w:left w:val="nil"/>
              <w:bottom w:val="single" w:color="auto" w:sz="4" w:space="0"/>
              <w:right w:val="single" w:color="auto" w:sz="4" w:space="0"/>
            </w:tcBorders>
            <w:shd w:val="clear" w:color="auto" w:fill="auto"/>
            <w:noWrap/>
            <w:vAlign w:val="center"/>
          </w:tcPr>
          <w:p w14:paraId="3CD0E02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916" w:type="pct"/>
            <w:tcBorders>
              <w:top w:val="nil"/>
              <w:left w:val="nil"/>
              <w:bottom w:val="single" w:color="auto" w:sz="4" w:space="0"/>
              <w:right w:val="single" w:color="auto" w:sz="4" w:space="0"/>
            </w:tcBorders>
            <w:shd w:val="clear" w:color="auto" w:fill="auto"/>
            <w:noWrap/>
            <w:vAlign w:val="center"/>
          </w:tcPr>
          <w:p w14:paraId="1520E00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25</w:t>
            </w:r>
          </w:p>
        </w:tc>
        <w:tc>
          <w:tcPr>
            <w:tcW w:w="684" w:type="pct"/>
            <w:vMerge w:val="continue"/>
            <w:tcBorders>
              <w:left w:val="single" w:color="auto" w:sz="4" w:space="0"/>
              <w:right w:val="single" w:color="auto" w:sz="4" w:space="0"/>
            </w:tcBorders>
            <w:vAlign w:val="center"/>
          </w:tcPr>
          <w:p w14:paraId="040D7558">
            <w:pPr>
              <w:widowControl/>
              <w:jc w:val="center"/>
              <w:rPr>
                <w:rFonts w:ascii="宋体" w:hAnsi="宋体" w:cs="宋体"/>
                <w:color w:val="auto"/>
                <w:kern w:val="0"/>
                <w:sz w:val="20"/>
                <w:highlight w:val="none"/>
              </w:rPr>
            </w:pPr>
          </w:p>
        </w:tc>
      </w:tr>
      <w:tr w14:paraId="04CEBCE5">
        <w:tblPrEx>
          <w:tblCellMar>
            <w:top w:w="0" w:type="dxa"/>
            <w:left w:w="108" w:type="dxa"/>
            <w:bottom w:w="0" w:type="dxa"/>
            <w:right w:w="108" w:type="dxa"/>
          </w:tblCellMar>
        </w:tblPrEx>
        <w:trPr>
          <w:trHeight w:val="306" w:hRule="atLeast"/>
        </w:trPr>
        <w:tc>
          <w:tcPr>
            <w:tcW w:w="600" w:type="pct"/>
            <w:tcBorders>
              <w:top w:val="nil"/>
              <w:left w:val="single" w:color="auto" w:sz="4" w:space="0"/>
              <w:bottom w:val="single" w:color="auto" w:sz="4" w:space="0"/>
              <w:right w:val="single" w:color="auto" w:sz="4" w:space="0"/>
            </w:tcBorders>
            <w:shd w:val="clear" w:color="auto" w:fill="auto"/>
            <w:noWrap/>
            <w:vAlign w:val="center"/>
          </w:tcPr>
          <w:p w14:paraId="38B8E31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9</w:t>
            </w:r>
          </w:p>
        </w:tc>
        <w:tc>
          <w:tcPr>
            <w:tcW w:w="1009" w:type="pct"/>
            <w:tcBorders>
              <w:top w:val="nil"/>
              <w:left w:val="nil"/>
              <w:bottom w:val="single" w:color="auto" w:sz="4" w:space="0"/>
              <w:right w:val="single" w:color="auto" w:sz="4" w:space="0"/>
            </w:tcBorders>
            <w:shd w:val="clear" w:color="auto" w:fill="auto"/>
            <w:noWrap/>
            <w:vAlign w:val="center"/>
          </w:tcPr>
          <w:p w14:paraId="46774E4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院桥</w:t>
            </w:r>
          </w:p>
        </w:tc>
        <w:tc>
          <w:tcPr>
            <w:tcW w:w="769" w:type="pct"/>
            <w:tcBorders>
              <w:top w:val="nil"/>
              <w:left w:val="nil"/>
              <w:bottom w:val="single" w:color="auto" w:sz="4" w:space="0"/>
              <w:right w:val="single" w:color="auto" w:sz="4" w:space="0"/>
            </w:tcBorders>
            <w:shd w:val="clear" w:color="auto" w:fill="auto"/>
            <w:noWrap/>
            <w:vAlign w:val="center"/>
          </w:tcPr>
          <w:p w14:paraId="618FB27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22</w:t>
            </w:r>
          </w:p>
        </w:tc>
        <w:tc>
          <w:tcPr>
            <w:tcW w:w="1022" w:type="pct"/>
            <w:tcBorders>
              <w:top w:val="nil"/>
              <w:left w:val="nil"/>
              <w:bottom w:val="single" w:color="auto" w:sz="4" w:space="0"/>
              <w:right w:val="single" w:color="auto" w:sz="4" w:space="0"/>
            </w:tcBorders>
            <w:shd w:val="clear" w:color="auto" w:fill="auto"/>
            <w:noWrap/>
            <w:vAlign w:val="center"/>
          </w:tcPr>
          <w:p w14:paraId="5444BF1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916" w:type="pct"/>
            <w:tcBorders>
              <w:top w:val="nil"/>
              <w:left w:val="nil"/>
              <w:bottom w:val="single" w:color="auto" w:sz="4" w:space="0"/>
              <w:right w:val="single" w:color="auto" w:sz="4" w:space="0"/>
            </w:tcBorders>
            <w:shd w:val="clear" w:color="auto" w:fill="auto"/>
            <w:noWrap/>
            <w:vAlign w:val="center"/>
          </w:tcPr>
          <w:p w14:paraId="4D86FB1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28</w:t>
            </w:r>
          </w:p>
        </w:tc>
        <w:tc>
          <w:tcPr>
            <w:tcW w:w="684" w:type="pct"/>
            <w:vMerge w:val="continue"/>
            <w:tcBorders>
              <w:left w:val="single" w:color="auto" w:sz="4" w:space="0"/>
              <w:right w:val="single" w:color="auto" w:sz="4" w:space="0"/>
            </w:tcBorders>
            <w:vAlign w:val="center"/>
          </w:tcPr>
          <w:p w14:paraId="68AD9691">
            <w:pPr>
              <w:widowControl/>
              <w:jc w:val="center"/>
              <w:rPr>
                <w:rFonts w:ascii="宋体" w:hAnsi="宋体" w:cs="宋体"/>
                <w:color w:val="auto"/>
                <w:kern w:val="0"/>
                <w:sz w:val="20"/>
                <w:highlight w:val="none"/>
              </w:rPr>
            </w:pPr>
          </w:p>
        </w:tc>
      </w:tr>
      <w:tr w14:paraId="38C922B9">
        <w:tblPrEx>
          <w:tblCellMar>
            <w:top w:w="0" w:type="dxa"/>
            <w:left w:w="108" w:type="dxa"/>
            <w:bottom w:w="0" w:type="dxa"/>
            <w:right w:w="108" w:type="dxa"/>
          </w:tblCellMar>
        </w:tblPrEx>
        <w:trPr>
          <w:trHeight w:val="306" w:hRule="atLeast"/>
        </w:trPr>
        <w:tc>
          <w:tcPr>
            <w:tcW w:w="600" w:type="pct"/>
            <w:tcBorders>
              <w:top w:val="nil"/>
              <w:left w:val="single" w:color="auto" w:sz="4" w:space="0"/>
              <w:bottom w:val="single" w:color="auto" w:sz="4" w:space="0"/>
              <w:right w:val="single" w:color="auto" w:sz="4" w:space="0"/>
            </w:tcBorders>
            <w:shd w:val="clear" w:color="auto" w:fill="auto"/>
            <w:noWrap/>
            <w:vAlign w:val="center"/>
          </w:tcPr>
          <w:p w14:paraId="37B391D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10</w:t>
            </w:r>
          </w:p>
        </w:tc>
        <w:tc>
          <w:tcPr>
            <w:tcW w:w="1009" w:type="pct"/>
            <w:tcBorders>
              <w:top w:val="nil"/>
              <w:left w:val="nil"/>
              <w:bottom w:val="single" w:color="auto" w:sz="4" w:space="0"/>
              <w:right w:val="single" w:color="auto" w:sz="4" w:space="0"/>
            </w:tcBorders>
            <w:shd w:val="clear" w:color="auto" w:fill="auto"/>
            <w:noWrap/>
            <w:vAlign w:val="center"/>
          </w:tcPr>
          <w:p w14:paraId="22A8C54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高桥</w:t>
            </w:r>
          </w:p>
        </w:tc>
        <w:tc>
          <w:tcPr>
            <w:tcW w:w="769" w:type="pct"/>
            <w:tcBorders>
              <w:top w:val="nil"/>
              <w:left w:val="nil"/>
              <w:bottom w:val="single" w:color="auto" w:sz="4" w:space="0"/>
              <w:right w:val="single" w:color="auto" w:sz="4" w:space="0"/>
            </w:tcBorders>
            <w:shd w:val="clear" w:color="auto" w:fill="auto"/>
            <w:noWrap/>
            <w:vAlign w:val="center"/>
          </w:tcPr>
          <w:p w14:paraId="5AED37A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w:t>
            </w:r>
          </w:p>
        </w:tc>
        <w:tc>
          <w:tcPr>
            <w:tcW w:w="1022" w:type="pct"/>
            <w:tcBorders>
              <w:top w:val="nil"/>
              <w:left w:val="nil"/>
              <w:bottom w:val="single" w:color="auto" w:sz="4" w:space="0"/>
              <w:right w:val="single" w:color="auto" w:sz="4" w:space="0"/>
            </w:tcBorders>
            <w:shd w:val="clear" w:color="auto" w:fill="auto"/>
            <w:noWrap/>
            <w:vAlign w:val="center"/>
          </w:tcPr>
          <w:p w14:paraId="2EB6474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916" w:type="pct"/>
            <w:tcBorders>
              <w:top w:val="nil"/>
              <w:left w:val="nil"/>
              <w:bottom w:val="single" w:color="auto" w:sz="4" w:space="0"/>
              <w:right w:val="single" w:color="auto" w:sz="4" w:space="0"/>
            </w:tcBorders>
            <w:shd w:val="clear" w:color="auto" w:fill="auto"/>
            <w:noWrap/>
            <w:vAlign w:val="center"/>
          </w:tcPr>
          <w:p w14:paraId="6A26E7B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13</w:t>
            </w:r>
          </w:p>
        </w:tc>
        <w:tc>
          <w:tcPr>
            <w:tcW w:w="684" w:type="pct"/>
            <w:vMerge w:val="continue"/>
            <w:tcBorders>
              <w:left w:val="single" w:color="auto" w:sz="4" w:space="0"/>
              <w:right w:val="single" w:color="auto" w:sz="4" w:space="0"/>
            </w:tcBorders>
            <w:vAlign w:val="center"/>
          </w:tcPr>
          <w:p w14:paraId="1EE35825">
            <w:pPr>
              <w:widowControl/>
              <w:jc w:val="center"/>
              <w:rPr>
                <w:rFonts w:ascii="宋体" w:hAnsi="宋体" w:cs="宋体"/>
                <w:color w:val="auto"/>
                <w:kern w:val="0"/>
                <w:sz w:val="20"/>
                <w:highlight w:val="none"/>
              </w:rPr>
            </w:pPr>
          </w:p>
        </w:tc>
      </w:tr>
      <w:tr w14:paraId="57E95EEF">
        <w:tblPrEx>
          <w:tblCellMar>
            <w:top w:w="0" w:type="dxa"/>
            <w:left w:w="108" w:type="dxa"/>
            <w:bottom w:w="0" w:type="dxa"/>
            <w:right w:w="108" w:type="dxa"/>
          </w:tblCellMar>
        </w:tblPrEx>
        <w:trPr>
          <w:trHeight w:val="306" w:hRule="atLeast"/>
        </w:trPr>
        <w:tc>
          <w:tcPr>
            <w:tcW w:w="600" w:type="pct"/>
            <w:tcBorders>
              <w:top w:val="nil"/>
              <w:left w:val="single" w:color="auto" w:sz="4" w:space="0"/>
              <w:bottom w:val="single" w:color="auto" w:sz="4" w:space="0"/>
              <w:right w:val="single" w:color="auto" w:sz="4" w:space="0"/>
            </w:tcBorders>
            <w:shd w:val="clear" w:color="auto" w:fill="auto"/>
            <w:noWrap/>
            <w:vAlign w:val="center"/>
          </w:tcPr>
          <w:p w14:paraId="3C4D28E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11</w:t>
            </w:r>
          </w:p>
        </w:tc>
        <w:tc>
          <w:tcPr>
            <w:tcW w:w="1009" w:type="pct"/>
            <w:tcBorders>
              <w:top w:val="nil"/>
              <w:left w:val="nil"/>
              <w:bottom w:val="single" w:color="auto" w:sz="4" w:space="0"/>
              <w:right w:val="single" w:color="auto" w:sz="4" w:space="0"/>
            </w:tcBorders>
            <w:shd w:val="clear" w:color="auto" w:fill="auto"/>
            <w:noWrap/>
            <w:vAlign w:val="center"/>
          </w:tcPr>
          <w:p w14:paraId="30FE9B1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江口</w:t>
            </w:r>
          </w:p>
        </w:tc>
        <w:tc>
          <w:tcPr>
            <w:tcW w:w="769" w:type="pct"/>
            <w:tcBorders>
              <w:top w:val="nil"/>
              <w:left w:val="nil"/>
              <w:bottom w:val="single" w:color="auto" w:sz="4" w:space="0"/>
              <w:right w:val="single" w:color="auto" w:sz="4" w:space="0"/>
            </w:tcBorders>
            <w:shd w:val="clear" w:color="auto" w:fill="auto"/>
            <w:noWrap/>
            <w:vAlign w:val="center"/>
          </w:tcPr>
          <w:p w14:paraId="707EEBC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15</w:t>
            </w:r>
          </w:p>
        </w:tc>
        <w:tc>
          <w:tcPr>
            <w:tcW w:w="1022" w:type="pct"/>
            <w:tcBorders>
              <w:top w:val="nil"/>
              <w:left w:val="nil"/>
              <w:bottom w:val="single" w:color="auto" w:sz="4" w:space="0"/>
              <w:right w:val="single" w:color="auto" w:sz="4" w:space="0"/>
            </w:tcBorders>
            <w:shd w:val="clear" w:color="auto" w:fill="auto"/>
            <w:noWrap/>
            <w:vAlign w:val="center"/>
          </w:tcPr>
          <w:p w14:paraId="263857E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916" w:type="pct"/>
            <w:tcBorders>
              <w:top w:val="nil"/>
              <w:left w:val="nil"/>
              <w:bottom w:val="single" w:color="auto" w:sz="4" w:space="0"/>
              <w:right w:val="single" w:color="auto" w:sz="4" w:space="0"/>
            </w:tcBorders>
            <w:shd w:val="clear" w:color="auto" w:fill="auto"/>
            <w:noWrap/>
            <w:vAlign w:val="center"/>
          </w:tcPr>
          <w:p w14:paraId="650ECD0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21</w:t>
            </w:r>
          </w:p>
        </w:tc>
        <w:tc>
          <w:tcPr>
            <w:tcW w:w="684" w:type="pct"/>
            <w:vMerge w:val="continue"/>
            <w:tcBorders>
              <w:left w:val="single" w:color="auto" w:sz="4" w:space="0"/>
              <w:right w:val="single" w:color="auto" w:sz="4" w:space="0"/>
            </w:tcBorders>
            <w:vAlign w:val="center"/>
          </w:tcPr>
          <w:p w14:paraId="7C0EAE02">
            <w:pPr>
              <w:widowControl/>
              <w:jc w:val="center"/>
              <w:rPr>
                <w:rFonts w:ascii="宋体" w:hAnsi="宋体" w:cs="宋体"/>
                <w:color w:val="auto"/>
                <w:kern w:val="0"/>
                <w:sz w:val="20"/>
                <w:highlight w:val="none"/>
              </w:rPr>
            </w:pPr>
          </w:p>
        </w:tc>
      </w:tr>
      <w:tr w14:paraId="04E8147F">
        <w:tblPrEx>
          <w:tblCellMar>
            <w:top w:w="0" w:type="dxa"/>
            <w:left w:w="108" w:type="dxa"/>
            <w:bottom w:w="0" w:type="dxa"/>
            <w:right w:w="108" w:type="dxa"/>
          </w:tblCellMar>
        </w:tblPrEx>
        <w:trPr>
          <w:trHeight w:val="306" w:hRule="atLeast"/>
        </w:trPr>
        <w:tc>
          <w:tcPr>
            <w:tcW w:w="600" w:type="pct"/>
            <w:tcBorders>
              <w:top w:val="nil"/>
              <w:left w:val="single" w:color="auto" w:sz="4" w:space="0"/>
              <w:bottom w:val="single" w:color="auto" w:sz="4" w:space="0"/>
              <w:right w:val="single" w:color="auto" w:sz="4" w:space="0"/>
            </w:tcBorders>
            <w:shd w:val="clear" w:color="auto" w:fill="auto"/>
            <w:noWrap/>
            <w:vAlign w:val="center"/>
          </w:tcPr>
          <w:p w14:paraId="61970B4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12</w:t>
            </w:r>
          </w:p>
        </w:tc>
        <w:tc>
          <w:tcPr>
            <w:tcW w:w="1009" w:type="pct"/>
            <w:tcBorders>
              <w:top w:val="nil"/>
              <w:left w:val="nil"/>
              <w:bottom w:val="single" w:color="auto" w:sz="4" w:space="0"/>
              <w:right w:val="single" w:color="auto" w:sz="4" w:space="0"/>
            </w:tcBorders>
            <w:shd w:val="clear" w:color="auto" w:fill="auto"/>
            <w:noWrap/>
            <w:vAlign w:val="center"/>
          </w:tcPr>
          <w:p w14:paraId="006E454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黄初</w:t>
            </w:r>
          </w:p>
        </w:tc>
        <w:tc>
          <w:tcPr>
            <w:tcW w:w="769" w:type="pct"/>
            <w:tcBorders>
              <w:top w:val="nil"/>
              <w:left w:val="nil"/>
              <w:bottom w:val="single" w:color="auto" w:sz="4" w:space="0"/>
              <w:right w:val="single" w:color="auto" w:sz="4" w:space="0"/>
            </w:tcBorders>
            <w:shd w:val="clear" w:color="auto" w:fill="auto"/>
            <w:noWrap/>
            <w:vAlign w:val="center"/>
          </w:tcPr>
          <w:p w14:paraId="56AD24D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27</w:t>
            </w:r>
          </w:p>
        </w:tc>
        <w:tc>
          <w:tcPr>
            <w:tcW w:w="1022" w:type="pct"/>
            <w:tcBorders>
              <w:top w:val="nil"/>
              <w:left w:val="nil"/>
              <w:bottom w:val="single" w:color="auto" w:sz="4" w:space="0"/>
              <w:right w:val="single" w:color="auto" w:sz="4" w:space="0"/>
            </w:tcBorders>
            <w:shd w:val="clear" w:color="auto" w:fill="auto"/>
            <w:noWrap/>
            <w:vAlign w:val="center"/>
          </w:tcPr>
          <w:p w14:paraId="5E611C5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916" w:type="pct"/>
            <w:tcBorders>
              <w:top w:val="nil"/>
              <w:left w:val="nil"/>
              <w:bottom w:val="single" w:color="auto" w:sz="4" w:space="0"/>
              <w:right w:val="single" w:color="auto" w:sz="4" w:space="0"/>
            </w:tcBorders>
            <w:shd w:val="clear" w:color="auto" w:fill="auto"/>
            <w:noWrap/>
            <w:vAlign w:val="center"/>
          </w:tcPr>
          <w:p w14:paraId="60A7231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33</w:t>
            </w:r>
          </w:p>
        </w:tc>
        <w:tc>
          <w:tcPr>
            <w:tcW w:w="684" w:type="pct"/>
            <w:vMerge w:val="continue"/>
            <w:tcBorders>
              <w:left w:val="single" w:color="auto" w:sz="4" w:space="0"/>
              <w:right w:val="single" w:color="auto" w:sz="4" w:space="0"/>
            </w:tcBorders>
            <w:vAlign w:val="center"/>
          </w:tcPr>
          <w:p w14:paraId="56C77678">
            <w:pPr>
              <w:widowControl/>
              <w:jc w:val="center"/>
              <w:rPr>
                <w:rFonts w:ascii="宋体" w:hAnsi="宋体" w:cs="宋体"/>
                <w:color w:val="auto"/>
                <w:kern w:val="0"/>
                <w:sz w:val="20"/>
                <w:highlight w:val="none"/>
              </w:rPr>
            </w:pPr>
          </w:p>
        </w:tc>
      </w:tr>
      <w:tr w14:paraId="5760F774">
        <w:tblPrEx>
          <w:tblCellMar>
            <w:top w:w="0" w:type="dxa"/>
            <w:left w:w="108" w:type="dxa"/>
            <w:bottom w:w="0" w:type="dxa"/>
            <w:right w:w="108" w:type="dxa"/>
          </w:tblCellMar>
        </w:tblPrEx>
        <w:trPr>
          <w:trHeight w:val="306" w:hRule="atLeast"/>
        </w:trPr>
        <w:tc>
          <w:tcPr>
            <w:tcW w:w="600" w:type="pct"/>
            <w:tcBorders>
              <w:top w:val="nil"/>
              <w:left w:val="single" w:color="auto" w:sz="4" w:space="0"/>
              <w:bottom w:val="single" w:color="auto" w:sz="4" w:space="0"/>
              <w:right w:val="single" w:color="auto" w:sz="4" w:space="0"/>
            </w:tcBorders>
            <w:shd w:val="clear" w:color="auto" w:fill="auto"/>
            <w:noWrap/>
            <w:vAlign w:val="center"/>
          </w:tcPr>
          <w:p w14:paraId="230E0F3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13</w:t>
            </w:r>
          </w:p>
        </w:tc>
        <w:tc>
          <w:tcPr>
            <w:tcW w:w="1009" w:type="pct"/>
            <w:tcBorders>
              <w:top w:val="nil"/>
              <w:left w:val="nil"/>
              <w:bottom w:val="single" w:color="auto" w:sz="4" w:space="0"/>
              <w:right w:val="single" w:color="auto" w:sz="4" w:space="0"/>
            </w:tcBorders>
            <w:shd w:val="clear" w:color="auto" w:fill="auto"/>
            <w:noWrap/>
            <w:vAlign w:val="center"/>
          </w:tcPr>
          <w:p w14:paraId="027491A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沙埠</w:t>
            </w:r>
          </w:p>
        </w:tc>
        <w:tc>
          <w:tcPr>
            <w:tcW w:w="769" w:type="pct"/>
            <w:tcBorders>
              <w:top w:val="nil"/>
              <w:left w:val="nil"/>
              <w:bottom w:val="single" w:color="auto" w:sz="4" w:space="0"/>
              <w:right w:val="single" w:color="auto" w:sz="4" w:space="0"/>
            </w:tcBorders>
            <w:shd w:val="clear" w:color="auto" w:fill="auto"/>
            <w:noWrap/>
            <w:vAlign w:val="center"/>
          </w:tcPr>
          <w:p w14:paraId="35F16E4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1022" w:type="pct"/>
            <w:tcBorders>
              <w:top w:val="nil"/>
              <w:left w:val="nil"/>
              <w:bottom w:val="single" w:color="auto" w:sz="4" w:space="0"/>
              <w:right w:val="single" w:color="auto" w:sz="4" w:space="0"/>
            </w:tcBorders>
            <w:shd w:val="clear" w:color="auto" w:fill="auto"/>
            <w:noWrap/>
            <w:vAlign w:val="center"/>
          </w:tcPr>
          <w:p w14:paraId="471EF0A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916" w:type="pct"/>
            <w:tcBorders>
              <w:top w:val="nil"/>
              <w:left w:val="nil"/>
              <w:bottom w:val="single" w:color="auto" w:sz="4" w:space="0"/>
              <w:right w:val="single" w:color="auto" w:sz="4" w:space="0"/>
            </w:tcBorders>
            <w:shd w:val="clear" w:color="auto" w:fill="auto"/>
            <w:noWrap/>
            <w:vAlign w:val="center"/>
          </w:tcPr>
          <w:p w14:paraId="6824777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11</w:t>
            </w:r>
          </w:p>
        </w:tc>
        <w:tc>
          <w:tcPr>
            <w:tcW w:w="684" w:type="pct"/>
            <w:vMerge w:val="continue"/>
            <w:tcBorders>
              <w:left w:val="single" w:color="auto" w:sz="4" w:space="0"/>
              <w:right w:val="single" w:color="auto" w:sz="4" w:space="0"/>
            </w:tcBorders>
            <w:vAlign w:val="center"/>
          </w:tcPr>
          <w:p w14:paraId="23430D3F">
            <w:pPr>
              <w:widowControl/>
              <w:jc w:val="center"/>
              <w:rPr>
                <w:rFonts w:ascii="宋体" w:hAnsi="宋体" w:cs="宋体"/>
                <w:color w:val="auto"/>
                <w:kern w:val="0"/>
                <w:sz w:val="20"/>
                <w:highlight w:val="none"/>
              </w:rPr>
            </w:pPr>
          </w:p>
        </w:tc>
      </w:tr>
      <w:tr w14:paraId="12980472">
        <w:tblPrEx>
          <w:tblCellMar>
            <w:top w:w="0" w:type="dxa"/>
            <w:left w:w="108" w:type="dxa"/>
            <w:bottom w:w="0" w:type="dxa"/>
            <w:right w:w="108" w:type="dxa"/>
          </w:tblCellMar>
        </w:tblPrEx>
        <w:trPr>
          <w:trHeight w:val="306" w:hRule="atLeast"/>
        </w:trPr>
        <w:tc>
          <w:tcPr>
            <w:tcW w:w="600" w:type="pct"/>
            <w:tcBorders>
              <w:top w:val="nil"/>
              <w:left w:val="single" w:color="auto" w:sz="4" w:space="0"/>
              <w:bottom w:val="single" w:color="auto" w:sz="4" w:space="0"/>
              <w:right w:val="single" w:color="auto" w:sz="4" w:space="0"/>
            </w:tcBorders>
            <w:shd w:val="clear" w:color="auto" w:fill="auto"/>
            <w:noWrap/>
            <w:vAlign w:val="center"/>
          </w:tcPr>
          <w:p w14:paraId="7A23D12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14</w:t>
            </w:r>
          </w:p>
        </w:tc>
        <w:tc>
          <w:tcPr>
            <w:tcW w:w="1009" w:type="pct"/>
            <w:tcBorders>
              <w:top w:val="nil"/>
              <w:left w:val="nil"/>
              <w:bottom w:val="single" w:color="auto" w:sz="4" w:space="0"/>
              <w:right w:val="single" w:color="auto" w:sz="4" w:space="0"/>
            </w:tcBorders>
            <w:shd w:val="clear" w:color="auto" w:fill="auto"/>
            <w:noWrap/>
            <w:vAlign w:val="center"/>
          </w:tcPr>
          <w:p w14:paraId="777ACAB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头陀</w:t>
            </w:r>
          </w:p>
        </w:tc>
        <w:tc>
          <w:tcPr>
            <w:tcW w:w="769" w:type="pct"/>
            <w:tcBorders>
              <w:top w:val="nil"/>
              <w:left w:val="nil"/>
              <w:bottom w:val="single" w:color="auto" w:sz="4" w:space="0"/>
              <w:right w:val="single" w:color="auto" w:sz="4" w:space="0"/>
            </w:tcBorders>
            <w:shd w:val="clear" w:color="auto" w:fill="auto"/>
            <w:noWrap/>
            <w:vAlign w:val="center"/>
          </w:tcPr>
          <w:p w14:paraId="4236470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10</w:t>
            </w:r>
          </w:p>
        </w:tc>
        <w:tc>
          <w:tcPr>
            <w:tcW w:w="1022" w:type="pct"/>
            <w:tcBorders>
              <w:top w:val="nil"/>
              <w:left w:val="nil"/>
              <w:bottom w:val="single" w:color="auto" w:sz="4" w:space="0"/>
              <w:right w:val="single" w:color="auto" w:sz="4" w:space="0"/>
            </w:tcBorders>
            <w:shd w:val="clear" w:color="auto" w:fill="auto"/>
            <w:noWrap/>
            <w:vAlign w:val="center"/>
          </w:tcPr>
          <w:p w14:paraId="5B282B4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916" w:type="pct"/>
            <w:tcBorders>
              <w:top w:val="nil"/>
              <w:left w:val="nil"/>
              <w:bottom w:val="single" w:color="auto" w:sz="4" w:space="0"/>
              <w:right w:val="single" w:color="auto" w:sz="4" w:space="0"/>
            </w:tcBorders>
            <w:shd w:val="clear" w:color="auto" w:fill="auto"/>
            <w:noWrap/>
            <w:vAlign w:val="center"/>
          </w:tcPr>
          <w:p w14:paraId="3BF0DF1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16</w:t>
            </w:r>
          </w:p>
        </w:tc>
        <w:tc>
          <w:tcPr>
            <w:tcW w:w="684" w:type="pct"/>
            <w:vMerge w:val="continue"/>
            <w:tcBorders>
              <w:left w:val="single" w:color="auto" w:sz="4" w:space="0"/>
              <w:right w:val="single" w:color="auto" w:sz="4" w:space="0"/>
            </w:tcBorders>
            <w:vAlign w:val="center"/>
          </w:tcPr>
          <w:p w14:paraId="5846CED8">
            <w:pPr>
              <w:widowControl/>
              <w:jc w:val="center"/>
              <w:rPr>
                <w:rFonts w:ascii="宋体" w:hAnsi="宋体" w:cs="宋体"/>
                <w:color w:val="auto"/>
                <w:kern w:val="0"/>
                <w:sz w:val="20"/>
                <w:highlight w:val="none"/>
              </w:rPr>
            </w:pPr>
          </w:p>
        </w:tc>
      </w:tr>
      <w:tr w14:paraId="275A40F2">
        <w:tblPrEx>
          <w:tblCellMar>
            <w:top w:w="0" w:type="dxa"/>
            <w:left w:w="108" w:type="dxa"/>
            <w:bottom w:w="0" w:type="dxa"/>
            <w:right w:w="108" w:type="dxa"/>
          </w:tblCellMar>
        </w:tblPrEx>
        <w:trPr>
          <w:trHeight w:val="306" w:hRule="atLeast"/>
        </w:trPr>
        <w:tc>
          <w:tcPr>
            <w:tcW w:w="600" w:type="pct"/>
            <w:tcBorders>
              <w:top w:val="nil"/>
              <w:left w:val="single" w:color="auto" w:sz="4" w:space="0"/>
              <w:bottom w:val="single" w:color="auto" w:sz="4" w:space="0"/>
              <w:right w:val="single" w:color="auto" w:sz="4" w:space="0"/>
            </w:tcBorders>
            <w:shd w:val="clear" w:color="auto" w:fill="auto"/>
            <w:noWrap/>
            <w:vAlign w:val="center"/>
          </w:tcPr>
          <w:p w14:paraId="17641BB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15</w:t>
            </w:r>
          </w:p>
        </w:tc>
        <w:tc>
          <w:tcPr>
            <w:tcW w:w="1009" w:type="pct"/>
            <w:tcBorders>
              <w:top w:val="nil"/>
              <w:left w:val="nil"/>
              <w:bottom w:val="single" w:color="auto" w:sz="4" w:space="0"/>
              <w:right w:val="single" w:color="auto" w:sz="4" w:space="0"/>
            </w:tcBorders>
            <w:shd w:val="clear" w:color="auto" w:fill="auto"/>
            <w:noWrap/>
            <w:vAlign w:val="center"/>
          </w:tcPr>
          <w:p w14:paraId="4B64A81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南城</w:t>
            </w:r>
          </w:p>
        </w:tc>
        <w:tc>
          <w:tcPr>
            <w:tcW w:w="769" w:type="pct"/>
            <w:tcBorders>
              <w:top w:val="nil"/>
              <w:left w:val="nil"/>
              <w:bottom w:val="single" w:color="auto" w:sz="4" w:space="0"/>
              <w:right w:val="single" w:color="auto" w:sz="4" w:space="0"/>
            </w:tcBorders>
            <w:shd w:val="clear" w:color="auto" w:fill="auto"/>
            <w:noWrap/>
            <w:vAlign w:val="center"/>
          </w:tcPr>
          <w:p w14:paraId="2F8814B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w:t>
            </w:r>
          </w:p>
        </w:tc>
        <w:tc>
          <w:tcPr>
            <w:tcW w:w="1022" w:type="pct"/>
            <w:tcBorders>
              <w:top w:val="nil"/>
              <w:left w:val="nil"/>
              <w:bottom w:val="single" w:color="auto" w:sz="4" w:space="0"/>
              <w:right w:val="single" w:color="auto" w:sz="4" w:space="0"/>
            </w:tcBorders>
            <w:shd w:val="clear" w:color="auto" w:fill="auto"/>
            <w:noWrap/>
            <w:vAlign w:val="center"/>
          </w:tcPr>
          <w:p w14:paraId="47CACD8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916" w:type="pct"/>
            <w:tcBorders>
              <w:top w:val="nil"/>
              <w:left w:val="nil"/>
              <w:bottom w:val="single" w:color="auto" w:sz="4" w:space="0"/>
              <w:right w:val="single" w:color="auto" w:sz="4" w:space="0"/>
            </w:tcBorders>
            <w:shd w:val="clear" w:color="auto" w:fill="auto"/>
            <w:noWrap/>
            <w:vAlign w:val="center"/>
          </w:tcPr>
          <w:p w14:paraId="006F065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13</w:t>
            </w:r>
          </w:p>
        </w:tc>
        <w:tc>
          <w:tcPr>
            <w:tcW w:w="684" w:type="pct"/>
            <w:vMerge w:val="continue"/>
            <w:tcBorders>
              <w:left w:val="single" w:color="auto" w:sz="4" w:space="0"/>
              <w:right w:val="single" w:color="auto" w:sz="4" w:space="0"/>
            </w:tcBorders>
            <w:vAlign w:val="center"/>
          </w:tcPr>
          <w:p w14:paraId="707B6458">
            <w:pPr>
              <w:widowControl/>
              <w:jc w:val="center"/>
              <w:rPr>
                <w:rFonts w:ascii="宋体" w:hAnsi="宋体" w:cs="宋体"/>
                <w:color w:val="auto"/>
                <w:kern w:val="0"/>
                <w:sz w:val="20"/>
                <w:highlight w:val="none"/>
              </w:rPr>
            </w:pPr>
          </w:p>
        </w:tc>
      </w:tr>
      <w:tr w14:paraId="01F72D7E">
        <w:tblPrEx>
          <w:tblCellMar>
            <w:top w:w="0" w:type="dxa"/>
            <w:left w:w="108" w:type="dxa"/>
            <w:bottom w:w="0" w:type="dxa"/>
            <w:right w:w="108" w:type="dxa"/>
          </w:tblCellMar>
        </w:tblPrEx>
        <w:trPr>
          <w:trHeight w:val="306" w:hRule="atLeast"/>
        </w:trPr>
        <w:tc>
          <w:tcPr>
            <w:tcW w:w="600" w:type="pct"/>
            <w:tcBorders>
              <w:top w:val="nil"/>
              <w:left w:val="single" w:color="auto" w:sz="4" w:space="0"/>
              <w:bottom w:val="single" w:color="auto" w:sz="4" w:space="0"/>
              <w:right w:val="single" w:color="auto" w:sz="4" w:space="0"/>
            </w:tcBorders>
            <w:shd w:val="clear" w:color="auto" w:fill="auto"/>
            <w:noWrap/>
            <w:vAlign w:val="center"/>
          </w:tcPr>
          <w:p w14:paraId="7892C15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16</w:t>
            </w:r>
          </w:p>
        </w:tc>
        <w:tc>
          <w:tcPr>
            <w:tcW w:w="1009" w:type="pct"/>
            <w:tcBorders>
              <w:top w:val="nil"/>
              <w:left w:val="nil"/>
              <w:bottom w:val="single" w:color="auto" w:sz="4" w:space="0"/>
              <w:right w:val="single" w:color="auto" w:sz="4" w:space="0"/>
            </w:tcBorders>
            <w:shd w:val="clear" w:color="auto" w:fill="auto"/>
            <w:noWrap/>
            <w:vAlign w:val="center"/>
          </w:tcPr>
          <w:p w14:paraId="06848D0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京师实验</w:t>
            </w:r>
          </w:p>
        </w:tc>
        <w:tc>
          <w:tcPr>
            <w:tcW w:w="2707" w:type="pct"/>
            <w:gridSpan w:val="3"/>
            <w:tcBorders>
              <w:top w:val="single" w:color="auto" w:sz="4" w:space="0"/>
              <w:left w:val="nil"/>
              <w:bottom w:val="single" w:color="auto" w:sz="4" w:space="0"/>
              <w:right w:val="single" w:color="000000" w:sz="4" w:space="0"/>
            </w:tcBorders>
            <w:shd w:val="clear" w:color="auto" w:fill="auto"/>
            <w:noWrap/>
            <w:vAlign w:val="center"/>
          </w:tcPr>
          <w:p w14:paraId="13AD593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光纤费用+安检门费用</w:t>
            </w:r>
          </w:p>
        </w:tc>
        <w:tc>
          <w:tcPr>
            <w:tcW w:w="684" w:type="pct"/>
            <w:vMerge w:val="continue"/>
            <w:tcBorders>
              <w:left w:val="single" w:color="auto" w:sz="4" w:space="0"/>
              <w:right w:val="single" w:color="auto" w:sz="4" w:space="0"/>
            </w:tcBorders>
            <w:vAlign w:val="center"/>
          </w:tcPr>
          <w:p w14:paraId="379F9B9A">
            <w:pPr>
              <w:widowControl/>
              <w:jc w:val="center"/>
              <w:rPr>
                <w:rFonts w:ascii="宋体" w:hAnsi="宋体" w:cs="宋体"/>
                <w:color w:val="auto"/>
                <w:kern w:val="0"/>
                <w:sz w:val="20"/>
                <w:highlight w:val="none"/>
              </w:rPr>
            </w:pPr>
          </w:p>
        </w:tc>
      </w:tr>
      <w:tr w14:paraId="43D722BC">
        <w:tblPrEx>
          <w:tblCellMar>
            <w:top w:w="0" w:type="dxa"/>
            <w:left w:w="108" w:type="dxa"/>
            <w:bottom w:w="0" w:type="dxa"/>
            <w:right w:w="108" w:type="dxa"/>
          </w:tblCellMar>
        </w:tblPrEx>
        <w:trPr>
          <w:trHeight w:val="306" w:hRule="atLeast"/>
        </w:trPr>
        <w:tc>
          <w:tcPr>
            <w:tcW w:w="600" w:type="pct"/>
            <w:tcBorders>
              <w:top w:val="nil"/>
              <w:left w:val="single" w:color="auto" w:sz="4" w:space="0"/>
              <w:bottom w:val="single" w:color="auto" w:sz="4" w:space="0"/>
              <w:right w:val="single" w:color="auto" w:sz="4" w:space="0"/>
            </w:tcBorders>
            <w:shd w:val="clear" w:color="auto" w:fill="auto"/>
            <w:noWrap/>
            <w:vAlign w:val="center"/>
          </w:tcPr>
          <w:p w14:paraId="0C68A8D5">
            <w:pPr>
              <w:widowControl/>
              <w:jc w:val="center"/>
              <w:rPr>
                <w:rFonts w:ascii="宋体" w:hAnsi="宋体" w:cs="宋体"/>
                <w:color w:val="auto"/>
                <w:kern w:val="0"/>
                <w:sz w:val="20"/>
                <w:highlight w:val="none"/>
              </w:rPr>
            </w:pPr>
          </w:p>
        </w:tc>
        <w:tc>
          <w:tcPr>
            <w:tcW w:w="1009" w:type="pct"/>
            <w:tcBorders>
              <w:top w:val="nil"/>
              <w:left w:val="nil"/>
              <w:bottom w:val="single" w:color="auto" w:sz="4" w:space="0"/>
              <w:right w:val="single" w:color="auto" w:sz="4" w:space="0"/>
            </w:tcBorders>
            <w:shd w:val="clear" w:color="auto" w:fill="auto"/>
            <w:noWrap/>
            <w:vAlign w:val="center"/>
          </w:tcPr>
          <w:p w14:paraId="5D73E34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合计</w:t>
            </w:r>
          </w:p>
        </w:tc>
        <w:tc>
          <w:tcPr>
            <w:tcW w:w="769" w:type="pct"/>
            <w:tcBorders>
              <w:top w:val="nil"/>
              <w:left w:val="nil"/>
              <w:bottom w:val="single" w:color="auto" w:sz="4" w:space="0"/>
              <w:right w:val="single" w:color="auto" w:sz="4" w:space="0"/>
            </w:tcBorders>
            <w:shd w:val="clear" w:color="auto" w:fill="auto"/>
            <w:noWrap/>
            <w:vAlign w:val="center"/>
          </w:tcPr>
          <w:p w14:paraId="668A166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240</w:t>
            </w:r>
          </w:p>
        </w:tc>
        <w:tc>
          <w:tcPr>
            <w:tcW w:w="1022" w:type="pct"/>
            <w:tcBorders>
              <w:top w:val="nil"/>
              <w:left w:val="nil"/>
              <w:bottom w:val="single" w:color="auto" w:sz="4" w:space="0"/>
              <w:right w:val="single" w:color="auto" w:sz="4" w:space="0"/>
            </w:tcBorders>
            <w:shd w:val="clear" w:color="auto" w:fill="auto"/>
            <w:noWrap/>
            <w:vAlign w:val="center"/>
          </w:tcPr>
          <w:p w14:paraId="0C338A4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30</w:t>
            </w:r>
          </w:p>
        </w:tc>
        <w:tc>
          <w:tcPr>
            <w:tcW w:w="916" w:type="pct"/>
            <w:tcBorders>
              <w:top w:val="nil"/>
              <w:left w:val="nil"/>
              <w:bottom w:val="single" w:color="auto" w:sz="4" w:space="0"/>
              <w:right w:val="single" w:color="auto" w:sz="4" w:space="0"/>
            </w:tcBorders>
            <w:shd w:val="clear" w:color="auto" w:fill="auto"/>
            <w:noWrap/>
            <w:vAlign w:val="center"/>
          </w:tcPr>
          <w:p w14:paraId="7AA2423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330</w:t>
            </w:r>
          </w:p>
        </w:tc>
        <w:tc>
          <w:tcPr>
            <w:tcW w:w="684" w:type="pct"/>
            <w:vMerge w:val="continue"/>
            <w:tcBorders>
              <w:left w:val="single" w:color="auto" w:sz="4" w:space="0"/>
              <w:bottom w:val="single" w:color="auto" w:sz="4" w:space="0"/>
              <w:right w:val="single" w:color="auto" w:sz="4" w:space="0"/>
            </w:tcBorders>
            <w:shd w:val="clear" w:color="auto" w:fill="auto"/>
            <w:vAlign w:val="center"/>
          </w:tcPr>
          <w:p w14:paraId="12C3F98B">
            <w:pPr>
              <w:widowControl/>
              <w:jc w:val="center"/>
              <w:rPr>
                <w:rFonts w:ascii="宋体" w:hAnsi="宋体" w:cs="宋体"/>
                <w:color w:val="auto"/>
                <w:kern w:val="0"/>
                <w:sz w:val="20"/>
                <w:highlight w:val="none"/>
              </w:rPr>
            </w:pPr>
          </w:p>
        </w:tc>
      </w:tr>
    </w:tbl>
    <w:p w14:paraId="059D6562">
      <w:pPr>
        <w:pStyle w:val="12"/>
        <w:rPr>
          <w:b/>
          <w:bCs/>
          <w:color w:val="auto"/>
          <w:highlight w:val="none"/>
        </w:rPr>
      </w:pPr>
      <w:r>
        <w:rPr>
          <w:rFonts w:hint="eastAsia"/>
          <w:color w:val="auto"/>
          <w:highlight w:val="none"/>
        </w:rPr>
        <w:t>备注：黄岩区中考标准化考点的前端场所主要包括：考场、考务室、保密室、广播室、备用考场等。本项目主要建设两大系统，分别为：视频监控网上巡查系统、作弊防控系统等。</w:t>
      </w:r>
    </w:p>
    <w:p w14:paraId="32EE8168">
      <w:pPr>
        <w:pStyle w:val="12"/>
        <w:rPr>
          <w:color w:val="auto"/>
          <w:highlight w:val="none"/>
        </w:rPr>
        <w:sectPr>
          <w:pgSz w:w="11906" w:h="16838"/>
          <w:pgMar w:top="1440" w:right="1800" w:bottom="1440" w:left="1800" w:header="851" w:footer="992" w:gutter="0"/>
          <w:cols w:space="425" w:num="1"/>
          <w:docGrid w:type="lines" w:linePitch="312" w:charSpace="0"/>
        </w:sectPr>
      </w:pPr>
    </w:p>
    <w:tbl>
      <w:tblPr>
        <w:tblStyle w:val="23"/>
        <w:tblW w:w="5219" w:type="pct"/>
        <w:jc w:val="center"/>
        <w:tblLayout w:type="fixed"/>
        <w:tblCellMar>
          <w:top w:w="0" w:type="dxa"/>
          <w:left w:w="108" w:type="dxa"/>
          <w:bottom w:w="0" w:type="dxa"/>
          <w:right w:w="108" w:type="dxa"/>
        </w:tblCellMar>
      </w:tblPr>
      <w:tblGrid>
        <w:gridCol w:w="1112"/>
        <w:gridCol w:w="765"/>
        <w:gridCol w:w="764"/>
        <w:gridCol w:w="764"/>
        <w:gridCol w:w="764"/>
        <w:gridCol w:w="764"/>
        <w:gridCol w:w="764"/>
        <w:gridCol w:w="764"/>
        <w:gridCol w:w="764"/>
        <w:gridCol w:w="764"/>
        <w:gridCol w:w="764"/>
        <w:gridCol w:w="764"/>
        <w:gridCol w:w="1040"/>
        <w:gridCol w:w="764"/>
        <w:gridCol w:w="764"/>
        <w:gridCol w:w="764"/>
        <w:gridCol w:w="1040"/>
        <w:gridCol w:w="906"/>
      </w:tblGrid>
      <w:tr w14:paraId="1EBCB0E3">
        <w:tblPrEx>
          <w:tblCellMar>
            <w:top w:w="0" w:type="dxa"/>
            <w:left w:w="108" w:type="dxa"/>
            <w:bottom w:w="0" w:type="dxa"/>
            <w:right w:w="108" w:type="dxa"/>
          </w:tblCellMar>
        </w:tblPrEx>
        <w:trPr>
          <w:trHeight w:val="1026" w:hRule="atLeast"/>
          <w:jc w:val="center"/>
        </w:trPr>
        <w:tc>
          <w:tcPr>
            <w:tcW w:w="374" w:type="pc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211222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考点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设备</w:t>
            </w:r>
          </w:p>
        </w:tc>
        <w:tc>
          <w:tcPr>
            <w:tcW w:w="258" w:type="pct"/>
            <w:tcBorders>
              <w:top w:val="single" w:color="auto" w:sz="4" w:space="0"/>
              <w:left w:val="nil"/>
              <w:bottom w:val="single" w:color="auto" w:sz="4" w:space="0"/>
              <w:right w:val="single" w:color="auto" w:sz="4" w:space="0"/>
            </w:tcBorders>
            <w:shd w:val="clear" w:color="auto" w:fill="auto"/>
            <w:noWrap/>
            <w:vAlign w:val="center"/>
          </w:tcPr>
          <w:p w14:paraId="15E894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实验中学</w:t>
            </w:r>
          </w:p>
        </w:tc>
        <w:tc>
          <w:tcPr>
            <w:tcW w:w="258" w:type="pct"/>
            <w:tcBorders>
              <w:top w:val="single" w:color="auto" w:sz="4" w:space="0"/>
              <w:left w:val="nil"/>
              <w:bottom w:val="single" w:color="auto" w:sz="4" w:space="0"/>
              <w:right w:val="single" w:color="auto" w:sz="4" w:space="0"/>
            </w:tcBorders>
            <w:shd w:val="clear" w:color="auto" w:fill="auto"/>
            <w:noWrap/>
            <w:vAlign w:val="center"/>
          </w:tcPr>
          <w:p w14:paraId="75DBBE2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城关中学</w:t>
            </w:r>
          </w:p>
        </w:tc>
        <w:tc>
          <w:tcPr>
            <w:tcW w:w="258" w:type="pct"/>
            <w:tcBorders>
              <w:top w:val="single" w:color="auto" w:sz="4" w:space="0"/>
              <w:left w:val="nil"/>
              <w:bottom w:val="single" w:color="auto" w:sz="4" w:space="0"/>
              <w:right w:val="single" w:color="auto" w:sz="4" w:space="0"/>
            </w:tcBorders>
            <w:shd w:val="clear" w:color="auto" w:fill="auto"/>
            <w:noWrap/>
            <w:vAlign w:val="center"/>
          </w:tcPr>
          <w:p w14:paraId="084394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东浦中学</w:t>
            </w:r>
          </w:p>
        </w:tc>
        <w:tc>
          <w:tcPr>
            <w:tcW w:w="258" w:type="pct"/>
            <w:tcBorders>
              <w:top w:val="single" w:color="auto" w:sz="4" w:space="0"/>
              <w:left w:val="nil"/>
              <w:bottom w:val="single" w:color="auto" w:sz="4" w:space="0"/>
              <w:right w:val="single" w:color="auto" w:sz="4" w:space="0"/>
            </w:tcBorders>
            <w:shd w:val="clear" w:color="auto" w:fill="auto"/>
            <w:noWrap/>
            <w:vAlign w:val="center"/>
          </w:tcPr>
          <w:p w14:paraId="0C03E2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北城中学</w:t>
            </w:r>
          </w:p>
        </w:tc>
        <w:tc>
          <w:tcPr>
            <w:tcW w:w="258" w:type="pct"/>
            <w:tcBorders>
              <w:top w:val="single" w:color="auto" w:sz="4" w:space="0"/>
              <w:left w:val="nil"/>
              <w:bottom w:val="single" w:color="auto" w:sz="4" w:space="0"/>
              <w:right w:val="single" w:color="auto" w:sz="4" w:space="0"/>
            </w:tcBorders>
            <w:shd w:val="clear" w:color="auto" w:fill="auto"/>
            <w:noWrap/>
            <w:vAlign w:val="center"/>
          </w:tcPr>
          <w:p w14:paraId="391F6B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宁溪初中</w:t>
            </w:r>
          </w:p>
        </w:tc>
        <w:tc>
          <w:tcPr>
            <w:tcW w:w="258" w:type="pct"/>
            <w:tcBorders>
              <w:top w:val="single" w:color="auto" w:sz="4" w:space="0"/>
              <w:left w:val="nil"/>
              <w:bottom w:val="single" w:color="auto" w:sz="4" w:space="0"/>
              <w:right w:val="single" w:color="auto" w:sz="4" w:space="0"/>
            </w:tcBorders>
            <w:shd w:val="clear" w:color="auto" w:fill="auto"/>
            <w:noWrap/>
            <w:vAlign w:val="center"/>
          </w:tcPr>
          <w:p w14:paraId="551FC89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灵中初中</w:t>
            </w:r>
          </w:p>
        </w:tc>
        <w:tc>
          <w:tcPr>
            <w:tcW w:w="258" w:type="pct"/>
            <w:tcBorders>
              <w:top w:val="single" w:color="auto" w:sz="4" w:space="0"/>
              <w:left w:val="nil"/>
              <w:bottom w:val="single" w:color="auto" w:sz="4" w:space="0"/>
              <w:right w:val="single" w:color="auto" w:sz="4" w:space="0"/>
            </w:tcBorders>
            <w:shd w:val="clear" w:color="auto" w:fill="auto"/>
            <w:noWrap/>
            <w:vAlign w:val="center"/>
          </w:tcPr>
          <w:p w14:paraId="7FBCD1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澄江中学</w:t>
            </w:r>
          </w:p>
        </w:tc>
        <w:tc>
          <w:tcPr>
            <w:tcW w:w="258" w:type="pct"/>
            <w:tcBorders>
              <w:top w:val="single" w:color="auto" w:sz="4" w:space="0"/>
              <w:left w:val="nil"/>
              <w:bottom w:val="single" w:color="auto" w:sz="4" w:space="0"/>
              <w:right w:val="single" w:color="auto" w:sz="4" w:space="0"/>
            </w:tcBorders>
            <w:shd w:val="clear" w:color="auto" w:fill="auto"/>
            <w:noWrap/>
            <w:vAlign w:val="center"/>
          </w:tcPr>
          <w:p w14:paraId="796FB4D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新前中学</w:t>
            </w:r>
          </w:p>
        </w:tc>
        <w:tc>
          <w:tcPr>
            <w:tcW w:w="258" w:type="pct"/>
            <w:tcBorders>
              <w:top w:val="single" w:color="auto" w:sz="4" w:space="0"/>
              <w:left w:val="nil"/>
              <w:bottom w:val="single" w:color="auto" w:sz="4" w:space="0"/>
              <w:right w:val="single" w:color="auto" w:sz="4" w:space="0"/>
            </w:tcBorders>
            <w:shd w:val="clear" w:color="auto" w:fill="auto"/>
            <w:noWrap/>
            <w:vAlign w:val="center"/>
          </w:tcPr>
          <w:p w14:paraId="5CB177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院桥初中</w:t>
            </w:r>
          </w:p>
        </w:tc>
        <w:tc>
          <w:tcPr>
            <w:tcW w:w="258" w:type="pct"/>
            <w:tcBorders>
              <w:top w:val="single" w:color="auto" w:sz="4" w:space="0"/>
              <w:left w:val="nil"/>
              <w:bottom w:val="single" w:color="auto" w:sz="4" w:space="0"/>
              <w:right w:val="single" w:color="auto" w:sz="4" w:space="0"/>
            </w:tcBorders>
            <w:shd w:val="clear" w:color="auto" w:fill="auto"/>
            <w:noWrap/>
            <w:vAlign w:val="center"/>
          </w:tcPr>
          <w:p w14:paraId="767817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高桥中学</w:t>
            </w:r>
          </w:p>
        </w:tc>
        <w:tc>
          <w:tcPr>
            <w:tcW w:w="258" w:type="pct"/>
            <w:tcBorders>
              <w:top w:val="single" w:color="auto" w:sz="4" w:space="0"/>
              <w:left w:val="nil"/>
              <w:bottom w:val="single" w:color="auto" w:sz="4" w:space="0"/>
              <w:right w:val="single" w:color="auto" w:sz="4" w:space="0"/>
            </w:tcBorders>
            <w:shd w:val="clear" w:color="auto" w:fill="auto"/>
            <w:noWrap/>
            <w:vAlign w:val="center"/>
          </w:tcPr>
          <w:p w14:paraId="668C99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江口中学</w:t>
            </w:r>
          </w:p>
        </w:tc>
        <w:tc>
          <w:tcPr>
            <w:tcW w:w="350" w:type="pct"/>
            <w:tcBorders>
              <w:top w:val="single" w:color="auto" w:sz="4" w:space="0"/>
              <w:left w:val="nil"/>
              <w:bottom w:val="single" w:color="auto" w:sz="4" w:space="0"/>
              <w:right w:val="single" w:color="auto" w:sz="4" w:space="0"/>
            </w:tcBorders>
            <w:shd w:val="clear" w:color="auto" w:fill="auto"/>
            <w:noWrap/>
            <w:vAlign w:val="center"/>
          </w:tcPr>
          <w:p w14:paraId="457326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黄初教育集团</w:t>
            </w:r>
          </w:p>
        </w:tc>
        <w:tc>
          <w:tcPr>
            <w:tcW w:w="258" w:type="pct"/>
            <w:tcBorders>
              <w:top w:val="single" w:color="auto" w:sz="4" w:space="0"/>
              <w:left w:val="nil"/>
              <w:bottom w:val="single" w:color="auto" w:sz="4" w:space="0"/>
              <w:right w:val="single" w:color="auto" w:sz="4" w:space="0"/>
            </w:tcBorders>
            <w:shd w:val="clear" w:color="auto" w:fill="auto"/>
            <w:noWrap/>
            <w:vAlign w:val="center"/>
          </w:tcPr>
          <w:p w14:paraId="38EEF90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沙埠中学</w:t>
            </w:r>
          </w:p>
        </w:tc>
        <w:tc>
          <w:tcPr>
            <w:tcW w:w="258" w:type="pct"/>
            <w:tcBorders>
              <w:top w:val="single" w:color="auto" w:sz="4" w:space="0"/>
              <w:left w:val="nil"/>
              <w:bottom w:val="single" w:color="auto" w:sz="4" w:space="0"/>
              <w:right w:val="single" w:color="auto" w:sz="4" w:space="0"/>
            </w:tcBorders>
            <w:shd w:val="clear" w:color="auto" w:fill="auto"/>
            <w:noWrap/>
            <w:vAlign w:val="center"/>
          </w:tcPr>
          <w:p w14:paraId="13D8118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头陀中学</w:t>
            </w:r>
          </w:p>
        </w:tc>
        <w:tc>
          <w:tcPr>
            <w:tcW w:w="258" w:type="pct"/>
            <w:tcBorders>
              <w:top w:val="single" w:color="auto" w:sz="4" w:space="0"/>
              <w:left w:val="nil"/>
              <w:bottom w:val="single" w:color="auto" w:sz="4" w:space="0"/>
              <w:right w:val="single" w:color="auto" w:sz="4" w:space="0"/>
            </w:tcBorders>
            <w:shd w:val="clear" w:color="auto" w:fill="auto"/>
            <w:noWrap/>
            <w:vAlign w:val="center"/>
          </w:tcPr>
          <w:p w14:paraId="2221BD6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南城中学</w:t>
            </w:r>
          </w:p>
        </w:tc>
        <w:tc>
          <w:tcPr>
            <w:tcW w:w="350" w:type="pct"/>
            <w:tcBorders>
              <w:top w:val="single" w:color="auto" w:sz="4" w:space="0"/>
              <w:left w:val="nil"/>
              <w:bottom w:val="single" w:color="auto" w:sz="4" w:space="0"/>
              <w:right w:val="single" w:color="auto" w:sz="4" w:space="0"/>
            </w:tcBorders>
            <w:shd w:val="clear" w:color="auto" w:fill="auto"/>
            <w:noWrap/>
            <w:vAlign w:val="center"/>
          </w:tcPr>
          <w:p w14:paraId="252E087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京师实验中学</w:t>
            </w:r>
          </w:p>
        </w:tc>
        <w:tc>
          <w:tcPr>
            <w:tcW w:w="306" w:type="pct"/>
            <w:tcBorders>
              <w:top w:val="single" w:color="auto" w:sz="4" w:space="0"/>
              <w:left w:val="nil"/>
              <w:bottom w:val="single" w:color="auto" w:sz="4" w:space="0"/>
              <w:right w:val="single" w:color="auto" w:sz="4" w:space="0"/>
            </w:tcBorders>
            <w:shd w:val="clear" w:color="auto" w:fill="auto"/>
            <w:noWrap/>
            <w:vAlign w:val="center"/>
          </w:tcPr>
          <w:p w14:paraId="181EDB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r>
      <w:tr w14:paraId="4C03995F">
        <w:tblPrEx>
          <w:tblCellMar>
            <w:top w:w="0" w:type="dxa"/>
            <w:left w:w="108" w:type="dxa"/>
            <w:bottom w:w="0" w:type="dxa"/>
            <w:right w:w="108" w:type="dxa"/>
          </w:tblCellMar>
        </w:tblPrEx>
        <w:trPr>
          <w:trHeight w:val="516" w:hRule="atLeast"/>
          <w:jc w:val="center"/>
        </w:trPr>
        <w:tc>
          <w:tcPr>
            <w:tcW w:w="374" w:type="pct"/>
            <w:tcBorders>
              <w:top w:val="nil"/>
              <w:left w:val="single" w:color="auto" w:sz="4" w:space="0"/>
              <w:bottom w:val="single" w:color="auto" w:sz="4" w:space="0"/>
              <w:right w:val="single" w:color="auto" w:sz="4" w:space="0"/>
            </w:tcBorders>
            <w:shd w:val="clear" w:color="auto" w:fill="auto"/>
            <w:vAlign w:val="center"/>
          </w:tcPr>
          <w:p w14:paraId="39A92D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数字高清半球摄像头</w:t>
            </w:r>
          </w:p>
        </w:tc>
        <w:tc>
          <w:tcPr>
            <w:tcW w:w="258" w:type="pct"/>
            <w:tcBorders>
              <w:top w:val="nil"/>
              <w:left w:val="nil"/>
              <w:bottom w:val="single" w:color="auto" w:sz="4" w:space="0"/>
              <w:right w:val="single" w:color="auto" w:sz="4" w:space="0"/>
            </w:tcBorders>
            <w:shd w:val="clear" w:color="auto" w:fill="auto"/>
            <w:noWrap/>
            <w:vAlign w:val="center"/>
          </w:tcPr>
          <w:p w14:paraId="4668A17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258" w:type="pct"/>
            <w:tcBorders>
              <w:top w:val="nil"/>
              <w:left w:val="nil"/>
              <w:bottom w:val="single" w:color="auto" w:sz="4" w:space="0"/>
              <w:right w:val="single" w:color="auto" w:sz="4" w:space="0"/>
            </w:tcBorders>
            <w:shd w:val="clear" w:color="auto" w:fill="auto"/>
            <w:noWrap/>
            <w:vAlign w:val="center"/>
          </w:tcPr>
          <w:p w14:paraId="57FA740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258" w:type="pct"/>
            <w:tcBorders>
              <w:top w:val="nil"/>
              <w:left w:val="nil"/>
              <w:bottom w:val="single" w:color="auto" w:sz="4" w:space="0"/>
              <w:right w:val="single" w:color="auto" w:sz="4" w:space="0"/>
            </w:tcBorders>
            <w:shd w:val="clear" w:color="auto" w:fill="auto"/>
            <w:noWrap/>
            <w:vAlign w:val="center"/>
          </w:tcPr>
          <w:p w14:paraId="703714E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258" w:type="pct"/>
            <w:tcBorders>
              <w:top w:val="nil"/>
              <w:left w:val="nil"/>
              <w:bottom w:val="single" w:color="auto" w:sz="4" w:space="0"/>
              <w:right w:val="single" w:color="auto" w:sz="4" w:space="0"/>
            </w:tcBorders>
            <w:shd w:val="clear" w:color="auto" w:fill="auto"/>
            <w:noWrap/>
            <w:vAlign w:val="center"/>
          </w:tcPr>
          <w:p w14:paraId="6D2EE4A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258" w:type="pct"/>
            <w:tcBorders>
              <w:top w:val="nil"/>
              <w:left w:val="nil"/>
              <w:bottom w:val="single" w:color="auto" w:sz="4" w:space="0"/>
              <w:right w:val="single" w:color="auto" w:sz="4" w:space="0"/>
            </w:tcBorders>
            <w:shd w:val="clear" w:color="auto" w:fill="auto"/>
            <w:noWrap/>
            <w:vAlign w:val="center"/>
          </w:tcPr>
          <w:p w14:paraId="1C9136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258" w:type="pct"/>
            <w:tcBorders>
              <w:top w:val="nil"/>
              <w:left w:val="nil"/>
              <w:bottom w:val="single" w:color="auto" w:sz="4" w:space="0"/>
              <w:right w:val="single" w:color="auto" w:sz="4" w:space="0"/>
            </w:tcBorders>
            <w:shd w:val="clear" w:color="auto" w:fill="auto"/>
            <w:noWrap/>
            <w:vAlign w:val="center"/>
          </w:tcPr>
          <w:p w14:paraId="61C6AB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58" w:type="pct"/>
            <w:tcBorders>
              <w:top w:val="nil"/>
              <w:left w:val="nil"/>
              <w:bottom w:val="single" w:color="auto" w:sz="4" w:space="0"/>
              <w:right w:val="single" w:color="auto" w:sz="4" w:space="0"/>
            </w:tcBorders>
            <w:shd w:val="clear" w:color="auto" w:fill="auto"/>
            <w:noWrap/>
            <w:vAlign w:val="center"/>
          </w:tcPr>
          <w:p w14:paraId="1697CD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258" w:type="pct"/>
            <w:tcBorders>
              <w:top w:val="nil"/>
              <w:left w:val="nil"/>
              <w:bottom w:val="single" w:color="auto" w:sz="4" w:space="0"/>
              <w:right w:val="single" w:color="auto" w:sz="4" w:space="0"/>
            </w:tcBorders>
            <w:shd w:val="clear" w:color="auto" w:fill="auto"/>
            <w:noWrap/>
            <w:vAlign w:val="center"/>
          </w:tcPr>
          <w:p w14:paraId="45D0768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258" w:type="pct"/>
            <w:tcBorders>
              <w:top w:val="nil"/>
              <w:left w:val="nil"/>
              <w:bottom w:val="single" w:color="auto" w:sz="4" w:space="0"/>
              <w:right w:val="single" w:color="auto" w:sz="4" w:space="0"/>
            </w:tcBorders>
            <w:shd w:val="clear" w:color="auto" w:fill="auto"/>
            <w:noWrap/>
            <w:vAlign w:val="center"/>
          </w:tcPr>
          <w:p w14:paraId="3AAE12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258" w:type="pct"/>
            <w:tcBorders>
              <w:top w:val="nil"/>
              <w:left w:val="nil"/>
              <w:bottom w:val="single" w:color="auto" w:sz="4" w:space="0"/>
              <w:right w:val="single" w:color="auto" w:sz="4" w:space="0"/>
            </w:tcBorders>
            <w:shd w:val="clear" w:color="auto" w:fill="auto"/>
            <w:noWrap/>
            <w:vAlign w:val="center"/>
          </w:tcPr>
          <w:p w14:paraId="57EBCD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258" w:type="pct"/>
            <w:tcBorders>
              <w:top w:val="nil"/>
              <w:left w:val="nil"/>
              <w:bottom w:val="single" w:color="auto" w:sz="4" w:space="0"/>
              <w:right w:val="single" w:color="auto" w:sz="4" w:space="0"/>
            </w:tcBorders>
            <w:shd w:val="clear" w:color="auto" w:fill="auto"/>
            <w:noWrap/>
            <w:vAlign w:val="center"/>
          </w:tcPr>
          <w:p w14:paraId="0A47BD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350" w:type="pct"/>
            <w:tcBorders>
              <w:top w:val="nil"/>
              <w:left w:val="nil"/>
              <w:bottom w:val="single" w:color="auto" w:sz="4" w:space="0"/>
              <w:right w:val="single" w:color="auto" w:sz="4" w:space="0"/>
            </w:tcBorders>
            <w:shd w:val="clear" w:color="auto" w:fill="auto"/>
            <w:noWrap/>
            <w:vAlign w:val="center"/>
          </w:tcPr>
          <w:p w14:paraId="360777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258" w:type="pct"/>
            <w:tcBorders>
              <w:top w:val="nil"/>
              <w:left w:val="nil"/>
              <w:bottom w:val="single" w:color="auto" w:sz="4" w:space="0"/>
              <w:right w:val="single" w:color="auto" w:sz="4" w:space="0"/>
            </w:tcBorders>
            <w:shd w:val="clear" w:color="auto" w:fill="auto"/>
            <w:noWrap/>
            <w:vAlign w:val="center"/>
          </w:tcPr>
          <w:p w14:paraId="26E299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58" w:type="pct"/>
            <w:tcBorders>
              <w:top w:val="nil"/>
              <w:left w:val="nil"/>
              <w:bottom w:val="single" w:color="auto" w:sz="4" w:space="0"/>
              <w:right w:val="single" w:color="auto" w:sz="4" w:space="0"/>
            </w:tcBorders>
            <w:shd w:val="clear" w:color="auto" w:fill="auto"/>
            <w:noWrap/>
            <w:vAlign w:val="center"/>
          </w:tcPr>
          <w:p w14:paraId="40A5E7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258" w:type="pct"/>
            <w:tcBorders>
              <w:top w:val="nil"/>
              <w:left w:val="nil"/>
              <w:bottom w:val="single" w:color="auto" w:sz="4" w:space="0"/>
              <w:right w:val="single" w:color="auto" w:sz="4" w:space="0"/>
            </w:tcBorders>
            <w:shd w:val="clear" w:color="auto" w:fill="auto"/>
            <w:noWrap/>
            <w:vAlign w:val="center"/>
          </w:tcPr>
          <w:p w14:paraId="79750D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350" w:type="pct"/>
            <w:tcBorders>
              <w:top w:val="nil"/>
              <w:left w:val="nil"/>
              <w:bottom w:val="single" w:color="auto" w:sz="4" w:space="0"/>
              <w:right w:val="single" w:color="auto" w:sz="4" w:space="0"/>
            </w:tcBorders>
            <w:shd w:val="clear" w:color="auto" w:fill="auto"/>
            <w:noWrap/>
            <w:vAlign w:val="center"/>
          </w:tcPr>
          <w:p w14:paraId="31573A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497E37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330</w:t>
            </w:r>
          </w:p>
        </w:tc>
      </w:tr>
      <w:tr w14:paraId="58158E4D">
        <w:tblPrEx>
          <w:tblCellMar>
            <w:top w:w="0" w:type="dxa"/>
            <w:left w:w="108" w:type="dxa"/>
            <w:bottom w:w="0" w:type="dxa"/>
            <w:right w:w="108" w:type="dxa"/>
          </w:tblCellMar>
        </w:tblPrEx>
        <w:trPr>
          <w:trHeight w:val="516" w:hRule="atLeast"/>
          <w:jc w:val="center"/>
        </w:trPr>
        <w:tc>
          <w:tcPr>
            <w:tcW w:w="374" w:type="pct"/>
            <w:tcBorders>
              <w:top w:val="nil"/>
              <w:left w:val="single" w:color="auto" w:sz="4" w:space="0"/>
              <w:bottom w:val="single" w:color="auto" w:sz="4" w:space="0"/>
              <w:right w:val="single" w:color="auto" w:sz="4" w:space="0"/>
            </w:tcBorders>
            <w:shd w:val="clear" w:color="000000" w:fill="FFFFFF"/>
            <w:vAlign w:val="center"/>
          </w:tcPr>
          <w:p w14:paraId="2102C0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硬盘录像机（64路）</w:t>
            </w:r>
          </w:p>
        </w:tc>
        <w:tc>
          <w:tcPr>
            <w:tcW w:w="258" w:type="pct"/>
            <w:tcBorders>
              <w:top w:val="nil"/>
              <w:left w:val="nil"/>
              <w:bottom w:val="single" w:color="auto" w:sz="4" w:space="0"/>
              <w:right w:val="single" w:color="auto" w:sz="4" w:space="0"/>
            </w:tcBorders>
            <w:shd w:val="clear" w:color="auto" w:fill="auto"/>
            <w:noWrap/>
            <w:vAlign w:val="center"/>
          </w:tcPr>
          <w:p w14:paraId="4378CFB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5A052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6E239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14218F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136F0B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787203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73678D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4F3B4D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AEE9D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41658EF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065E65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57812F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4AED4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0A660C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032BD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76B9326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35956B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r>
      <w:tr w14:paraId="66A4108A">
        <w:tblPrEx>
          <w:tblCellMar>
            <w:top w:w="0" w:type="dxa"/>
            <w:left w:w="108" w:type="dxa"/>
            <w:bottom w:w="0" w:type="dxa"/>
            <w:right w:w="108" w:type="dxa"/>
          </w:tblCellMar>
        </w:tblPrEx>
        <w:trPr>
          <w:trHeight w:val="282" w:hRule="atLeast"/>
          <w:jc w:val="center"/>
        </w:trPr>
        <w:tc>
          <w:tcPr>
            <w:tcW w:w="374" w:type="pct"/>
            <w:tcBorders>
              <w:top w:val="nil"/>
              <w:left w:val="single" w:color="auto" w:sz="4" w:space="0"/>
              <w:bottom w:val="single" w:color="auto" w:sz="4" w:space="0"/>
              <w:right w:val="single" w:color="auto" w:sz="4" w:space="0"/>
            </w:tcBorders>
            <w:shd w:val="clear" w:color="auto" w:fill="auto"/>
            <w:vAlign w:val="center"/>
          </w:tcPr>
          <w:p w14:paraId="72145A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硬盘8T</w:t>
            </w:r>
          </w:p>
        </w:tc>
        <w:tc>
          <w:tcPr>
            <w:tcW w:w="258" w:type="pct"/>
            <w:tcBorders>
              <w:top w:val="nil"/>
              <w:left w:val="nil"/>
              <w:bottom w:val="single" w:color="auto" w:sz="4" w:space="0"/>
              <w:right w:val="single" w:color="auto" w:sz="4" w:space="0"/>
            </w:tcBorders>
            <w:shd w:val="clear" w:color="auto" w:fill="auto"/>
            <w:noWrap/>
            <w:vAlign w:val="center"/>
          </w:tcPr>
          <w:p w14:paraId="734185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58" w:type="pct"/>
            <w:tcBorders>
              <w:top w:val="nil"/>
              <w:left w:val="nil"/>
              <w:bottom w:val="single" w:color="auto" w:sz="4" w:space="0"/>
              <w:right w:val="single" w:color="auto" w:sz="4" w:space="0"/>
            </w:tcBorders>
            <w:shd w:val="clear" w:color="auto" w:fill="auto"/>
            <w:noWrap/>
            <w:vAlign w:val="center"/>
          </w:tcPr>
          <w:p w14:paraId="2F3E43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58" w:type="pct"/>
            <w:tcBorders>
              <w:top w:val="nil"/>
              <w:left w:val="nil"/>
              <w:bottom w:val="single" w:color="auto" w:sz="4" w:space="0"/>
              <w:right w:val="single" w:color="auto" w:sz="4" w:space="0"/>
            </w:tcBorders>
            <w:shd w:val="clear" w:color="auto" w:fill="auto"/>
            <w:noWrap/>
            <w:vAlign w:val="center"/>
          </w:tcPr>
          <w:p w14:paraId="01418EA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58" w:type="pct"/>
            <w:tcBorders>
              <w:top w:val="nil"/>
              <w:left w:val="nil"/>
              <w:bottom w:val="single" w:color="auto" w:sz="4" w:space="0"/>
              <w:right w:val="single" w:color="auto" w:sz="4" w:space="0"/>
            </w:tcBorders>
            <w:shd w:val="clear" w:color="auto" w:fill="auto"/>
            <w:noWrap/>
            <w:vAlign w:val="center"/>
          </w:tcPr>
          <w:p w14:paraId="352204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58" w:type="pct"/>
            <w:tcBorders>
              <w:top w:val="nil"/>
              <w:left w:val="nil"/>
              <w:bottom w:val="single" w:color="auto" w:sz="4" w:space="0"/>
              <w:right w:val="single" w:color="auto" w:sz="4" w:space="0"/>
            </w:tcBorders>
            <w:shd w:val="clear" w:color="auto" w:fill="auto"/>
            <w:noWrap/>
            <w:vAlign w:val="center"/>
          </w:tcPr>
          <w:p w14:paraId="1A15C4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58" w:type="pct"/>
            <w:tcBorders>
              <w:top w:val="nil"/>
              <w:left w:val="nil"/>
              <w:bottom w:val="single" w:color="auto" w:sz="4" w:space="0"/>
              <w:right w:val="single" w:color="auto" w:sz="4" w:space="0"/>
            </w:tcBorders>
            <w:shd w:val="clear" w:color="auto" w:fill="auto"/>
            <w:noWrap/>
            <w:vAlign w:val="center"/>
          </w:tcPr>
          <w:p w14:paraId="01D223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58" w:type="pct"/>
            <w:tcBorders>
              <w:top w:val="nil"/>
              <w:left w:val="nil"/>
              <w:bottom w:val="single" w:color="auto" w:sz="4" w:space="0"/>
              <w:right w:val="single" w:color="auto" w:sz="4" w:space="0"/>
            </w:tcBorders>
            <w:shd w:val="clear" w:color="auto" w:fill="auto"/>
            <w:noWrap/>
            <w:vAlign w:val="center"/>
          </w:tcPr>
          <w:p w14:paraId="3673F5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58" w:type="pct"/>
            <w:tcBorders>
              <w:top w:val="nil"/>
              <w:left w:val="nil"/>
              <w:bottom w:val="single" w:color="auto" w:sz="4" w:space="0"/>
              <w:right w:val="single" w:color="auto" w:sz="4" w:space="0"/>
            </w:tcBorders>
            <w:shd w:val="clear" w:color="auto" w:fill="auto"/>
            <w:noWrap/>
            <w:vAlign w:val="center"/>
          </w:tcPr>
          <w:p w14:paraId="549F63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58" w:type="pct"/>
            <w:tcBorders>
              <w:top w:val="nil"/>
              <w:left w:val="nil"/>
              <w:bottom w:val="single" w:color="auto" w:sz="4" w:space="0"/>
              <w:right w:val="single" w:color="auto" w:sz="4" w:space="0"/>
            </w:tcBorders>
            <w:shd w:val="clear" w:color="auto" w:fill="auto"/>
            <w:noWrap/>
            <w:vAlign w:val="center"/>
          </w:tcPr>
          <w:p w14:paraId="7BD65C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58" w:type="pct"/>
            <w:tcBorders>
              <w:top w:val="nil"/>
              <w:left w:val="nil"/>
              <w:bottom w:val="single" w:color="auto" w:sz="4" w:space="0"/>
              <w:right w:val="single" w:color="auto" w:sz="4" w:space="0"/>
            </w:tcBorders>
            <w:shd w:val="clear" w:color="auto" w:fill="auto"/>
            <w:noWrap/>
            <w:vAlign w:val="center"/>
          </w:tcPr>
          <w:p w14:paraId="11277B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58" w:type="pct"/>
            <w:tcBorders>
              <w:top w:val="nil"/>
              <w:left w:val="nil"/>
              <w:bottom w:val="single" w:color="auto" w:sz="4" w:space="0"/>
              <w:right w:val="single" w:color="auto" w:sz="4" w:space="0"/>
            </w:tcBorders>
            <w:shd w:val="clear" w:color="auto" w:fill="auto"/>
            <w:noWrap/>
            <w:vAlign w:val="center"/>
          </w:tcPr>
          <w:p w14:paraId="7C61D5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350" w:type="pct"/>
            <w:tcBorders>
              <w:top w:val="nil"/>
              <w:left w:val="nil"/>
              <w:bottom w:val="single" w:color="auto" w:sz="4" w:space="0"/>
              <w:right w:val="single" w:color="auto" w:sz="4" w:space="0"/>
            </w:tcBorders>
            <w:shd w:val="clear" w:color="auto" w:fill="auto"/>
            <w:noWrap/>
            <w:vAlign w:val="center"/>
          </w:tcPr>
          <w:p w14:paraId="1DF446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58" w:type="pct"/>
            <w:tcBorders>
              <w:top w:val="nil"/>
              <w:left w:val="nil"/>
              <w:bottom w:val="single" w:color="auto" w:sz="4" w:space="0"/>
              <w:right w:val="single" w:color="auto" w:sz="4" w:space="0"/>
            </w:tcBorders>
            <w:shd w:val="clear" w:color="auto" w:fill="auto"/>
            <w:noWrap/>
            <w:vAlign w:val="center"/>
          </w:tcPr>
          <w:p w14:paraId="0DAA6B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58" w:type="pct"/>
            <w:tcBorders>
              <w:top w:val="nil"/>
              <w:left w:val="nil"/>
              <w:bottom w:val="single" w:color="auto" w:sz="4" w:space="0"/>
              <w:right w:val="single" w:color="auto" w:sz="4" w:space="0"/>
            </w:tcBorders>
            <w:shd w:val="clear" w:color="auto" w:fill="auto"/>
            <w:noWrap/>
            <w:vAlign w:val="center"/>
          </w:tcPr>
          <w:p w14:paraId="29506E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58" w:type="pct"/>
            <w:tcBorders>
              <w:top w:val="nil"/>
              <w:left w:val="nil"/>
              <w:bottom w:val="single" w:color="auto" w:sz="4" w:space="0"/>
              <w:right w:val="single" w:color="auto" w:sz="4" w:space="0"/>
            </w:tcBorders>
            <w:shd w:val="clear" w:color="auto" w:fill="auto"/>
            <w:noWrap/>
            <w:vAlign w:val="center"/>
          </w:tcPr>
          <w:p w14:paraId="025304E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350" w:type="pct"/>
            <w:tcBorders>
              <w:top w:val="nil"/>
              <w:left w:val="nil"/>
              <w:bottom w:val="single" w:color="auto" w:sz="4" w:space="0"/>
              <w:right w:val="single" w:color="auto" w:sz="4" w:space="0"/>
            </w:tcBorders>
            <w:shd w:val="clear" w:color="auto" w:fill="auto"/>
            <w:noWrap/>
            <w:vAlign w:val="center"/>
          </w:tcPr>
          <w:p w14:paraId="23B66D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0CCB04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120</w:t>
            </w:r>
          </w:p>
        </w:tc>
      </w:tr>
      <w:tr w14:paraId="16982D59">
        <w:tblPrEx>
          <w:tblCellMar>
            <w:top w:w="0" w:type="dxa"/>
            <w:left w:w="108" w:type="dxa"/>
            <w:bottom w:w="0" w:type="dxa"/>
            <w:right w:w="108" w:type="dxa"/>
          </w:tblCellMar>
        </w:tblPrEx>
        <w:trPr>
          <w:trHeight w:val="516" w:hRule="atLeast"/>
          <w:jc w:val="center"/>
        </w:trPr>
        <w:tc>
          <w:tcPr>
            <w:tcW w:w="374" w:type="pct"/>
            <w:tcBorders>
              <w:top w:val="nil"/>
              <w:left w:val="single" w:color="auto" w:sz="4" w:space="0"/>
              <w:bottom w:val="single" w:color="auto" w:sz="4" w:space="0"/>
              <w:right w:val="single" w:color="auto" w:sz="4" w:space="0"/>
            </w:tcBorders>
            <w:shd w:val="clear" w:color="000000" w:fill="FFFFFF"/>
            <w:vAlign w:val="center"/>
          </w:tcPr>
          <w:p w14:paraId="49F36FA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SIP 三合一转发设备</w:t>
            </w:r>
          </w:p>
        </w:tc>
        <w:tc>
          <w:tcPr>
            <w:tcW w:w="258" w:type="pct"/>
            <w:tcBorders>
              <w:top w:val="nil"/>
              <w:left w:val="nil"/>
              <w:bottom w:val="single" w:color="auto" w:sz="4" w:space="0"/>
              <w:right w:val="single" w:color="auto" w:sz="4" w:space="0"/>
            </w:tcBorders>
            <w:shd w:val="clear" w:color="auto" w:fill="auto"/>
            <w:noWrap/>
            <w:vAlign w:val="center"/>
          </w:tcPr>
          <w:p w14:paraId="1CF124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0D9901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4A89DB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F1C31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8E124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105BEA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65FBC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9C6C17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E1BBA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FB7F0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258" w:type="pct"/>
            <w:tcBorders>
              <w:top w:val="nil"/>
              <w:left w:val="nil"/>
              <w:bottom w:val="single" w:color="auto" w:sz="4" w:space="0"/>
              <w:right w:val="single" w:color="auto" w:sz="4" w:space="0"/>
            </w:tcBorders>
            <w:shd w:val="clear" w:color="auto" w:fill="auto"/>
            <w:noWrap/>
            <w:vAlign w:val="center"/>
          </w:tcPr>
          <w:p w14:paraId="7DB765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143432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1D8AC23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258" w:type="pct"/>
            <w:tcBorders>
              <w:top w:val="nil"/>
              <w:left w:val="nil"/>
              <w:bottom w:val="single" w:color="auto" w:sz="4" w:space="0"/>
              <w:right w:val="single" w:color="auto" w:sz="4" w:space="0"/>
            </w:tcBorders>
            <w:shd w:val="clear" w:color="auto" w:fill="auto"/>
            <w:noWrap/>
            <w:vAlign w:val="center"/>
          </w:tcPr>
          <w:p w14:paraId="1F347F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258" w:type="pct"/>
            <w:tcBorders>
              <w:top w:val="nil"/>
              <w:left w:val="nil"/>
              <w:bottom w:val="single" w:color="auto" w:sz="4" w:space="0"/>
              <w:right w:val="single" w:color="auto" w:sz="4" w:space="0"/>
            </w:tcBorders>
            <w:shd w:val="clear" w:color="auto" w:fill="auto"/>
            <w:noWrap/>
            <w:vAlign w:val="center"/>
          </w:tcPr>
          <w:p w14:paraId="4FFB67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50" w:type="pct"/>
            <w:tcBorders>
              <w:top w:val="nil"/>
              <w:left w:val="nil"/>
              <w:bottom w:val="single" w:color="auto" w:sz="4" w:space="0"/>
              <w:right w:val="single" w:color="auto" w:sz="4" w:space="0"/>
            </w:tcBorders>
            <w:shd w:val="clear" w:color="auto" w:fill="auto"/>
            <w:noWrap/>
            <w:vAlign w:val="center"/>
          </w:tcPr>
          <w:p w14:paraId="139E07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15FEA60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r>
      <w:tr w14:paraId="10761CEA">
        <w:tblPrEx>
          <w:tblCellMar>
            <w:top w:w="0" w:type="dxa"/>
            <w:left w:w="108" w:type="dxa"/>
            <w:bottom w:w="0" w:type="dxa"/>
            <w:right w:w="108" w:type="dxa"/>
          </w:tblCellMar>
        </w:tblPrEx>
        <w:trPr>
          <w:trHeight w:val="516" w:hRule="atLeast"/>
          <w:jc w:val="center"/>
        </w:trPr>
        <w:tc>
          <w:tcPr>
            <w:tcW w:w="374" w:type="pct"/>
            <w:tcBorders>
              <w:top w:val="nil"/>
              <w:left w:val="single" w:color="auto" w:sz="4" w:space="0"/>
              <w:bottom w:val="single" w:color="auto" w:sz="4" w:space="0"/>
              <w:right w:val="single" w:color="auto" w:sz="4" w:space="0"/>
            </w:tcBorders>
            <w:shd w:val="clear" w:color="auto" w:fill="auto"/>
            <w:vAlign w:val="center"/>
          </w:tcPr>
          <w:p w14:paraId="28AEBE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教育考试网上巡查系统软件</w:t>
            </w:r>
          </w:p>
        </w:tc>
        <w:tc>
          <w:tcPr>
            <w:tcW w:w="258" w:type="pct"/>
            <w:tcBorders>
              <w:top w:val="nil"/>
              <w:left w:val="nil"/>
              <w:bottom w:val="single" w:color="auto" w:sz="4" w:space="0"/>
              <w:right w:val="single" w:color="auto" w:sz="4" w:space="0"/>
            </w:tcBorders>
            <w:shd w:val="clear" w:color="auto" w:fill="auto"/>
            <w:noWrap/>
            <w:vAlign w:val="center"/>
          </w:tcPr>
          <w:p w14:paraId="2F92A8C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77D8107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A70B41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534FF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82D20C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7A885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5BDC6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076A1D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1DA4EC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609FA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B2EB2F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40AD73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1232991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D766F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403E46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1F5277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0CBE60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r>
      <w:tr w14:paraId="6F16F639">
        <w:tblPrEx>
          <w:tblCellMar>
            <w:top w:w="0" w:type="dxa"/>
            <w:left w:w="108" w:type="dxa"/>
            <w:bottom w:w="0" w:type="dxa"/>
            <w:right w:w="108" w:type="dxa"/>
          </w:tblCellMar>
        </w:tblPrEx>
        <w:trPr>
          <w:trHeight w:val="774" w:hRule="atLeast"/>
          <w:jc w:val="center"/>
        </w:trPr>
        <w:tc>
          <w:tcPr>
            <w:tcW w:w="374" w:type="pct"/>
            <w:tcBorders>
              <w:top w:val="nil"/>
              <w:left w:val="single" w:color="auto" w:sz="4" w:space="0"/>
              <w:bottom w:val="single" w:color="auto" w:sz="4" w:space="0"/>
              <w:right w:val="single" w:color="auto" w:sz="4" w:space="0"/>
            </w:tcBorders>
            <w:shd w:val="clear" w:color="auto" w:fill="auto"/>
            <w:vAlign w:val="center"/>
          </w:tcPr>
          <w:p w14:paraId="6CA5AC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65寸显示设备（含壁挂支架）</w:t>
            </w:r>
          </w:p>
        </w:tc>
        <w:tc>
          <w:tcPr>
            <w:tcW w:w="258" w:type="pct"/>
            <w:tcBorders>
              <w:top w:val="nil"/>
              <w:left w:val="nil"/>
              <w:bottom w:val="single" w:color="auto" w:sz="4" w:space="0"/>
              <w:right w:val="single" w:color="auto" w:sz="4" w:space="0"/>
            </w:tcBorders>
            <w:shd w:val="clear" w:color="auto" w:fill="auto"/>
            <w:noWrap/>
            <w:vAlign w:val="center"/>
          </w:tcPr>
          <w:p w14:paraId="7422406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01B434C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404948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4C011E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480367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6EF4459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0CA9C22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281E592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451A9E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584DB9A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193AC1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50" w:type="pct"/>
            <w:tcBorders>
              <w:top w:val="nil"/>
              <w:left w:val="nil"/>
              <w:bottom w:val="single" w:color="auto" w:sz="4" w:space="0"/>
              <w:right w:val="single" w:color="auto" w:sz="4" w:space="0"/>
            </w:tcBorders>
            <w:shd w:val="clear" w:color="auto" w:fill="auto"/>
            <w:noWrap/>
            <w:vAlign w:val="center"/>
          </w:tcPr>
          <w:p w14:paraId="30203D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4DA1F92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1060018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7EACF3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50" w:type="pct"/>
            <w:tcBorders>
              <w:top w:val="nil"/>
              <w:left w:val="nil"/>
              <w:bottom w:val="single" w:color="auto" w:sz="4" w:space="0"/>
              <w:right w:val="single" w:color="auto" w:sz="4" w:space="0"/>
            </w:tcBorders>
            <w:shd w:val="clear" w:color="auto" w:fill="auto"/>
            <w:noWrap/>
            <w:vAlign w:val="center"/>
          </w:tcPr>
          <w:p w14:paraId="200DCA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39E34A8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r>
      <w:tr w14:paraId="2439CB34">
        <w:tblPrEx>
          <w:tblCellMar>
            <w:top w:w="0" w:type="dxa"/>
            <w:left w:w="108" w:type="dxa"/>
            <w:bottom w:w="0" w:type="dxa"/>
            <w:right w:w="108" w:type="dxa"/>
          </w:tblCellMar>
        </w:tblPrEx>
        <w:trPr>
          <w:trHeight w:val="282" w:hRule="atLeast"/>
          <w:jc w:val="center"/>
        </w:trPr>
        <w:tc>
          <w:tcPr>
            <w:tcW w:w="374" w:type="pct"/>
            <w:tcBorders>
              <w:top w:val="nil"/>
              <w:left w:val="single" w:color="auto" w:sz="4" w:space="0"/>
              <w:bottom w:val="single" w:color="auto" w:sz="4" w:space="0"/>
              <w:right w:val="single" w:color="auto" w:sz="4" w:space="0"/>
            </w:tcBorders>
            <w:shd w:val="clear" w:color="auto" w:fill="auto"/>
            <w:vAlign w:val="center"/>
          </w:tcPr>
          <w:p w14:paraId="7683559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高清线</w:t>
            </w:r>
          </w:p>
        </w:tc>
        <w:tc>
          <w:tcPr>
            <w:tcW w:w="258" w:type="pct"/>
            <w:tcBorders>
              <w:top w:val="nil"/>
              <w:left w:val="nil"/>
              <w:bottom w:val="single" w:color="auto" w:sz="4" w:space="0"/>
              <w:right w:val="single" w:color="auto" w:sz="4" w:space="0"/>
            </w:tcBorders>
            <w:shd w:val="clear" w:color="auto" w:fill="auto"/>
            <w:noWrap/>
            <w:vAlign w:val="center"/>
          </w:tcPr>
          <w:p w14:paraId="10D9FB8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21006D6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05601B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2B8CDA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5C4E3C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66C2F4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739597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7B3794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6E0AAC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48159C1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5ED3AC2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50" w:type="pct"/>
            <w:tcBorders>
              <w:top w:val="nil"/>
              <w:left w:val="nil"/>
              <w:bottom w:val="single" w:color="auto" w:sz="4" w:space="0"/>
              <w:right w:val="single" w:color="auto" w:sz="4" w:space="0"/>
            </w:tcBorders>
            <w:shd w:val="clear" w:color="auto" w:fill="auto"/>
            <w:noWrap/>
            <w:vAlign w:val="center"/>
          </w:tcPr>
          <w:p w14:paraId="3D9BBE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50437F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51ED8D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55A3F1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50" w:type="pct"/>
            <w:tcBorders>
              <w:top w:val="nil"/>
              <w:left w:val="nil"/>
              <w:bottom w:val="single" w:color="auto" w:sz="4" w:space="0"/>
              <w:right w:val="single" w:color="auto" w:sz="4" w:space="0"/>
            </w:tcBorders>
            <w:shd w:val="clear" w:color="auto" w:fill="auto"/>
            <w:noWrap/>
            <w:vAlign w:val="center"/>
          </w:tcPr>
          <w:p w14:paraId="143857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2A7CB1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r>
      <w:tr w14:paraId="0E3BF5A4">
        <w:tblPrEx>
          <w:tblCellMar>
            <w:top w:w="0" w:type="dxa"/>
            <w:left w:w="108" w:type="dxa"/>
            <w:bottom w:w="0" w:type="dxa"/>
            <w:right w:w="108" w:type="dxa"/>
          </w:tblCellMar>
        </w:tblPrEx>
        <w:trPr>
          <w:trHeight w:val="282" w:hRule="atLeast"/>
          <w:jc w:val="center"/>
        </w:trPr>
        <w:tc>
          <w:tcPr>
            <w:tcW w:w="374" w:type="pct"/>
            <w:tcBorders>
              <w:top w:val="nil"/>
              <w:left w:val="single" w:color="auto" w:sz="4" w:space="0"/>
              <w:bottom w:val="single" w:color="auto" w:sz="4" w:space="0"/>
              <w:right w:val="single" w:color="auto" w:sz="4" w:space="0"/>
            </w:tcBorders>
            <w:shd w:val="clear" w:color="000000" w:fill="FFFFFF"/>
            <w:vAlign w:val="center"/>
          </w:tcPr>
          <w:p w14:paraId="301C5F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管理工作站</w:t>
            </w:r>
          </w:p>
        </w:tc>
        <w:tc>
          <w:tcPr>
            <w:tcW w:w="258" w:type="pct"/>
            <w:tcBorders>
              <w:top w:val="nil"/>
              <w:left w:val="nil"/>
              <w:bottom w:val="single" w:color="auto" w:sz="4" w:space="0"/>
              <w:right w:val="single" w:color="auto" w:sz="4" w:space="0"/>
            </w:tcBorders>
            <w:shd w:val="clear" w:color="auto" w:fill="auto"/>
            <w:noWrap/>
            <w:vAlign w:val="center"/>
          </w:tcPr>
          <w:p w14:paraId="33C591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B1DF3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79DB7E4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1FA449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B0626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BE145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02BEA4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FF3180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2097EA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1AF62C7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74FE5B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3C8F4A7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73E731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73531CD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17FB748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27A8CAB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3CCDE78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r>
      <w:tr w14:paraId="7C8A4D72">
        <w:tblPrEx>
          <w:tblCellMar>
            <w:top w:w="0" w:type="dxa"/>
            <w:left w:w="108" w:type="dxa"/>
            <w:bottom w:w="0" w:type="dxa"/>
            <w:right w:w="108" w:type="dxa"/>
          </w:tblCellMar>
        </w:tblPrEx>
        <w:trPr>
          <w:trHeight w:val="282" w:hRule="atLeast"/>
          <w:jc w:val="center"/>
        </w:trPr>
        <w:tc>
          <w:tcPr>
            <w:tcW w:w="374" w:type="pct"/>
            <w:tcBorders>
              <w:top w:val="nil"/>
              <w:left w:val="single" w:color="auto" w:sz="4" w:space="0"/>
              <w:bottom w:val="single" w:color="auto" w:sz="4" w:space="0"/>
              <w:right w:val="single" w:color="auto" w:sz="4" w:space="0"/>
            </w:tcBorders>
            <w:shd w:val="clear" w:color="auto" w:fill="auto"/>
            <w:vAlign w:val="center"/>
          </w:tcPr>
          <w:p w14:paraId="42C3B3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机柜</w:t>
            </w:r>
          </w:p>
        </w:tc>
        <w:tc>
          <w:tcPr>
            <w:tcW w:w="258" w:type="pct"/>
            <w:tcBorders>
              <w:top w:val="nil"/>
              <w:left w:val="nil"/>
              <w:bottom w:val="single" w:color="auto" w:sz="4" w:space="0"/>
              <w:right w:val="single" w:color="auto" w:sz="4" w:space="0"/>
            </w:tcBorders>
            <w:shd w:val="clear" w:color="auto" w:fill="auto"/>
            <w:noWrap/>
            <w:vAlign w:val="center"/>
          </w:tcPr>
          <w:p w14:paraId="367A32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EC134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F74DED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5229CB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01D8DA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44A63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078AC2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173E0B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2B18B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44E25B1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0DD22E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2A8988A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4A4625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D619A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7342187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6C8CB8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604AA39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r>
      <w:tr w14:paraId="087E69FE">
        <w:tblPrEx>
          <w:tblCellMar>
            <w:top w:w="0" w:type="dxa"/>
            <w:left w:w="108" w:type="dxa"/>
            <w:bottom w:w="0" w:type="dxa"/>
            <w:right w:w="108" w:type="dxa"/>
          </w:tblCellMar>
        </w:tblPrEx>
        <w:trPr>
          <w:trHeight w:val="282" w:hRule="atLeast"/>
          <w:jc w:val="center"/>
        </w:trPr>
        <w:tc>
          <w:tcPr>
            <w:tcW w:w="374" w:type="pct"/>
            <w:tcBorders>
              <w:top w:val="nil"/>
              <w:left w:val="single" w:color="auto" w:sz="4" w:space="0"/>
              <w:bottom w:val="single" w:color="auto" w:sz="4" w:space="0"/>
              <w:right w:val="single" w:color="auto" w:sz="4" w:space="0"/>
            </w:tcBorders>
            <w:shd w:val="clear" w:color="auto" w:fill="auto"/>
            <w:vAlign w:val="center"/>
          </w:tcPr>
          <w:p w14:paraId="7D7DDB0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墙柜</w:t>
            </w:r>
          </w:p>
        </w:tc>
        <w:tc>
          <w:tcPr>
            <w:tcW w:w="258" w:type="pct"/>
            <w:tcBorders>
              <w:top w:val="nil"/>
              <w:left w:val="nil"/>
              <w:bottom w:val="single" w:color="auto" w:sz="4" w:space="0"/>
              <w:right w:val="single" w:color="auto" w:sz="4" w:space="0"/>
            </w:tcBorders>
            <w:shd w:val="clear" w:color="auto" w:fill="auto"/>
            <w:noWrap/>
            <w:vAlign w:val="center"/>
          </w:tcPr>
          <w:p w14:paraId="59F23F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58" w:type="pct"/>
            <w:tcBorders>
              <w:top w:val="nil"/>
              <w:left w:val="nil"/>
              <w:bottom w:val="single" w:color="auto" w:sz="4" w:space="0"/>
              <w:right w:val="single" w:color="auto" w:sz="4" w:space="0"/>
            </w:tcBorders>
            <w:shd w:val="clear" w:color="auto" w:fill="auto"/>
            <w:noWrap/>
            <w:vAlign w:val="center"/>
          </w:tcPr>
          <w:p w14:paraId="25B59F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58" w:type="pct"/>
            <w:tcBorders>
              <w:top w:val="nil"/>
              <w:left w:val="nil"/>
              <w:bottom w:val="single" w:color="auto" w:sz="4" w:space="0"/>
              <w:right w:val="single" w:color="auto" w:sz="4" w:space="0"/>
            </w:tcBorders>
            <w:shd w:val="clear" w:color="auto" w:fill="auto"/>
            <w:noWrap/>
            <w:vAlign w:val="center"/>
          </w:tcPr>
          <w:p w14:paraId="41D453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58" w:type="pct"/>
            <w:tcBorders>
              <w:top w:val="nil"/>
              <w:left w:val="nil"/>
              <w:bottom w:val="single" w:color="auto" w:sz="4" w:space="0"/>
              <w:right w:val="single" w:color="auto" w:sz="4" w:space="0"/>
            </w:tcBorders>
            <w:shd w:val="clear" w:color="auto" w:fill="auto"/>
            <w:noWrap/>
            <w:vAlign w:val="center"/>
          </w:tcPr>
          <w:p w14:paraId="300CAF4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7886118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C257D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08D71B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58" w:type="pct"/>
            <w:tcBorders>
              <w:top w:val="nil"/>
              <w:left w:val="nil"/>
              <w:bottom w:val="single" w:color="auto" w:sz="4" w:space="0"/>
              <w:right w:val="single" w:color="auto" w:sz="4" w:space="0"/>
            </w:tcBorders>
            <w:shd w:val="clear" w:color="auto" w:fill="auto"/>
            <w:noWrap/>
            <w:vAlign w:val="center"/>
          </w:tcPr>
          <w:p w14:paraId="173EC6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58" w:type="pct"/>
            <w:tcBorders>
              <w:top w:val="nil"/>
              <w:left w:val="nil"/>
              <w:bottom w:val="single" w:color="auto" w:sz="4" w:space="0"/>
              <w:right w:val="single" w:color="auto" w:sz="4" w:space="0"/>
            </w:tcBorders>
            <w:shd w:val="clear" w:color="auto" w:fill="auto"/>
            <w:noWrap/>
            <w:vAlign w:val="center"/>
          </w:tcPr>
          <w:p w14:paraId="5142C06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58" w:type="pct"/>
            <w:tcBorders>
              <w:top w:val="nil"/>
              <w:left w:val="nil"/>
              <w:bottom w:val="single" w:color="auto" w:sz="4" w:space="0"/>
              <w:right w:val="single" w:color="auto" w:sz="4" w:space="0"/>
            </w:tcBorders>
            <w:shd w:val="clear" w:color="auto" w:fill="auto"/>
            <w:noWrap/>
            <w:vAlign w:val="center"/>
          </w:tcPr>
          <w:p w14:paraId="65569F6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F0BC8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50" w:type="pct"/>
            <w:tcBorders>
              <w:top w:val="nil"/>
              <w:left w:val="nil"/>
              <w:bottom w:val="single" w:color="auto" w:sz="4" w:space="0"/>
              <w:right w:val="single" w:color="auto" w:sz="4" w:space="0"/>
            </w:tcBorders>
            <w:shd w:val="clear" w:color="auto" w:fill="auto"/>
            <w:noWrap/>
            <w:vAlign w:val="center"/>
          </w:tcPr>
          <w:p w14:paraId="0EFF870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58" w:type="pct"/>
            <w:tcBorders>
              <w:top w:val="nil"/>
              <w:left w:val="nil"/>
              <w:bottom w:val="single" w:color="auto" w:sz="4" w:space="0"/>
              <w:right w:val="single" w:color="auto" w:sz="4" w:space="0"/>
            </w:tcBorders>
            <w:shd w:val="clear" w:color="auto" w:fill="auto"/>
            <w:noWrap/>
            <w:vAlign w:val="center"/>
          </w:tcPr>
          <w:p w14:paraId="773D4D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31AC73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7F53A8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2DA645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25CA20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r>
      <w:tr w14:paraId="6A4F9311">
        <w:tblPrEx>
          <w:tblCellMar>
            <w:top w:w="0" w:type="dxa"/>
            <w:left w:w="108" w:type="dxa"/>
            <w:bottom w:w="0" w:type="dxa"/>
            <w:right w:w="108" w:type="dxa"/>
          </w:tblCellMar>
        </w:tblPrEx>
        <w:trPr>
          <w:trHeight w:val="282" w:hRule="atLeast"/>
          <w:jc w:val="center"/>
        </w:trPr>
        <w:tc>
          <w:tcPr>
            <w:tcW w:w="374" w:type="pct"/>
            <w:tcBorders>
              <w:top w:val="nil"/>
              <w:left w:val="single" w:color="auto" w:sz="4" w:space="0"/>
              <w:bottom w:val="single" w:color="auto" w:sz="4" w:space="0"/>
              <w:right w:val="single" w:color="auto" w:sz="4" w:space="0"/>
            </w:tcBorders>
            <w:shd w:val="clear" w:color="auto" w:fill="auto"/>
            <w:vAlign w:val="center"/>
          </w:tcPr>
          <w:p w14:paraId="2E3F728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屏蔽阻断器</w:t>
            </w:r>
          </w:p>
        </w:tc>
        <w:tc>
          <w:tcPr>
            <w:tcW w:w="258" w:type="pct"/>
            <w:tcBorders>
              <w:top w:val="nil"/>
              <w:left w:val="nil"/>
              <w:bottom w:val="single" w:color="auto" w:sz="4" w:space="0"/>
              <w:right w:val="single" w:color="auto" w:sz="4" w:space="0"/>
            </w:tcBorders>
            <w:shd w:val="clear" w:color="auto" w:fill="auto"/>
            <w:noWrap/>
            <w:vAlign w:val="center"/>
          </w:tcPr>
          <w:p w14:paraId="341F10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258" w:type="pct"/>
            <w:tcBorders>
              <w:top w:val="nil"/>
              <w:left w:val="nil"/>
              <w:bottom w:val="single" w:color="auto" w:sz="4" w:space="0"/>
              <w:right w:val="single" w:color="auto" w:sz="4" w:space="0"/>
            </w:tcBorders>
            <w:shd w:val="clear" w:color="auto" w:fill="auto"/>
            <w:noWrap/>
            <w:vAlign w:val="center"/>
          </w:tcPr>
          <w:p w14:paraId="3832FD0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258" w:type="pct"/>
            <w:tcBorders>
              <w:top w:val="nil"/>
              <w:left w:val="nil"/>
              <w:bottom w:val="single" w:color="auto" w:sz="4" w:space="0"/>
              <w:right w:val="single" w:color="auto" w:sz="4" w:space="0"/>
            </w:tcBorders>
            <w:shd w:val="clear" w:color="auto" w:fill="auto"/>
            <w:noWrap/>
            <w:vAlign w:val="center"/>
          </w:tcPr>
          <w:p w14:paraId="2AA290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258" w:type="pct"/>
            <w:tcBorders>
              <w:top w:val="nil"/>
              <w:left w:val="nil"/>
              <w:bottom w:val="single" w:color="auto" w:sz="4" w:space="0"/>
              <w:right w:val="single" w:color="auto" w:sz="4" w:space="0"/>
            </w:tcBorders>
            <w:shd w:val="clear" w:color="auto" w:fill="auto"/>
            <w:noWrap/>
            <w:vAlign w:val="center"/>
          </w:tcPr>
          <w:p w14:paraId="4EF718B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258" w:type="pct"/>
            <w:tcBorders>
              <w:top w:val="nil"/>
              <w:left w:val="nil"/>
              <w:bottom w:val="single" w:color="auto" w:sz="4" w:space="0"/>
              <w:right w:val="single" w:color="auto" w:sz="4" w:space="0"/>
            </w:tcBorders>
            <w:shd w:val="clear" w:color="auto" w:fill="auto"/>
            <w:noWrap/>
            <w:vAlign w:val="center"/>
          </w:tcPr>
          <w:p w14:paraId="09A4DA2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58" w:type="pct"/>
            <w:tcBorders>
              <w:top w:val="nil"/>
              <w:left w:val="nil"/>
              <w:bottom w:val="single" w:color="auto" w:sz="4" w:space="0"/>
              <w:right w:val="single" w:color="auto" w:sz="4" w:space="0"/>
            </w:tcBorders>
            <w:shd w:val="clear" w:color="auto" w:fill="auto"/>
            <w:noWrap/>
            <w:vAlign w:val="center"/>
          </w:tcPr>
          <w:p w14:paraId="76D9EB1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58" w:type="pct"/>
            <w:tcBorders>
              <w:top w:val="nil"/>
              <w:left w:val="nil"/>
              <w:bottom w:val="single" w:color="auto" w:sz="4" w:space="0"/>
              <w:right w:val="single" w:color="auto" w:sz="4" w:space="0"/>
            </w:tcBorders>
            <w:shd w:val="clear" w:color="auto" w:fill="auto"/>
            <w:noWrap/>
            <w:vAlign w:val="center"/>
          </w:tcPr>
          <w:p w14:paraId="578855B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258" w:type="pct"/>
            <w:tcBorders>
              <w:top w:val="nil"/>
              <w:left w:val="nil"/>
              <w:bottom w:val="single" w:color="auto" w:sz="4" w:space="0"/>
              <w:right w:val="single" w:color="auto" w:sz="4" w:space="0"/>
            </w:tcBorders>
            <w:shd w:val="clear" w:color="auto" w:fill="auto"/>
            <w:noWrap/>
            <w:vAlign w:val="center"/>
          </w:tcPr>
          <w:p w14:paraId="628EA6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258" w:type="pct"/>
            <w:tcBorders>
              <w:top w:val="nil"/>
              <w:left w:val="nil"/>
              <w:bottom w:val="single" w:color="auto" w:sz="4" w:space="0"/>
              <w:right w:val="single" w:color="auto" w:sz="4" w:space="0"/>
            </w:tcBorders>
            <w:shd w:val="clear" w:color="auto" w:fill="auto"/>
            <w:noWrap/>
            <w:vAlign w:val="center"/>
          </w:tcPr>
          <w:p w14:paraId="3D4421A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258" w:type="pct"/>
            <w:tcBorders>
              <w:top w:val="nil"/>
              <w:left w:val="nil"/>
              <w:bottom w:val="single" w:color="auto" w:sz="4" w:space="0"/>
              <w:right w:val="single" w:color="auto" w:sz="4" w:space="0"/>
            </w:tcBorders>
            <w:shd w:val="clear" w:color="auto" w:fill="auto"/>
            <w:noWrap/>
            <w:vAlign w:val="center"/>
          </w:tcPr>
          <w:p w14:paraId="3839F3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58" w:type="pct"/>
            <w:tcBorders>
              <w:top w:val="nil"/>
              <w:left w:val="nil"/>
              <w:bottom w:val="single" w:color="auto" w:sz="4" w:space="0"/>
              <w:right w:val="single" w:color="auto" w:sz="4" w:space="0"/>
            </w:tcBorders>
            <w:shd w:val="clear" w:color="auto" w:fill="auto"/>
            <w:noWrap/>
            <w:vAlign w:val="center"/>
          </w:tcPr>
          <w:p w14:paraId="2AD2E9B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350" w:type="pct"/>
            <w:tcBorders>
              <w:top w:val="nil"/>
              <w:left w:val="nil"/>
              <w:bottom w:val="single" w:color="auto" w:sz="4" w:space="0"/>
              <w:right w:val="single" w:color="auto" w:sz="4" w:space="0"/>
            </w:tcBorders>
            <w:shd w:val="clear" w:color="auto" w:fill="auto"/>
            <w:noWrap/>
            <w:vAlign w:val="center"/>
          </w:tcPr>
          <w:p w14:paraId="7E9EBA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258" w:type="pct"/>
            <w:tcBorders>
              <w:top w:val="nil"/>
              <w:left w:val="nil"/>
              <w:bottom w:val="single" w:color="auto" w:sz="4" w:space="0"/>
              <w:right w:val="single" w:color="auto" w:sz="4" w:space="0"/>
            </w:tcBorders>
            <w:shd w:val="clear" w:color="auto" w:fill="auto"/>
            <w:noWrap/>
            <w:vAlign w:val="center"/>
          </w:tcPr>
          <w:p w14:paraId="756598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58" w:type="pct"/>
            <w:tcBorders>
              <w:top w:val="nil"/>
              <w:left w:val="nil"/>
              <w:bottom w:val="single" w:color="auto" w:sz="4" w:space="0"/>
              <w:right w:val="single" w:color="auto" w:sz="4" w:space="0"/>
            </w:tcBorders>
            <w:shd w:val="clear" w:color="auto" w:fill="auto"/>
            <w:noWrap/>
            <w:vAlign w:val="center"/>
          </w:tcPr>
          <w:p w14:paraId="4A87F35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58" w:type="pct"/>
            <w:tcBorders>
              <w:top w:val="nil"/>
              <w:left w:val="nil"/>
              <w:bottom w:val="single" w:color="auto" w:sz="4" w:space="0"/>
              <w:right w:val="single" w:color="auto" w:sz="4" w:space="0"/>
            </w:tcBorders>
            <w:shd w:val="clear" w:color="auto" w:fill="auto"/>
            <w:noWrap/>
            <w:vAlign w:val="center"/>
          </w:tcPr>
          <w:p w14:paraId="1222CFE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350" w:type="pct"/>
            <w:tcBorders>
              <w:top w:val="nil"/>
              <w:left w:val="nil"/>
              <w:bottom w:val="single" w:color="auto" w:sz="4" w:space="0"/>
              <w:right w:val="single" w:color="auto" w:sz="4" w:space="0"/>
            </w:tcBorders>
            <w:shd w:val="clear" w:color="auto" w:fill="auto"/>
            <w:noWrap/>
            <w:vAlign w:val="center"/>
          </w:tcPr>
          <w:p w14:paraId="77A8586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75D3B02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270</w:t>
            </w:r>
          </w:p>
        </w:tc>
      </w:tr>
      <w:tr w14:paraId="39BA4539">
        <w:tblPrEx>
          <w:tblCellMar>
            <w:top w:w="0" w:type="dxa"/>
            <w:left w:w="108" w:type="dxa"/>
            <w:bottom w:w="0" w:type="dxa"/>
            <w:right w:w="108" w:type="dxa"/>
          </w:tblCellMar>
        </w:tblPrEx>
        <w:trPr>
          <w:trHeight w:val="282" w:hRule="atLeast"/>
          <w:jc w:val="center"/>
        </w:trPr>
        <w:tc>
          <w:tcPr>
            <w:tcW w:w="374" w:type="pct"/>
            <w:tcBorders>
              <w:top w:val="nil"/>
              <w:left w:val="single" w:color="auto" w:sz="4" w:space="0"/>
              <w:bottom w:val="single" w:color="auto" w:sz="4" w:space="0"/>
              <w:right w:val="single" w:color="auto" w:sz="4" w:space="0"/>
            </w:tcBorders>
            <w:shd w:val="clear" w:color="auto" w:fill="auto"/>
            <w:vAlign w:val="center"/>
          </w:tcPr>
          <w:p w14:paraId="25621F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屏蔽管理平台</w:t>
            </w:r>
          </w:p>
        </w:tc>
        <w:tc>
          <w:tcPr>
            <w:tcW w:w="258" w:type="pct"/>
            <w:tcBorders>
              <w:top w:val="nil"/>
              <w:left w:val="nil"/>
              <w:bottom w:val="single" w:color="auto" w:sz="4" w:space="0"/>
              <w:right w:val="single" w:color="auto" w:sz="4" w:space="0"/>
            </w:tcBorders>
            <w:shd w:val="clear" w:color="auto" w:fill="auto"/>
            <w:noWrap/>
            <w:vAlign w:val="center"/>
          </w:tcPr>
          <w:p w14:paraId="33A20B0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7E2F0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746662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B5BE0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75AC01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A56E9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158E31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14A02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722BD2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66B84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4E3905A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0AF49E4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6D1C7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CE74A5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805486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53B634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281CFB8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r>
      <w:tr w14:paraId="7635AA77">
        <w:tblPrEx>
          <w:tblCellMar>
            <w:top w:w="0" w:type="dxa"/>
            <w:left w:w="108" w:type="dxa"/>
            <w:bottom w:w="0" w:type="dxa"/>
            <w:right w:w="108" w:type="dxa"/>
          </w:tblCellMar>
        </w:tblPrEx>
        <w:trPr>
          <w:trHeight w:val="282" w:hRule="atLeast"/>
          <w:jc w:val="center"/>
        </w:trPr>
        <w:tc>
          <w:tcPr>
            <w:tcW w:w="374" w:type="pct"/>
            <w:tcBorders>
              <w:top w:val="nil"/>
              <w:left w:val="single" w:color="auto" w:sz="4" w:space="0"/>
              <w:bottom w:val="single" w:color="auto" w:sz="4" w:space="0"/>
              <w:right w:val="single" w:color="auto" w:sz="4" w:space="0"/>
            </w:tcBorders>
            <w:shd w:val="clear" w:color="auto" w:fill="auto"/>
            <w:vAlign w:val="center"/>
          </w:tcPr>
          <w:p w14:paraId="7EF4957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核心交换机</w:t>
            </w:r>
          </w:p>
        </w:tc>
        <w:tc>
          <w:tcPr>
            <w:tcW w:w="258" w:type="pct"/>
            <w:tcBorders>
              <w:top w:val="nil"/>
              <w:left w:val="nil"/>
              <w:bottom w:val="single" w:color="auto" w:sz="4" w:space="0"/>
              <w:right w:val="single" w:color="auto" w:sz="4" w:space="0"/>
            </w:tcBorders>
            <w:shd w:val="clear" w:color="auto" w:fill="auto"/>
            <w:noWrap/>
            <w:vAlign w:val="center"/>
          </w:tcPr>
          <w:p w14:paraId="09841D9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45F77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4CFB7B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83C24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89BF8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148FC0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76654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0DFF2B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1C6ED4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668E8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4FB6D3B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459E834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1E178F0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E9993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0ADDB8D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70A0B30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30036E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r>
      <w:tr w14:paraId="75A5E3FD">
        <w:tblPrEx>
          <w:tblCellMar>
            <w:top w:w="0" w:type="dxa"/>
            <w:left w:w="108" w:type="dxa"/>
            <w:bottom w:w="0" w:type="dxa"/>
            <w:right w:w="108" w:type="dxa"/>
          </w:tblCellMar>
        </w:tblPrEx>
        <w:trPr>
          <w:trHeight w:val="516" w:hRule="atLeast"/>
          <w:jc w:val="center"/>
        </w:trPr>
        <w:tc>
          <w:tcPr>
            <w:tcW w:w="374" w:type="pct"/>
            <w:tcBorders>
              <w:top w:val="nil"/>
              <w:left w:val="single" w:color="auto" w:sz="4" w:space="0"/>
              <w:bottom w:val="single" w:color="auto" w:sz="4" w:space="0"/>
              <w:right w:val="single" w:color="auto" w:sz="4" w:space="0"/>
            </w:tcBorders>
            <w:shd w:val="clear" w:color="auto" w:fill="auto"/>
            <w:vAlign w:val="center"/>
          </w:tcPr>
          <w:p w14:paraId="469B54E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千兆楼道交换机(24口)</w:t>
            </w:r>
          </w:p>
        </w:tc>
        <w:tc>
          <w:tcPr>
            <w:tcW w:w="258" w:type="pct"/>
            <w:tcBorders>
              <w:top w:val="nil"/>
              <w:left w:val="nil"/>
              <w:bottom w:val="single" w:color="auto" w:sz="4" w:space="0"/>
              <w:right w:val="single" w:color="auto" w:sz="4" w:space="0"/>
            </w:tcBorders>
            <w:shd w:val="clear" w:color="auto" w:fill="auto"/>
            <w:noWrap/>
            <w:vAlign w:val="center"/>
          </w:tcPr>
          <w:p w14:paraId="5C34C2A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58" w:type="pct"/>
            <w:tcBorders>
              <w:top w:val="nil"/>
              <w:left w:val="nil"/>
              <w:bottom w:val="single" w:color="auto" w:sz="4" w:space="0"/>
              <w:right w:val="single" w:color="auto" w:sz="4" w:space="0"/>
            </w:tcBorders>
            <w:shd w:val="clear" w:color="auto" w:fill="auto"/>
            <w:noWrap/>
            <w:vAlign w:val="center"/>
          </w:tcPr>
          <w:p w14:paraId="766F8A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58" w:type="pct"/>
            <w:tcBorders>
              <w:top w:val="nil"/>
              <w:left w:val="nil"/>
              <w:bottom w:val="single" w:color="auto" w:sz="4" w:space="0"/>
              <w:right w:val="single" w:color="auto" w:sz="4" w:space="0"/>
            </w:tcBorders>
            <w:shd w:val="clear" w:color="auto" w:fill="auto"/>
            <w:noWrap/>
            <w:vAlign w:val="center"/>
          </w:tcPr>
          <w:p w14:paraId="5E84540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58" w:type="pct"/>
            <w:tcBorders>
              <w:top w:val="nil"/>
              <w:left w:val="nil"/>
              <w:bottom w:val="single" w:color="auto" w:sz="4" w:space="0"/>
              <w:right w:val="single" w:color="auto" w:sz="4" w:space="0"/>
            </w:tcBorders>
            <w:shd w:val="clear" w:color="auto" w:fill="auto"/>
            <w:noWrap/>
            <w:vAlign w:val="center"/>
          </w:tcPr>
          <w:p w14:paraId="4478CA4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58" w:type="pct"/>
            <w:tcBorders>
              <w:top w:val="nil"/>
              <w:left w:val="nil"/>
              <w:bottom w:val="single" w:color="auto" w:sz="4" w:space="0"/>
              <w:right w:val="single" w:color="auto" w:sz="4" w:space="0"/>
            </w:tcBorders>
            <w:shd w:val="clear" w:color="auto" w:fill="auto"/>
            <w:noWrap/>
            <w:vAlign w:val="center"/>
          </w:tcPr>
          <w:p w14:paraId="59189EB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59749C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203E06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58" w:type="pct"/>
            <w:tcBorders>
              <w:top w:val="nil"/>
              <w:left w:val="nil"/>
              <w:bottom w:val="single" w:color="auto" w:sz="4" w:space="0"/>
              <w:right w:val="single" w:color="auto" w:sz="4" w:space="0"/>
            </w:tcBorders>
            <w:shd w:val="clear" w:color="auto" w:fill="auto"/>
            <w:noWrap/>
            <w:vAlign w:val="center"/>
          </w:tcPr>
          <w:p w14:paraId="09D2A2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58" w:type="pct"/>
            <w:tcBorders>
              <w:top w:val="nil"/>
              <w:left w:val="nil"/>
              <w:bottom w:val="single" w:color="auto" w:sz="4" w:space="0"/>
              <w:right w:val="single" w:color="auto" w:sz="4" w:space="0"/>
            </w:tcBorders>
            <w:shd w:val="clear" w:color="auto" w:fill="auto"/>
            <w:noWrap/>
            <w:vAlign w:val="center"/>
          </w:tcPr>
          <w:p w14:paraId="11714F1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58" w:type="pct"/>
            <w:tcBorders>
              <w:top w:val="nil"/>
              <w:left w:val="nil"/>
              <w:bottom w:val="single" w:color="auto" w:sz="4" w:space="0"/>
              <w:right w:val="single" w:color="auto" w:sz="4" w:space="0"/>
            </w:tcBorders>
            <w:shd w:val="clear" w:color="auto" w:fill="auto"/>
            <w:noWrap/>
            <w:vAlign w:val="center"/>
          </w:tcPr>
          <w:p w14:paraId="113059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9E6A9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50" w:type="pct"/>
            <w:tcBorders>
              <w:top w:val="nil"/>
              <w:left w:val="nil"/>
              <w:bottom w:val="single" w:color="auto" w:sz="4" w:space="0"/>
              <w:right w:val="single" w:color="auto" w:sz="4" w:space="0"/>
            </w:tcBorders>
            <w:shd w:val="clear" w:color="auto" w:fill="auto"/>
            <w:noWrap/>
            <w:vAlign w:val="center"/>
          </w:tcPr>
          <w:p w14:paraId="186C8E5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58" w:type="pct"/>
            <w:tcBorders>
              <w:top w:val="nil"/>
              <w:left w:val="nil"/>
              <w:bottom w:val="single" w:color="auto" w:sz="4" w:space="0"/>
              <w:right w:val="single" w:color="auto" w:sz="4" w:space="0"/>
            </w:tcBorders>
            <w:shd w:val="clear" w:color="auto" w:fill="auto"/>
            <w:noWrap/>
            <w:vAlign w:val="center"/>
          </w:tcPr>
          <w:p w14:paraId="1FA206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083F7F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0FE8152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50" w:type="pct"/>
            <w:tcBorders>
              <w:top w:val="nil"/>
              <w:left w:val="nil"/>
              <w:bottom w:val="single" w:color="auto" w:sz="4" w:space="0"/>
              <w:right w:val="single" w:color="auto" w:sz="4" w:space="0"/>
            </w:tcBorders>
            <w:shd w:val="clear" w:color="auto" w:fill="auto"/>
            <w:noWrap/>
            <w:vAlign w:val="center"/>
          </w:tcPr>
          <w:p w14:paraId="5883C6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1ADA223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r>
      <w:tr w14:paraId="0D6178B8">
        <w:tblPrEx>
          <w:tblCellMar>
            <w:top w:w="0" w:type="dxa"/>
            <w:left w:w="108" w:type="dxa"/>
            <w:bottom w:w="0" w:type="dxa"/>
            <w:right w:w="108" w:type="dxa"/>
          </w:tblCellMar>
        </w:tblPrEx>
        <w:trPr>
          <w:trHeight w:val="282" w:hRule="atLeast"/>
          <w:jc w:val="center"/>
        </w:trPr>
        <w:tc>
          <w:tcPr>
            <w:tcW w:w="374" w:type="pct"/>
            <w:tcBorders>
              <w:top w:val="nil"/>
              <w:left w:val="single" w:color="auto" w:sz="4" w:space="0"/>
              <w:bottom w:val="single" w:color="auto" w:sz="4" w:space="0"/>
              <w:right w:val="single" w:color="auto" w:sz="4" w:space="0"/>
            </w:tcBorders>
            <w:shd w:val="clear" w:color="auto" w:fill="auto"/>
            <w:vAlign w:val="center"/>
          </w:tcPr>
          <w:p w14:paraId="3522AB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千兆光模块</w:t>
            </w:r>
          </w:p>
        </w:tc>
        <w:tc>
          <w:tcPr>
            <w:tcW w:w="258" w:type="pct"/>
            <w:tcBorders>
              <w:top w:val="nil"/>
              <w:left w:val="nil"/>
              <w:bottom w:val="single" w:color="auto" w:sz="4" w:space="0"/>
              <w:right w:val="single" w:color="auto" w:sz="4" w:space="0"/>
            </w:tcBorders>
            <w:shd w:val="clear" w:color="auto" w:fill="auto"/>
            <w:noWrap/>
            <w:vAlign w:val="center"/>
          </w:tcPr>
          <w:p w14:paraId="00D870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58" w:type="pct"/>
            <w:tcBorders>
              <w:top w:val="nil"/>
              <w:left w:val="nil"/>
              <w:bottom w:val="single" w:color="auto" w:sz="4" w:space="0"/>
              <w:right w:val="single" w:color="auto" w:sz="4" w:space="0"/>
            </w:tcBorders>
            <w:shd w:val="clear" w:color="auto" w:fill="auto"/>
            <w:noWrap/>
            <w:vAlign w:val="center"/>
          </w:tcPr>
          <w:p w14:paraId="012116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58" w:type="pct"/>
            <w:tcBorders>
              <w:top w:val="nil"/>
              <w:left w:val="nil"/>
              <w:bottom w:val="single" w:color="auto" w:sz="4" w:space="0"/>
              <w:right w:val="single" w:color="auto" w:sz="4" w:space="0"/>
            </w:tcBorders>
            <w:shd w:val="clear" w:color="auto" w:fill="auto"/>
            <w:noWrap/>
            <w:vAlign w:val="center"/>
          </w:tcPr>
          <w:p w14:paraId="22B53A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58" w:type="pct"/>
            <w:tcBorders>
              <w:top w:val="nil"/>
              <w:left w:val="nil"/>
              <w:bottom w:val="single" w:color="auto" w:sz="4" w:space="0"/>
              <w:right w:val="single" w:color="auto" w:sz="4" w:space="0"/>
            </w:tcBorders>
            <w:shd w:val="clear" w:color="auto" w:fill="auto"/>
            <w:noWrap/>
            <w:vAlign w:val="center"/>
          </w:tcPr>
          <w:p w14:paraId="6281863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58" w:type="pct"/>
            <w:tcBorders>
              <w:top w:val="nil"/>
              <w:left w:val="nil"/>
              <w:bottom w:val="single" w:color="auto" w:sz="4" w:space="0"/>
              <w:right w:val="single" w:color="auto" w:sz="4" w:space="0"/>
            </w:tcBorders>
            <w:shd w:val="clear" w:color="auto" w:fill="auto"/>
            <w:noWrap/>
            <w:vAlign w:val="center"/>
          </w:tcPr>
          <w:p w14:paraId="3AC106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58" w:type="pct"/>
            <w:tcBorders>
              <w:top w:val="nil"/>
              <w:left w:val="nil"/>
              <w:bottom w:val="single" w:color="auto" w:sz="4" w:space="0"/>
              <w:right w:val="single" w:color="auto" w:sz="4" w:space="0"/>
            </w:tcBorders>
            <w:shd w:val="clear" w:color="auto" w:fill="auto"/>
            <w:noWrap/>
            <w:vAlign w:val="center"/>
          </w:tcPr>
          <w:p w14:paraId="06E8346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58" w:type="pct"/>
            <w:tcBorders>
              <w:top w:val="nil"/>
              <w:left w:val="nil"/>
              <w:bottom w:val="single" w:color="auto" w:sz="4" w:space="0"/>
              <w:right w:val="single" w:color="auto" w:sz="4" w:space="0"/>
            </w:tcBorders>
            <w:shd w:val="clear" w:color="auto" w:fill="auto"/>
            <w:noWrap/>
            <w:vAlign w:val="center"/>
          </w:tcPr>
          <w:p w14:paraId="52F2936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58" w:type="pct"/>
            <w:tcBorders>
              <w:top w:val="nil"/>
              <w:left w:val="nil"/>
              <w:bottom w:val="single" w:color="auto" w:sz="4" w:space="0"/>
              <w:right w:val="single" w:color="auto" w:sz="4" w:space="0"/>
            </w:tcBorders>
            <w:shd w:val="clear" w:color="auto" w:fill="auto"/>
            <w:noWrap/>
            <w:vAlign w:val="center"/>
          </w:tcPr>
          <w:p w14:paraId="270686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58" w:type="pct"/>
            <w:tcBorders>
              <w:top w:val="nil"/>
              <w:left w:val="nil"/>
              <w:bottom w:val="single" w:color="auto" w:sz="4" w:space="0"/>
              <w:right w:val="single" w:color="auto" w:sz="4" w:space="0"/>
            </w:tcBorders>
            <w:shd w:val="clear" w:color="auto" w:fill="auto"/>
            <w:noWrap/>
            <w:vAlign w:val="center"/>
          </w:tcPr>
          <w:p w14:paraId="1BC7BB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58" w:type="pct"/>
            <w:tcBorders>
              <w:top w:val="nil"/>
              <w:left w:val="nil"/>
              <w:bottom w:val="single" w:color="auto" w:sz="4" w:space="0"/>
              <w:right w:val="single" w:color="auto" w:sz="4" w:space="0"/>
            </w:tcBorders>
            <w:shd w:val="clear" w:color="auto" w:fill="auto"/>
            <w:noWrap/>
            <w:vAlign w:val="center"/>
          </w:tcPr>
          <w:p w14:paraId="527F8C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4B1104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350" w:type="pct"/>
            <w:tcBorders>
              <w:top w:val="nil"/>
              <w:left w:val="nil"/>
              <w:bottom w:val="single" w:color="auto" w:sz="4" w:space="0"/>
              <w:right w:val="single" w:color="auto" w:sz="4" w:space="0"/>
            </w:tcBorders>
            <w:shd w:val="clear" w:color="auto" w:fill="auto"/>
            <w:noWrap/>
            <w:vAlign w:val="center"/>
          </w:tcPr>
          <w:p w14:paraId="5DF3CE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58" w:type="pct"/>
            <w:tcBorders>
              <w:top w:val="nil"/>
              <w:left w:val="nil"/>
              <w:bottom w:val="single" w:color="auto" w:sz="4" w:space="0"/>
              <w:right w:val="single" w:color="auto" w:sz="4" w:space="0"/>
            </w:tcBorders>
            <w:shd w:val="clear" w:color="auto" w:fill="auto"/>
            <w:noWrap/>
            <w:vAlign w:val="center"/>
          </w:tcPr>
          <w:p w14:paraId="7AAF91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04D456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58" w:type="pct"/>
            <w:tcBorders>
              <w:top w:val="nil"/>
              <w:left w:val="nil"/>
              <w:bottom w:val="single" w:color="auto" w:sz="4" w:space="0"/>
              <w:right w:val="single" w:color="auto" w:sz="4" w:space="0"/>
            </w:tcBorders>
            <w:shd w:val="clear" w:color="auto" w:fill="auto"/>
            <w:noWrap/>
            <w:vAlign w:val="center"/>
          </w:tcPr>
          <w:p w14:paraId="7ACD72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350" w:type="pct"/>
            <w:tcBorders>
              <w:top w:val="nil"/>
              <w:left w:val="nil"/>
              <w:bottom w:val="single" w:color="auto" w:sz="4" w:space="0"/>
              <w:right w:val="single" w:color="auto" w:sz="4" w:space="0"/>
            </w:tcBorders>
            <w:shd w:val="clear" w:color="auto" w:fill="auto"/>
            <w:noWrap/>
            <w:vAlign w:val="center"/>
          </w:tcPr>
          <w:p w14:paraId="7C6F8DB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2ACF3E4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86</w:t>
            </w:r>
          </w:p>
        </w:tc>
      </w:tr>
      <w:tr w14:paraId="67C59937">
        <w:tblPrEx>
          <w:tblCellMar>
            <w:top w:w="0" w:type="dxa"/>
            <w:left w:w="108" w:type="dxa"/>
            <w:bottom w:w="0" w:type="dxa"/>
            <w:right w:w="108" w:type="dxa"/>
          </w:tblCellMar>
        </w:tblPrEx>
        <w:trPr>
          <w:trHeight w:val="516" w:hRule="atLeast"/>
          <w:jc w:val="center"/>
        </w:trPr>
        <w:tc>
          <w:tcPr>
            <w:tcW w:w="374" w:type="pct"/>
            <w:tcBorders>
              <w:top w:val="nil"/>
              <w:left w:val="single" w:color="auto" w:sz="4" w:space="0"/>
              <w:bottom w:val="single" w:color="auto" w:sz="4" w:space="0"/>
              <w:right w:val="single" w:color="auto" w:sz="4" w:space="0"/>
            </w:tcBorders>
            <w:shd w:val="clear" w:color="auto" w:fill="auto"/>
            <w:vAlign w:val="center"/>
          </w:tcPr>
          <w:p w14:paraId="409808C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光纤熔接配套设备</w:t>
            </w:r>
          </w:p>
        </w:tc>
        <w:tc>
          <w:tcPr>
            <w:tcW w:w="258" w:type="pct"/>
            <w:tcBorders>
              <w:top w:val="nil"/>
              <w:left w:val="nil"/>
              <w:bottom w:val="single" w:color="auto" w:sz="4" w:space="0"/>
              <w:right w:val="single" w:color="auto" w:sz="4" w:space="0"/>
            </w:tcBorders>
            <w:shd w:val="clear" w:color="auto" w:fill="auto"/>
            <w:noWrap/>
            <w:vAlign w:val="center"/>
          </w:tcPr>
          <w:p w14:paraId="636EDCA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A0434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504C6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43D15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A9797B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74A957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F61646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C03207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483BF3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7CB2C1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52A7C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04A3D8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0F62CE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59FBF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198064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3336FE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1FA19A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r>
      <w:tr w14:paraId="323D96E7">
        <w:tblPrEx>
          <w:tblCellMar>
            <w:top w:w="0" w:type="dxa"/>
            <w:left w:w="108" w:type="dxa"/>
            <w:bottom w:w="0" w:type="dxa"/>
            <w:right w:w="108" w:type="dxa"/>
          </w:tblCellMar>
        </w:tblPrEx>
        <w:trPr>
          <w:trHeight w:val="282" w:hRule="atLeast"/>
          <w:jc w:val="center"/>
        </w:trPr>
        <w:tc>
          <w:tcPr>
            <w:tcW w:w="374" w:type="pct"/>
            <w:tcBorders>
              <w:top w:val="nil"/>
              <w:left w:val="single" w:color="auto" w:sz="4" w:space="0"/>
              <w:bottom w:val="single" w:color="auto" w:sz="4" w:space="0"/>
              <w:right w:val="single" w:color="auto" w:sz="4" w:space="0"/>
            </w:tcBorders>
            <w:shd w:val="clear" w:color="auto" w:fill="auto"/>
            <w:vAlign w:val="center"/>
          </w:tcPr>
          <w:p w14:paraId="2A444A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配电箱</w:t>
            </w:r>
          </w:p>
        </w:tc>
        <w:tc>
          <w:tcPr>
            <w:tcW w:w="258" w:type="pct"/>
            <w:tcBorders>
              <w:top w:val="nil"/>
              <w:left w:val="nil"/>
              <w:bottom w:val="single" w:color="auto" w:sz="4" w:space="0"/>
              <w:right w:val="single" w:color="auto" w:sz="4" w:space="0"/>
            </w:tcBorders>
            <w:shd w:val="clear" w:color="auto" w:fill="auto"/>
            <w:noWrap/>
            <w:vAlign w:val="center"/>
          </w:tcPr>
          <w:p w14:paraId="2A817A1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EE9C5E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15CB5B6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70E6CAE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CF791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0A224E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4F332A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73211E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E6D10B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CE594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17A830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2E7C2F0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75011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4D4B90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0A7AFD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3C8487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4AB3C2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r>
      <w:tr w14:paraId="66709B8F">
        <w:tblPrEx>
          <w:tblCellMar>
            <w:top w:w="0" w:type="dxa"/>
            <w:left w:w="108" w:type="dxa"/>
            <w:bottom w:w="0" w:type="dxa"/>
            <w:right w:w="108" w:type="dxa"/>
          </w:tblCellMar>
        </w:tblPrEx>
        <w:trPr>
          <w:trHeight w:val="282" w:hRule="atLeast"/>
          <w:jc w:val="center"/>
        </w:trPr>
        <w:tc>
          <w:tcPr>
            <w:tcW w:w="374" w:type="pct"/>
            <w:tcBorders>
              <w:top w:val="nil"/>
              <w:left w:val="single" w:color="auto" w:sz="4" w:space="0"/>
              <w:bottom w:val="single" w:color="auto" w:sz="4" w:space="0"/>
              <w:right w:val="single" w:color="auto" w:sz="4" w:space="0"/>
            </w:tcBorders>
            <w:shd w:val="clear" w:color="000000" w:fill="FFFFFF"/>
            <w:vAlign w:val="center"/>
          </w:tcPr>
          <w:p w14:paraId="020EB1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能源站</w:t>
            </w:r>
          </w:p>
        </w:tc>
        <w:tc>
          <w:tcPr>
            <w:tcW w:w="258" w:type="pct"/>
            <w:tcBorders>
              <w:top w:val="nil"/>
              <w:left w:val="nil"/>
              <w:bottom w:val="single" w:color="auto" w:sz="4" w:space="0"/>
              <w:right w:val="single" w:color="auto" w:sz="4" w:space="0"/>
            </w:tcBorders>
            <w:shd w:val="clear" w:color="auto" w:fill="auto"/>
            <w:noWrap/>
            <w:vAlign w:val="center"/>
          </w:tcPr>
          <w:p w14:paraId="79256D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497F9E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11188D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B6905A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777602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4C372B1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2BC89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15E23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0545477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436DAD3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087C6A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43EDAF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72911D5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4637BE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CDB23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7B57DB4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383E511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r>
      <w:tr w14:paraId="59CE63A2">
        <w:tblPrEx>
          <w:tblCellMar>
            <w:top w:w="0" w:type="dxa"/>
            <w:left w:w="108" w:type="dxa"/>
            <w:bottom w:w="0" w:type="dxa"/>
            <w:right w:w="108" w:type="dxa"/>
          </w:tblCellMar>
        </w:tblPrEx>
        <w:trPr>
          <w:trHeight w:val="282" w:hRule="atLeast"/>
          <w:jc w:val="center"/>
        </w:trPr>
        <w:tc>
          <w:tcPr>
            <w:tcW w:w="374" w:type="pct"/>
            <w:tcBorders>
              <w:top w:val="nil"/>
              <w:left w:val="single" w:color="auto" w:sz="4" w:space="0"/>
              <w:bottom w:val="single" w:color="auto" w:sz="4" w:space="0"/>
              <w:right w:val="single" w:color="auto" w:sz="4" w:space="0"/>
            </w:tcBorders>
            <w:shd w:val="clear" w:color="auto" w:fill="auto"/>
            <w:vAlign w:val="center"/>
          </w:tcPr>
          <w:p w14:paraId="7A9FBD2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光纤</w:t>
            </w:r>
          </w:p>
        </w:tc>
        <w:tc>
          <w:tcPr>
            <w:tcW w:w="258" w:type="pct"/>
            <w:tcBorders>
              <w:top w:val="nil"/>
              <w:left w:val="nil"/>
              <w:bottom w:val="single" w:color="auto" w:sz="4" w:space="0"/>
              <w:right w:val="single" w:color="auto" w:sz="4" w:space="0"/>
            </w:tcBorders>
            <w:shd w:val="clear" w:color="auto" w:fill="auto"/>
            <w:noWrap/>
            <w:vAlign w:val="center"/>
          </w:tcPr>
          <w:p w14:paraId="145C6A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900</w:t>
            </w:r>
          </w:p>
        </w:tc>
        <w:tc>
          <w:tcPr>
            <w:tcW w:w="258" w:type="pct"/>
            <w:tcBorders>
              <w:top w:val="nil"/>
              <w:left w:val="nil"/>
              <w:bottom w:val="single" w:color="auto" w:sz="4" w:space="0"/>
              <w:right w:val="single" w:color="auto" w:sz="4" w:space="0"/>
            </w:tcBorders>
            <w:shd w:val="clear" w:color="auto" w:fill="auto"/>
            <w:noWrap/>
            <w:vAlign w:val="center"/>
          </w:tcPr>
          <w:p w14:paraId="3FF9A6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600</w:t>
            </w:r>
          </w:p>
        </w:tc>
        <w:tc>
          <w:tcPr>
            <w:tcW w:w="258" w:type="pct"/>
            <w:tcBorders>
              <w:top w:val="nil"/>
              <w:left w:val="nil"/>
              <w:bottom w:val="single" w:color="auto" w:sz="4" w:space="0"/>
              <w:right w:val="single" w:color="auto" w:sz="4" w:space="0"/>
            </w:tcBorders>
            <w:shd w:val="clear" w:color="auto" w:fill="auto"/>
            <w:noWrap/>
            <w:vAlign w:val="center"/>
          </w:tcPr>
          <w:p w14:paraId="07BD346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900</w:t>
            </w:r>
          </w:p>
        </w:tc>
        <w:tc>
          <w:tcPr>
            <w:tcW w:w="258" w:type="pct"/>
            <w:tcBorders>
              <w:top w:val="nil"/>
              <w:left w:val="nil"/>
              <w:bottom w:val="single" w:color="auto" w:sz="4" w:space="0"/>
              <w:right w:val="single" w:color="auto" w:sz="4" w:space="0"/>
            </w:tcBorders>
            <w:shd w:val="clear" w:color="auto" w:fill="auto"/>
            <w:noWrap/>
            <w:vAlign w:val="center"/>
          </w:tcPr>
          <w:p w14:paraId="23B928F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258" w:type="pct"/>
            <w:tcBorders>
              <w:top w:val="nil"/>
              <w:left w:val="nil"/>
              <w:bottom w:val="single" w:color="auto" w:sz="4" w:space="0"/>
              <w:right w:val="single" w:color="auto" w:sz="4" w:space="0"/>
            </w:tcBorders>
            <w:shd w:val="clear" w:color="auto" w:fill="auto"/>
            <w:noWrap/>
            <w:vAlign w:val="center"/>
          </w:tcPr>
          <w:p w14:paraId="4C13C96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258" w:type="pct"/>
            <w:tcBorders>
              <w:top w:val="nil"/>
              <w:left w:val="nil"/>
              <w:bottom w:val="single" w:color="auto" w:sz="4" w:space="0"/>
              <w:right w:val="single" w:color="auto" w:sz="4" w:space="0"/>
            </w:tcBorders>
            <w:shd w:val="clear" w:color="auto" w:fill="auto"/>
            <w:noWrap/>
            <w:vAlign w:val="center"/>
          </w:tcPr>
          <w:p w14:paraId="307B3A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900</w:t>
            </w:r>
          </w:p>
        </w:tc>
        <w:tc>
          <w:tcPr>
            <w:tcW w:w="258" w:type="pct"/>
            <w:tcBorders>
              <w:top w:val="nil"/>
              <w:left w:val="nil"/>
              <w:bottom w:val="single" w:color="auto" w:sz="4" w:space="0"/>
              <w:right w:val="single" w:color="auto" w:sz="4" w:space="0"/>
            </w:tcBorders>
            <w:shd w:val="clear" w:color="auto" w:fill="auto"/>
            <w:noWrap/>
            <w:vAlign w:val="center"/>
          </w:tcPr>
          <w:p w14:paraId="55730E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600</w:t>
            </w:r>
          </w:p>
        </w:tc>
        <w:tc>
          <w:tcPr>
            <w:tcW w:w="258" w:type="pct"/>
            <w:tcBorders>
              <w:top w:val="nil"/>
              <w:left w:val="nil"/>
              <w:bottom w:val="single" w:color="auto" w:sz="4" w:space="0"/>
              <w:right w:val="single" w:color="auto" w:sz="4" w:space="0"/>
            </w:tcBorders>
            <w:shd w:val="clear" w:color="auto" w:fill="auto"/>
            <w:noWrap/>
            <w:vAlign w:val="center"/>
          </w:tcPr>
          <w:p w14:paraId="7CD74F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600</w:t>
            </w:r>
          </w:p>
        </w:tc>
        <w:tc>
          <w:tcPr>
            <w:tcW w:w="258" w:type="pct"/>
            <w:tcBorders>
              <w:top w:val="nil"/>
              <w:left w:val="nil"/>
              <w:bottom w:val="single" w:color="auto" w:sz="4" w:space="0"/>
              <w:right w:val="single" w:color="auto" w:sz="4" w:space="0"/>
            </w:tcBorders>
            <w:shd w:val="clear" w:color="auto" w:fill="auto"/>
            <w:noWrap/>
            <w:vAlign w:val="center"/>
          </w:tcPr>
          <w:p w14:paraId="544EF6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258" w:type="pct"/>
            <w:tcBorders>
              <w:top w:val="nil"/>
              <w:left w:val="nil"/>
              <w:bottom w:val="single" w:color="auto" w:sz="4" w:space="0"/>
              <w:right w:val="single" w:color="auto" w:sz="4" w:space="0"/>
            </w:tcBorders>
            <w:shd w:val="clear" w:color="auto" w:fill="auto"/>
            <w:noWrap/>
            <w:vAlign w:val="center"/>
          </w:tcPr>
          <w:p w14:paraId="73605B6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258" w:type="pct"/>
            <w:tcBorders>
              <w:top w:val="nil"/>
              <w:left w:val="nil"/>
              <w:bottom w:val="single" w:color="auto" w:sz="4" w:space="0"/>
              <w:right w:val="single" w:color="auto" w:sz="4" w:space="0"/>
            </w:tcBorders>
            <w:shd w:val="clear" w:color="auto" w:fill="auto"/>
            <w:noWrap/>
            <w:vAlign w:val="center"/>
          </w:tcPr>
          <w:p w14:paraId="4BFC83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350" w:type="pct"/>
            <w:tcBorders>
              <w:top w:val="nil"/>
              <w:left w:val="nil"/>
              <w:bottom w:val="single" w:color="auto" w:sz="4" w:space="0"/>
              <w:right w:val="single" w:color="auto" w:sz="4" w:space="0"/>
            </w:tcBorders>
            <w:shd w:val="clear" w:color="auto" w:fill="auto"/>
            <w:noWrap/>
            <w:vAlign w:val="center"/>
          </w:tcPr>
          <w:p w14:paraId="6E82918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258" w:type="pct"/>
            <w:tcBorders>
              <w:top w:val="nil"/>
              <w:left w:val="nil"/>
              <w:bottom w:val="single" w:color="auto" w:sz="4" w:space="0"/>
              <w:right w:val="single" w:color="auto" w:sz="4" w:space="0"/>
            </w:tcBorders>
            <w:shd w:val="clear" w:color="auto" w:fill="auto"/>
            <w:noWrap/>
            <w:vAlign w:val="center"/>
          </w:tcPr>
          <w:p w14:paraId="4703B5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258" w:type="pct"/>
            <w:tcBorders>
              <w:top w:val="nil"/>
              <w:left w:val="nil"/>
              <w:bottom w:val="single" w:color="auto" w:sz="4" w:space="0"/>
              <w:right w:val="single" w:color="auto" w:sz="4" w:space="0"/>
            </w:tcBorders>
            <w:shd w:val="clear" w:color="auto" w:fill="auto"/>
            <w:noWrap/>
            <w:vAlign w:val="center"/>
          </w:tcPr>
          <w:p w14:paraId="684506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258" w:type="pct"/>
            <w:tcBorders>
              <w:top w:val="nil"/>
              <w:left w:val="nil"/>
              <w:bottom w:val="single" w:color="auto" w:sz="4" w:space="0"/>
              <w:right w:val="single" w:color="auto" w:sz="4" w:space="0"/>
            </w:tcBorders>
            <w:shd w:val="clear" w:color="auto" w:fill="auto"/>
            <w:noWrap/>
            <w:vAlign w:val="center"/>
          </w:tcPr>
          <w:p w14:paraId="2BAE9F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250</w:t>
            </w:r>
          </w:p>
        </w:tc>
        <w:tc>
          <w:tcPr>
            <w:tcW w:w="350" w:type="pct"/>
            <w:tcBorders>
              <w:top w:val="nil"/>
              <w:left w:val="nil"/>
              <w:bottom w:val="single" w:color="auto" w:sz="4" w:space="0"/>
              <w:right w:val="single" w:color="auto" w:sz="4" w:space="0"/>
            </w:tcBorders>
            <w:shd w:val="clear" w:color="auto" w:fill="auto"/>
            <w:noWrap/>
            <w:vAlign w:val="center"/>
          </w:tcPr>
          <w:p w14:paraId="1465A8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05AA00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7850</w:t>
            </w:r>
          </w:p>
        </w:tc>
      </w:tr>
      <w:tr w14:paraId="14628594">
        <w:tblPrEx>
          <w:tblCellMar>
            <w:top w:w="0" w:type="dxa"/>
            <w:left w:w="108" w:type="dxa"/>
            <w:bottom w:w="0" w:type="dxa"/>
            <w:right w:w="108" w:type="dxa"/>
          </w:tblCellMar>
        </w:tblPrEx>
        <w:trPr>
          <w:trHeight w:val="282" w:hRule="atLeast"/>
          <w:jc w:val="center"/>
        </w:trPr>
        <w:tc>
          <w:tcPr>
            <w:tcW w:w="374" w:type="pct"/>
            <w:tcBorders>
              <w:top w:val="nil"/>
              <w:left w:val="single" w:color="auto" w:sz="4" w:space="0"/>
              <w:bottom w:val="single" w:color="auto" w:sz="4" w:space="0"/>
              <w:right w:val="single" w:color="auto" w:sz="4" w:space="0"/>
            </w:tcBorders>
            <w:shd w:val="clear" w:color="auto" w:fill="auto"/>
            <w:vAlign w:val="center"/>
          </w:tcPr>
          <w:p w14:paraId="365590A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网线</w:t>
            </w:r>
          </w:p>
        </w:tc>
        <w:tc>
          <w:tcPr>
            <w:tcW w:w="258" w:type="pct"/>
            <w:tcBorders>
              <w:top w:val="nil"/>
              <w:left w:val="nil"/>
              <w:bottom w:val="single" w:color="auto" w:sz="4" w:space="0"/>
              <w:right w:val="single" w:color="auto" w:sz="4" w:space="0"/>
            </w:tcBorders>
            <w:shd w:val="clear" w:color="auto" w:fill="auto"/>
            <w:noWrap/>
            <w:vAlign w:val="center"/>
          </w:tcPr>
          <w:p w14:paraId="79C6F41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58" w:type="pct"/>
            <w:tcBorders>
              <w:top w:val="nil"/>
              <w:left w:val="nil"/>
              <w:bottom w:val="single" w:color="auto" w:sz="4" w:space="0"/>
              <w:right w:val="single" w:color="auto" w:sz="4" w:space="0"/>
            </w:tcBorders>
            <w:shd w:val="clear" w:color="auto" w:fill="auto"/>
            <w:noWrap/>
            <w:vAlign w:val="center"/>
          </w:tcPr>
          <w:p w14:paraId="36EE7C3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58" w:type="pct"/>
            <w:tcBorders>
              <w:top w:val="nil"/>
              <w:left w:val="nil"/>
              <w:bottom w:val="single" w:color="auto" w:sz="4" w:space="0"/>
              <w:right w:val="single" w:color="auto" w:sz="4" w:space="0"/>
            </w:tcBorders>
            <w:shd w:val="clear" w:color="auto" w:fill="auto"/>
            <w:noWrap/>
            <w:vAlign w:val="center"/>
          </w:tcPr>
          <w:p w14:paraId="7E0EC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58" w:type="pct"/>
            <w:tcBorders>
              <w:top w:val="nil"/>
              <w:left w:val="nil"/>
              <w:bottom w:val="single" w:color="auto" w:sz="4" w:space="0"/>
              <w:right w:val="single" w:color="auto" w:sz="4" w:space="0"/>
            </w:tcBorders>
            <w:shd w:val="clear" w:color="auto" w:fill="auto"/>
            <w:noWrap/>
            <w:vAlign w:val="center"/>
          </w:tcPr>
          <w:p w14:paraId="6FA790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58" w:type="pct"/>
            <w:tcBorders>
              <w:top w:val="nil"/>
              <w:left w:val="nil"/>
              <w:bottom w:val="single" w:color="auto" w:sz="4" w:space="0"/>
              <w:right w:val="single" w:color="auto" w:sz="4" w:space="0"/>
            </w:tcBorders>
            <w:shd w:val="clear" w:color="auto" w:fill="auto"/>
            <w:noWrap/>
            <w:vAlign w:val="center"/>
          </w:tcPr>
          <w:p w14:paraId="5982AB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58" w:type="pct"/>
            <w:tcBorders>
              <w:top w:val="nil"/>
              <w:left w:val="nil"/>
              <w:bottom w:val="single" w:color="auto" w:sz="4" w:space="0"/>
              <w:right w:val="single" w:color="auto" w:sz="4" w:space="0"/>
            </w:tcBorders>
            <w:shd w:val="clear" w:color="auto" w:fill="auto"/>
            <w:noWrap/>
            <w:vAlign w:val="center"/>
          </w:tcPr>
          <w:p w14:paraId="38FE31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8" w:type="pct"/>
            <w:tcBorders>
              <w:top w:val="nil"/>
              <w:left w:val="nil"/>
              <w:bottom w:val="single" w:color="auto" w:sz="4" w:space="0"/>
              <w:right w:val="single" w:color="auto" w:sz="4" w:space="0"/>
            </w:tcBorders>
            <w:shd w:val="clear" w:color="auto" w:fill="auto"/>
            <w:noWrap/>
            <w:vAlign w:val="center"/>
          </w:tcPr>
          <w:p w14:paraId="053148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58" w:type="pct"/>
            <w:tcBorders>
              <w:top w:val="nil"/>
              <w:left w:val="nil"/>
              <w:bottom w:val="single" w:color="auto" w:sz="4" w:space="0"/>
              <w:right w:val="single" w:color="auto" w:sz="4" w:space="0"/>
            </w:tcBorders>
            <w:shd w:val="clear" w:color="auto" w:fill="auto"/>
            <w:noWrap/>
            <w:vAlign w:val="center"/>
          </w:tcPr>
          <w:p w14:paraId="66EB55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58" w:type="pct"/>
            <w:tcBorders>
              <w:top w:val="nil"/>
              <w:left w:val="nil"/>
              <w:bottom w:val="single" w:color="auto" w:sz="4" w:space="0"/>
              <w:right w:val="single" w:color="auto" w:sz="4" w:space="0"/>
            </w:tcBorders>
            <w:shd w:val="clear" w:color="auto" w:fill="auto"/>
            <w:noWrap/>
            <w:vAlign w:val="center"/>
          </w:tcPr>
          <w:p w14:paraId="52E292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58" w:type="pct"/>
            <w:tcBorders>
              <w:top w:val="nil"/>
              <w:left w:val="nil"/>
              <w:bottom w:val="single" w:color="auto" w:sz="4" w:space="0"/>
              <w:right w:val="single" w:color="auto" w:sz="4" w:space="0"/>
            </w:tcBorders>
            <w:shd w:val="clear" w:color="auto" w:fill="auto"/>
            <w:noWrap/>
            <w:vAlign w:val="center"/>
          </w:tcPr>
          <w:p w14:paraId="55C8BF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58" w:type="pct"/>
            <w:tcBorders>
              <w:top w:val="nil"/>
              <w:left w:val="nil"/>
              <w:bottom w:val="single" w:color="auto" w:sz="4" w:space="0"/>
              <w:right w:val="single" w:color="auto" w:sz="4" w:space="0"/>
            </w:tcBorders>
            <w:shd w:val="clear" w:color="auto" w:fill="auto"/>
            <w:noWrap/>
            <w:vAlign w:val="center"/>
          </w:tcPr>
          <w:p w14:paraId="7733D6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350" w:type="pct"/>
            <w:tcBorders>
              <w:top w:val="nil"/>
              <w:left w:val="nil"/>
              <w:bottom w:val="single" w:color="auto" w:sz="4" w:space="0"/>
              <w:right w:val="single" w:color="auto" w:sz="4" w:space="0"/>
            </w:tcBorders>
            <w:shd w:val="clear" w:color="auto" w:fill="auto"/>
            <w:noWrap/>
            <w:vAlign w:val="center"/>
          </w:tcPr>
          <w:p w14:paraId="05D5C47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58" w:type="pct"/>
            <w:tcBorders>
              <w:top w:val="nil"/>
              <w:left w:val="nil"/>
              <w:bottom w:val="single" w:color="auto" w:sz="4" w:space="0"/>
              <w:right w:val="single" w:color="auto" w:sz="4" w:space="0"/>
            </w:tcBorders>
            <w:shd w:val="clear" w:color="auto" w:fill="auto"/>
            <w:noWrap/>
            <w:vAlign w:val="center"/>
          </w:tcPr>
          <w:p w14:paraId="620D27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58" w:type="pct"/>
            <w:tcBorders>
              <w:top w:val="nil"/>
              <w:left w:val="nil"/>
              <w:bottom w:val="single" w:color="auto" w:sz="4" w:space="0"/>
              <w:right w:val="single" w:color="auto" w:sz="4" w:space="0"/>
            </w:tcBorders>
            <w:shd w:val="clear" w:color="auto" w:fill="auto"/>
            <w:noWrap/>
            <w:vAlign w:val="center"/>
          </w:tcPr>
          <w:p w14:paraId="0B61E9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58" w:type="pct"/>
            <w:tcBorders>
              <w:top w:val="nil"/>
              <w:left w:val="nil"/>
              <w:bottom w:val="single" w:color="auto" w:sz="4" w:space="0"/>
              <w:right w:val="single" w:color="auto" w:sz="4" w:space="0"/>
            </w:tcBorders>
            <w:shd w:val="clear" w:color="auto" w:fill="auto"/>
            <w:noWrap/>
            <w:vAlign w:val="center"/>
          </w:tcPr>
          <w:p w14:paraId="160CC7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50" w:type="pct"/>
            <w:tcBorders>
              <w:top w:val="nil"/>
              <w:left w:val="nil"/>
              <w:bottom w:val="single" w:color="auto" w:sz="4" w:space="0"/>
              <w:right w:val="single" w:color="auto" w:sz="4" w:space="0"/>
            </w:tcBorders>
            <w:shd w:val="clear" w:color="auto" w:fill="auto"/>
            <w:noWrap/>
            <w:vAlign w:val="center"/>
          </w:tcPr>
          <w:p w14:paraId="26A518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46C8D8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w:t>
            </w:r>
          </w:p>
        </w:tc>
      </w:tr>
      <w:tr w14:paraId="1E36949F">
        <w:tblPrEx>
          <w:tblCellMar>
            <w:top w:w="0" w:type="dxa"/>
            <w:left w:w="108" w:type="dxa"/>
            <w:bottom w:w="0" w:type="dxa"/>
            <w:right w:w="108" w:type="dxa"/>
          </w:tblCellMar>
        </w:tblPrEx>
        <w:trPr>
          <w:trHeight w:val="516" w:hRule="atLeast"/>
          <w:jc w:val="center"/>
        </w:trPr>
        <w:tc>
          <w:tcPr>
            <w:tcW w:w="374" w:type="pct"/>
            <w:tcBorders>
              <w:top w:val="nil"/>
              <w:left w:val="single" w:color="auto" w:sz="4" w:space="0"/>
              <w:bottom w:val="single" w:color="auto" w:sz="4" w:space="0"/>
              <w:right w:val="single" w:color="auto" w:sz="4" w:space="0"/>
            </w:tcBorders>
            <w:shd w:val="clear" w:color="auto" w:fill="auto"/>
            <w:vAlign w:val="center"/>
          </w:tcPr>
          <w:p w14:paraId="63EC346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电源线1（2*1.0）</w:t>
            </w:r>
          </w:p>
        </w:tc>
        <w:tc>
          <w:tcPr>
            <w:tcW w:w="258" w:type="pct"/>
            <w:tcBorders>
              <w:top w:val="nil"/>
              <w:left w:val="nil"/>
              <w:bottom w:val="single" w:color="auto" w:sz="4" w:space="0"/>
              <w:right w:val="single" w:color="auto" w:sz="4" w:space="0"/>
            </w:tcBorders>
            <w:shd w:val="clear" w:color="auto" w:fill="auto"/>
            <w:noWrap/>
            <w:vAlign w:val="center"/>
          </w:tcPr>
          <w:p w14:paraId="200E8DB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1100</w:t>
            </w:r>
          </w:p>
        </w:tc>
        <w:tc>
          <w:tcPr>
            <w:tcW w:w="258" w:type="pct"/>
            <w:tcBorders>
              <w:top w:val="nil"/>
              <w:left w:val="nil"/>
              <w:bottom w:val="single" w:color="auto" w:sz="4" w:space="0"/>
              <w:right w:val="single" w:color="auto" w:sz="4" w:space="0"/>
            </w:tcBorders>
            <w:shd w:val="clear" w:color="auto" w:fill="auto"/>
            <w:noWrap/>
            <w:vAlign w:val="center"/>
          </w:tcPr>
          <w:p w14:paraId="0B6930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900</w:t>
            </w:r>
          </w:p>
        </w:tc>
        <w:tc>
          <w:tcPr>
            <w:tcW w:w="258" w:type="pct"/>
            <w:tcBorders>
              <w:top w:val="nil"/>
              <w:left w:val="nil"/>
              <w:bottom w:val="single" w:color="auto" w:sz="4" w:space="0"/>
              <w:right w:val="single" w:color="auto" w:sz="4" w:space="0"/>
            </w:tcBorders>
            <w:shd w:val="clear" w:color="auto" w:fill="auto"/>
            <w:noWrap/>
            <w:vAlign w:val="center"/>
          </w:tcPr>
          <w:p w14:paraId="0490126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1300</w:t>
            </w:r>
          </w:p>
        </w:tc>
        <w:tc>
          <w:tcPr>
            <w:tcW w:w="258" w:type="pct"/>
            <w:tcBorders>
              <w:top w:val="nil"/>
              <w:left w:val="nil"/>
              <w:bottom w:val="single" w:color="auto" w:sz="4" w:space="0"/>
              <w:right w:val="single" w:color="auto" w:sz="4" w:space="0"/>
            </w:tcBorders>
            <w:shd w:val="clear" w:color="auto" w:fill="auto"/>
            <w:noWrap/>
            <w:vAlign w:val="center"/>
          </w:tcPr>
          <w:p w14:paraId="52C946B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720</w:t>
            </w:r>
          </w:p>
        </w:tc>
        <w:tc>
          <w:tcPr>
            <w:tcW w:w="258" w:type="pct"/>
            <w:tcBorders>
              <w:top w:val="nil"/>
              <w:left w:val="nil"/>
              <w:bottom w:val="single" w:color="auto" w:sz="4" w:space="0"/>
              <w:right w:val="single" w:color="auto" w:sz="4" w:space="0"/>
            </w:tcBorders>
            <w:shd w:val="clear" w:color="auto" w:fill="auto"/>
            <w:noWrap/>
            <w:vAlign w:val="center"/>
          </w:tcPr>
          <w:p w14:paraId="20C9D2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258" w:type="pct"/>
            <w:tcBorders>
              <w:top w:val="nil"/>
              <w:left w:val="nil"/>
              <w:bottom w:val="single" w:color="auto" w:sz="4" w:space="0"/>
              <w:right w:val="single" w:color="auto" w:sz="4" w:space="0"/>
            </w:tcBorders>
            <w:shd w:val="clear" w:color="auto" w:fill="auto"/>
            <w:noWrap/>
            <w:vAlign w:val="center"/>
          </w:tcPr>
          <w:p w14:paraId="22FA231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258" w:type="pct"/>
            <w:tcBorders>
              <w:top w:val="nil"/>
              <w:left w:val="nil"/>
              <w:bottom w:val="single" w:color="auto" w:sz="4" w:space="0"/>
              <w:right w:val="single" w:color="auto" w:sz="4" w:space="0"/>
            </w:tcBorders>
            <w:shd w:val="clear" w:color="auto" w:fill="auto"/>
            <w:noWrap/>
            <w:vAlign w:val="center"/>
          </w:tcPr>
          <w:p w14:paraId="161B22F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950</w:t>
            </w:r>
          </w:p>
        </w:tc>
        <w:tc>
          <w:tcPr>
            <w:tcW w:w="258" w:type="pct"/>
            <w:tcBorders>
              <w:top w:val="nil"/>
              <w:left w:val="nil"/>
              <w:bottom w:val="single" w:color="auto" w:sz="4" w:space="0"/>
              <w:right w:val="single" w:color="auto" w:sz="4" w:space="0"/>
            </w:tcBorders>
            <w:shd w:val="clear" w:color="auto" w:fill="auto"/>
            <w:noWrap/>
            <w:vAlign w:val="center"/>
          </w:tcPr>
          <w:p w14:paraId="776DFA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700</w:t>
            </w:r>
          </w:p>
        </w:tc>
        <w:tc>
          <w:tcPr>
            <w:tcW w:w="258" w:type="pct"/>
            <w:tcBorders>
              <w:top w:val="nil"/>
              <w:left w:val="nil"/>
              <w:bottom w:val="single" w:color="auto" w:sz="4" w:space="0"/>
              <w:right w:val="single" w:color="auto" w:sz="4" w:space="0"/>
            </w:tcBorders>
            <w:shd w:val="clear" w:color="auto" w:fill="auto"/>
            <w:noWrap/>
            <w:vAlign w:val="center"/>
          </w:tcPr>
          <w:p w14:paraId="2AD1C7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600</w:t>
            </w:r>
          </w:p>
        </w:tc>
        <w:tc>
          <w:tcPr>
            <w:tcW w:w="258" w:type="pct"/>
            <w:tcBorders>
              <w:top w:val="nil"/>
              <w:left w:val="nil"/>
              <w:bottom w:val="single" w:color="auto" w:sz="4" w:space="0"/>
              <w:right w:val="single" w:color="auto" w:sz="4" w:space="0"/>
            </w:tcBorders>
            <w:shd w:val="clear" w:color="auto" w:fill="auto"/>
            <w:noWrap/>
            <w:vAlign w:val="center"/>
          </w:tcPr>
          <w:p w14:paraId="771E5F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258" w:type="pct"/>
            <w:tcBorders>
              <w:top w:val="nil"/>
              <w:left w:val="nil"/>
              <w:bottom w:val="single" w:color="auto" w:sz="4" w:space="0"/>
              <w:right w:val="single" w:color="auto" w:sz="4" w:space="0"/>
            </w:tcBorders>
            <w:shd w:val="clear" w:color="auto" w:fill="auto"/>
            <w:noWrap/>
            <w:vAlign w:val="center"/>
          </w:tcPr>
          <w:p w14:paraId="084EDE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750</w:t>
            </w:r>
          </w:p>
        </w:tc>
        <w:tc>
          <w:tcPr>
            <w:tcW w:w="350" w:type="pct"/>
            <w:tcBorders>
              <w:top w:val="nil"/>
              <w:left w:val="nil"/>
              <w:bottom w:val="single" w:color="auto" w:sz="4" w:space="0"/>
              <w:right w:val="single" w:color="auto" w:sz="4" w:space="0"/>
            </w:tcBorders>
            <w:shd w:val="clear" w:color="auto" w:fill="auto"/>
            <w:noWrap/>
            <w:vAlign w:val="center"/>
          </w:tcPr>
          <w:p w14:paraId="129C156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1200</w:t>
            </w:r>
          </w:p>
        </w:tc>
        <w:tc>
          <w:tcPr>
            <w:tcW w:w="258" w:type="pct"/>
            <w:tcBorders>
              <w:top w:val="nil"/>
              <w:left w:val="nil"/>
              <w:bottom w:val="single" w:color="auto" w:sz="4" w:space="0"/>
              <w:right w:val="single" w:color="auto" w:sz="4" w:space="0"/>
            </w:tcBorders>
            <w:shd w:val="clear" w:color="auto" w:fill="auto"/>
            <w:noWrap/>
            <w:vAlign w:val="center"/>
          </w:tcPr>
          <w:p w14:paraId="17B325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400</w:t>
            </w:r>
          </w:p>
        </w:tc>
        <w:tc>
          <w:tcPr>
            <w:tcW w:w="258" w:type="pct"/>
            <w:tcBorders>
              <w:top w:val="nil"/>
              <w:left w:val="nil"/>
              <w:bottom w:val="single" w:color="auto" w:sz="4" w:space="0"/>
              <w:right w:val="single" w:color="auto" w:sz="4" w:space="0"/>
            </w:tcBorders>
            <w:shd w:val="clear" w:color="auto" w:fill="auto"/>
            <w:noWrap/>
            <w:vAlign w:val="center"/>
          </w:tcPr>
          <w:p w14:paraId="6D2C4EF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550</w:t>
            </w:r>
          </w:p>
        </w:tc>
        <w:tc>
          <w:tcPr>
            <w:tcW w:w="258" w:type="pct"/>
            <w:tcBorders>
              <w:top w:val="nil"/>
              <w:left w:val="nil"/>
              <w:bottom w:val="single" w:color="auto" w:sz="4" w:space="0"/>
              <w:right w:val="single" w:color="auto" w:sz="4" w:space="0"/>
            </w:tcBorders>
            <w:shd w:val="clear" w:color="auto" w:fill="auto"/>
            <w:noWrap/>
            <w:vAlign w:val="center"/>
          </w:tcPr>
          <w:p w14:paraId="6B02B0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350" w:type="pct"/>
            <w:tcBorders>
              <w:top w:val="nil"/>
              <w:left w:val="nil"/>
              <w:bottom w:val="single" w:color="auto" w:sz="4" w:space="0"/>
              <w:right w:val="single" w:color="auto" w:sz="4" w:space="0"/>
            </w:tcBorders>
            <w:shd w:val="clear" w:color="auto" w:fill="auto"/>
            <w:noWrap/>
            <w:vAlign w:val="center"/>
          </w:tcPr>
          <w:p w14:paraId="777889A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5DEFAE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10770</w:t>
            </w:r>
          </w:p>
        </w:tc>
      </w:tr>
      <w:tr w14:paraId="0FC42540">
        <w:tblPrEx>
          <w:tblCellMar>
            <w:top w:w="0" w:type="dxa"/>
            <w:left w:w="108" w:type="dxa"/>
            <w:bottom w:w="0" w:type="dxa"/>
            <w:right w:w="108" w:type="dxa"/>
          </w:tblCellMar>
        </w:tblPrEx>
        <w:trPr>
          <w:trHeight w:val="516" w:hRule="atLeast"/>
          <w:jc w:val="center"/>
        </w:trPr>
        <w:tc>
          <w:tcPr>
            <w:tcW w:w="374" w:type="pct"/>
            <w:tcBorders>
              <w:top w:val="nil"/>
              <w:left w:val="single" w:color="auto" w:sz="4" w:space="0"/>
              <w:bottom w:val="single" w:color="auto" w:sz="4" w:space="0"/>
              <w:right w:val="single" w:color="auto" w:sz="4" w:space="0"/>
            </w:tcBorders>
            <w:shd w:val="clear" w:color="auto" w:fill="auto"/>
            <w:vAlign w:val="center"/>
          </w:tcPr>
          <w:p w14:paraId="700428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电源线2（2*1.5）</w:t>
            </w:r>
          </w:p>
        </w:tc>
        <w:tc>
          <w:tcPr>
            <w:tcW w:w="258" w:type="pct"/>
            <w:tcBorders>
              <w:top w:val="nil"/>
              <w:left w:val="nil"/>
              <w:bottom w:val="single" w:color="auto" w:sz="4" w:space="0"/>
              <w:right w:val="single" w:color="auto" w:sz="4" w:space="0"/>
            </w:tcBorders>
            <w:shd w:val="clear" w:color="auto" w:fill="auto"/>
            <w:noWrap/>
            <w:vAlign w:val="center"/>
          </w:tcPr>
          <w:p w14:paraId="764768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1400</w:t>
            </w:r>
          </w:p>
        </w:tc>
        <w:tc>
          <w:tcPr>
            <w:tcW w:w="258" w:type="pct"/>
            <w:tcBorders>
              <w:top w:val="nil"/>
              <w:left w:val="nil"/>
              <w:bottom w:val="single" w:color="auto" w:sz="4" w:space="0"/>
              <w:right w:val="single" w:color="auto" w:sz="4" w:space="0"/>
            </w:tcBorders>
            <w:shd w:val="clear" w:color="auto" w:fill="auto"/>
            <w:noWrap/>
            <w:vAlign w:val="center"/>
          </w:tcPr>
          <w:p w14:paraId="27D458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1100</w:t>
            </w:r>
          </w:p>
        </w:tc>
        <w:tc>
          <w:tcPr>
            <w:tcW w:w="258" w:type="pct"/>
            <w:tcBorders>
              <w:top w:val="nil"/>
              <w:left w:val="nil"/>
              <w:bottom w:val="single" w:color="auto" w:sz="4" w:space="0"/>
              <w:right w:val="single" w:color="auto" w:sz="4" w:space="0"/>
            </w:tcBorders>
            <w:shd w:val="clear" w:color="auto" w:fill="auto"/>
            <w:noWrap/>
            <w:vAlign w:val="center"/>
          </w:tcPr>
          <w:p w14:paraId="2D3B82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1500</w:t>
            </w:r>
          </w:p>
        </w:tc>
        <w:tc>
          <w:tcPr>
            <w:tcW w:w="258" w:type="pct"/>
            <w:tcBorders>
              <w:top w:val="nil"/>
              <w:left w:val="nil"/>
              <w:bottom w:val="single" w:color="auto" w:sz="4" w:space="0"/>
              <w:right w:val="single" w:color="auto" w:sz="4" w:space="0"/>
            </w:tcBorders>
            <w:shd w:val="clear" w:color="auto" w:fill="auto"/>
            <w:noWrap/>
            <w:vAlign w:val="center"/>
          </w:tcPr>
          <w:p w14:paraId="58411A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720</w:t>
            </w:r>
          </w:p>
        </w:tc>
        <w:tc>
          <w:tcPr>
            <w:tcW w:w="258" w:type="pct"/>
            <w:tcBorders>
              <w:top w:val="nil"/>
              <w:left w:val="nil"/>
              <w:bottom w:val="single" w:color="auto" w:sz="4" w:space="0"/>
              <w:right w:val="single" w:color="auto" w:sz="4" w:space="0"/>
            </w:tcBorders>
            <w:shd w:val="clear" w:color="auto" w:fill="auto"/>
            <w:noWrap/>
            <w:vAlign w:val="center"/>
          </w:tcPr>
          <w:p w14:paraId="071DB7A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258" w:type="pct"/>
            <w:tcBorders>
              <w:top w:val="nil"/>
              <w:left w:val="nil"/>
              <w:bottom w:val="single" w:color="auto" w:sz="4" w:space="0"/>
              <w:right w:val="single" w:color="auto" w:sz="4" w:space="0"/>
            </w:tcBorders>
            <w:shd w:val="clear" w:color="auto" w:fill="auto"/>
            <w:noWrap/>
            <w:vAlign w:val="center"/>
          </w:tcPr>
          <w:p w14:paraId="03B66A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258" w:type="pct"/>
            <w:tcBorders>
              <w:top w:val="nil"/>
              <w:left w:val="nil"/>
              <w:bottom w:val="single" w:color="auto" w:sz="4" w:space="0"/>
              <w:right w:val="single" w:color="auto" w:sz="4" w:space="0"/>
            </w:tcBorders>
            <w:shd w:val="clear" w:color="auto" w:fill="auto"/>
            <w:noWrap/>
            <w:vAlign w:val="center"/>
          </w:tcPr>
          <w:p w14:paraId="76B5295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1250</w:t>
            </w:r>
          </w:p>
        </w:tc>
        <w:tc>
          <w:tcPr>
            <w:tcW w:w="258" w:type="pct"/>
            <w:tcBorders>
              <w:top w:val="nil"/>
              <w:left w:val="nil"/>
              <w:bottom w:val="single" w:color="auto" w:sz="4" w:space="0"/>
              <w:right w:val="single" w:color="auto" w:sz="4" w:space="0"/>
            </w:tcBorders>
            <w:shd w:val="clear" w:color="auto" w:fill="auto"/>
            <w:noWrap/>
            <w:vAlign w:val="center"/>
          </w:tcPr>
          <w:p w14:paraId="49ADA8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258" w:type="pct"/>
            <w:tcBorders>
              <w:top w:val="nil"/>
              <w:left w:val="nil"/>
              <w:bottom w:val="single" w:color="auto" w:sz="4" w:space="0"/>
              <w:right w:val="single" w:color="auto" w:sz="4" w:space="0"/>
            </w:tcBorders>
            <w:shd w:val="clear" w:color="auto" w:fill="auto"/>
            <w:noWrap/>
            <w:vAlign w:val="center"/>
          </w:tcPr>
          <w:p w14:paraId="2498216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258" w:type="pct"/>
            <w:tcBorders>
              <w:top w:val="nil"/>
              <w:left w:val="nil"/>
              <w:bottom w:val="single" w:color="auto" w:sz="4" w:space="0"/>
              <w:right w:val="single" w:color="auto" w:sz="4" w:space="0"/>
            </w:tcBorders>
            <w:shd w:val="clear" w:color="auto" w:fill="auto"/>
            <w:noWrap/>
            <w:vAlign w:val="center"/>
          </w:tcPr>
          <w:p w14:paraId="54D0205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450</w:t>
            </w:r>
          </w:p>
        </w:tc>
        <w:tc>
          <w:tcPr>
            <w:tcW w:w="258" w:type="pct"/>
            <w:tcBorders>
              <w:top w:val="nil"/>
              <w:left w:val="nil"/>
              <w:bottom w:val="single" w:color="auto" w:sz="4" w:space="0"/>
              <w:right w:val="single" w:color="auto" w:sz="4" w:space="0"/>
            </w:tcBorders>
            <w:shd w:val="clear" w:color="auto" w:fill="auto"/>
            <w:noWrap/>
            <w:vAlign w:val="center"/>
          </w:tcPr>
          <w:p w14:paraId="2CBA465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750</w:t>
            </w:r>
          </w:p>
        </w:tc>
        <w:tc>
          <w:tcPr>
            <w:tcW w:w="350" w:type="pct"/>
            <w:tcBorders>
              <w:top w:val="nil"/>
              <w:left w:val="nil"/>
              <w:bottom w:val="single" w:color="auto" w:sz="4" w:space="0"/>
              <w:right w:val="single" w:color="auto" w:sz="4" w:space="0"/>
            </w:tcBorders>
            <w:shd w:val="clear" w:color="auto" w:fill="auto"/>
            <w:noWrap/>
            <w:vAlign w:val="center"/>
          </w:tcPr>
          <w:p w14:paraId="2C5F22A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1400</w:t>
            </w:r>
          </w:p>
        </w:tc>
        <w:tc>
          <w:tcPr>
            <w:tcW w:w="258" w:type="pct"/>
            <w:tcBorders>
              <w:top w:val="nil"/>
              <w:left w:val="nil"/>
              <w:bottom w:val="single" w:color="auto" w:sz="4" w:space="0"/>
              <w:right w:val="single" w:color="auto" w:sz="4" w:space="0"/>
            </w:tcBorders>
            <w:shd w:val="clear" w:color="auto" w:fill="auto"/>
            <w:noWrap/>
            <w:vAlign w:val="center"/>
          </w:tcPr>
          <w:p w14:paraId="5EDAB1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350</w:t>
            </w:r>
          </w:p>
        </w:tc>
        <w:tc>
          <w:tcPr>
            <w:tcW w:w="258" w:type="pct"/>
            <w:tcBorders>
              <w:top w:val="nil"/>
              <w:left w:val="nil"/>
              <w:bottom w:val="single" w:color="auto" w:sz="4" w:space="0"/>
              <w:right w:val="single" w:color="auto" w:sz="4" w:space="0"/>
            </w:tcBorders>
            <w:shd w:val="clear" w:color="auto" w:fill="auto"/>
            <w:noWrap/>
            <w:vAlign w:val="center"/>
          </w:tcPr>
          <w:p w14:paraId="381F45C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450</w:t>
            </w:r>
          </w:p>
        </w:tc>
        <w:tc>
          <w:tcPr>
            <w:tcW w:w="258" w:type="pct"/>
            <w:tcBorders>
              <w:top w:val="nil"/>
              <w:left w:val="nil"/>
              <w:bottom w:val="single" w:color="auto" w:sz="4" w:space="0"/>
              <w:right w:val="single" w:color="auto" w:sz="4" w:space="0"/>
            </w:tcBorders>
            <w:shd w:val="clear" w:color="auto" w:fill="auto"/>
            <w:noWrap/>
            <w:vAlign w:val="center"/>
          </w:tcPr>
          <w:p w14:paraId="6BE90E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350" w:type="pct"/>
            <w:tcBorders>
              <w:top w:val="nil"/>
              <w:left w:val="nil"/>
              <w:bottom w:val="single" w:color="auto" w:sz="4" w:space="0"/>
              <w:right w:val="single" w:color="auto" w:sz="4" w:space="0"/>
            </w:tcBorders>
            <w:shd w:val="clear" w:color="auto" w:fill="auto"/>
            <w:noWrap/>
            <w:vAlign w:val="center"/>
          </w:tcPr>
          <w:p w14:paraId="584437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16D8B6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12370</w:t>
            </w:r>
          </w:p>
        </w:tc>
      </w:tr>
      <w:tr w14:paraId="776E8F6C">
        <w:tblPrEx>
          <w:tblCellMar>
            <w:top w:w="0" w:type="dxa"/>
            <w:left w:w="108" w:type="dxa"/>
            <w:bottom w:w="0" w:type="dxa"/>
            <w:right w:w="108" w:type="dxa"/>
          </w:tblCellMar>
        </w:tblPrEx>
        <w:trPr>
          <w:trHeight w:val="516" w:hRule="atLeast"/>
          <w:jc w:val="center"/>
        </w:trPr>
        <w:tc>
          <w:tcPr>
            <w:tcW w:w="374" w:type="pct"/>
            <w:tcBorders>
              <w:top w:val="nil"/>
              <w:left w:val="single" w:color="auto" w:sz="4" w:space="0"/>
              <w:bottom w:val="single" w:color="auto" w:sz="4" w:space="0"/>
              <w:right w:val="single" w:color="auto" w:sz="4" w:space="0"/>
            </w:tcBorders>
            <w:shd w:val="clear" w:color="auto" w:fill="auto"/>
            <w:vAlign w:val="center"/>
          </w:tcPr>
          <w:p w14:paraId="52D4136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电源线3（2*2.5）</w:t>
            </w:r>
          </w:p>
        </w:tc>
        <w:tc>
          <w:tcPr>
            <w:tcW w:w="258" w:type="pct"/>
            <w:tcBorders>
              <w:top w:val="nil"/>
              <w:left w:val="nil"/>
              <w:bottom w:val="single" w:color="auto" w:sz="4" w:space="0"/>
              <w:right w:val="single" w:color="auto" w:sz="4" w:space="0"/>
            </w:tcBorders>
            <w:shd w:val="clear" w:color="auto" w:fill="auto"/>
            <w:noWrap/>
            <w:vAlign w:val="center"/>
          </w:tcPr>
          <w:p w14:paraId="3384DC0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1800</w:t>
            </w:r>
          </w:p>
        </w:tc>
        <w:tc>
          <w:tcPr>
            <w:tcW w:w="258" w:type="pct"/>
            <w:tcBorders>
              <w:top w:val="nil"/>
              <w:left w:val="nil"/>
              <w:bottom w:val="single" w:color="auto" w:sz="4" w:space="0"/>
              <w:right w:val="single" w:color="auto" w:sz="4" w:space="0"/>
            </w:tcBorders>
            <w:shd w:val="clear" w:color="auto" w:fill="auto"/>
            <w:noWrap/>
            <w:vAlign w:val="center"/>
          </w:tcPr>
          <w:p w14:paraId="3E2F386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800</w:t>
            </w:r>
          </w:p>
        </w:tc>
        <w:tc>
          <w:tcPr>
            <w:tcW w:w="258" w:type="pct"/>
            <w:tcBorders>
              <w:top w:val="nil"/>
              <w:left w:val="nil"/>
              <w:bottom w:val="single" w:color="auto" w:sz="4" w:space="0"/>
              <w:right w:val="single" w:color="auto" w:sz="4" w:space="0"/>
            </w:tcBorders>
            <w:shd w:val="clear" w:color="auto" w:fill="auto"/>
            <w:noWrap/>
            <w:vAlign w:val="center"/>
          </w:tcPr>
          <w:p w14:paraId="697FD0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1300</w:t>
            </w:r>
          </w:p>
        </w:tc>
        <w:tc>
          <w:tcPr>
            <w:tcW w:w="258" w:type="pct"/>
            <w:tcBorders>
              <w:top w:val="nil"/>
              <w:left w:val="nil"/>
              <w:bottom w:val="single" w:color="auto" w:sz="4" w:space="0"/>
              <w:right w:val="single" w:color="auto" w:sz="4" w:space="0"/>
            </w:tcBorders>
            <w:shd w:val="clear" w:color="auto" w:fill="auto"/>
            <w:noWrap/>
            <w:vAlign w:val="center"/>
          </w:tcPr>
          <w:p w14:paraId="29CE851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620</w:t>
            </w:r>
          </w:p>
        </w:tc>
        <w:tc>
          <w:tcPr>
            <w:tcW w:w="258" w:type="pct"/>
            <w:tcBorders>
              <w:top w:val="nil"/>
              <w:left w:val="nil"/>
              <w:bottom w:val="single" w:color="auto" w:sz="4" w:space="0"/>
              <w:right w:val="single" w:color="auto" w:sz="4" w:space="0"/>
            </w:tcBorders>
            <w:shd w:val="clear" w:color="auto" w:fill="auto"/>
            <w:noWrap/>
            <w:vAlign w:val="center"/>
          </w:tcPr>
          <w:p w14:paraId="293785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700</w:t>
            </w:r>
          </w:p>
        </w:tc>
        <w:tc>
          <w:tcPr>
            <w:tcW w:w="258" w:type="pct"/>
            <w:tcBorders>
              <w:top w:val="nil"/>
              <w:left w:val="nil"/>
              <w:bottom w:val="single" w:color="auto" w:sz="4" w:space="0"/>
              <w:right w:val="single" w:color="auto" w:sz="4" w:space="0"/>
            </w:tcBorders>
            <w:shd w:val="clear" w:color="auto" w:fill="auto"/>
            <w:noWrap/>
            <w:vAlign w:val="center"/>
          </w:tcPr>
          <w:p w14:paraId="016DF7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900</w:t>
            </w:r>
          </w:p>
        </w:tc>
        <w:tc>
          <w:tcPr>
            <w:tcW w:w="258" w:type="pct"/>
            <w:tcBorders>
              <w:top w:val="nil"/>
              <w:left w:val="nil"/>
              <w:bottom w:val="single" w:color="auto" w:sz="4" w:space="0"/>
              <w:right w:val="single" w:color="auto" w:sz="4" w:space="0"/>
            </w:tcBorders>
            <w:shd w:val="clear" w:color="auto" w:fill="auto"/>
            <w:noWrap/>
            <w:vAlign w:val="center"/>
          </w:tcPr>
          <w:p w14:paraId="76C420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1350</w:t>
            </w:r>
          </w:p>
        </w:tc>
        <w:tc>
          <w:tcPr>
            <w:tcW w:w="258" w:type="pct"/>
            <w:tcBorders>
              <w:top w:val="nil"/>
              <w:left w:val="nil"/>
              <w:bottom w:val="single" w:color="auto" w:sz="4" w:space="0"/>
              <w:right w:val="single" w:color="auto" w:sz="4" w:space="0"/>
            </w:tcBorders>
            <w:shd w:val="clear" w:color="auto" w:fill="auto"/>
            <w:noWrap/>
            <w:vAlign w:val="center"/>
          </w:tcPr>
          <w:p w14:paraId="642153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1400</w:t>
            </w:r>
          </w:p>
        </w:tc>
        <w:tc>
          <w:tcPr>
            <w:tcW w:w="258" w:type="pct"/>
            <w:tcBorders>
              <w:top w:val="nil"/>
              <w:left w:val="nil"/>
              <w:bottom w:val="single" w:color="auto" w:sz="4" w:space="0"/>
              <w:right w:val="single" w:color="auto" w:sz="4" w:space="0"/>
            </w:tcBorders>
            <w:shd w:val="clear" w:color="auto" w:fill="auto"/>
            <w:noWrap/>
            <w:vAlign w:val="center"/>
          </w:tcPr>
          <w:p w14:paraId="1B31F45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258" w:type="pct"/>
            <w:tcBorders>
              <w:top w:val="nil"/>
              <w:left w:val="nil"/>
              <w:bottom w:val="single" w:color="auto" w:sz="4" w:space="0"/>
              <w:right w:val="single" w:color="auto" w:sz="4" w:space="0"/>
            </w:tcBorders>
            <w:shd w:val="clear" w:color="auto" w:fill="auto"/>
            <w:noWrap/>
            <w:vAlign w:val="center"/>
          </w:tcPr>
          <w:p w14:paraId="54C989E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450</w:t>
            </w:r>
          </w:p>
        </w:tc>
        <w:tc>
          <w:tcPr>
            <w:tcW w:w="258" w:type="pct"/>
            <w:tcBorders>
              <w:top w:val="nil"/>
              <w:left w:val="nil"/>
              <w:bottom w:val="single" w:color="auto" w:sz="4" w:space="0"/>
              <w:right w:val="single" w:color="auto" w:sz="4" w:space="0"/>
            </w:tcBorders>
            <w:shd w:val="clear" w:color="auto" w:fill="auto"/>
            <w:noWrap/>
            <w:vAlign w:val="center"/>
          </w:tcPr>
          <w:p w14:paraId="2FC688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750</w:t>
            </w:r>
          </w:p>
        </w:tc>
        <w:tc>
          <w:tcPr>
            <w:tcW w:w="350" w:type="pct"/>
            <w:tcBorders>
              <w:top w:val="nil"/>
              <w:left w:val="nil"/>
              <w:bottom w:val="single" w:color="auto" w:sz="4" w:space="0"/>
              <w:right w:val="single" w:color="auto" w:sz="4" w:space="0"/>
            </w:tcBorders>
            <w:shd w:val="clear" w:color="auto" w:fill="auto"/>
            <w:noWrap/>
            <w:vAlign w:val="center"/>
          </w:tcPr>
          <w:p w14:paraId="57C1C5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258" w:type="pct"/>
            <w:tcBorders>
              <w:top w:val="nil"/>
              <w:left w:val="nil"/>
              <w:bottom w:val="single" w:color="auto" w:sz="4" w:space="0"/>
              <w:right w:val="single" w:color="auto" w:sz="4" w:space="0"/>
            </w:tcBorders>
            <w:shd w:val="clear" w:color="auto" w:fill="auto"/>
            <w:noWrap/>
            <w:vAlign w:val="center"/>
          </w:tcPr>
          <w:p w14:paraId="3C2FDD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258" w:type="pct"/>
            <w:tcBorders>
              <w:top w:val="nil"/>
              <w:left w:val="nil"/>
              <w:bottom w:val="single" w:color="auto" w:sz="4" w:space="0"/>
              <w:right w:val="single" w:color="auto" w:sz="4" w:space="0"/>
            </w:tcBorders>
            <w:shd w:val="clear" w:color="auto" w:fill="auto"/>
            <w:noWrap/>
            <w:vAlign w:val="center"/>
          </w:tcPr>
          <w:p w14:paraId="7660E5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250</w:t>
            </w:r>
          </w:p>
        </w:tc>
        <w:tc>
          <w:tcPr>
            <w:tcW w:w="258" w:type="pct"/>
            <w:tcBorders>
              <w:top w:val="nil"/>
              <w:left w:val="nil"/>
              <w:bottom w:val="single" w:color="auto" w:sz="4" w:space="0"/>
              <w:right w:val="single" w:color="auto" w:sz="4" w:space="0"/>
            </w:tcBorders>
            <w:shd w:val="clear" w:color="auto" w:fill="auto"/>
            <w:noWrap/>
            <w:vAlign w:val="center"/>
          </w:tcPr>
          <w:p w14:paraId="5C342C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250</w:t>
            </w:r>
          </w:p>
        </w:tc>
        <w:tc>
          <w:tcPr>
            <w:tcW w:w="350" w:type="pct"/>
            <w:tcBorders>
              <w:top w:val="nil"/>
              <w:left w:val="nil"/>
              <w:bottom w:val="single" w:color="auto" w:sz="4" w:space="0"/>
              <w:right w:val="single" w:color="auto" w:sz="4" w:space="0"/>
            </w:tcBorders>
            <w:shd w:val="clear" w:color="auto" w:fill="auto"/>
            <w:noWrap/>
            <w:vAlign w:val="center"/>
          </w:tcPr>
          <w:p w14:paraId="7C4C3B8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7B7411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12370</w:t>
            </w:r>
          </w:p>
        </w:tc>
      </w:tr>
      <w:tr w14:paraId="76546A0E">
        <w:tblPrEx>
          <w:tblCellMar>
            <w:top w:w="0" w:type="dxa"/>
            <w:left w:w="108" w:type="dxa"/>
            <w:bottom w:w="0" w:type="dxa"/>
            <w:right w:w="108" w:type="dxa"/>
          </w:tblCellMar>
        </w:tblPrEx>
        <w:trPr>
          <w:trHeight w:val="282" w:hRule="atLeast"/>
          <w:jc w:val="center"/>
        </w:trPr>
        <w:tc>
          <w:tcPr>
            <w:tcW w:w="374" w:type="pct"/>
            <w:tcBorders>
              <w:top w:val="nil"/>
              <w:left w:val="single" w:color="auto" w:sz="4" w:space="0"/>
              <w:bottom w:val="single" w:color="auto" w:sz="4" w:space="0"/>
              <w:right w:val="single" w:color="auto" w:sz="4" w:space="0"/>
            </w:tcBorders>
            <w:shd w:val="clear" w:color="auto" w:fill="auto"/>
            <w:vAlign w:val="center"/>
          </w:tcPr>
          <w:p w14:paraId="1EA112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套管</w:t>
            </w:r>
          </w:p>
        </w:tc>
        <w:tc>
          <w:tcPr>
            <w:tcW w:w="258" w:type="pct"/>
            <w:tcBorders>
              <w:top w:val="nil"/>
              <w:left w:val="nil"/>
              <w:bottom w:val="single" w:color="auto" w:sz="4" w:space="0"/>
              <w:right w:val="single" w:color="auto" w:sz="4" w:space="0"/>
            </w:tcBorders>
            <w:shd w:val="clear" w:color="auto" w:fill="auto"/>
            <w:noWrap/>
            <w:vAlign w:val="center"/>
          </w:tcPr>
          <w:p w14:paraId="0D4343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2800</w:t>
            </w:r>
          </w:p>
        </w:tc>
        <w:tc>
          <w:tcPr>
            <w:tcW w:w="258" w:type="pct"/>
            <w:tcBorders>
              <w:top w:val="nil"/>
              <w:left w:val="nil"/>
              <w:bottom w:val="single" w:color="auto" w:sz="4" w:space="0"/>
              <w:right w:val="single" w:color="auto" w:sz="4" w:space="0"/>
            </w:tcBorders>
            <w:shd w:val="clear" w:color="auto" w:fill="auto"/>
            <w:noWrap/>
            <w:vAlign w:val="center"/>
          </w:tcPr>
          <w:p w14:paraId="5EC1E0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1500</w:t>
            </w:r>
          </w:p>
        </w:tc>
        <w:tc>
          <w:tcPr>
            <w:tcW w:w="258" w:type="pct"/>
            <w:tcBorders>
              <w:top w:val="nil"/>
              <w:left w:val="nil"/>
              <w:bottom w:val="single" w:color="auto" w:sz="4" w:space="0"/>
              <w:right w:val="single" w:color="auto" w:sz="4" w:space="0"/>
            </w:tcBorders>
            <w:shd w:val="clear" w:color="auto" w:fill="auto"/>
            <w:noWrap/>
            <w:vAlign w:val="center"/>
          </w:tcPr>
          <w:p w14:paraId="7AADE0E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650</w:t>
            </w:r>
          </w:p>
        </w:tc>
        <w:tc>
          <w:tcPr>
            <w:tcW w:w="258" w:type="pct"/>
            <w:tcBorders>
              <w:top w:val="nil"/>
              <w:left w:val="nil"/>
              <w:bottom w:val="single" w:color="auto" w:sz="4" w:space="0"/>
              <w:right w:val="single" w:color="auto" w:sz="4" w:space="0"/>
            </w:tcBorders>
            <w:shd w:val="clear" w:color="auto" w:fill="auto"/>
            <w:noWrap/>
            <w:vAlign w:val="center"/>
          </w:tcPr>
          <w:p w14:paraId="10A56A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1800</w:t>
            </w:r>
          </w:p>
        </w:tc>
        <w:tc>
          <w:tcPr>
            <w:tcW w:w="258" w:type="pct"/>
            <w:tcBorders>
              <w:top w:val="nil"/>
              <w:left w:val="nil"/>
              <w:bottom w:val="single" w:color="auto" w:sz="4" w:space="0"/>
              <w:right w:val="single" w:color="auto" w:sz="4" w:space="0"/>
            </w:tcBorders>
            <w:shd w:val="clear" w:color="auto" w:fill="auto"/>
            <w:noWrap/>
            <w:vAlign w:val="center"/>
          </w:tcPr>
          <w:p w14:paraId="5CE0C9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700</w:t>
            </w:r>
          </w:p>
        </w:tc>
        <w:tc>
          <w:tcPr>
            <w:tcW w:w="258" w:type="pct"/>
            <w:tcBorders>
              <w:top w:val="nil"/>
              <w:left w:val="nil"/>
              <w:bottom w:val="single" w:color="auto" w:sz="4" w:space="0"/>
              <w:right w:val="single" w:color="auto" w:sz="4" w:space="0"/>
            </w:tcBorders>
            <w:shd w:val="clear" w:color="auto" w:fill="auto"/>
            <w:noWrap/>
            <w:vAlign w:val="center"/>
          </w:tcPr>
          <w:p w14:paraId="4FDDD58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1200</w:t>
            </w:r>
          </w:p>
        </w:tc>
        <w:tc>
          <w:tcPr>
            <w:tcW w:w="258" w:type="pct"/>
            <w:tcBorders>
              <w:top w:val="nil"/>
              <w:left w:val="nil"/>
              <w:bottom w:val="single" w:color="auto" w:sz="4" w:space="0"/>
              <w:right w:val="single" w:color="auto" w:sz="4" w:space="0"/>
            </w:tcBorders>
            <w:shd w:val="clear" w:color="auto" w:fill="auto"/>
            <w:noWrap/>
            <w:vAlign w:val="center"/>
          </w:tcPr>
          <w:p w14:paraId="5F9092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820</w:t>
            </w:r>
          </w:p>
        </w:tc>
        <w:tc>
          <w:tcPr>
            <w:tcW w:w="258" w:type="pct"/>
            <w:tcBorders>
              <w:top w:val="nil"/>
              <w:left w:val="nil"/>
              <w:bottom w:val="single" w:color="auto" w:sz="4" w:space="0"/>
              <w:right w:val="single" w:color="auto" w:sz="4" w:space="0"/>
            </w:tcBorders>
            <w:shd w:val="clear" w:color="auto" w:fill="auto"/>
            <w:noWrap/>
            <w:vAlign w:val="center"/>
          </w:tcPr>
          <w:p w14:paraId="1FD47A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1100</w:t>
            </w:r>
          </w:p>
        </w:tc>
        <w:tc>
          <w:tcPr>
            <w:tcW w:w="258" w:type="pct"/>
            <w:tcBorders>
              <w:top w:val="nil"/>
              <w:left w:val="nil"/>
              <w:bottom w:val="single" w:color="auto" w:sz="4" w:space="0"/>
              <w:right w:val="single" w:color="auto" w:sz="4" w:space="0"/>
            </w:tcBorders>
            <w:shd w:val="clear" w:color="auto" w:fill="auto"/>
            <w:noWrap/>
            <w:vAlign w:val="center"/>
          </w:tcPr>
          <w:p w14:paraId="24C610A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258" w:type="pct"/>
            <w:tcBorders>
              <w:top w:val="nil"/>
              <w:left w:val="nil"/>
              <w:bottom w:val="single" w:color="auto" w:sz="4" w:space="0"/>
              <w:right w:val="single" w:color="auto" w:sz="4" w:space="0"/>
            </w:tcBorders>
            <w:shd w:val="clear" w:color="auto" w:fill="auto"/>
            <w:noWrap/>
            <w:vAlign w:val="center"/>
          </w:tcPr>
          <w:p w14:paraId="7D5A9E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620</w:t>
            </w:r>
          </w:p>
        </w:tc>
        <w:tc>
          <w:tcPr>
            <w:tcW w:w="258" w:type="pct"/>
            <w:tcBorders>
              <w:top w:val="nil"/>
              <w:left w:val="nil"/>
              <w:bottom w:val="single" w:color="auto" w:sz="4" w:space="0"/>
              <w:right w:val="single" w:color="auto" w:sz="4" w:space="0"/>
            </w:tcBorders>
            <w:shd w:val="clear" w:color="auto" w:fill="auto"/>
            <w:noWrap/>
            <w:vAlign w:val="center"/>
          </w:tcPr>
          <w:p w14:paraId="3D4F23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950</w:t>
            </w:r>
          </w:p>
        </w:tc>
        <w:tc>
          <w:tcPr>
            <w:tcW w:w="350" w:type="pct"/>
            <w:tcBorders>
              <w:top w:val="nil"/>
              <w:left w:val="nil"/>
              <w:bottom w:val="single" w:color="auto" w:sz="4" w:space="0"/>
              <w:right w:val="single" w:color="auto" w:sz="4" w:space="0"/>
            </w:tcBorders>
            <w:shd w:val="clear" w:color="auto" w:fill="auto"/>
            <w:noWrap/>
            <w:vAlign w:val="center"/>
          </w:tcPr>
          <w:p w14:paraId="472E06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1200</w:t>
            </w:r>
          </w:p>
        </w:tc>
        <w:tc>
          <w:tcPr>
            <w:tcW w:w="258" w:type="pct"/>
            <w:tcBorders>
              <w:top w:val="nil"/>
              <w:left w:val="nil"/>
              <w:bottom w:val="single" w:color="auto" w:sz="4" w:space="0"/>
              <w:right w:val="single" w:color="auto" w:sz="4" w:space="0"/>
            </w:tcBorders>
            <w:shd w:val="clear" w:color="auto" w:fill="auto"/>
            <w:noWrap/>
            <w:vAlign w:val="center"/>
          </w:tcPr>
          <w:p w14:paraId="0A3EFD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850</w:t>
            </w:r>
          </w:p>
        </w:tc>
        <w:tc>
          <w:tcPr>
            <w:tcW w:w="258" w:type="pct"/>
            <w:tcBorders>
              <w:top w:val="nil"/>
              <w:left w:val="nil"/>
              <w:bottom w:val="single" w:color="auto" w:sz="4" w:space="0"/>
              <w:right w:val="single" w:color="auto" w:sz="4" w:space="0"/>
            </w:tcBorders>
            <w:shd w:val="clear" w:color="auto" w:fill="auto"/>
            <w:noWrap/>
            <w:vAlign w:val="center"/>
          </w:tcPr>
          <w:p w14:paraId="69453C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550</w:t>
            </w:r>
          </w:p>
        </w:tc>
        <w:tc>
          <w:tcPr>
            <w:tcW w:w="258" w:type="pct"/>
            <w:tcBorders>
              <w:top w:val="nil"/>
              <w:left w:val="nil"/>
              <w:bottom w:val="single" w:color="auto" w:sz="4" w:space="0"/>
              <w:right w:val="single" w:color="auto" w:sz="4" w:space="0"/>
            </w:tcBorders>
            <w:shd w:val="clear" w:color="auto" w:fill="auto"/>
            <w:noWrap/>
            <w:vAlign w:val="center"/>
          </w:tcPr>
          <w:p w14:paraId="66ED3B6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650</w:t>
            </w:r>
          </w:p>
        </w:tc>
        <w:tc>
          <w:tcPr>
            <w:tcW w:w="350" w:type="pct"/>
            <w:tcBorders>
              <w:top w:val="nil"/>
              <w:left w:val="nil"/>
              <w:bottom w:val="single" w:color="auto" w:sz="4" w:space="0"/>
              <w:right w:val="single" w:color="auto" w:sz="4" w:space="0"/>
            </w:tcBorders>
            <w:shd w:val="clear" w:color="auto" w:fill="auto"/>
            <w:noWrap/>
            <w:vAlign w:val="center"/>
          </w:tcPr>
          <w:p w14:paraId="3DD7B45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39A1E2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16390</w:t>
            </w:r>
          </w:p>
        </w:tc>
      </w:tr>
      <w:tr w14:paraId="7CB2B699">
        <w:tblPrEx>
          <w:tblCellMar>
            <w:top w:w="0" w:type="dxa"/>
            <w:left w:w="108" w:type="dxa"/>
            <w:bottom w:w="0" w:type="dxa"/>
            <w:right w:w="108" w:type="dxa"/>
          </w:tblCellMar>
        </w:tblPrEx>
        <w:trPr>
          <w:trHeight w:val="282" w:hRule="atLeast"/>
          <w:jc w:val="center"/>
        </w:trPr>
        <w:tc>
          <w:tcPr>
            <w:tcW w:w="374" w:type="pct"/>
            <w:tcBorders>
              <w:top w:val="nil"/>
              <w:left w:val="single" w:color="auto" w:sz="4" w:space="0"/>
              <w:bottom w:val="single" w:color="auto" w:sz="4" w:space="0"/>
              <w:right w:val="single" w:color="auto" w:sz="4" w:space="0"/>
            </w:tcBorders>
            <w:shd w:val="clear" w:color="000000" w:fill="FFFFFF"/>
            <w:vAlign w:val="center"/>
          </w:tcPr>
          <w:p w14:paraId="735E12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智能安检门</w:t>
            </w:r>
          </w:p>
        </w:tc>
        <w:tc>
          <w:tcPr>
            <w:tcW w:w="258" w:type="pct"/>
            <w:tcBorders>
              <w:top w:val="nil"/>
              <w:left w:val="nil"/>
              <w:bottom w:val="single" w:color="auto" w:sz="4" w:space="0"/>
              <w:right w:val="single" w:color="auto" w:sz="4" w:space="0"/>
            </w:tcBorders>
            <w:shd w:val="clear" w:color="auto" w:fill="auto"/>
            <w:noWrap/>
            <w:vAlign w:val="center"/>
          </w:tcPr>
          <w:p w14:paraId="0284B7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44DF0D5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2B7BA6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77675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1E39CF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DA6C3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7AA656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06612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7BD21C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0C53F7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4995F2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017DE9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0B88EB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7EF2D7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17949D1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4FFAB2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06" w:type="pct"/>
            <w:tcBorders>
              <w:top w:val="nil"/>
              <w:left w:val="nil"/>
              <w:bottom w:val="single" w:color="auto" w:sz="4" w:space="0"/>
              <w:right w:val="single" w:color="auto" w:sz="4" w:space="0"/>
            </w:tcBorders>
            <w:shd w:val="clear" w:color="auto" w:fill="auto"/>
            <w:noWrap/>
            <w:vAlign w:val="center"/>
          </w:tcPr>
          <w:p w14:paraId="4E2461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r>
      <w:tr w14:paraId="3F398B8B">
        <w:tblPrEx>
          <w:tblCellMar>
            <w:top w:w="0" w:type="dxa"/>
            <w:left w:w="108" w:type="dxa"/>
            <w:bottom w:w="0" w:type="dxa"/>
            <w:right w:w="108" w:type="dxa"/>
          </w:tblCellMar>
        </w:tblPrEx>
        <w:trPr>
          <w:trHeight w:val="282" w:hRule="atLeast"/>
          <w:jc w:val="center"/>
        </w:trPr>
        <w:tc>
          <w:tcPr>
            <w:tcW w:w="374" w:type="pct"/>
            <w:tcBorders>
              <w:top w:val="nil"/>
              <w:left w:val="single" w:color="auto" w:sz="4" w:space="0"/>
              <w:bottom w:val="single" w:color="auto" w:sz="4" w:space="0"/>
              <w:right w:val="single" w:color="auto" w:sz="4" w:space="0"/>
            </w:tcBorders>
            <w:shd w:val="clear" w:color="000000" w:fill="FFFFFF"/>
            <w:vAlign w:val="center"/>
          </w:tcPr>
          <w:p w14:paraId="058274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控制台</w:t>
            </w:r>
          </w:p>
        </w:tc>
        <w:tc>
          <w:tcPr>
            <w:tcW w:w="258" w:type="pct"/>
            <w:tcBorders>
              <w:top w:val="nil"/>
              <w:left w:val="nil"/>
              <w:bottom w:val="single" w:color="auto" w:sz="4" w:space="0"/>
              <w:right w:val="single" w:color="auto" w:sz="4" w:space="0"/>
            </w:tcBorders>
            <w:shd w:val="clear" w:color="auto" w:fill="auto"/>
            <w:noWrap/>
            <w:vAlign w:val="center"/>
          </w:tcPr>
          <w:p w14:paraId="303E3D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B199BF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E2A45F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B23018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39A2EB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ECADD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23BDA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B3D4F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EADE06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156BC1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D28A6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4596FF9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ACBDF2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914189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29735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01B36D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306" w:type="pct"/>
            <w:tcBorders>
              <w:top w:val="nil"/>
              <w:left w:val="nil"/>
              <w:bottom w:val="single" w:color="auto" w:sz="4" w:space="0"/>
              <w:right w:val="single" w:color="auto" w:sz="4" w:space="0"/>
            </w:tcBorders>
            <w:shd w:val="clear" w:color="auto" w:fill="auto"/>
            <w:noWrap/>
            <w:vAlign w:val="center"/>
          </w:tcPr>
          <w:p w14:paraId="689051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r>
      <w:tr w14:paraId="017FA9F3">
        <w:tblPrEx>
          <w:tblCellMar>
            <w:top w:w="0" w:type="dxa"/>
            <w:left w:w="108" w:type="dxa"/>
            <w:bottom w:w="0" w:type="dxa"/>
            <w:right w:w="108" w:type="dxa"/>
          </w:tblCellMar>
        </w:tblPrEx>
        <w:trPr>
          <w:trHeight w:val="282" w:hRule="atLeast"/>
          <w:jc w:val="center"/>
        </w:trPr>
        <w:tc>
          <w:tcPr>
            <w:tcW w:w="374" w:type="pct"/>
            <w:tcBorders>
              <w:top w:val="nil"/>
              <w:left w:val="single" w:color="auto" w:sz="4" w:space="0"/>
              <w:bottom w:val="single" w:color="auto" w:sz="4" w:space="0"/>
              <w:right w:val="single" w:color="auto" w:sz="4" w:space="0"/>
            </w:tcBorders>
            <w:shd w:val="clear" w:color="000000" w:fill="FFFFFF"/>
            <w:vAlign w:val="center"/>
          </w:tcPr>
          <w:p w14:paraId="61FEF0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移动硬盘</w:t>
            </w:r>
          </w:p>
        </w:tc>
        <w:tc>
          <w:tcPr>
            <w:tcW w:w="258" w:type="pct"/>
            <w:tcBorders>
              <w:top w:val="nil"/>
              <w:left w:val="nil"/>
              <w:bottom w:val="single" w:color="auto" w:sz="4" w:space="0"/>
              <w:right w:val="single" w:color="auto" w:sz="4" w:space="0"/>
            </w:tcBorders>
            <w:shd w:val="clear" w:color="auto" w:fill="auto"/>
            <w:noWrap/>
            <w:vAlign w:val="center"/>
          </w:tcPr>
          <w:p w14:paraId="068384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06E89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7FBE3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5821A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BACD5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8E98DF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14E150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EBED30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32C7B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D8BB9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0EB843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46E096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45D7FA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4D894E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DAD31A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6B0BC22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06" w:type="pct"/>
            <w:tcBorders>
              <w:top w:val="nil"/>
              <w:left w:val="nil"/>
              <w:bottom w:val="single" w:color="auto" w:sz="4" w:space="0"/>
              <w:right w:val="single" w:color="auto" w:sz="4" w:space="0"/>
            </w:tcBorders>
            <w:shd w:val="clear" w:color="auto" w:fill="auto"/>
            <w:noWrap/>
            <w:vAlign w:val="center"/>
          </w:tcPr>
          <w:p w14:paraId="2CD136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r>
      <w:tr w14:paraId="40B6579B">
        <w:tblPrEx>
          <w:tblCellMar>
            <w:top w:w="0" w:type="dxa"/>
            <w:left w:w="108" w:type="dxa"/>
            <w:bottom w:w="0" w:type="dxa"/>
            <w:right w:w="108" w:type="dxa"/>
          </w:tblCellMar>
        </w:tblPrEx>
        <w:trPr>
          <w:trHeight w:val="282" w:hRule="atLeast"/>
          <w:jc w:val="center"/>
        </w:trPr>
        <w:tc>
          <w:tcPr>
            <w:tcW w:w="374" w:type="pct"/>
            <w:tcBorders>
              <w:top w:val="nil"/>
              <w:left w:val="single" w:color="auto" w:sz="4" w:space="0"/>
              <w:bottom w:val="single" w:color="auto" w:sz="4" w:space="0"/>
              <w:right w:val="single" w:color="auto" w:sz="4" w:space="0"/>
            </w:tcBorders>
            <w:shd w:val="clear" w:color="auto" w:fill="auto"/>
            <w:vAlign w:val="center"/>
          </w:tcPr>
          <w:p w14:paraId="63B1A16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6年专线电路费</w:t>
            </w:r>
          </w:p>
        </w:tc>
        <w:tc>
          <w:tcPr>
            <w:tcW w:w="258" w:type="pct"/>
            <w:tcBorders>
              <w:top w:val="nil"/>
              <w:left w:val="nil"/>
              <w:bottom w:val="single" w:color="auto" w:sz="4" w:space="0"/>
              <w:right w:val="single" w:color="auto" w:sz="4" w:space="0"/>
            </w:tcBorders>
            <w:shd w:val="clear" w:color="auto" w:fill="auto"/>
            <w:noWrap/>
            <w:vAlign w:val="center"/>
          </w:tcPr>
          <w:p w14:paraId="144869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5EB17F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75EB733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BF2B5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AF2C7B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64494D0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785109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0672BB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4C08A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03CC45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D36E94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4D0C32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312950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FEF45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8" w:type="pct"/>
            <w:tcBorders>
              <w:top w:val="nil"/>
              <w:left w:val="nil"/>
              <w:bottom w:val="single" w:color="auto" w:sz="4" w:space="0"/>
              <w:right w:val="single" w:color="auto" w:sz="4" w:space="0"/>
            </w:tcBorders>
            <w:shd w:val="clear" w:color="auto" w:fill="auto"/>
            <w:noWrap/>
            <w:vAlign w:val="center"/>
          </w:tcPr>
          <w:p w14:paraId="21676F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50" w:type="pct"/>
            <w:tcBorders>
              <w:top w:val="nil"/>
              <w:left w:val="nil"/>
              <w:bottom w:val="single" w:color="auto" w:sz="4" w:space="0"/>
              <w:right w:val="single" w:color="auto" w:sz="4" w:space="0"/>
            </w:tcBorders>
            <w:shd w:val="clear" w:color="auto" w:fill="auto"/>
            <w:noWrap/>
            <w:vAlign w:val="center"/>
          </w:tcPr>
          <w:p w14:paraId="0768C0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06" w:type="pct"/>
            <w:tcBorders>
              <w:top w:val="nil"/>
              <w:left w:val="nil"/>
              <w:bottom w:val="single" w:color="auto" w:sz="4" w:space="0"/>
              <w:right w:val="single" w:color="auto" w:sz="4" w:space="0"/>
            </w:tcBorders>
            <w:shd w:val="clear" w:color="auto" w:fill="auto"/>
            <w:noWrap/>
            <w:vAlign w:val="center"/>
          </w:tcPr>
          <w:p w14:paraId="7129C6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r>
    </w:tbl>
    <w:p w14:paraId="3DC7676A">
      <w:pPr>
        <w:rPr>
          <w:rFonts w:ascii="宋体" w:hAnsi="宋体"/>
          <w:color w:val="auto"/>
          <w:szCs w:val="21"/>
          <w:highlight w:val="none"/>
        </w:rPr>
        <w:sectPr>
          <w:pgSz w:w="16838" w:h="11906" w:orient="landscape"/>
          <w:pgMar w:top="1800" w:right="1440" w:bottom="1800" w:left="1440" w:header="851" w:footer="992" w:gutter="0"/>
          <w:cols w:space="425" w:num="1"/>
          <w:docGrid w:type="lines" w:linePitch="490" w:charSpace="0"/>
        </w:sectPr>
      </w:pPr>
    </w:p>
    <w:p w14:paraId="7C048F32">
      <w:pPr>
        <w:numPr>
          <w:ilvl w:val="2"/>
          <w:numId w:val="0"/>
        </w:numPr>
        <w:spacing w:line="360" w:lineRule="auto"/>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1.3.2 建设要求</w:t>
      </w:r>
    </w:p>
    <w:p w14:paraId="4218033C">
      <w:pPr>
        <w:numPr>
          <w:ilvl w:val="3"/>
          <w:numId w:val="0"/>
        </w:numPr>
        <w:spacing w:line="360" w:lineRule="auto"/>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1.3.2.1 标准化考场网上巡查系统建设</w:t>
      </w:r>
    </w:p>
    <w:p w14:paraId="54197CE2">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黄岩区</w:t>
      </w:r>
      <w:r>
        <w:rPr>
          <w:rFonts w:hint="eastAsia" w:ascii="宋体" w:hAnsi="宋体" w:cs="宋体"/>
          <w:color w:val="auto"/>
          <w:szCs w:val="21"/>
          <w:highlight w:val="none"/>
          <w:lang w:val="zh-CN"/>
        </w:rPr>
        <w:t>中考标准化考场建设方案应该满足《国家教育考试网上巡查系统技术规范标准（2017版）》，且采用其中规定的IP模式</w:t>
      </w:r>
      <w:r>
        <w:rPr>
          <w:rFonts w:hint="eastAsia" w:ascii="宋体" w:hAnsi="宋体" w:cs="宋体"/>
          <w:color w:val="auto"/>
          <w:szCs w:val="21"/>
          <w:highlight w:val="none"/>
        </w:rPr>
        <w:t>,整套系统</w:t>
      </w:r>
      <w:r>
        <w:rPr>
          <w:rFonts w:hint="eastAsia" w:ascii="宋体" w:hAnsi="宋体" w:cs="宋体"/>
          <w:color w:val="auto"/>
          <w:szCs w:val="21"/>
          <w:highlight w:val="none"/>
          <w:lang w:val="zh-CN"/>
        </w:rPr>
        <w:t>设备包括SIP三合一设备、硬盘录像机、数字高清半球摄像头</w:t>
      </w:r>
      <w:r>
        <w:rPr>
          <w:rFonts w:hint="eastAsia" w:ascii="宋体" w:hAnsi="宋体" w:cs="宋体"/>
          <w:color w:val="auto"/>
          <w:szCs w:val="21"/>
          <w:highlight w:val="none"/>
        </w:rPr>
        <w:t>等</w:t>
      </w:r>
      <w:r>
        <w:rPr>
          <w:rFonts w:hint="eastAsia" w:ascii="宋体" w:hAnsi="宋体" w:cs="宋体"/>
          <w:color w:val="auto"/>
          <w:szCs w:val="21"/>
          <w:highlight w:val="none"/>
          <w:lang w:val="zh-CN"/>
        </w:rPr>
        <w:t>。</w:t>
      </w:r>
    </w:p>
    <w:p w14:paraId="0E16D997">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系统中的</w:t>
      </w:r>
      <w:r>
        <w:rPr>
          <w:rFonts w:hint="eastAsia" w:ascii="宋体" w:hAnsi="宋体" w:cs="宋体"/>
          <w:color w:val="auto"/>
          <w:szCs w:val="21"/>
          <w:highlight w:val="none"/>
          <w:lang w:val="zh-CN"/>
        </w:rPr>
        <w:t>视频编解码应符合《国家教育考试网上巡查系统视频标准技术规范》（2017版）规定的H.264/MPEG-4视频编码标准，支持MPEGLayerII、G711/AAC音频编码标准，并支持PS系统流和TS传输流的封装，能够和</w:t>
      </w:r>
      <w:r>
        <w:rPr>
          <w:rFonts w:hint="eastAsia" w:ascii="宋体" w:hAnsi="宋体" w:cs="宋体"/>
          <w:b/>
          <w:bCs/>
          <w:color w:val="auto"/>
          <w:szCs w:val="21"/>
          <w:highlight w:val="none"/>
          <w:lang w:val="zh-CN"/>
        </w:rPr>
        <w:t>现有已建高考各级指挥平台、现有各级建设完成的高清标准化考点系统平台系统互联互通</w:t>
      </w:r>
      <w:r>
        <w:rPr>
          <w:rFonts w:hint="eastAsia" w:ascii="宋体" w:hAnsi="宋体" w:cs="宋体"/>
          <w:color w:val="auto"/>
          <w:szCs w:val="21"/>
          <w:highlight w:val="none"/>
          <w:lang w:val="zh-CN"/>
        </w:rPr>
        <w:t>，实现对视频图像的实时图像点播、远程控制、存储和备份、历史图像的检索和回放、报警联动、与其它系统的数据接口、音视频实时流的双向编解码、系统的人机交互、用户与权限管理、网络与设备管理、网络信息安全管理、统一命名规则等功能，实现集中统一管理。实现县指挥中心核心平台对考点考场前端设备和编解码设备统一管理，实现考点考场视频监控信息</w:t>
      </w:r>
      <w:r>
        <w:rPr>
          <w:rFonts w:hint="eastAsia" w:ascii="宋体" w:hAnsi="宋体" w:cs="宋体"/>
          <w:color w:val="auto"/>
          <w:szCs w:val="21"/>
          <w:highlight w:val="none"/>
        </w:rPr>
        <w:t>实时</w:t>
      </w:r>
      <w:r>
        <w:rPr>
          <w:rFonts w:hint="eastAsia" w:ascii="宋体" w:hAnsi="宋体" w:cs="宋体"/>
          <w:color w:val="auto"/>
          <w:szCs w:val="21"/>
          <w:highlight w:val="none"/>
          <w:lang w:val="zh-CN"/>
        </w:rPr>
        <w:t>传送到各级指挥中心。</w:t>
      </w:r>
    </w:p>
    <w:p w14:paraId="5970EE35">
      <w:pPr>
        <w:numPr>
          <w:ilvl w:val="3"/>
          <w:numId w:val="0"/>
        </w:numPr>
        <w:spacing w:line="360" w:lineRule="auto"/>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1.3.2.2 作弊防控系统建设</w:t>
      </w:r>
    </w:p>
    <w:p w14:paraId="4336D960">
      <w:pPr>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rPr>
        <w:t>作弊防控系统作为国家教育考试标准化考场建设工作的重要组成部分（依照国家教育考试标准化考场的建设）。本系统包括屏蔽阻断器等设备，以电子与信息技术为基础，综合使用无线电磁环境侦测技术、电子对抗技术、通讯信号分析技术、自适应信号内容提取技术、阻断信号生成技术、多媒体技术、信号处理技术等多种高新技术，对无线电作弊行为进行防范与抑制，实现“全频段动态侦测、瞬间捕获、实时有效的干扰和阻断、信息多级互联互通”。系统具体多级互联互通、应用无缝集成、管理集成智能可视化的技术特色。可通过考务管理平台实时的对考场作弊情况进行联网上报、将上级指挥平台对考点的指令下达，并能够在平台中对上报的各种作弊信息进行集中存储、分析、呈现和处置，极大的提高了各类考试中监考人员及指挥人员的工作效率，同时也强有力的保证了考试的公平和公正。</w:t>
      </w:r>
    </w:p>
    <w:p w14:paraId="6FC78C6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1.3.2.3 详细技术参数要求</w:t>
      </w:r>
    </w:p>
    <w:p w14:paraId="1A8FA2FB">
      <w:pPr>
        <w:rPr>
          <w:color w:val="auto"/>
          <w:highlight w:val="none"/>
        </w:rPr>
      </w:pPr>
      <w:r>
        <w:rPr>
          <w:rFonts w:hint="eastAsia" w:ascii="宋体" w:hAnsi="宋体" w:cs="宋体"/>
          <w:b/>
          <w:color w:val="auto"/>
          <w:szCs w:val="21"/>
          <w:highlight w:val="none"/>
        </w:rPr>
        <w:br w:type="page"/>
      </w:r>
    </w:p>
    <w:tbl>
      <w:tblPr>
        <w:tblStyle w:val="23"/>
        <w:tblW w:w="9750" w:type="dxa"/>
        <w:tblInd w:w="-633" w:type="dxa"/>
        <w:tblLayout w:type="fixed"/>
        <w:tblCellMar>
          <w:top w:w="0" w:type="dxa"/>
          <w:left w:w="108" w:type="dxa"/>
          <w:bottom w:w="0" w:type="dxa"/>
          <w:right w:w="108" w:type="dxa"/>
        </w:tblCellMar>
      </w:tblPr>
      <w:tblGrid>
        <w:gridCol w:w="657"/>
        <w:gridCol w:w="1143"/>
        <w:gridCol w:w="5810"/>
        <w:gridCol w:w="922"/>
        <w:gridCol w:w="581"/>
        <w:gridCol w:w="637"/>
      </w:tblGrid>
      <w:tr w14:paraId="50D34402">
        <w:tblPrEx>
          <w:tblCellMar>
            <w:top w:w="0" w:type="dxa"/>
            <w:left w:w="108" w:type="dxa"/>
            <w:bottom w:w="0" w:type="dxa"/>
            <w:right w:w="108" w:type="dxa"/>
          </w:tblCellMar>
        </w:tblPrEx>
        <w:trPr>
          <w:trHeight w:val="258"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14:paraId="30A658E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143" w:type="dxa"/>
            <w:tcBorders>
              <w:top w:val="single" w:color="auto" w:sz="4" w:space="0"/>
              <w:left w:val="nil"/>
              <w:bottom w:val="single" w:color="auto" w:sz="4" w:space="0"/>
              <w:right w:val="single" w:color="auto" w:sz="4" w:space="0"/>
            </w:tcBorders>
            <w:shd w:val="clear" w:color="auto" w:fill="auto"/>
            <w:vAlign w:val="center"/>
          </w:tcPr>
          <w:p w14:paraId="6038818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名称</w:t>
            </w:r>
          </w:p>
        </w:tc>
        <w:tc>
          <w:tcPr>
            <w:tcW w:w="5810" w:type="dxa"/>
            <w:tcBorders>
              <w:top w:val="single" w:color="auto" w:sz="4" w:space="0"/>
              <w:left w:val="nil"/>
              <w:bottom w:val="single" w:color="auto" w:sz="4" w:space="0"/>
              <w:right w:val="single" w:color="auto" w:sz="4" w:space="0"/>
            </w:tcBorders>
            <w:shd w:val="clear" w:color="auto" w:fill="auto"/>
            <w:vAlign w:val="center"/>
          </w:tcPr>
          <w:p w14:paraId="76C9C66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招标参数</w:t>
            </w:r>
          </w:p>
        </w:tc>
        <w:tc>
          <w:tcPr>
            <w:tcW w:w="922" w:type="dxa"/>
            <w:tcBorders>
              <w:top w:val="single" w:color="auto" w:sz="4" w:space="0"/>
              <w:left w:val="nil"/>
              <w:bottom w:val="single" w:color="auto" w:sz="4" w:space="0"/>
              <w:right w:val="single" w:color="auto" w:sz="4" w:space="0"/>
            </w:tcBorders>
            <w:shd w:val="clear" w:color="auto" w:fill="auto"/>
            <w:vAlign w:val="center"/>
          </w:tcPr>
          <w:p w14:paraId="3CD791BD">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581" w:type="dxa"/>
            <w:tcBorders>
              <w:top w:val="single" w:color="auto" w:sz="4" w:space="0"/>
              <w:left w:val="nil"/>
              <w:bottom w:val="single" w:color="auto" w:sz="4" w:space="0"/>
              <w:right w:val="single" w:color="auto" w:sz="4" w:space="0"/>
            </w:tcBorders>
            <w:shd w:val="clear" w:color="auto" w:fill="auto"/>
            <w:vAlign w:val="center"/>
          </w:tcPr>
          <w:p w14:paraId="30B0E7AB">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637" w:type="dxa"/>
            <w:tcBorders>
              <w:top w:val="single" w:color="auto" w:sz="4" w:space="0"/>
              <w:left w:val="nil"/>
              <w:bottom w:val="single" w:color="auto" w:sz="4" w:space="0"/>
              <w:right w:val="single" w:color="auto" w:sz="4" w:space="0"/>
            </w:tcBorders>
            <w:shd w:val="clear" w:color="auto" w:fill="auto"/>
            <w:vAlign w:val="center"/>
          </w:tcPr>
          <w:p w14:paraId="251B0D1B">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5D2AA5E7">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10CCED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143" w:type="dxa"/>
            <w:tcBorders>
              <w:top w:val="nil"/>
              <w:left w:val="nil"/>
              <w:bottom w:val="single" w:color="auto" w:sz="4" w:space="0"/>
              <w:right w:val="single" w:color="auto" w:sz="4" w:space="0"/>
            </w:tcBorders>
            <w:shd w:val="clear" w:color="auto" w:fill="auto"/>
            <w:vAlign w:val="center"/>
          </w:tcPr>
          <w:p w14:paraId="6AA4A7F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数字高清半球摄像头</w:t>
            </w:r>
          </w:p>
        </w:tc>
        <w:tc>
          <w:tcPr>
            <w:tcW w:w="5810" w:type="dxa"/>
            <w:tcBorders>
              <w:top w:val="nil"/>
              <w:left w:val="nil"/>
              <w:bottom w:val="single" w:color="auto" w:sz="4" w:space="0"/>
              <w:right w:val="single" w:color="auto" w:sz="4" w:space="0"/>
            </w:tcBorders>
            <w:shd w:val="clear" w:color="auto" w:fill="auto"/>
            <w:vAlign w:val="center"/>
          </w:tcPr>
          <w:p w14:paraId="6773534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1.符合《国家教育考试网上巡查系统视频标准技术规范（2017版）》技术要求，符合《公共安全视频监控联网信息安全技术要求》GB35114-2017标准；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2.图像传感器：1/2.7英寸CMOS；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3.水平分辨率：1920*1080；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4.水平视角：水平视场角，视场角≥100°；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5.最低照度：0.01Lux（F1.2）；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高清升级支持H.264、H.265视频编码标准，图像分辨率应支持主码流1080P，子码流支持720P。支持G.711、AAC音频编码标准，并支持ProgramStream系统流和TransitionStream传输流的封装。H.264的具体要求符合ISO/IEC14496-10高级视频编码AVC标准；H.265的具体要求符合ITU-T制定的视频编码HEVC标准；G.711的具体要求符合ITU-TG.711标准；AAC的具体要求符合ISO14496-3Audio标准；ProgramStream系统流和TransitionStream传输流的封装标准应遵照ISO/IEC-13818-1(2000版本)的具体规定；</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7.镜头：2.8mm定焦镜头；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8.红外照射：红外照射距离可达10-30米；</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9.自动背光补偿、自动跟踪白平衡、支持日夜转换；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10.视频输出：10/100M以太网接口(RJ45接口)。可通过三个IE浏览器分别同时浏览主码1920×1080(25fps)、子码流704×576(25fps)、第三码流1920x1080(25fps)的视频图像；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11.电源：DC12V，支持POE供电；</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12.外壳防暴力破坏；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★13.内置拾音器（提供具有CMA和CNAS资质的国家权威机构出具的检测报告）；</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★14.产品内置SIP-UA（提供具有CMA和CNAS资质的国家权威机构出具的检测报告）；</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★15.内置符合国密SM1/SM2/SM3/SM4算法的密码芯片（提供具有CMA和CNAS资质的国家权威机构出具的检测报告）。</w:t>
            </w:r>
          </w:p>
        </w:tc>
        <w:tc>
          <w:tcPr>
            <w:tcW w:w="922" w:type="dxa"/>
            <w:tcBorders>
              <w:top w:val="nil"/>
              <w:left w:val="nil"/>
              <w:bottom w:val="single" w:color="auto" w:sz="4" w:space="0"/>
              <w:right w:val="single" w:color="auto" w:sz="4" w:space="0"/>
            </w:tcBorders>
            <w:shd w:val="clear" w:color="auto" w:fill="auto"/>
            <w:noWrap/>
            <w:vAlign w:val="center"/>
          </w:tcPr>
          <w:p w14:paraId="1777B5B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330</w:t>
            </w:r>
          </w:p>
        </w:tc>
        <w:tc>
          <w:tcPr>
            <w:tcW w:w="581" w:type="dxa"/>
            <w:tcBorders>
              <w:top w:val="nil"/>
              <w:left w:val="nil"/>
              <w:bottom w:val="single" w:color="auto" w:sz="4" w:space="0"/>
              <w:right w:val="single" w:color="auto" w:sz="4" w:space="0"/>
            </w:tcBorders>
            <w:shd w:val="clear" w:color="auto" w:fill="auto"/>
            <w:noWrap/>
            <w:vAlign w:val="center"/>
          </w:tcPr>
          <w:p w14:paraId="0BA368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637" w:type="dxa"/>
            <w:tcBorders>
              <w:top w:val="nil"/>
              <w:left w:val="nil"/>
              <w:bottom w:val="single" w:color="auto" w:sz="4" w:space="0"/>
              <w:right w:val="single" w:color="auto" w:sz="4" w:space="0"/>
            </w:tcBorders>
            <w:shd w:val="clear" w:color="auto" w:fill="auto"/>
            <w:noWrap/>
            <w:vAlign w:val="center"/>
          </w:tcPr>
          <w:p w14:paraId="11C95E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95BFD53">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523378C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143" w:type="dxa"/>
            <w:tcBorders>
              <w:top w:val="nil"/>
              <w:left w:val="nil"/>
              <w:bottom w:val="single" w:color="auto" w:sz="4" w:space="0"/>
              <w:right w:val="single" w:color="auto" w:sz="4" w:space="0"/>
            </w:tcBorders>
            <w:shd w:val="clear" w:color="auto" w:fill="auto"/>
            <w:vAlign w:val="center"/>
          </w:tcPr>
          <w:p w14:paraId="01C6711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硬盘录像机（64路）</w:t>
            </w:r>
          </w:p>
        </w:tc>
        <w:tc>
          <w:tcPr>
            <w:tcW w:w="5810" w:type="dxa"/>
            <w:tcBorders>
              <w:top w:val="nil"/>
              <w:left w:val="nil"/>
              <w:bottom w:val="single" w:color="auto" w:sz="4" w:space="0"/>
              <w:right w:val="single" w:color="auto" w:sz="4" w:space="0"/>
            </w:tcBorders>
            <w:shd w:val="clear" w:color="auto" w:fill="auto"/>
            <w:vAlign w:val="center"/>
          </w:tcPr>
          <w:p w14:paraId="4342A0D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1.符合《国家教育考试网上巡查系统视频标准技术规范（2017版）》技术要求；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2.符合《公共安全视频监控联网信息安全技术要求》GB35114-2017标准；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3.支持网络64路1080P视频输入及IPC复合音频输入；</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可支持扩展不少于8个SATA接口（可热插拔），支持Raid0、Raid1、Raid5、Raid6、Raid10、JBOD等多种数据模。支持USB本地备份、USBDVD刻录机备份、eSata接口同步备份、Web端网络下载备份，支持8块以上8T容量的SATA硬盘，可用于录像和备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可支持扩展不少于4个RJ4510/100/1000Mbps自适应以太网口。支持负载均衡和四网分离，支持容错模式，可将4个网络接口绑定为1个IP地址．当其中1个网络接口损坏时仍能正常工作，支持不少于2个千兆光口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具有RS232、RS485、USB、SATA、以太网、报警输入输出接口、音频输入输出接口、HDMI接口，可扩展支持VGA、BNC及eSATA接口；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4.设备应有数字时钟显示（OSD）功能；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录像功能应包括手动、定时、报警触发录像功能。应支持时间同步功能，支持网络时间协议（NTP）。设备应具有日志功能，并且提供日志启用／关闭／控制接口。日志可存储在本地设备，也可以存储在中心日志服务器上。当日志存储在本地时，日志内容应包括模块名称、时间、描述信息；当存储到中心时，应再加上详细的位置信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6.支持IP单播技术；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7.应具有可设定的点对点、点对多点传输能力；多通道设备应支持多点对一点或多点对多点的切换控制功能；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8.具有视频移动侦测能力，可根据设置策略实现相应的编码、传输、存储或视频报警；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9.在重要场所或特殊应用时，应具有设备认证功能、防篡改功能及加密传输能力；</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★10.产品内置SIP-UA；（提供具有CMA或CNAS资质的国家权威机构出具的检测报告）；</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11.采用嵌入式架构，国产CPU，具备实时Linux操作系统，自主可控，具有抗病毒和抗攻击能力；</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★12.内置符合国密SM1/SM2/SM3/SM4算法的密码芯片（提供具有CMA或CNAS资质的国家权威机构出具的检测报告）；</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★13.供应商所投产品须通过节能产品认证，并提供中国质量中心认证的节能证书；</w:t>
            </w:r>
          </w:p>
        </w:tc>
        <w:tc>
          <w:tcPr>
            <w:tcW w:w="922" w:type="dxa"/>
            <w:tcBorders>
              <w:top w:val="nil"/>
              <w:left w:val="nil"/>
              <w:bottom w:val="single" w:color="auto" w:sz="4" w:space="0"/>
              <w:right w:val="single" w:color="auto" w:sz="4" w:space="0"/>
            </w:tcBorders>
            <w:shd w:val="clear" w:color="auto" w:fill="auto"/>
            <w:noWrap/>
            <w:vAlign w:val="center"/>
          </w:tcPr>
          <w:p w14:paraId="5CC2CA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581" w:type="dxa"/>
            <w:tcBorders>
              <w:top w:val="nil"/>
              <w:left w:val="nil"/>
              <w:bottom w:val="single" w:color="auto" w:sz="4" w:space="0"/>
              <w:right w:val="single" w:color="auto" w:sz="4" w:space="0"/>
            </w:tcBorders>
            <w:shd w:val="clear" w:color="auto" w:fill="auto"/>
            <w:noWrap/>
            <w:vAlign w:val="center"/>
          </w:tcPr>
          <w:p w14:paraId="0247B5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637" w:type="dxa"/>
            <w:tcBorders>
              <w:top w:val="nil"/>
              <w:left w:val="nil"/>
              <w:bottom w:val="single" w:color="auto" w:sz="4" w:space="0"/>
              <w:right w:val="single" w:color="auto" w:sz="4" w:space="0"/>
            </w:tcBorders>
            <w:shd w:val="clear" w:color="auto" w:fill="auto"/>
            <w:noWrap/>
            <w:vAlign w:val="center"/>
          </w:tcPr>
          <w:p w14:paraId="36BC1F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4E0DD0E">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7D42126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143" w:type="dxa"/>
            <w:tcBorders>
              <w:top w:val="nil"/>
              <w:left w:val="nil"/>
              <w:bottom w:val="single" w:color="auto" w:sz="4" w:space="0"/>
              <w:right w:val="single" w:color="auto" w:sz="4" w:space="0"/>
            </w:tcBorders>
            <w:shd w:val="clear" w:color="auto" w:fill="auto"/>
            <w:vAlign w:val="center"/>
          </w:tcPr>
          <w:p w14:paraId="05D1FA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硬盘8T</w:t>
            </w:r>
          </w:p>
        </w:tc>
        <w:tc>
          <w:tcPr>
            <w:tcW w:w="5810" w:type="dxa"/>
            <w:tcBorders>
              <w:top w:val="nil"/>
              <w:left w:val="nil"/>
              <w:bottom w:val="single" w:color="auto" w:sz="4" w:space="0"/>
              <w:right w:val="single" w:color="auto" w:sz="4" w:space="0"/>
            </w:tcBorders>
            <w:shd w:val="clear" w:color="auto" w:fill="auto"/>
            <w:noWrap/>
            <w:vAlign w:val="center"/>
          </w:tcPr>
          <w:p w14:paraId="21DD76D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8T/7200转/64M/接口类型sata</w:t>
            </w:r>
          </w:p>
        </w:tc>
        <w:tc>
          <w:tcPr>
            <w:tcW w:w="922" w:type="dxa"/>
            <w:tcBorders>
              <w:top w:val="nil"/>
              <w:left w:val="nil"/>
              <w:bottom w:val="single" w:color="auto" w:sz="4" w:space="0"/>
              <w:right w:val="single" w:color="auto" w:sz="4" w:space="0"/>
            </w:tcBorders>
            <w:shd w:val="clear" w:color="auto" w:fill="auto"/>
            <w:noWrap/>
            <w:vAlign w:val="center"/>
          </w:tcPr>
          <w:p w14:paraId="02F507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120</w:t>
            </w:r>
          </w:p>
        </w:tc>
        <w:tc>
          <w:tcPr>
            <w:tcW w:w="581" w:type="dxa"/>
            <w:tcBorders>
              <w:top w:val="nil"/>
              <w:left w:val="nil"/>
              <w:bottom w:val="single" w:color="auto" w:sz="4" w:space="0"/>
              <w:right w:val="single" w:color="auto" w:sz="4" w:space="0"/>
            </w:tcBorders>
            <w:shd w:val="clear" w:color="auto" w:fill="auto"/>
            <w:noWrap/>
            <w:vAlign w:val="center"/>
          </w:tcPr>
          <w:p w14:paraId="47C284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块</w:t>
            </w:r>
          </w:p>
        </w:tc>
        <w:tc>
          <w:tcPr>
            <w:tcW w:w="637" w:type="dxa"/>
            <w:tcBorders>
              <w:top w:val="nil"/>
              <w:left w:val="nil"/>
              <w:bottom w:val="single" w:color="auto" w:sz="4" w:space="0"/>
              <w:right w:val="single" w:color="auto" w:sz="4" w:space="0"/>
            </w:tcBorders>
            <w:shd w:val="clear" w:color="auto" w:fill="auto"/>
            <w:noWrap/>
            <w:vAlign w:val="center"/>
          </w:tcPr>
          <w:p w14:paraId="25C29C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D884D02">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443DA4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143" w:type="dxa"/>
            <w:tcBorders>
              <w:top w:val="nil"/>
              <w:left w:val="nil"/>
              <w:bottom w:val="single" w:color="auto" w:sz="4" w:space="0"/>
              <w:right w:val="single" w:color="auto" w:sz="4" w:space="0"/>
            </w:tcBorders>
            <w:shd w:val="clear" w:color="000000" w:fill="FFFFFF"/>
            <w:vAlign w:val="center"/>
          </w:tcPr>
          <w:p w14:paraId="056070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SIP 三合一转发设备</w:t>
            </w:r>
          </w:p>
        </w:tc>
        <w:tc>
          <w:tcPr>
            <w:tcW w:w="5810" w:type="dxa"/>
            <w:tcBorders>
              <w:top w:val="nil"/>
              <w:left w:val="nil"/>
              <w:bottom w:val="single" w:color="auto" w:sz="4" w:space="0"/>
              <w:right w:val="single" w:color="auto" w:sz="4" w:space="0"/>
            </w:tcBorders>
            <w:shd w:val="clear" w:color="auto" w:fill="auto"/>
            <w:vAlign w:val="center"/>
          </w:tcPr>
          <w:p w14:paraId="689B0DB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1.符合H.264、H.265视频编码标准，图像分辨率支持720P和1080P并可选。支持扩展G.711和AAC音频编码标准，并支持ProgramStream系统流和TransitionStream传输流的封装；</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2.支持TCP/IP协议，支持动态和静态IP模式，支持动态主机分配协议（DHCP）和以太网点对点通信协议（PPPOE），扩展支持SIP、RTP、RTCP等网络协议；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3.具有媒体流的分发功能。支持点播、组播及广播。同一时间分发路数不少于80路并可扩展；</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4.具有1000M或以上的以太网接口；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5.支持IPV6；</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★6.采用嵌入式架构，国产嵌入式CPU，具备实时开源Linux操作系统，自主可控(投标时提供满足该功能参数的具有CMA或ilAC-MRA或CNAS标识的第三方检测机构出具的检测报告，编入投标文件中)；</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★7.内置符合国密SM1/SM2/SM3/SM4算法的密码芯片，密码芯片与设备连接方式为非插拔方式(投标时提供满足该功能参数的具有CMA或ilAC-MRA或CNAS标识的第三方检测机构出具的检测报告，编入投标文件中)；</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★8.不采用OEM产品，投标时提供产品的中国质量中心认证的CCC认证证书。</w:t>
            </w:r>
          </w:p>
        </w:tc>
        <w:tc>
          <w:tcPr>
            <w:tcW w:w="922" w:type="dxa"/>
            <w:tcBorders>
              <w:top w:val="nil"/>
              <w:left w:val="nil"/>
              <w:bottom w:val="single" w:color="auto" w:sz="4" w:space="0"/>
              <w:right w:val="single" w:color="auto" w:sz="4" w:space="0"/>
            </w:tcBorders>
            <w:shd w:val="clear" w:color="auto" w:fill="auto"/>
            <w:noWrap/>
            <w:vAlign w:val="center"/>
          </w:tcPr>
          <w:p w14:paraId="1D3EB7B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581" w:type="dxa"/>
            <w:tcBorders>
              <w:top w:val="nil"/>
              <w:left w:val="nil"/>
              <w:bottom w:val="single" w:color="auto" w:sz="4" w:space="0"/>
              <w:right w:val="single" w:color="auto" w:sz="4" w:space="0"/>
            </w:tcBorders>
            <w:shd w:val="clear" w:color="auto" w:fill="auto"/>
            <w:noWrap/>
            <w:vAlign w:val="center"/>
          </w:tcPr>
          <w:p w14:paraId="5891C7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637" w:type="dxa"/>
            <w:tcBorders>
              <w:top w:val="nil"/>
              <w:left w:val="nil"/>
              <w:bottom w:val="single" w:color="auto" w:sz="4" w:space="0"/>
              <w:right w:val="single" w:color="auto" w:sz="4" w:space="0"/>
            </w:tcBorders>
            <w:shd w:val="clear" w:color="auto" w:fill="auto"/>
            <w:noWrap/>
            <w:vAlign w:val="center"/>
          </w:tcPr>
          <w:p w14:paraId="540A416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979B7F1">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27F431F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143" w:type="dxa"/>
            <w:tcBorders>
              <w:top w:val="nil"/>
              <w:left w:val="nil"/>
              <w:bottom w:val="single" w:color="auto" w:sz="4" w:space="0"/>
              <w:right w:val="single" w:color="auto" w:sz="4" w:space="0"/>
            </w:tcBorders>
            <w:shd w:val="clear" w:color="auto" w:fill="auto"/>
            <w:vAlign w:val="center"/>
          </w:tcPr>
          <w:p w14:paraId="7E54E7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教育考试网上巡查系统软件</w:t>
            </w:r>
          </w:p>
        </w:tc>
        <w:tc>
          <w:tcPr>
            <w:tcW w:w="5810" w:type="dxa"/>
            <w:tcBorders>
              <w:top w:val="nil"/>
              <w:left w:val="nil"/>
              <w:bottom w:val="single" w:color="auto" w:sz="4" w:space="0"/>
              <w:right w:val="single" w:color="auto" w:sz="4" w:space="0"/>
            </w:tcBorders>
            <w:shd w:val="clear" w:color="auto" w:fill="auto"/>
            <w:vAlign w:val="center"/>
          </w:tcPr>
          <w:p w14:paraId="27FF1FA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1.符合《国家教育考试网上巡查系统视频标准技术规范（2017版）》；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实现监控点音视频点播、历史音视频流的检索与回放、对考生的人脸识别、对考场内异常轨迹的检测并发出警告、存储和备份、报警联动、切换、轮巡、设备控制等功能，对网上巡查系统的用户、权限、设备、安全等进行管理。管理SIP域，形成URI树，配置SIP注册服务器，并提供音视频存储、转发、Web等服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3.提供二次开发接口，特别是与考务综合管理平台的接口以进行数据交互，允许第三方软件对其进行链接启动、嵌入管理。</w:t>
            </w:r>
          </w:p>
        </w:tc>
        <w:tc>
          <w:tcPr>
            <w:tcW w:w="922" w:type="dxa"/>
            <w:tcBorders>
              <w:top w:val="nil"/>
              <w:left w:val="nil"/>
              <w:bottom w:val="single" w:color="auto" w:sz="4" w:space="0"/>
              <w:right w:val="single" w:color="auto" w:sz="4" w:space="0"/>
            </w:tcBorders>
            <w:shd w:val="clear" w:color="auto" w:fill="auto"/>
            <w:noWrap/>
            <w:vAlign w:val="center"/>
          </w:tcPr>
          <w:p w14:paraId="2741EAF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581" w:type="dxa"/>
            <w:tcBorders>
              <w:top w:val="nil"/>
              <w:left w:val="nil"/>
              <w:bottom w:val="single" w:color="auto" w:sz="4" w:space="0"/>
              <w:right w:val="single" w:color="auto" w:sz="4" w:space="0"/>
            </w:tcBorders>
            <w:shd w:val="clear" w:color="auto" w:fill="auto"/>
            <w:noWrap/>
            <w:vAlign w:val="center"/>
          </w:tcPr>
          <w:p w14:paraId="5BD016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637" w:type="dxa"/>
            <w:tcBorders>
              <w:top w:val="nil"/>
              <w:left w:val="nil"/>
              <w:bottom w:val="single" w:color="auto" w:sz="4" w:space="0"/>
              <w:right w:val="single" w:color="auto" w:sz="4" w:space="0"/>
            </w:tcBorders>
            <w:shd w:val="clear" w:color="auto" w:fill="auto"/>
            <w:noWrap/>
            <w:vAlign w:val="center"/>
          </w:tcPr>
          <w:p w14:paraId="6F59E6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1B71B96">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500B82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143" w:type="dxa"/>
            <w:tcBorders>
              <w:top w:val="nil"/>
              <w:left w:val="nil"/>
              <w:bottom w:val="single" w:color="auto" w:sz="4" w:space="0"/>
              <w:right w:val="single" w:color="auto" w:sz="4" w:space="0"/>
            </w:tcBorders>
            <w:shd w:val="clear" w:color="auto" w:fill="auto"/>
            <w:vAlign w:val="center"/>
          </w:tcPr>
          <w:p w14:paraId="4F73DFA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65寸显示设备（含壁挂支架）</w:t>
            </w:r>
          </w:p>
        </w:tc>
        <w:tc>
          <w:tcPr>
            <w:tcW w:w="5810" w:type="dxa"/>
            <w:tcBorders>
              <w:top w:val="nil"/>
              <w:left w:val="nil"/>
              <w:bottom w:val="single" w:color="auto" w:sz="4" w:space="0"/>
              <w:right w:val="single" w:color="auto" w:sz="4" w:space="0"/>
            </w:tcBorders>
            <w:shd w:val="clear" w:color="auto" w:fill="auto"/>
            <w:vAlign w:val="center"/>
          </w:tcPr>
          <w:p w14:paraId="081F770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1.分辨率≥3840*2160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2.屏占比97%</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3.响应时间:8ms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4.对比度≥1200:1</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5.色域(NTSC)≥93%</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6.背光源Mini-LED</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7.刷新率≥60HZ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8.亮度≥800尼特</w:t>
            </w:r>
          </w:p>
        </w:tc>
        <w:tc>
          <w:tcPr>
            <w:tcW w:w="922" w:type="dxa"/>
            <w:tcBorders>
              <w:top w:val="nil"/>
              <w:left w:val="nil"/>
              <w:bottom w:val="single" w:color="auto" w:sz="4" w:space="0"/>
              <w:right w:val="single" w:color="auto" w:sz="4" w:space="0"/>
            </w:tcBorders>
            <w:shd w:val="clear" w:color="auto" w:fill="auto"/>
            <w:noWrap/>
            <w:vAlign w:val="center"/>
          </w:tcPr>
          <w:p w14:paraId="0B4778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581" w:type="dxa"/>
            <w:tcBorders>
              <w:top w:val="nil"/>
              <w:left w:val="nil"/>
              <w:bottom w:val="single" w:color="auto" w:sz="4" w:space="0"/>
              <w:right w:val="single" w:color="auto" w:sz="4" w:space="0"/>
            </w:tcBorders>
            <w:shd w:val="clear" w:color="auto" w:fill="auto"/>
            <w:noWrap/>
            <w:vAlign w:val="center"/>
          </w:tcPr>
          <w:p w14:paraId="3E14A73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637" w:type="dxa"/>
            <w:tcBorders>
              <w:top w:val="nil"/>
              <w:left w:val="nil"/>
              <w:bottom w:val="single" w:color="auto" w:sz="4" w:space="0"/>
              <w:right w:val="single" w:color="auto" w:sz="4" w:space="0"/>
            </w:tcBorders>
            <w:shd w:val="clear" w:color="auto" w:fill="auto"/>
            <w:noWrap/>
            <w:vAlign w:val="center"/>
          </w:tcPr>
          <w:p w14:paraId="591AA8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7B121A2">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1F678F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143" w:type="dxa"/>
            <w:tcBorders>
              <w:top w:val="nil"/>
              <w:left w:val="nil"/>
              <w:bottom w:val="single" w:color="auto" w:sz="4" w:space="0"/>
              <w:right w:val="single" w:color="auto" w:sz="4" w:space="0"/>
            </w:tcBorders>
            <w:shd w:val="clear" w:color="auto" w:fill="auto"/>
            <w:vAlign w:val="center"/>
          </w:tcPr>
          <w:p w14:paraId="4CEC92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高清线</w:t>
            </w:r>
          </w:p>
        </w:tc>
        <w:tc>
          <w:tcPr>
            <w:tcW w:w="5810" w:type="dxa"/>
            <w:tcBorders>
              <w:top w:val="nil"/>
              <w:left w:val="nil"/>
              <w:bottom w:val="single" w:color="auto" w:sz="4" w:space="0"/>
              <w:right w:val="single" w:color="auto" w:sz="4" w:space="0"/>
            </w:tcBorders>
            <w:shd w:val="clear" w:color="auto" w:fill="auto"/>
            <w:noWrap/>
            <w:vAlign w:val="center"/>
          </w:tcPr>
          <w:p w14:paraId="2CD54AA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15米，HDMI线</w:t>
            </w:r>
          </w:p>
        </w:tc>
        <w:tc>
          <w:tcPr>
            <w:tcW w:w="922" w:type="dxa"/>
            <w:tcBorders>
              <w:top w:val="nil"/>
              <w:left w:val="nil"/>
              <w:bottom w:val="single" w:color="auto" w:sz="4" w:space="0"/>
              <w:right w:val="single" w:color="auto" w:sz="4" w:space="0"/>
            </w:tcBorders>
            <w:shd w:val="clear" w:color="auto" w:fill="auto"/>
            <w:noWrap/>
            <w:vAlign w:val="center"/>
          </w:tcPr>
          <w:p w14:paraId="5CB64C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581" w:type="dxa"/>
            <w:tcBorders>
              <w:top w:val="nil"/>
              <w:left w:val="nil"/>
              <w:bottom w:val="single" w:color="auto" w:sz="4" w:space="0"/>
              <w:right w:val="single" w:color="auto" w:sz="4" w:space="0"/>
            </w:tcBorders>
            <w:shd w:val="clear" w:color="auto" w:fill="auto"/>
            <w:noWrap/>
            <w:vAlign w:val="center"/>
          </w:tcPr>
          <w:p w14:paraId="2BBD470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根</w:t>
            </w:r>
          </w:p>
        </w:tc>
        <w:tc>
          <w:tcPr>
            <w:tcW w:w="637" w:type="dxa"/>
            <w:tcBorders>
              <w:top w:val="nil"/>
              <w:left w:val="nil"/>
              <w:bottom w:val="single" w:color="auto" w:sz="4" w:space="0"/>
              <w:right w:val="single" w:color="auto" w:sz="4" w:space="0"/>
            </w:tcBorders>
            <w:shd w:val="clear" w:color="auto" w:fill="auto"/>
            <w:noWrap/>
            <w:vAlign w:val="center"/>
          </w:tcPr>
          <w:p w14:paraId="31C0D9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B9C60F7">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4C52B1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143" w:type="dxa"/>
            <w:tcBorders>
              <w:top w:val="nil"/>
              <w:left w:val="nil"/>
              <w:bottom w:val="single" w:color="auto" w:sz="4" w:space="0"/>
              <w:right w:val="single" w:color="auto" w:sz="4" w:space="0"/>
            </w:tcBorders>
            <w:shd w:val="clear" w:color="000000" w:fill="FFFFFF"/>
            <w:vAlign w:val="center"/>
          </w:tcPr>
          <w:p w14:paraId="48D4E36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管理工作站</w:t>
            </w:r>
          </w:p>
        </w:tc>
        <w:tc>
          <w:tcPr>
            <w:tcW w:w="5810" w:type="dxa"/>
            <w:tcBorders>
              <w:top w:val="nil"/>
              <w:left w:val="nil"/>
              <w:bottom w:val="single" w:color="auto" w:sz="4" w:space="0"/>
              <w:right w:val="single" w:color="auto" w:sz="4" w:space="0"/>
            </w:tcBorders>
            <w:shd w:val="clear" w:color="auto" w:fill="auto"/>
            <w:noWrap/>
            <w:vAlign w:val="center"/>
          </w:tcPr>
          <w:p w14:paraId="6F4F1CD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I5-13400/8G/1T/21.5寸显示器</w:t>
            </w:r>
          </w:p>
        </w:tc>
        <w:tc>
          <w:tcPr>
            <w:tcW w:w="922" w:type="dxa"/>
            <w:tcBorders>
              <w:top w:val="nil"/>
              <w:left w:val="nil"/>
              <w:bottom w:val="single" w:color="auto" w:sz="4" w:space="0"/>
              <w:right w:val="single" w:color="auto" w:sz="4" w:space="0"/>
            </w:tcBorders>
            <w:shd w:val="clear" w:color="auto" w:fill="auto"/>
            <w:noWrap/>
            <w:vAlign w:val="center"/>
          </w:tcPr>
          <w:p w14:paraId="113EA5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581" w:type="dxa"/>
            <w:tcBorders>
              <w:top w:val="nil"/>
              <w:left w:val="nil"/>
              <w:bottom w:val="single" w:color="auto" w:sz="4" w:space="0"/>
              <w:right w:val="single" w:color="auto" w:sz="4" w:space="0"/>
            </w:tcBorders>
            <w:shd w:val="clear" w:color="auto" w:fill="auto"/>
            <w:noWrap/>
            <w:vAlign w:val="center"/>
          </w:tcPr>
          <w:p w14:paraId="3DB095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637" w:type="dxa"/>
            <w:tcBorders>
              <w:top w:val="nil"/>
              <w:left w:val="nil"/>
              <w:bottom w:val="single" w:color="auto" w:sz="4" w:space="0"/>
              <w:right w:val="single" w:color="auto" w:sz="4" w:space="0"/>
            </w:tcBorders>
            <w:shd w:val="clear" w:color="auto" w:fill="auto"/>
            <w:noWrap/>
            <w:vAlign w:val="center"/>
          </w:tcPr>
          <w:p w14:paraId="7B3E563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6F4A6C0">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7FCCEF6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143" w:type="dxa"/>
            <w:tcBorders>
              <w:top w:val="nil"/>
              <w:left w:val="nil"/>
              <w:bottom w:val="single" w:color="auto" w:sz="4" w:space="0"/>
              <w:right w:val="single" w:color="auto" w:sz="4" w:space="0"/>
            </w:tcBorders>
            <w:shd w:val="clear" w:color="auto" w:fill="auto"/>
            <w:vAlign w:val="center"/>
          </w:tcPr>
          <w:p w14:paraId="69ED8C8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机柜</w:t>
            </w:r>
          </w:p>
        </w:tc>
        <w:tc>
          <w:tcPr>
            <w:tcW w:w="5810" w:type="dxa"/>
            <w:tcBorders>
              <w:top w:val="nil"/>
              <w:left w:val="nil"/>
              <w:bottom w:val="single" w:color="auto" w:sz="4" w:space="0"/>
              <w:right w:val="single" w:color="auto" w:sz="4" w:space="0"/>
            </w:tcBorders>
            <w:shd w:val="clear" w:color="auto" w:fill="auto"/>
            <w:noWrap/>
            <w:vAlign w:val="center"/>
          </w:tcPr>
          <w:p w14:paraId="7BA5074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42U(600*800*2000)</w:t>
            </w:r>
          </w:p>
        </w:tc>
        <w:tc>
          <w:tcPr>
            <w:tcW w:w="922" w:type="dxa"/>
            <w:tcBorders>
              <w:top w:val="nil"/>
              <w:left w:val="nil"/>
              <w:bottom w:val="single" w:color="auto" w:sz="4" w:space="0"/>
              <w:right w:val="single" w:color="auto" w:sz="4" w:space="0"/>
            </w:tcBorders>
            <w:shd w:val="clear" w:color="auto" w:fill="auto"/>
            <w:noWrap/>
            <w:vAlign w:val="center"/>
          </w:tcPr>
          <w:p w14:paraId="4FD45AE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581" w:type="dxa"/>
            <w:tcBorders>
              <w:top w:val="nil"/>
              <w:left w:val="nil"/>
              <w:bottom w:val="single" w:color="auto" w:sz="4" w:space="0"/>
              <w:right w:val="single" w:color="auto" w:sz="4" w:space="0"/>
            </w:tcBorders>
            <w:shd w:val="clear" w:color="auto" w:fill="auto"/>
            <w:noWrap/>
            <w:vAlign w:val="center"/>
          </w:tcPr>
          <w:p w14:paraId="340C79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637" w:type="dxa"/>
            <w:tcBorders>
              <w:top w:val="nil"/>
              <w:left w:val="nil"/>
              <w:bottom w:val="single" w:color="auto" w:sz="4" w:space="0"/>
              <w:right w:val="single" w:color="auto" w:sz="4" w:space="0"/>
            </w:tcBorders>
            <w:shd w:val="clear" w:color="auto" w:fill="auto"/>
            <w:noWrap/>
            <w:vAlign w:val="center"/>
          </w:tcPr>
          <w:p w14:paraId="6115E50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F0F8110">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5DD3515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143" w:type="dxa"/>
            <w:tcBorders>
              <w:top w:val="nil"/>
              <w:left w:val="nil"/>
              <w:bottom w:val="single" w:color="auto" w:sz="4" w:space="0"/>
              <w:right w:val="single" w:color="auto" w:sz="4" w:space="0"/>
            </w:tcBorders>
            <w:shd w:val="clear" w:color="auto" w:fill="auto"/>
            <w:vAlign w:val="center"/>
          </w:tcPr>
          <w:p w14:paraId="7317C49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墙柜</w:t>
            </w:r>
          </w:p>
        </w:tc>
        <w:tc>
          <w:tcPr>
            <w:tcW w:w="5810" w:type="dxa"/>
            <w:tcBorders>
              <w:top w:val="nil"/>
              <w:left w:val="nil"/>
              <w:bottom w:val="single" w:color="auto" w:sz="4" w:space="0"/>
              <w:right w:val="single" w:color="auto" w:sz="4" w:space="0"/>
            </w:tcBorders>
            <w:shd w:val="clear" w:color="auto" w:fill="auto"/>
            <w:noWrap/>
            <w:vAlign w:val="center"/>
          </w:tcPr>
          <w:p w14:paraId="4026D55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12U(600*450*650)</w:t>
            </w:r>
          </w:p>
        </w:tc>
        <w:tc>
          <w:tcPr>
            <w:tcW w:w="922" w:type="dxa"/>
            <w:tcBorders>
              <w:top w:val="nil"/>
              <w:left w:val="nil"/>
              <w:bottom w:val="single" w:color="auto" w:sz="4" w:space="0"/>
              <w:right w:val="single" w:color="auto" w:sz="4" w:space="0"/>
            </w:tcBorders>
            <w:shd w:val="clear" w:color="auto" w:fill="auto"/>
            <w:noWrap/>
            <w:vAlign w:val="center"/>
          </w:tcPr>
          <w:p w14:paraId="6FAB35D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581" w:type="dxa"/>
            <w:tcBorders>
              <w:top w:val="nil"/>
              <w:left w:val="nil"/>
              <w:bottom w:val="single" w:color="auto" w:sz="4" w:space="0"/>
              <w:right w:val="single" w:color="auto" w:sz="4" w:space="0"/>
            </w:tcBorders>
            <w:shd w:val="clear" w:color="auto" w:fill="auto"/>
            <w:noWrap/>
            <w:vAlign w:val="center"/>
          </w:tcPr>
          <w:p w14:paraId="616F19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637" w:type="dxa"/>
            <w:tcBorders>
              <w:top w:val="nil"/>
              <w:left w:val="nil"/>
              <w:bottom w:val="single" w:color="auto" w:sz="4" w:space="0"/>
              <w:right w:val="single" w:color="auto" w:sz="4" w:space="0"/>
            </w:tcBorders>
            <w:shd w:val="clear" w:color="auto" w:fill="auto"/>
            <w:noWrap/>
            <w:vAlign w:val="center"/>
          </w:tcPr>
          <w:p w14:paraId="3CF3CF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37FA555">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182DE08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143" w:type="dxa"/>
            <w:tcBorders>
              <w:top w:val="nil"/>
              <w:left w:val="nil"/>
              <w:bottom w:val="single" w:color="auto" w:sz="4" w:space="0"/>
              <w:right w:val="single" w:color="auto" w:sz="4" w:space="0"/>
            </w:tcBorders>
            <w:shd w:val="clear" w:color="auto" w:fill="auto"/>
            <w:vAlign w:val="center"/>
          </w:tcPr>
          <w:p w14:paraId="0E5538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屏蔽阻断器</w:t>
            </w:r>
          </w:p>
        </w:tc>
        <w:tc>
          <w:tcPr>
            <w:tcW w:w="5810" w:type="dxa"/>
            <w:tcBorders>
              <w:top w:val="nil"/>
              <w:left w:val="nil"/>
              <w:bottom w:val="single" w:color="auto" w:sz="4" w:space="0"/>
              <w:right w:val="single" w:color="auto" w:sz="4" w:space="0"/>
            </w:tcBorders>
            <w:shd w:val="clear" w:color="auto" w:fill="auto"/>
            <w:vAlign w:val="center"/>
          </w:tcPr>
          <w:p w14:paraId="34BC100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1.有网络接口，和安装的屏蔽侦测系统配套；</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可以屏蔽教室内（-50dBm、室内通透环境下，视周边基站远近）全频段信号。支持对40MHz到3000MHZ任意频段信号全屏蔽，公众通信频段采取全频阻断，包括电信、移动、联通等运营商2G/3G/4G频段，Wi-Fi（2.4G/5.8G）/蓝牙频段，支持手机5G阻断并可根据实际商用频段进行升级扩展</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（2515-2675MHz、3300-3600MHz、4800-5000MHz、758~788MHz），其它频段（如公众对讲频段、对讲机V段、对讲机U段等）采用侦测引导式阻断；</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3.电磁辐射：符合《电磁环境控制限值(GB8702-2014)》不超过0.4W/m2要求；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4.可靠性安全性要求：一体化设计产品，天线内置；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5.屏蔽通道独立控制：阻断子模块各屏蔽通道可独立控制，可以有选择的打开及关闭任意屏蔽通道；</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★6.无风扇设计：符合《声环境质量标准(GB3096-2008)》中0类环境要求(投标时提供满足该功能参数的具有CMA或ilAC-MRA或CNAS标识的第三方检测机构出具的检测报告，编入投标文件中)；</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★7.CDMA与GSM900双通道控制，减少上行信号干扰(投标时提供满足该功能参数的具有CMA或ilAC-MRA或CNAS标识的第三方检测机构出具的检测报告，编入投标文件中)。 </w:t>
            </w:r>
          </w:p>
        </w:tc>
        <w:tc>
          <w:tcPr>
            <w:tcW w:w="922" w:type="dxa"/>
            <w:tcBorders>
              <w:top w:val="nil"/>
              <w:left w:val="nil"/>
              <w:bottom w:val="single" w:color="auto" w:sz="4" w:space="0"/>
              <w:right w:val="single" w:color="auto" w:sz="4" w:space="0"/>
            </w:tcBorders>
            <w:shd w:val="clear" w:color="auto" w:fill="auto"/>
            <w:noWrap/>
            <w:vAlign w:val="center"/>
          </w:tcPr>
          <w:p w14:paraId="479D6FE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270</w:t>
            </w:r>
          </w:p>
        </w:tc>
        <w:tc>
          <w:tcPr>
            <w:tcW w:w="581" w:type="dxa"/>
            <w:tcBorders>
              <w:top w:val="nil"/>
              <w:left w:val="nil"/>
              <w:bottom w:val="single" w:color="auto" w:sz="4" w:space="0"/>
              <w:right w:val="single" w:color="auto" w:sz="4" w:space="0"/>
            </w:tcBorders>
            <w:shd w:val="clear" w:color="auto" w:fill="auto"/>
            <w:noWrap/>
            <w:vAlign w:val="center"/>
          </w:tcPr>
          <w:p w14:paraId="3814D4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637" w:type="dxa"/>
            <w:tcBorders>
              <w:top w:val="nil"/>
              <w:left w:val="nil"/>
              <w:bottom w:val="single" w:color="auto" w:sz="4" w:space="0"/>
              <w:right w:val="single" w:color="auto" w:sz="4" w:space="0"/>
            </w:tcBorders>
            <w:shd w:val="clear" w:color="auto" w:fill="auto"/>
            <w:noWrap/>
            <w:vAlign w:val="center"/>
          </w:tcPr>
          <w:p w14:paraId="4B09C6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4F39AD6">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6E41DF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143" w:type="dxa"/>
            <w:tcBorders>
              <w:top w:val="nil"/>
              <w:left w:val="nil"/>
              <w:bottom w:val="single" w:color="auto" w:sz="4" w:space="0"/>
              <w:right w:val="single" w:color="auto" w:sz="4" w:space="0"/>
            </w:tcBorders>
            <w:shd w:val="clear" w:color="auto" w:fill="auto"/>
            <w:vAlign w:val="center"/>
          </w:tcPr>
          <w:p w14:paraId="23C5749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屏蔽管理平台</w:t>
            </w:r>
          </w:p>
        </w:tc>
        <w:tc>
          <w:tcPr>
            <w:tcW w:w="5810" w:type="dxa"/>
            <w:tcBorders>
              <w:top w:val="nil"/>
              <w:left w:val="nil"/>
              <w:bottom w:val="single" w:color="auto" w:sz="4" w:space="0"/>
              <w:right w:val="single" w:color="auto" w:sz="4" w:space="0"/>
            </w:tcBorders>
            <w:shd w:val="clear" w:color="auto" w:fill="auto"/>
            <w:vAlign w:val="center"/>
          </w:tcPr>
          <w:p w14:paraId="7EF5A0B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1.监测频率范围：40MHz~3000MHz（可扩展）。频率侦测精度：1kHz-25kHz可调，侦测灵敏度：不低于-85dBm；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2.根据相关技术规范对一定频段的信号进行智能扫描，获取作弊可疑信号。支持设备自动捕获功能，也可通过人工设置信号信息对作弊信号进行捕获；</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3.工作模式：支持无人值守式侦测引导阻断工作模式；支持自动发现异常信号并引导阻断器对异常信号的阻断功能；可完成无线电信号实时侦测、可疑信号自动采集和自动引导阻断；支持平台远程管理；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4.具有RJ45，100M或以上接口；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5.支持黑白名单：设置黑名单时对应黑名单信号一旦出现即优先引导阻断器进行阻断。用户可根据考务等工作需要自定义白名单频点（频段），其通信不受系统影响；</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6.提取可疑作弊信号的信息特征，并能够对可疑作弊信号进行包括频率、带宽、功率、时长、调制方式等信号特征的分析。整套系统具备主流作弊设备实时还原能力，对于语音作弊信号能进行实时监听；</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7.软件具有：作弊信号查看,作弊系统全局统计展示,设备状态查看,根据设置的考试计划自动选择工作模式，可集中控制和远程控制管理，能与上级进行对接等功能。</w:t>
            </w:r>
          </w:p>
        </w:tc>
        <w:tc>
          <w:tcPr>
            <w:tcW w:w="922" w:type="dxa"/>
            <w:tcBorders>
              <w:top w:val="nil"/>
              <w:left w:val="nil"/>
              <w:bottom w:val="single" w:color="auto" w:sz="4" w:space="0"/>
              <w:right w:val="single" w:color="auto" w:sz="4" w:space="0"/>
            </w:tcBorders>
            <w:shd w:val="clear" w:color="auto" w:fill="auto"/>
            <w:noWrap/>
            <w:vAlign w:val="center"/>
          </w:tcPr>
          <w:p w14:paraId="1BBAC1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581" w:type="dxa"/>
            <w:tcBorders>
              <w:top w:val="nil"/>
              <w:left w:val="nil"/>
              <w:bottom w:val="single" w:color="auto" w:sz="4" w:space="0"/>
              <w:right w:val="single" w:color="auto" w:sz="4" w:space="0"/>
            </w:tcBorders>
            <w:shd w:val="clear" w:color="auto" w:fill="auto"/>
            <w:noWrap/>
            <w:vAlign w:val="center"/>
          </w:tcPr>
          <w:p w14:paraId="2CAE06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637" w:type="dxa"/>
            <w:tcBorders>
              <w:top w:val="nil"/>
              <w:left w:val="nil"/>
              <w:bottom w:val="single" w:color="auto" w:sz="4" w:space="0"/>
              <w:right w:val="single" w:color="auto" w:sz="4" w:space="0"/>
            </w:tcBorders>
            <w:shd w:val="clear" w:color="auto" w:fill="auto"/>
            <w:noWrap/>
            <w:vAlign w:val="center"/>
          </w:tcPr>
          <w:p w14:paraId="30ACFC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A6C9783">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4A5CED0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143" w:type="dxa"/>
            <w:tcBorders>
              <w:top w:val="nil"/>
              <w:left w:val="nil"/>
              <w:bottom w:val="single" w:color="auto" w:sz="4" w:space="0"/>
              <w:right w:val="single" w:color="auto" w:sz="4" w:space="0"/>
            </w:tcBorders>
            <w:shd w:val="clear" w:color="auto" w:fill="auto"/>
            <w:vAlign w:val="center"/>
          </w:tcPr>
          <w:p w14:paraId="3564D5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核心交换机</w:t>
            </w:r>
          </w:p>
        </w:tc>
        <w:tc>
          <w:tcPr>
            <w:tcW w:w="5810" w:type="dxa"/>
            <w:tcBorders>
              <w:top w:val="nil"/>
              <w:left w:val="nil"/>
              <w:bottom w:val="single" w:color="auto" w:sz="4" w:space="0"/>
              <w:right w:val="single" w:color="auto" w:sz="4" w:space="0"/>
            </w:tcBorders>
            <w:shd w:val="clear" w:color="auto" w:fill="auto"/>
            <w:vAlign w:val="center"/>
          </w:tcPr>
          <w:p w14:paraId="2AF46F5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1.交换容量≥680Gbps，转发性能≥171Mpps，如官网以X/Y形式表述则以其中最小值为准；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2.固化10/100/1000M以太网端口≥24个，固化10G/1GSFP+光接口≥4个；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★3.整机采用绿色环保设计，最大功耗≤27W（投标时提供官网截图，编入投标文件中）；</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★4.要求所投产品端口的线-接地端子浪涌抗扰度≥10KV，线-线浪涌抗扰度≥0.5KV，（即具备共模10KV，差模0.5KV的防雷能力），（投标时提供具有CMA或CNAS认证章的第三方权威机构检验报告证明，编入投标文件中）；</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★5.要求所投产品具备静音设计，设备的噪音最大声压级≤35dB，（投标时提供具有CMA或CNAS认证章的第三方权威机构检验报告证明，编入投标文件中）；</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6.支持静态路由、RIP/RIPng、OSPFv2/OSPFv3等三层路由协议；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7.要求所投设备支持1对1、1对多、多对1和基于流的镜像；且支持RSPAN和ERSPAN。；</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8.支持专门基础网络保护机制，能够限制用户向网络中发送数据包的速率，对有攻击行为的用户进行隔离，保证设备和整网的安全稳定运行；</w:t>
            </w:r>
            <w:r>
              <w:rPr>
                <w:rFonts w:hint="eastAsia" w:ascii="宋体" w:hAnsi="宋体" w:cs="宋体"/>
                <w:color w:val="auto"/>
                <w:kern w:val="0"/>
                <w:szCs w:val="21"/>
                <w:highlight w:val="none"/>
              </w:rPr>
              <w:br w:type="textWrapping"/>
            </w:r>
            <w:bookmarkStart w:id="1" w:name="OLE_LINK2"/>
            <w:r>
              <w:rPr>
                <w:rFonts w:hint="eastAsia" w:ascii="宋体" w:hAnsi="宋体" w:cs="宋体"/>
                <w:color w:val="auto"/>
                <w:kern w:val="0"/>
                <w:szCs w:val="21"/>
                <w:highlight w:val="none"/>
              </w:rPr>
              <w:t>★</w:t>
            </w:r>
            <w:bookmarkEnd w:id="1"/>
            <w:r>
              <w:rPr>
                <w:rFonts w:hint="eastAsia" w:ascii="宋体" w:hAnsi="宋体" w:cs="宋体"/>
                <w:color w:val="auto"/>
                <w:kern w:val="0"/>
                <w:szCs w:val="21"/>
                <w:highlight w:val="none"/>
              </w:rPr>
              <w:t>9.为保证IPv6的可部署性和应用性，所投交换机需具备IPv6ReadyPhase2认证证书，要求投标产品型号与获证产品型号一致，（投标时提供权威机构的检测证书，编入投标文件中)；</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10.配置双电源。</w:t>
            </w:r>
          </w:p>
        </w:tc>
        <w:tc>
          <w:tcPr>
            <w:tcW w:w="922" w:type="dxa"/>
            <w:tcBorders>
              <w:top w:val="nil"/>
              <w:left w:val="nil"/>
              <w:bottom w:val="single" w:color="auto" w:sz="4" w:space="0"/>
              <w:right w:val="single" w:color="auto" w:sz="4" w:space="0"/>
            </w:tcBorders>
            <w:shd w:val="clear" w:color="auto" w:fill="auto"/>
            <w:noWrap/>
            <w:vAlign w:val="center"/>
          </w:tcPr>
          <w:p w14:paraId="538B83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581" w:type="dxa"/>
            <w:tcBorders>
              <w:top w:val="nil"/>
              <w:left w:val="nil"/>
              <w:bottom w:val="single" w:color="auto" w:sz="4" w:space="0"/>
              <w:right w:val="single" w:color="auto" w:sz="4" w:space="0"/>
            </w:tcBorders>
            <w:shd w:val="clear" w:color="auto" w:fill="auto"/>
            <w:noWrap/>
            <w:vAlign w:val="center"/>
          </w:tcPr>
          <w:p w14:paraId="1BAD22D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637" w:type="dxa"/>
            <w:tcBorders>
              <w:top w:val="nil"/>
              <w:left w:val="nil"/>
              <w:bottom w:val="single" w:color="auto" w:sz="4" w:space="0"/>
              <w:right w:val="single" w:color="auto" w:sz="4" w:space="0"/>
            </w:tcBorders>
            <w:shd w:val="clear" w:color="auto" w:fill="auto"/>
            <w:noWrap/>
            <w:vAlign w:val="center"/>
          </w:tcPr>
          <w:p w14:paraId="457FF23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B39B2E8">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04EC11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143" w:type="dxa"/>
            <w:tcBorders>
              <w:top w:val="nil"/>
              <w:left w:val="nil"/>
              <w:bottom w:val="single" w:color="auto" w:sz="4" w:space="0"/>
              <w:right w:val="single" w:color="auto" w:sz="4" w:space="0"/>
            </w:tcBorders>
            <w:shd w:val="clear" w:color="auto" w:fill="auto"/>
            <w:vAlign w:val="center"/>
          </w:tcPr>
          <w:p w14:paraId="0803A86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千兆楼道交换机(24口)</w:t>
            </w:r>
          </w:p>
        </w:tc>
        <w:tc>
          <w:tcPr>
            <w:tcW w:w="5810" w:type="dxa"/>
            <w:tcBorders>
              <w:top w:val="nil"/>
              <w:left w:val="nil"/>
              <w:bottom w:val="single" w:color="auto" w:sz="4" w:space="0"/>
              <w:right w:val="single" w:color="auto" w:sz="4" w:space="0"/>
            </w:tcBorders>
            <w:shd w:val="clear" w:color="auto" w:fill="auto"/>
            <w:vAlign w:val="center"/>
          </w:tcPr>
          <w:p w14:paraId="37462CD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1.交换容量≥336Gbps，转发性能≥51Mpps；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2.固化10/100/1000M自适应以太网端口≥24个，固化1GSFP光接口≥4个；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3.要求所投设备MAC地址≥16K；</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★4.产品端口浪涌抗扰度≥10KV，即具备10KV的防雷能力(投标时提供满足该功能参数的具有CMA或ilAC-MRA或CNAS标识的第三方检测机构出具的检测报告，编入投标文件中)；</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5.支持静态路由、RIP/RIPng、OSPFv2/OSPFv3等三层路由协议；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支持专门基础网络保护机制，能够限制用户向网络中发送数据包的速率，对有攻击行为的用户进行隔离，保证设备和整网的安全稳定运行(投标时提供满足该功能参数的具有CMA或ilAC-MRA或CNAS标识的第三方检测机构出具的检测报告，编入投标文件中)；</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7.支持虚拟化功能，可将多台物理设备虚拟化为一台逻辑设备统一管理。</w:t>
            </w:r>
          </w:p>
        </w:tc>
        <w:tc>
          <w:tcPr>
            <w:tcW w:w="922" w:type="dxa"/>
            <w:tcBorders>
              <w:top w:val="nil"/>
              <w:left w:val="nil"/>
              <w:bottom w:val="single" w:color="auto" w:sz="4" w:space="0"/>
              <w:right w:val="single" w:color="auto" w:sz="4" w:space="0"/>
            </w:tcBorders>
            <w:shd w:val="clear" w:color="auto" w:fill="auto"/>
            <w:noWrap/>
            <w:vAlign w:val="center"/>
          </w:tcPr>
          <w:p w14:paraId="7B6F81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581" w:type="dxa"/>
            <w:tcBorders>
              <w:top w:val="nil"/>
              <w:left w:val="nil"/>
              <w:bottom w:val="single" w:color="auto" w:sz="4" w:space="0"/>
              <w:right w:val="single" w:color="auto" w:sz="4" w:space="0"/>
            </w:tcBorders>
            <w:shd w:val="clear" w:color="auto" w:fill="auto"/>
            <w:noWrap/>
            <w:vAlign w:val="center"/>
          </w:tcPr>
          <w:p w14:paraId="35B449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637" w:type="dxa"/>
            <w:tcBorders>
              <w:top w:val="nil"/>
              <w:left w:val="nil"/>
              <w:bottom w:val="single" w:color="auto" w:sz="4" w:space="0"/>
              <w:right w:val="single" w:color="auto" w:sz="4" w:space="0"/>
            </w:tcBorders>
            <w:shd w:val="clear" w:color="auto" w:fill="auto"/>
            <w:noWrap/>
            <w:vAlign w:val="center"/>
          </w:tcPr>
          <w:p w14:paraId="6BB3795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8982D38">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0721D07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143" w:type="dxa"/>
            <w:tcBorders>
              <w:top w:val="nil"/>
              <w:left w:val="nil"/>
              <w:bottom w:val="single" w:color="auto" w:sz="4" w:space="0"/>
              <w:right w:val="single" w:color="auto" w:sz="4" w:space="0"/>
            </w:tcBorders>
            <w:shd w:val="clear" w:color="auto" w:fill="auto"/>
            <w:vAlign w:val="center"/>
          </w:tcPr>
          <w:p w14:paraId="6E2749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千兆光模块</w:t>
            </w:r>
          </w:p>
        </w:tc>
        <w:tc>
          <w:tcPr>
            <w:tcW w:w="5810" w:type="dxa"/>
            <w:tcBorders>
              <w:top w:val="nil"/>
              <w:left w:val="nil"/>
              <w:bottom w:val="single" w:color="auto" w:sz="4" w:space="0"/>
              <w:right w:val="single" w:color="auto" w:sz="4" w:space="0"/>
            </w:tcBorders>
            <w:shd w:val="clear" w:color="auto" w:fill="auto"/>
            <w:noWrap/>
            <w:vAlign w:val="center"/>
          </w:tcPr>
          <w:p w14:paraId="2A9545E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1000BASE-LXminiGBIC转换模块（1310nm），10km，双芯</w:t>
            </w:r>
          </w:p>
        </w:tc>
        <w:tc>
          <w:tcPr>
            <w:tcW w:w="922" w:type="dxa"/>
            <w:tcBorders>
              <w:top w:val="nil"/>
              <w:left w:val="nil"/>
              <w:bottom w:val="single" w:color="auto" w:sz="4" w:space="0"/>
              <w:right w:val="single" w:color="auto" w:sz="4" w:space="0"/>
            </w:tcBorders>
            <w:shd w:val="clear" w:color="auto" w:fill="auto"/>
            <w:noWrap/>
            <w:vAlign w:val="center"/>
          </w:tcPr>
          <w:p w14:paraId="699C7A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86</w:t>
            </w:r>
          </w:p>
        </w:tc>
        <w:tc>
          <w:tcPr>
            <w:tcW w:w="581" w:type="dxa"/>
            <w:tcBorders>
              <w:top w:val="nil"/>
              <w:left w:val="nil"/>
              <w:bottom w:val="single" w:color="auto" w:sz="4" w:space="0"/>
              <w:right w:val="single" w:color="auto" w:sz="4" w:space="0"/>
            </w:tcBorders>
            <w:shd w:val="clear" w:color="auto" w:fill="auto"/>
            <w:noWrap/>
            <w:vAlign w:val="center"/>
          </w:tcPr>
          <w:p w14:paraId="56583B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637" w:type="dxa"/>
            <w:tcBorders>
              <w:top w:val="nil"/>
              <w:left w:val="nil"/>
              <w:bottom w:val="single" w:color="auto" w:sz="4" w:space="0"/>
              <w:right w:val="single" w:color="auto" w:sz="4" w:space="0"/>
            </w:tcBorders>
            <w:shd w:val="clear" w:color="auto" w:fill="auto"/>
            <w:noWrap/>
            <w:vAlign w:val="center"/>
          </w:tcPr>
          <w:p w14:paraId="5DE18E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349A1A3">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5E1639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143" w:type="dxa"/>
            <w:tcBorders>
              <w:top w:val="nil"/>
              <w:left w:val="nil"/>
              <w:bottom w:val="single" w:color="auto" w:sz="4" w:space="0"/>
              <w:right w:val="single" w:color="auto" w:sz="4" w:space="0"/>
            </w:tcBorders>
            <w:shd w:val="clear" w:color="auto" w:fill="auto"/>
            <w:vAlign w:val="center"/>
          </w:tcPr>
          <w:p w14:paraId="318EEF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光纤熔接配套设备</w:t>
            </w:r>
          </w:p>
        </w:tc>
        <w:tc>
          <w:tcPr>
            <w:tcW w:w="5810" w:type="dxa"/>
            <w:tcBorders>
              <w:top w:val="nil"/>
              <w:left w:val="nil"/>
              <w:bottom w:val="single" w:color="auto" w:sz="4" w:space="0"/>
              <w:right w:val="single" w:color="auto" w:sz="4" w:space="0"/>
            </w:tcBorders>
            <w:shd w:val="clear" w:color="auto" w:fill="auto"/>
            <w:noWrap/>
            <w:vAlign w:val="center"/>
          </w:tcPr>
          <w:p w14:paraId="0575BBF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含尾纤、耦合器、光纤盒、熔接等</w:t>
            </w:r>
          </w:p>
        </w:tc>
        <w:tc>
          <w:tcPr>
            <w:tcW w:w="922" w:type="dxa"/>
            <w:tcBorders>
              <w:top w:val="nil"/>
              <w:left w:val="nil"/>
              <w:bottom w:val="single" w:color="auto" w:sz="4" w:space="0"/>
              <w:right w:val="single" w:color="auto" w:sz="4" w:space="0"/>
            </w:tcBorders>
            <w:shd w:val="clear" w:color="auto" w:fill="auto"/>
            <w:noWrap/>
            <w:vAlign w:val="center"/>
          </w:tcPr>
          <w:p w14:paraId="4B96655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581" w:type="dxa"/>
            <w:tcBorders>
              <w:top w:val="nil"/>
              <w:left w:val="nil"/>
              <w:bottom w:val="single" w:color="auto" w:sz="4" w:space="0"/>
              <w:right w:val="single" w:color="auto" w:sz="4" w:space="0"/>
            </w:tcBorders>
            <w:shd w:val="clear" w:color="auto" w:fill="auto"/>
            <w:noWrap/>
            <w:vAlign w:val="center"/>
          </w:tcPr>
          <w:p w14:paraId="217A13D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637" w:type="dxa"/>
            <w:tcBorders>
              <w:top w:val="nil"/>
              <w:left w:val="nil"/>
              <w:bottom w:val="single" w:color="auto" w:sz="4" w:space="0"/>
              <w:right w:val="single" w:color="auto" w:sz="4" w:space="0"/>
            </w:tcBorders>
            <w:shd w:val="clear" w:color="auto" w:fill="auto"/>
            <w:noWrap/>
            <w:vAlign w:val="center"/>
          </w:tcPr>
          <w:p w14:paraId="1477B8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5246144">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0D1038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143" w:type="dxa"/>
            <w:tcBorders>
              <w:top w:val="nil"/>
              <w:left w:val="nil"/>
              <w:bottom w:val="single" w:color="auto" w:sz="4" w:space="0"/>
              <w:right w:val="single" w:color="auto" w:sz="4" w:space="0"/>
            </w:tcBorders>
            <w:shd w:val="clear" w:color="auto" w:fill="auto"/>
            <w:vAlign w:val="center"/>
          </w:tcPr>
          <w:p w14:paraId="42B2782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配电箱</w:t>
            </w:r>
          </w:p>
        </w:tc>
        <w:tc>
          <w:tcPr>
            <w:tcW w:w="5810" w:type="dxa"/>
            <w:tcBorders>
              <w:top w:val="nil"/>
              <w:left w:val="nil"/>
              <w:bottom w:val="single" w:color="auto" w:sz="4" w:space="0"/>
              <w:right w:val="single" w:color="auto" w:sz="4" w:space="0"/>
            </w:tcBorders>
            <w:shd w:val="clear" w:color="auto" w:fill="auto"/>
            <w:noWrap/>
            <w:vAlign w:val="center"/>
          </w:tcPr>
          <w:p w14:paraId="6E25C7A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配套</w:t>
            </w:r>
          </w:p>
        </w:tc>
        <w:tc>
          <w:tcPr>
            <w:tcW w:w="922" w:type="dxa"/>
            <w:tcBorders>
              <w:top w:val="nil"/>
              <w:left w:val="nil"/>
              <w:bottom w:val="single" w:color="auto" w:sz="4" w:space="0"/>
              <w:right w:val="single" w:color="auto" w:sz="4" w:space="0"/>
            </w:tcBorders>
            <w:shd w:val="clear" w:color="auto" w:fill="auto"/>
            <w:noWrap/>
            <w:vAlign w:val="center"/>
          </w:tcPr>
          <w:p w14:paraId="55EDAF6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581" w:type="dxa"/>
            <w:tcBorders>
              <w:top w:val="nil"/>
              <w:left w:val="nil"/>
              <w:bottom w:val="single" w:color="auto" w:sz="4" w:space="0"/>
              <w:right w:val="single" w:color="auto" w:sz="4" w:space="0"/>
            </w:tcBorders>
            <w:shd w:val="clear" w:color="auto" w:fill="auto"/>
            <w:noWrap/>
            <w:vAlign w:val="center"/>
          </w:tcPr>
          <w:p w14:paraId="5678996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637" w:type="dxa"/>
            <w:tcBorders>
              <w:top w:val="nil"/>
              <w:left w:val="nil"/>
              <w:bottom w:val="single" w:color="auto" w:sz="4" w:space="0"/>
              <w:right w:val="single" w:color="auto" w:sz="4" w:space="0"/>
            </w:tcBorders>
            <w:shd w:val="clear" w:color="auto" w:fill="auto"/>
            <w:noWrap/>
            <w:vAlign w:val="center"/>
          </w:tcPr>
          <w:p w14:paraId="45B3FB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D6510BE">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58A6E3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143" w:type="dxa"/>
            <w:tcBorders>
              <w:top w:val="nil"/>
              <w:left w:val="nil"/>
              <w:bottom w:val="single" w:color="auto" w:sz="4" w:space="0"/>
              <w:right w:val="single" w:color="auto" w:sz="4" w:space="0"/>
            </w:tcBorders>
            <w:shd w:val="clear" w:color="000000" w:fill="FFFFFF"/>
            <w:vAlign w:val="center"/>
          </w:tcPr>
          <w:p w14:paraId="077E71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能源站</w:t>
            </w:r>
          </w:p>
        </w:tc>
        <w:tc>
          <w:tcPr>
            <w:tcW w:w="5810" w:type="dxa"/>
            <w:tcBorders>
              <w:top w:val="nil"/>
              <w:left w:val="nil"/>
              <w:bottom w:val="single" w:color="auto" w:sz="4" w:space="0"/>
              <w:right w:val="single" w:color="auto" w:sz="4" w:space="0"/>
            </w:tcBorders>
            <w:shd w:val="clear" w:color="auto" w:fill="auto"/>
            <w:vAlign w:val="center"/>
          </w:tcPr>
          <w:p w14:paraId="0831F56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1.6KVA在线式单进单出能源站主机；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2.输入功率因数：30%负载：≥0.980；50%负载：≥0.990；100%负载：≥0.998；</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3.输出波形失真度：≤0.5%（线性负载）；≤1.4%（非线性负载）；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4.输出功率因素：1；</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5.系统效率：≥95%；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★6.能源站电源主机具备节能认证；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★7.能源站主机具备面板设定功能：可以通过面板设置能源站输出电压，ECO模式、EPO模式、变频模式，投标时提供的产品使用说明书里面必须有相关的图文设置说明；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8.为避免误操作，能源站的开、关机采用双键组合的形式来实现开关机，投标时提供的产品使用说明书里面必须有相关的图文操作说明；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9.16节12V100AH电池，含配套电池柜。</w:t>
            </w:r>
          </w:p>
        </w:tc>
        <w:tc>
          <w:tcPr>
            <w:tcW w:w="922" w:type="dxa"/>
            <w:tcBorders>
              <w:top w:val="nil"/>
              <w:left w:val="nil"/>
              <w:bottom w:val="single" w:color="auto" w:sz="4" w:space="0"/>
              <w:right w:val="single" w:color="auto" w:sz="4" w:space="0"/>
            </w:tcBorders>
            <w:shd w:val="clear" w:color="auto" w:fill="auto"/>
            <w:noWrap/>
            <w:vAlign w:val="center"/>
          </w:tcPr>
          <w:p w14:paraId="099AD2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581" w:type="dxa"/>
            <w:tcBorders>
              <w:top w:val="nil"/>
              <w:left w:val="nil"/>
              <w:bottom w:val="single" w:color="auto" w:sz="4" w:space="0"/>
              <w:right w:val="single" w:color="auto" w:sz="4" w:space="0"/>
            </w:tcBorders>
            <w:shd w:val="clear" w:color="auto" w:fill="auto"/>
            <w:noWrap/>
            <w:vAlign w:val="center"/>
          </w:tcPr>
          <w:p w14:paraId="29F1A8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637" w:type="dxa"/>
            <w:tcBorders>
              <w:top w:val="nil"/>
              <w:left w:val="nil"/>
              <w:bottom w:val="single" w:color="auto" w:sz="4" w:space="0"/>
              <w:right w:val="single" w:color="auto" w:sz="4" w:space="0"/>
            </w:tcBorders>
            <w:shd w:val="clear" w:color="auto" w:fill="auto"/>
            <w:noWrap/>
            <w:vAlign w:val="center"/>
          </w:tcPr>
          <w:p w14:paraId="740E2F9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BC869E0">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4EBE725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143" w:type="dxa"/>
            <w:tcBorders>
              <w:top w:val="nil"/>
              <w:left w:val="nil"/>
              <w:bottom w:val="single" w:color="auto" w:sz="4" w:space="0"/>
              <w:right w:val="single" w:color="auto" w:sz="4" w:space="0"/>
            </w:tcBorders>
            <w:shd w:val="clear" w:color="auto" w:fill="auto"/>
            <w:vAlign w:val="center"/>
          </w:tcPr>
          <w:p w14:paraId="0F21FB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光纤</w:t>
            </w:r>
          </w:p>
        </w:tc>
        <w:tc>
          <w:tcPr>
            <w:tcW w:w="5810" w:type="dxa"/>
            <w:tcBorders>
              <w:top w:val="nil"/>
              <w:left w:val="nil"/>
              <w:bottom w:val="single" w:color="auto" w:sz="4" w:space="0"/>
              <w:right w:val="single" w:color="auto" w:sz="4" w:space="0"/>
            </w:tcBorders>
            <w:shd w:val="clear" w:color="auto" w:fill="auto"/>
            <w:noWrap/>
            <w:vAlign w:val="center"/>
          </w:tcPr>
          <w:p w14:paraId="25B558B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光纤芯数 : 4 , 光缆加强件 : 两根高强度磷化钢丝 , 外护套材质 : 聚乙烯（PE） , 纤芯规格 : OS2（G.652D） , 包装方式 : 6000米/轴装 铠装层/加强件 : 钢丝铠装</w:t>
            </w:r>
          </w:p>
        </w:tc>
        <w:tc>
          <w:tcPr>
            <w:tcW w:w="922" w:type="dxa"/>
            <w:tcBorders>
              <w:top w:val="nil"/>
              <w:left w:val="nil"/>
              <w:bottom w:val="single" w:color="auto" w:sz="4" w:space="0"/>
              <w:right w:val="single" w:color="auto" w:sz="4" w:space="0"/>
            </w:tcBorders>
            <w:shd w:val="clear" w:color="auto" w:fill="auto"/>
            <w:noWrap/>
            <w:vAlign w:val="center"/>
          </w:tcPr>
          <w:p w14:paraId="6B44EB8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7850</w:t>
            </w:r>
          </w:p>
        </w:tc>
        <w:tc>
          <w:tcPr>
            <w:tcW w:w="581" w:type="dxa"/>
            <w:tcBorders>
              <w:top w:val="nil"/>
              <w:left w:val="nil"/>
              <w:bottom w:val="single" w:color="auto" w:sz="4" w:space="0"/>
              <w:right w:val="single" w:color="auto" w:sz="4" w:space="0"/>
            </w:tcBorders>
            <w:shd w:val="clear" w:color="auto" w:fill="auto"/>
            <w:noWrap/>
            <w:vAlign w:val="center"/>
          </w:tcPr>
          <w:p w14:paraId="28B239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米</w:t>
            </w:r>
          </w:p>
        </w:tc>
        <w:tc>
          <w:tcPr>
            <w:tcW w:w="637" w:type="dxa"/>
            <w:tcBorders>
              <w:top w:val="nil"/>
              <w:left w:val="nil"/>
              <w:bottom w:val="single" w:color="auto" w:sz="4" w:space="0"/>
              <w:right w:val="single" w:color="auto" w:sz="4" w:space="0"/>
            </w:tcBorders>
            <w:shd w:val="clear" w:color="auto" w:fill="auto"/>
            <w:noWrap/>
            <w:vAlign w:val="center"/>
          </w:tcPr>
          <w:p w14:paraId="1DAC5B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7D8ACFA">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6E55BF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143" w:type="dxa"/>
            <w:tcBorders>
              <w:top w:val="nil"/>
              <w:left w:val="nil"/>
              <w:bottom w:val="single" w:color="auto" w:sz="4" w:space="0"/>
              <w:right w:val="single" w:color="auto" w:sz="4" w:space="0"/>
            </w:tcBorders>
            <w:shd w:val="clear" w:color="auto" w:fill="auto"/>
            <w:vAlign w:val="center"/>
          </w:tcPr>
          <w:p w14:paraId="3AA81E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网线（超5类）</w:t>
            </w:r>
          </w:p>
        </w:tc>
        <w:tc>
          <w:tcPr>
            <w:tcW w:w="5810" w:type="dxa"/>
            <w:tcBorders>
              <w:top w:val="nil"/>
              <w:left w:val="nil"/>
              <w:bottom w:val="single" w:color="auto" w:sz="4" w:space="0"/>
              <w:right w:val="single" w:color="auto" w:sz="4" w:space="0"/>
            </w:tcBorders>
            <w:shd w:val="clear" w:color="auto" w:fill="auto"/>
            <w:vAlign w:val="center"/>
          </w:tcPr>
          <w:p w14:paraId="723F40E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护套材质：PVC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护套颜色（可选）：默认灰色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成品外径：5.3±0.3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导体材质：99.99%无氧铜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导体直径：24AWG</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导体绝缘外径：0.88±0.02mm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绝缘材料：高密度聚乙烯HDPE</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特性阻抗：100±15Ω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导体间介电强度，DC，1min：1Kv/1min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工作电容最大值：≤5.6nF/100m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单根导体最大电阻：≤9.5Ω/100m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线对直流电阻不平衡性：≤2.5%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最小互电容：47pf/m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最大平衡电容：300pf/km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最大电流平衡：2%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敷设弯曲半径：建议敷设弯曲半径&gt;5倍线缆外径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敷设拉力：建议敷设时短期拉力&lt;110N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使用拉力：建议使用时长期拉力&lt;20N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施工温度： 0～40℃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使用温度： -10～60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产品用途</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在 100 米距离内提供 100MHz 带宽，典型应用速率为 100Mbps。</w:t>
            </w:r>
          </w:p>
        </w:tc>
        <w:tc>
          <w:tcPr>
            <w:tcW w:w="922" w:type="dxa"/>
            <w:tcBorders>
              <w:top w:val="nil"/>
              <w:left w:val="nil"/>
              <w:bottom w:val="single" w:color="auto" w:sz="4" w:space="0"/>
              <w:right w:val="single" w:color="auto" w:sz="4" w:space="0"/>
            </w:tcBorders>
            <w:shd w:val="clear" w:color="auto" w:fill="auto"/>
            <w:noWrap/>
            <w:vAlign w:val="center"/>
          </w:tcPr>
          <w:p w14:paraId="0F9D8B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w:t>
            </w:r>
          </w:p>
        </w:tc>
        <w:tc>
          <w:tcPr>
            <w:tcW w:w="581" w:type="dxa"/>
            <w:tcBorders>
              <w:top w:val="nil"/>
              <w:left w:val="nil"/>
              <w:bottom w:val="single" w:color="auto" w:sz="4" w:space="0"/>
              <w:right w:val="single" w:color="auto" w:sz="4" w:space="0"/>
            </w:tcBorders>
            <w:shd w:val="clear" w:color="auto" w:fill="auto"/>
            <w:noWrap/>
            <w:vAlign w:val="center"/>
          </w:tcPr>
          <w:p w14:paraId="2A38A07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箱</w:t>
            </w:r>
          </w:p>
        </w:tc>
        <w:tc>
          <w:tcPr>
            <w:tcW w:w="637" w:type="dxa"/>
            <w:tcBorders>
              <w:top w:val="nil"/>
              <w:left w:val="nil"/>
              <w:bottom w:val="single" w:color="auto" w:sz="4" w:space="0"/>
              <w:right w:val="single" w:color="auto" w:sz="4" w:space="0"/>
            </w:tcBorders>
            <w:shd w:val="clear" w:color="auto" w:fill="auto"/>
            <w:noWrap/>
            <w:vAlign w:val="center"/>
          </w:tcPr>
          <w:p w14:paraId="7BCA16F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5A6F019">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43CACA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143" w:type="dxa"/>
            <w:tcBorders>
              <w:top w:val="nil"/>
              <w:left w:val="nil"/>
              <w:bottom w:val="single" w:color="auto" w:sz="4" w:space="0"/>
              <w:right w:val="single" w:color="auto" w:sz="4" w:space="0"/>
            </w:tcBorders>
            <w:shd w:val="clear" w:color="auto" w:fill="auto"/>
            <w:vAlign w:val="center"/>
          </w:tcPr>
          <w:p w14:paraId="2EBD36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电源线1（2*1.0）</w:t>
            </w:r>
          </w:p>
        </w:tc>
        <w:tc>
          <w:tcPr>
            <w:tcW w:w="5810" w:type="dxa"/>
            <w:tcBorders>
              <w:top w:val="nil"/>
              <w:left w:val="nil"/>
              <w:bottom w:val="single" w:color="auto" w:sz="4" w:space="0"/>
              <w:right w:val="single" w:color="auto" w:sz="4" w:space="0"/>
            </w:tcBorders>
            <w:shd w:val="clear" w:color="auto" w:fill="auto"/>
            <w:noWrap/>
            <w:vAlign w:val="center"/>
          </w:tcPr>
          <w:p w14:paraId="30F22B7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护套材质：聚氯乙烯,型号：RVV2x2.5,芯数：2,截面：1.0平方毫。</w:t>
            </w:r>
          </w:p>
        </w:tc>
        <w:tc>
          <w:tcPr>
            <w:tcW w:w="922" w:type="dxa"/>
            <w:tcBorders>
              <w:top w:val="nil"/>
              <w:left w:val="nil"/>
              <w:bottom w:val="single" w:color="auto" w:sz="4" w:space="0"/>
              <w:right w:val="single" w:color="auto" w:sz="4" w:space="0"/>
            </w:tcBorders>
            <w:shd w:val="clear" w:color="auto" w:fill="auto"/>
            <w:noWrap/>
            <w:vAlign w:val="center"/>
          </w:tcPr>
          <w:p w14:paraId="277094A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10770</w:t>
            </w:r>
          </w:p>
        </w:tc>
        <w:tc>
          <w:tcPr>
            <w:tcW w:w="581" w:type="dxa"/>
            <w:tcBorders>
              <w:top w:val="nil"/>
              <w:left w:val="nil"/>
              <w:bottom w:val="single" w:color="auto" w:sz="4" w:space="0"/>
              <w:right w:val="single" w:color="auto" w:sz="4" w:space="0"/>
            </w:tcBorders>
            <w:shd w:val="clear" w:color="auto" w:fill="auto"/>
            <w:noWrap/>
            <w:vAlign w:val="center"/>
          </w:tcPr>
          <w:p w14:paraId="55FAB0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米</w:t>
            </w:r>
          </w:p>
        </w:tc>
        <w:tc>
          <w:tcPr>
            <w:tcW w:w="637" w:type="dxa"/>
            <w:tcBorders>
              <w:top w:val="nil"/>
              <w:left w:val="nil"/>
              <w:bottom w:val="single" w:color="auto" w:sz="4" w:space="0"/>
              <w:right w:val="single" w:color="auto" w:sz="4" w:space="0"/>
            </w:tcBorders>
            <w:shd w:val="clear" w:color="auto" w:fill="auto"/>
            <w:noWrap/>
            <w:vAlign w:val="center"/>
          </w:tcPr>
          <w:p w14:paraId="0C8A76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1B6C366">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3C2616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143" w:type="dxa"/>
            <w:tcBorders>
              <w:top w:val="nil"/>
              <w:left w:val="nil"/>
              <w:bottom w:val="single" w:color="auto" w:sz="4" w:space="0"/>
              <w:right w:val="single" w:color="auto" w:sz="4" w:space="0"/>
            </w:tcBorders>
            <w:shd w:val="clear" w:color="auto" w:fill="auto"/>
            <w:vAlign w:val="center"/>
          </w:tcPr>
          <w:p w14:paraId="577647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电源线2（2*1.5）</w:t>
            </w:r>
          </w:p>
        </w:tc>
        <w:tc>
          <w:tcPr>
            <w:tcW w:w="5810" w:type="dxa"/>
            <w:tcBorders>
              <w:top w:val="nil"/>
              <w:left w:val="nil"/>
              <w:bottom w:val="single" w:color="auto" w:sz="4" w:space="0"/>
              <w:right w:val="single" w:color="auto" w:sz="4" w:space="0"/>
            </w:tcBorders>
            <w:shd w:val="clear" w:color="auto" w:fill="auto"/>
            <w:noWrap/>
            <w:vAlign w:val="center"/>
          </w:tcPr>
          <w:p w14:paraId="71F9D9F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护套材质：聚氯乙烯,型号：RVV2x1.5,芯数：2,截面：1.5平方毫。</w:t>
            </w:r>
          </w:p>
        </w:tc>
        <w:tc>
          <w:tcPr>
            <w:tcW w:w="922" w:type="dxa"/>
            <w:tcBorders>
              <w:top w:val="nil"/>
              <w:left w:val="nil"/>
              <w:bottom w:val="single" w:color="auto" w:sz="4" w:space="0"/>
              <w:right w:val="single" w:color="auto" w:sz="4" w:space="0"/>
            </w:tcBorders>
            <w:shd w:val="clear" w:color="auto" w:fill="auto"/>
            <w:noWrap/>
            <w:vAlign w:val="center"/>
          </w:tcPr>
          <w:p w14:paraId="51A47F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12370</w:t>
            </w:r>
          </w:p>
        </w:tc>
        <w:tc>
          <w:tcPr>
            <w:tcW w:w="581" w:type="dxa"/>
            <w:tcBorders>
              <w:top w:val="nil"/>
              <w:left w:val="nil"/>
              <w:bottom w:val="single" w:color="auto" w:sz="4" w:space="0"/>
              <w:right w:val="single" w:color="auto" w:sz="4" w:space="0"/>
            </w:tcBorders>
            <w:shd w:val="clear" w:color="auto" w:fill="auto"/>
            <w:noWrap/>
            <w:vAlign w:val="center"/>
          </w:tcPr>
          <w:p w14:paraId="2DB6D1A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米</w:t>
            </w:r>
          </w:p>
        </w:tc>
        <w:tc>
          <w:tcPr>
            <w:tcW w:w="637" w:type="dxa"/>
            <w:tcBorders>
              <w:top w:val="nil"/>
              <w:left w:val="nil"/>
              <w:bottom w:val="single" w:color="auto" w:sz="4" w:space="0"/>
              <w:right w:val="single" w:color="auto" w:sz="4" w:space="0"/>
            </w:tcBorders>
            <w:shd w:val="clear" w:color="auto" w:fill="auto"/>
            <w:noWrap/>
            <w:vAlign w:val="center"/>
          </w:tcPr>
          <w:p w14:paraId="025239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42D1C53">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2FE0D2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143" w:type="dxa"/>
            <w:tcBorders>
              <w:top w:val="nil"/>
              <w:left w:val="nil"/>
              <w:bottom w:val="single" w:color="auto" w:sz="4" w:space="0"/>
              <w:right w:val="single" w:color="auto" w:sz="4" w:space="0"/>
            </w:tcBorders>
            <w:shd w:val="clear" w:color="auto" w:fill="auto"/>
            <w:vAlign w:val="center"/>
          </w:tcPr>
          <w:p w14:paraId="208FF1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电源线3（2*2.5）</w:t>
            </w:r>
          </w:p>
        </w:tc>
        <w:tc>
          <w:tcPr>
            <w:tcW w:w="5810" w:type="dxa"/>
            <w:tcBorders>
              <w:top w:val="nil"/>
              <w:left w:val="nil"/>
              <w:bottom w:val="single" w:color="auto" w:sz="4" w:space="0"/>
              <w:right w:val="single" w:color="auto" w:sz="4" w:space="0"/>
            </w:tcBorders>
            <w:shd w:val="clear" w:color="auto" w:fill="auto"/>
            <w:noWrap/>
            <w:vAlign w:val="center"/>
          </w:tcPr>
          <w:p w14:paraId="08C1144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护套材质：聚氯乙烯,型号：RVV2x2.5,芯数：2,截面：2.5平方毫。</w:t>
            </w:r>
          </w:p>
        </w:tc>
        <w:tc>
          <w:tcPr>
            <w:tcW w:w="922" w:type="dxa"/>
            <w:tcBorders>
              <w:top w:val="nil"/>
              <w:left w:val="nil"/>
              <w:bottom w:val="single" w:color="auto" w:sz="4" w:space="0"/>
              <w:right w:val="single" w:color="auto" w:sz="4" w:space="0"/>
            </w:tcBorders>
            <w:shd w:val="clear" w:color="auto" w:fill="auto"/>
            <w:noWrap/>
            <w:vAlign w:val="center"/>
          </w:tcPr>
          <w:p w14:paraId="2AE087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12370</w:t>
            </w:r>
          </w:p>
        </w:tc>
        <w:tc>
          <w:tcPr>
            <w:tcW w:w="581" w:type="dxa"/>
            <w:tcBorders>
              <w:top w:val="nil"/>
              <w:left w:val="nil"/>
              <w:bottom w:val="single" w:color="auto" w:sz="4" w:space="0"/>
              <w:right w:val="single" w:color="auto" w:sz="4" w:space="0"/>
            </w:tcBorders>
            <w:shd w:val="clear" w:color="auto" w:fill="auto"/>
            <w:noWrap/>
            <w:vAlign w:val="center"/>
          </w:tcPr>
          <w:p w14:paraId="64F8E3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米</w:t>
            </w:r>
          </w:p>
        </w:tc>
        <w:tc>
          <w:tcPr>
            <w:tcW w:w="637" w:type="dxa"/>
            <w:tcBorders>
              <w:top w:val="nil"/>
              <w:left w:val="nil"/>
              <w:bottom w:val="single" w:color="auto" w:sz="4" w:space="0"/>
              <w:right w:val="single" w:color="auto" w:sz="4" w:space="0"/>
            </w:tcBorders>
            <w:shd w:val="clear" w:color="auto" w:fill="auto"/>
            <w:noWrap/>
            <w:vAlign w:val="center"/>
          </w:tcPr>
          <w:p w14:paraId="5E9D8BF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B05A557">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73ABE76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143" w:type="dxa"/>
            <w:tcBorders>
              <w:top w:val="nil"/>
              <w:left w:val="nil"/>
              <w:bottom w:val="single" w:color="auto" w:sz="4" w:space="0"/>
              <w:right w:val="single" w:color="auto" w:sz="4" w:space="0"/>
            </w:tcBorders>
            <w:shd w:val="clear" w:color="auto" w:fill="auto"/>
            <w:vAlign w:val="center"/>
          </w:tcPr>
          <w:p w14:paraId="49537C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套管</w:t>
            </w:r>
          </w:p>
        </w:tc>
        <w:tc>
          <w:tcPr>
            <w:tcW w:w="5810" w:type="dxa"/>
            <w:tcBorders>
              <w:top w:val="nil"/>
              <w:left w:val="nil"/>
              <w:bottom w:val="single" w:color="auto" w:sz="4" w:space="0"/>
              <w:right w:val="single" w:color="auto" w:sz="4" w:space="0"/>
            </w:tcBorders>
            <w:shd w:val="clear" w:color="auto" w:fill="auto"/>
            <w:noWrap/>
            <w:vAlign w:val="center"/>
          </w:tcPr>
          <w:p w14:paraId="4DD08E9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PVC25</w:t>
            </w:r>
          </w:p>
        </w:tc>
        <w:tc>
          <w:tcPr>
            <w:tcW w:w="922" w:type="dxa"/>
            <w:tcBorders>
              <w:top w:val="nil"/>
              <w:left w:val="nil"/>
              <w:bottom w:val="single" w:color="auto" w:sz="4" w:space="0"/>
              <w:right w:val="single" w:color="auto" w:sz="4" w:space="0"/>
            </w:tcBorders>
            <w:shd w:val="clear" w:color="auto" w:fill="auto"/>
            <w:noWrap/>
            <w:vAlign w:val="center"/>
          </w:tcPr>
          <w:p w14:paraId="2CF1D6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16390</w:t>
            </w:r>
          </w:p>
        </w:tc>
        <w:tc>
          <w:tcPr>
            <w:tcW w:w="581" w:type="dxa"/>
            <w:tcBorders>
              <w:top w:val="nil"/>
              <w:left w:val="nil"/>
              <w:bottom w:val="single" w:color="auto" w:sz="4" w:space="0"/>
              <w:right w:val="single" w:color="auto" w:sz="4" w:space="0"/>
            </w:tcBorders>
            <w:shd w:val="clear" w:color="auto" w:fill="auto"/>
            <w:noWrap/>
            <w:vAlign w:val="center"/>
          </w:tcPr>
          <w:p w14:paraId="01C5EB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米</w:t>
            </w:r>
          </w:p>
        </w:tc>
        <w:tc>
          <w:tcPr>
            <w:tcW w:w="637" w:type="dxa"/>
            <w:tcBorders>
              <w:top w:val="nil"/>
              <w:left w:val="nil"/>
              <w:bottom w:val="single" w:color="auto" w:sz="4" w:space="0"/>
              <w:right w:val="single" w:color="auto" w:sz="4" w:space="0"/>
            </w:tcBorders>
            <w:shd w:val="clear" w:color="auto" w:fill="auto"/>
            <w:noWrap/>
            <w:vAlign w:val="center"/>
          </w:tcPr>
          <w:p w14:paraId="3B4E620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F6E3CB9">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67A87A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143" w:type="dxa"/>
            <w:tcBorders>
              <w:top w:val="nil"/>
              <w:left w:val="nil"/>
              <w:bottom w:val="single" w:color="auto" w:sz="4" w:space="0"/>
              <w:right w:val="single" w:color="auto" w:sz="4" w:space="0"/>
            </w:tcBorders>
            <w:shd w:val="clear" w:color="000000" w:fill="FFFFFF"/>
            <w:vAlign w:val="center"/>
          </w:tcPr>
          <w:p w14:paraId="6B704D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智能安检门</w:t>
            </w:r>
          </w:p>
        </w:tc>
        <w:tc>
          <w:tcPr>
            <w:tcW w:w="5810" w:type="dxa"/>
            <w:tcBorders>
              <w:top w:val="nil"/>
              <w:left w:val="nil"/>
              <w:bottom w:val="single" w:color="auto" w:sz="4" w:space="0"/>
              <w:right w:val="single" w:color="auto" w:sz="4" w:space="0"/>
            </w:tcBorders>
            <w:shd w:val="clear" w:color="auto" w:fill="auto"/>
            <w:vAlign w:val="center"/>
          </w:tcPr>
          <w:p w14:paraId="04A4F8B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1.屏幕规格：双29英寸</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2.手机精准检测：支持探测过检人员身上是否携带手机（智能机、老年机、开机、关机、拔除SIM卡、置于屏蔽袋内等多种状态均可），并能进行声光报警，准确显示报警位置；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3.电子产品检测：支持探测过检人员身上是否携带智能眼镜、智能手表、蓝牙耳机（单个或多个耳机在所有区位均可）等智能电子产品，并能进行声光报警，准确显示报警位置；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4.日常金属过滤：过检人员携带常见金属文具、眼镜、项链、钥匙、皮带扣等常见金属日用品通过时误报率低，通过率高；</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5.高清大屏显示：29英寸大屏，采用工业级A+面板，可在屏幕上同时显示包括“通过人数、报警人数、人形报警区位、报警物品类型、报警时间、抓拍图片”等信息；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6.高稳定性：环境适应性强，多次搬运免调试，支持半户外环境使用（需搭防雨帐篷），具备较强的抗风和抗震能力；</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7.报警显示：采用前后双29英寸液晶屏，配合高亮LED灯条提示报警区域，支持双向显示；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8.联网功能：可实现联网互通，搭配平台进行客流数据、报警数据、过检人员信息的上传管理应用；支持联网/远程调试；</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9.抓拍录像：配置200万星光级摄像头，实现全天候过程录像和图片的记录和反查；</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10.抗干扰：门板外侧金属通过时影响小，多台门并排20cm以上可正常使用；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11.★安检门显示屏支持自定义信息发布，支持通过客户端自主编辑和下发图片、视频、滚动字幕、PDF文档、网页、实时画面等，支持远程网络客户端或本地U盘更新内容（提供公安部检测报告）；</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12.★探测区内磁感应强度：在探测区左右边界各方内150mm形成的区域中，任意一点的磁感应强度都不应超过10μT（提供公安部检测报告）；</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手机检测功能：人员携带电子产品（待机、关机、开机、移除电池、移除SIM卡、用铝箔包裹5层状态下的手机和电子手表）通过安检门时，应能产生声光报警并通过文字显示报警物品类型以及图像显示报警物品所在位置，支持检出并显示多个手机。其中，手机报警检出率应≥99%，支持检出藏匿在头顶帽子内、后腰、大腿内侧、小腿内侧、脚踝内侧，手机姿势为横向平托、竖向、纵向等位置的智能手机（提供公安部检测报告）。</w:t>
            </w:r>
          </w:p>
        </w:tc>
        <w:tc>
          <w:tcPr>
            <w:tcW w:w="922" w:type="dxa"/>
            <w:tcBorders>
              <w:top w:val="nil"/>
              <w:left w:val="nil"/>
              <w:bottom w:val="single" w:color="auto" w:sz="4" w:space="0"/>
              <w:right w:val="single" w:color="auto" w:sz="4" w:space="0"/>
            </w:tcBorders>
            <w:shd w:val="clear" w:color="auto" w:fill="auto"/>
            <w:noWrap/>
            <w:vAlign w:val="center"/>
          </w:tcPr>
          <w:p w14:paraId="696767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581" w:type="dxa"/>
            <w:tcBorders>
              <w:top w:val="nil"/>
              <w:left w:val="nil"/>
              <w:bottom w:val="single" w:color="auto" w:sz="4" w:space="0"/>
              <w:right w:val="single" w:color="auto" w:sz="4" w:space="0"/>
            </w:tcBorders>
            <w:shd w:val="clear" w:color="auto" w:fill="auto"/>
            <w:noWrap/>
            <w:vAlign w:val="center"/>
          </w:tcPr>
          <w:p w14:paraId="2C5264D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637" w:type="dxa"/>
            <w:tcBorders>
              <w:top w:val="nil"/>
              <w:left w:val="nil"/>
              <w:bottom w:val="single" w:color="auto" w:sz="4" w:space="0"/>
              <w:right w:val="single" w:color="auto" w:sz="4" w:space="0"/>
            </w:tcBorders>
            <w:shd w:val="clear" w:color="auto" w:fill="auto"/>
            <w:noWrap/>
            <w:vAlign w:val="center"/>
          </w:tcPr>
          <w:p w14:paraId="700B00B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77A9C94">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389DCF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143" w:type="dxa"/>
            <w:tcBorders>
              <w:top w:val="nil"/>
              <w:left w:val="nil"/>
              <w:bottom w:val="single" w:color="auto" w:sz="4" w:space="0"/>
              <w:right w:val="single" w:color="auto" w:sz="4" w:space="0"/>
            </w:tcBorders>
            <w:shd w:val="clear" w:color="000000" w:fill="FFFFFF"/>
            <w:vAlign w:val="center"/>
          </w:tcPr>
          <w:p w14:paraId="6F3FF2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控制台</w:t>
            </w:r>
          </w:p>
        </w:tc>
        <w:tc>
          <w:tcPr>
            <w:tcW w:w="5810" w:type="dxa"/>
            <w:tcBorders>
              <w:top w:val="nil"/>
              <w:left w:val="nil"/>
              <w:bottom w:val="single" w:color="auto" w:sz="4" w:space="0"/>
              <w:right w:val="single" w:color="auto" w:sz="4" w:space="0"/>
            </w:tcBorders>
            <w:shd w:val="clear" w:color="auto" w:fill="auto"/>
            <w:vAlign w:val="center"/>
          </w:tcPr>
          <w:p w14:paraId="4339965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2工位</w:t>
            </w:r>
          </w:p>
        </w:tc>
        <w:tc>
          <w:tcPr>
            <w:tcW w:w="922" w:type="dxa"/>
            <w:tcBorders>
              <w:top w:val="nil"/>
              <w:left w:val="nil"/>
              <w:bottom w:val="single" w:color="auto" w:sz="4" w:space="0"/>
              <w:right w:val="single" w:color="auto" w:sz="4" w:space="0"/>
            </w:tcBorders>
            <w:shd w:val="clear" w:color="auto" w:fill="auto"/>
            <w:noWrap/>
            <w:vAlign w:val="center"/>
          </w:tcPr>
          <w:p w14:paraId="2F5B85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581" w:type="dxa"/>
            <w:tcBorders>
              <w:top w:val="nil"/>
              <w:left w:val="nil"/>
              <w:bottom w:val="single" w:color="auto" w:sz="4" w:space="0"/>
              <w:right w:val="single" w:color="auto" w:sz="4" w:space="0"/>
            </w:tcBorders>
            <w:shd w:val="clear" w:color="auto" w:fill="auto"/>
            <w:noWrap/>
            <w:vAlign w:val="center"/>
          </w:tcPr>
          <w:p w14:paraId="45CB288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637" w:type="dxa"/>
            <w:tcBorders>
              <w:top w:val="nil"/>
              <w:left w:val="nil"/>
              <w:bottom w:val="single" w:color="auto" w:sz="4" w:space="0"/>
              <w:right w:val="single" w:color="auto" w:sz="4" w:space="0"/>
            </w:tcBorders>
            <w:shd w:val="clear" w:color="auto" w:fill="auto"/>
            <w:noWrap/>
            <w:vAlign w:val="center"/>
          </w:tcPr>
          <w:p w14:paraId="605A9A8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4C74A16">
        <w:tblPrEx>
          <w:tblCellMar>
            <w:top w:w="0" w:type="dxa"/>
            <w:left w:w="108" w:type="dxa"/>
            <w:bottom w:w="0" w:type="dxa"/>
            <w:right w:w="108" w:type="dxa"/>
          </w:tblCellMar>
        </w:tblPrEx>
        <w:trPr>
          <w:trHeight w:val="5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00C8B60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143" w:type="dxa"/>
            <w:tcBorders>
              <w:top w:val="nil"/>
              <w:left w:val="nil"/>
              <w:bottom w:val="single" w:color="auto" w:sz="4" w:space="0"/>
              <w:right w:val="single" w:color="auto" w:sz="4" w:space="0"/>
            </w:tcBorders>
            <w:shd w:val="clear" w:color="000000" w:fill="FFFFFF"/>
            <w:vAlign w:val="center"/>
          </w:tcPr>
          <w:p w14:paraId="4725AE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移动硬盘</w:t>
            </w:r>
          </w:p>
        </w:tc>
        <w:tc>
          <w:tcPr>
            <w:tcW w:w="5810" w:type="dxa"/>
            <w:tcBorders>
              <w:top w:val="nil"/>
              <w:left w:val="nil"/>
              <w:bottom w:val="single" w:color="auto" w:sz="4" w:space="0"/>
              <w:right w:val="single" w:color="auto" w:sz="4" w:space="0"/>
            </w:tcBorders>
            <w:shd w:val="clear" w:color="auto" w:fill="auto"/>
            <w:vAlign w:val="center"/>
          </w:tcPr>
          <w:p w14:paraId="23EBAD2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4TB移动硬盘USB3.0</w:t>
            </w:r>
          </w:p>
        </w:tc>
        <w:tc>
          <w:tcPr>
            <w:tcW w:w="922" w:type="dxa"/>
            <w:tcBorders>
              <w:top w:val="nil"/>
              <w:left w:val="nil"/>
              <w:bottom w:val="single" w:color="auto" w:sz="4" w:space="0"/>
              <w:right w:val="single" w:color="auto" w:sz="4" w:space="0"/>
            </w:tcBorders>
            <w:shd w:val="clear" w:color="auto" w:fill="auto"/>
            <w:noWrap/>
            <w:vAlign w:val="center"/>
          </w:tcPr>
          <w:p w14:paraId="34D63A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581" w:type="dxa"/>
            <w:tcBorders>
              <w:top w:val="nil"/>
              <w:left w:val="nil"/>
              <w:bottom w:val="single" w:color="auto" w:sz="4" w:space="0"/>
              <w:right w:val="single" w:color="auto" w:sz="4" w:space="0"/>
            </w:tcBorders>
            <w:shd w:val="clear" w:color="auto" w:fill="auto"/>
            <w:noWrap/>
            <w:vAlign w:val="center"/>
          </w:tcPr>
          <w:p w14:paraId="26882D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块</w:t>
            </w:r>
          </w:p>
        </w:tc>
        <w:tc>
          <w:tcPr>
            <w:tcW w:w="637" w:type="dxa"/>
            <w:tcBorders>
              <w:top w:val="nil"/>
              <w:left w:val="nil"/>
              <w:bottom w:val="single" w:color="auto" w:sz="4" w:space="0"/>
              <w:right w:val="single" w:color="auto" w:sz="4" w:space="0"/>
            </w:tcBorders>
            <w:shd w:val="clear" w:color="auto" w:fill="auto"/>
            <w:noWrap/>
            <w:vAlign w:val="center"/>
          </w:tcPr>
          <w:p w14:paraId="71FA3A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311474C">
        <w:tblPrEx>
          <w:tblCellMar>
            <w:top w:w="0" w:type="dxa"/>
            <w:left w:w="108" w:type="dxa"/>
            <w:bottom w:w="0" w:type="dxa"/>
            <w:right w:w="108" w:type="dxa"/>
          </w:tblCellMar>
        </w:tblPrEx>
        <w:trPr>
          <w:trHeight w:val="900" w:hRule="atLeast"/>
        </w:trPr>
        <w:tc>
          <w:tcPr>
            <w:tcW w:w="657" w:type="dxa"/>
            <w:tcBorders>
              <w:top w:val="nil"/>
              <w:left w:val="single" w:color="auto" w:sz="4" w:space="0"/>
              <w:bottom w:val="single" w:color="auto" w:sz="4" w:space="0"/>
              <w:right w:val="single" w:color="auto" w:sz="4" w:space="0"/>
            </w:tcBorders>
            <w:shd w:val="clear" w:color="auto" w:fill="auto"/>
            <w:noWrap/>
            <w:vAlign w:val="center"/>
          </w:tcPr>
          <w:p w14:paraId="21B880D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143" w:type="dxa"/>
            <w:tcBorders>
              <w:top w:val="nil"/>
              <w:left w:val="nil"/>
              <w:bottom w:val="single" w:color="auto" w:sz="4" w:space="0"/>
              <w:right w:val="single" w:color="auto" w:sz="4" w:space="0"/>
            </w:tcBorders>
            <w:shd w:val="clear" w:color="auto" w:fill="auto"/>
            <w:vAlign w:val="center"/>
          </w:tcPr>
          <w:p w14:paraId="114227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16所中学6年专线电路费</w:t>
            </w:r>
          </w:p>
        </w:tc>
        <w:tc>
          <w:tcPr>
            <w:tcW w:w="5810" w:type="dxa"/>
            <w:tcBorders>
              <w:top w:val="nil"/>
              <w:left w:val="nil"/>
              <w:bottom w:val="single" w:color="auto" w:sz="4" w:space="0"/>
              <w:right w:val="single" w:color="auto" w:sz="4" w:space="0"/>
            </w:tcBorders>
            <w:shd w:val="clear" w:color="auto" w:fill="auto"/>
            <w:noWrap/>
            <w:vAlign w:val="center"/>
          </w:tcPr>
          <w:p w14:paraId="7934537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学校至指挥中心考试链路；6年100M</w:t>
            </w:r>
          </w:p>
        </w:tc>
        <w:tc>
          <w:tcPr>
            <w:tcW w:w="922" w:type="dxa"/>
            <w:tcBorders>
              <w:top w:val="nil"/>
              <w:left w:val="nil"/>
              <w:bottom w:val="single" w:color="auto" w:sz="4" w:space="0"/>
              <w:right w:val="single" w:color="auto" w:sz="4" w:space="0"/>
            </w:tcBorders>
            <w:shd w:val="clear" w:color="auto" w:fill="auto"/>
            <w:noWrap/>
            <w:vAlign w:val="center"/>
          </w:tcPr>
          <w:p w14:paraId="10BBDB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581" w:type="dxa"/>
            <w:tcBorders>
              <w:top w:val="nil"/>
              <w:left w:val="nil"/>
              <w:bottom w:val="single" w:color="auto" w:sz="4" w:space="0"/>
              <w:right w:val="single" w:color="auto" w:sz="4" w:space="0"/>
            </w:tcBorders>
            <w:shd w:val="clear" w:color="auto" w:fill="auto"/>
            <w:noWrap/>
            <w:vAlign w:val="center"/>
          </w:tcPr>
          <w:p w14:paraId="1D6E15E6">
            <w:pPr>
              <w:jc w:val="center"/>
              <w:rPr>
                <w:rFonts w:ascii="宋体" w:hAnsi="宋体" w:cs="宋体"/>
                <w:color w:val="auto"/>
                <w:kern w:val="0"/>
                <w:szCs w:val="21"/>
                <w:highlight w:val="none"/>
              </w:rPr>
            </w:pPr>
            <w:r>
              <w:rPr>
                <w:rFonts w:hint="eastAsia" w:ascii="宋体" w:hAnsi="宋体" w:cs="宋体"/>
                <w:color w:val="auto"/>
                <w:kern w:val="0"/>
                <w:szCs w:val="21"/>
                <w:highlight w:val="none"/>
              </w:rPr>
              <w:t>条</w:t>
            </w:r>
          </w:p>
        </w:tc>
        <w:tc>
          <w:tcPr>
            <w:tcW w:w="637" w:type="dxa"/>
            <w:tcBorders>
              <w:top w:val="nil"/>
              <w:left w:val="nil"/>
              <w:bottom w:val="single" w:color="auto" w:sz="4" w:space="0"/>
              <w:right w:val="single" w:color="auto" w:sz="4" w:space="0"/>
            </w:tcBorders>
            <w:shd w:val="clear" w:color="auto" w:fill="auto"/>
            <w:noWrap/>
            <w:vAlign w:val="center"/>
          </w:tcPr>
          <w:p w14:paraId="2CEE8805">
            <w:pPr>
              <w:widowControl/>
              <w:jc w:val="center"/>
              <w:rPr>
                <w:rFonts w:ascii="宋体" w:hAnsi="宋体" w:cs="宋体"/>
                <w:color w:val="auto"/>
                <w:kern w:val="0"/>
                <w:szCs w:val="21"/>
                <w:highlight w:val="none"/>
              </w:rPr>
            </w:pPr>
          </w:p>
        </w:tc>
      </w:tr>
    </w:tbl>
    <w:p w14:paraId="629734B9">
      <w:pPr>
        <w:rPr>
          <w:color w:val="auto"/>
          <w:highlight w:val="none"/>
        </w:rPr>
      </w:pPr>
    </w:p>
    <w:p w14:paraId="01774BFD">
      <w:pPr>
        <w:pStyle w:val="13"/>
        <w:spacing w:line="360" w:lineRule="auto"/>
        <w:ind w:firstLine="422" w:firstLineChars="200"/>
        <w:jc w:val="left"/>
        <w:outlineLvl w:val="1"/>
        <w:rPr>
          <w:rFonts w:hAnsi="宋体" w:cs="宋体"/>
          <w:b/>
          <w:bCs/>
          <w:color w:val="auto"/>
          <w:szCs w:val="21"/>
          <w:highlight w:val="none"/>
          <w:lang w:val="zh-CN"/>
        </w:rPr>
      </w:pPr>
      <w:r>
        <w:rPr>
          <w:rFonts w:hint="eastAsia" w:hAnsi="宋体" w:cs="宋体"/>
          <w:b/>
          <w:bCs/>
          <w:color w:val="auto"/>
          <w:szCs w:val="21"/>
          <w:highlight w:val="none"/>
        </w:rPr>
        <w:t>注：核心产品：</w:t>
      </w:r>
      <w:r>
        <w:rPr>
          <w:rFonts w:hint="eastAsia" w:hAnsi="宋体" w:cs="宋体"/>
          <w:b/>
          <w:bCs/>
          <w:color w:val="auto"/>
          <w:kern w:val="0"/>
          <w:szCs w:val="21"/>
          <w:highlight w:val="none"/>
        </w:rPr>
        <w:t>SIP三合一转发设备</w:t>
      </w:r>
      <w:r>
        <w:rPr>
          <w:rFonts w:hint="eastAsia" w:hAnsi="宋体" w:cs="宋体"/>
          <w:b/>
          <w:bCs/>
          <w:color w:val="auto"/>
          <w:szCs w:val="21"/>
          <w:highlight w:val="none"/>
        </w:rPr>
        <w:t>。若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w:t>
      </w:r>
      <w:r>
        <w:rPr>
          <w:rFonts w:hint="eastAsia" w:hAnsi="宋体" w:cs="宋体"/>
          <w:b/>
          <w:bCs/>
          <w:color w:val="auto"/>
          <w:szCs w:val="21"/>
          <w:highlight w:val="none"/>
          <w:lang w:val="zh-CN"/>
        </w:rPr>
        <w:t>评审得分相同的，由评标委员会集体推荐一个投标人作为中标候选人，其他同品牌投标人不作为中标候选人。</w:t>
      </w:r>
    </w:p>
    <w:p w14:paraId="550D678C">
      <w:pPr>
        <w:pStyle w:val="4"/>
        <w:keepNext w:val="0"/>
        <w:keepLines w:val="0"/>
        <w:snapToGrid/>
        <w:spacing w:beforeLines="0" w:line="360" w:lineRule="auto"/>
        <w:ind w:firstLine="422"/>
        <w:jc w:val="left"/>
        <w:rPr>
          <w:rFonts w:ascii="宋体" w:hAnsi="宋体" w:cs="宋体"/>
          <w:color w:val="auto"/>
          <w:szCs w:val="21"/>
          <w:highlight w:val="none"/>
        </w:rPr>
      </w:pPr>
      <w:r>
        <w:rPr>
          <w:rFonts w:hint="eastAsia" w:ascii="宋体" w:hAnsi="宋体" w:cs="宋体"/>
          <w:color w:val="auto"/>
          <w:szCs w:val="21"/>
          <w:highlight w:val="none"/>
        </w:rPr>
        <w:t>1.4 商务及其他要求</w:t>
      </w:r>
    </w:p>
    <w:p w14:paraId="478602D3">
      <w:pPr>
        <w:pStyle w:val="4"/>
        <w:keepNext w:val="0"/>
        <w:keepLines w:val="0"/>
        <w:snapToGrid/>
        <w:spacing w:beforeLines="0" w:line="360" w:lineRule="auto"/>
        <w:ind w:firstLine="422"/>
        <w:jc w:val="left"/>
        <w:rPr>
          <w:rFonts w:ascii="宋体" w:hAnsi="宋体" w:cs="宋体"/>
          <w:bCs w:val="0"/>
          <w:color w:val="auto"/>
          <w:szCs w:val="21"/>
          <w:highlight w:val="none"/>
        </w:rPr>
      </w:pPr>
      <w:r>
        <w:rPr>
          <w:rFonts w:hint="eastAsia" w:ascii="宋体" w:hAnsi="宋体" w:cs="宋体"/>
          <w:bCs w:val="0"/>
          <w:color w:val="auto"/>
          <w:szCs w:val="21"/>
          <w:highlight w:val="none"/>
        </w:rPr>
        <w:t>1.4.1 服务要求</w:t>
      </w:r>
    </w:p>
    <w:p w14:paraId="61DE5CE8">
      <w:pPr>
        <w:pStyle w:val="67"/>
        <w:spacing w:line="360" w:lineRule="auto"/>
        <w:ind w:left="0"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▲保障黄岩区中考各考点的核心设备（SIP三合一设备、硬盘录像机、数字高清半球摄像头、屏蔽阻断器等）即本项目建设内容能与黄岩区、台州市教育考试中心考试平台完全无缝兼容和互联互通</w:t>
      </w:r>
      <w:r>
        <w:rPr>
          <w:rFonts w:hint="eastAsia" w:ascii="宋体" w:hAnsi="宋体" w:cs="宋体"/>
          <w:b/>
          <w:color w:val="auto"/>
          <w:szCs w:val="21"/>
          <w:highlight w:val="none"/>
        </w:rPr>
        <w:t>（提供承诺书，格式自拟）</w:t>
      </w:r>
      <w:r>
        <w:rPr>
          <w:rFonts w:hint="eastAsia" w:ascii="宋体" w:hAnsi="宋体" w:cs="宋体"/>
          <w:bCs/>
          <w:color w:val="auto"/>
          <w:szCs w:val="21"/>
          <w:highlight w:val="none"/>
        </w:rPr>
        <w:t>，在中标公示后7个工作日内，投标人必须配合招标人做兼容和互联互通测试。如测试不通过，采购人保留追究其在招投标活动中的欺诈行为。</w:t>
      </w:r>
    </w:p>
    <w:p w14:paraId="44C0C46E">
      <w:pPr>
        <w:pStyle w:val="67"/>
        <w:spacing w:line="360" w:lineRule="auto"/>
        <w:ind w:left="0"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服务标准：在质保期内，中标方应负责对其提供的所有设备，出现的任何故障进行现场维修、损坏件更换，不收取额外费用，并免费提供技术服务。</w:t>
      </w:r>
    </w:p>
    <w:p w14:paraId="743522EA">
      <w:pPr>
        <w:pStyle w:val="67"/>
        <w:spacing w:line="360" w:lineRule="auto"/>
        <w:ind w:left="0"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重要时间节点，中标方需要对系统进行全面检查，调试到符合要求，考试期间中标方免费安排人员到各考点提供现场技术保障。</w:t>
      </w:r>
    </w:p>
    <w:p w14:paraId="4EF4C8E8">
      <w:pPr>
        <w:pStyle w:val="54"/>
        <w:spacing w:line="360" w:lineRule="auto"/>
        <w:jc w:val="left"/>
        <w:rPr>
          <w:rFonts w:ascii="宋体" w:hAnsi="宋体" w:cs="宋体"/>
          <w:color w:val="auto"/>
          <w:szCs w:val="21"/>
          <w:highlight w:val="none"/>
        </w:rPr>
      </w:pPr>
    </w:p>
    <w:p w14:paraId="4E70244A">
      <w:pPr>
        <w:pStyle w:val="4"/>
        <w:keepNext w:val="0"/>
        <w:keepLines w:val="0"/>
        <w:snapToGrid/>
        <w:spacing w:beforeLines="0" w:line="360" w:lineRule="auto"/>
        <w:ind w:firstLine="422"/>
        <w:jc w:val="left"/>
        <w:rPr>
          <w:rFonts w:ascii="宋体" w:hAnsi="宋体" w:cs="宋体"/>
          <w:color w:val="auto"/>
          <w:szCs w:val="21"/>
          <w:highlight w:val="none"/>
        </w:rPr>
      </w:pPr>
      <w:r>
        <w:rPr>
          <w:rFonts w:hint="eastAsia" w:ascii="宋体" w:hAnsi="宋体" w:cs="宋体"/>
          <w:color w:val="auto"/>
          <w:szCs w:val="21"/>
          <w:highlight w:val="none"/>
        </w:rPr>
        <w:t>1.4.2 商务要求</w:t>
      </w:r>
    </w:p>
    <w:p w14:paraId="577925CF">
      <w:pPr>
        <w:spacing w:line="360" w:lineRule="auto"/>
        <w:ind w:firstLine="422" w:firstLineChars="200"/>
        <w:jc w:val="left"/>
        <w:outlineLvl w:val="2"/>
        <w:rPr>
          <w:rFonts w:ascii="宋体" w:hAnsi="宋体" w:cs="宋体"/>
          <w:b/>
          <w:color w:val="auto"/>
          <w:szCs w:val="21"/>
          <w:highlight w:val="none"/>
        </w:rPr>
      </w:pPr>
      <w:r>
        <w:rPr>
          <w:rFonts w:hint="eastAsia" w:ascii="宋体" w:hAnsi="宋体" w:cs="宋体"/>
          <w:b/>
          <w:color w:val="auto"/>
          <w:szCs w:val="21"/>
          <w:highlight w:val="none"/>
        </w:rPr>
        <w:t>1.4.2.1 项目投标报价要求</w:t>
      </w:r>
    </w:p>
    <w:p w14:paraId="2BCEED7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1.4.2.1.1 中标人要包质量、包数量、包运输和包安装调试。</w:t>
      </w:r>
    </w:p>
    <w:p w14:paraId="2FD9CB1E">
      <w:pPr>
        <w:pStyle w:val="13"/>
        <w:spacing w:line="360" w:lineRule="auto"/>
        <w:ind w:firstLine="420" w:firstLineChars="200"/>
        <w:jc w:val="left"/>
        <w:rPr>
          <w:rFonts w:hAnsi="宋体" w:cs="宋体"/>
          <w:color w:val="auto"/>
          <w:szCs w:val="21"/>
          <w:highlight w:val="none"/>
          <w:u w:val="single"/>
        </w:rPr>
      </w:pPr>
      <w:r>
        <w:rPr>
          <w:rFonts w:hint="eastAsia" w:hAnsi="宋体" w:cs="宋体"/>
          <w:color w:val="auto"/>
          <w:szCs w:val="21"/>
          <w:highlight w:val="none"/>
        </w:rPr>
        <w:t>1.4.2.1.2 按招标项目的技术要求，供应商根据项目特点和企业条件确定投标报价，本招标项目要求投标方提供的货物及服务内容，除采购文件有特别规定外，都应包含在本报价范围内</w:t>
      </w:r>
      <w:r>
        <w:rPr>
          <w:rFonts w:hint="eastAsia" w:hAnsi="宋体" w:cs="宋体"/>
          <w:color w:val="auto"/>
          <w:szCs w:val="21"/>
          <w:highlight w:val="none"/>
          <w:u w:val="single"/>
        </w:rPr>
        <w:t>。</w:t>
      </w:r>
    </w:p>
    <w:p w14:paraId="50CE6530">
      <w:pPr>
        <w:spacing w:line="36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1.4.2.1.3 投标报价不得超过最高限价,否则其投标无效。</w:t>
      </w:r>
    </w:p>
    <w:p w14:paraId="27D8F53B">
      <w:pPr>
        <w:spacing w:line="360" w:lineRule="auto"/>
        <w:ind w:firstLine="422" w:firstLineChars="200"/>
        <w:jc w:val="left"/>
        <w:outlineLvl w:val="2"/>
        <w:rPr>
          <w:rFonts w:ascii="宋体" w:hAnsi="宋体" w:cs="宋体"/>
          <w:b/>
          <w:color w:val="auto"/>
          <w:szCs w:val="21"/>
          <w:highlight w:val="none"/>
        </w:rPr>
      </w:pPr>
      <w:r>
        <w:rPr>
          <w:rFonts w:hint="eastAsia" w:ascii="宋体" w:hAnsi="宋体" w:cs="宋体"/>
          <w:b/>
          <w:color w:val="auto"/>
          <w:szCs w:val="21"/>
          <w:highlight w:val="none"/>
        </w:rPr>
        <w:t>1.4.2.2 交货时间及地点</w:t>
      </w:r>
    </w:p>
    <w:p w14:paraId="0E2917D9">
      <w:pPr>
        <w:spacing w:line="36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1.4.2.2.1 交货时间：</w:t>
      </w:r>
      <w:r>
        <w:rPr>
          <w:rFonts w:hint="eastAsia" w:ascii="宋体" w:hAnsi="宋体" w:cs="宋体"/>
          <w:color w:val="auto"/>
          <w:szCs w:val="21"/>
          <w:highlight w:val="none"/>
        </w:rPr>
        <w:t>合同生效并具备实施条件后60天内完成本项目的供货，安装，调试并提交验收。</w:t>
      </w:r>
    </w:p>
    <w:p w14:paraId="410E5130">
      <w:pPr>
        <w:spacing w:line="36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1.4.2.2.2 交货地点：</w:t>
      </w:r>
      <w:r>
        <w:rPr>
          <w:rFonts w:hint="eastAsia" w:ascii="宋体" w:hAnsi="宋体" w:cs="宋体"/>
          <w:color w:val="auto"/>
          <w:szCs w:val="21"/>
          <w:highlight w:val="none"/>
        </w:rPr>
        <w:t>采购单位指定地点。</w:t>
      </w:r>
    </w:p>
    <w:p w14:paraId="0E1695E0">
      <w:pPr>
        <w:spacing w:line="360" w:lineRule="auto"/>
        <w:ind w:firstLine="422" w:firstLineChars="200"/>
        <w:jc w:val="left"/>
        <w:outlineLvl w:val="2"/>
        <w:rPr>
          <w:rFonts w:ascii="宋体" w:hAnsi="宋体" w:cs="宋体"/>
          <w:b/>
          <w:color w:val="auto"/>
          <w:szCs w:val="21"/>
          <w:highlight w:val="none"/>
        </w:rPr>
      </w:pPr>
      <w:r>
        <w:rPr>
          <w:rFonts w:hint="eastAsia" w:ascii="宋体" w:hAnsi="宋体" w:cs="宋体"/>
          <w:b/>
          <w:color w:val="auto"/>
          <w:szCs w:val="21"/>
          <w:highlight w:val="none"/>
        </w:rPr>
        <w:t>1.4.2.3 质保期（免费维修期）</w:t>
      </w:r>
    </w:p>
    <w:p w14:paraId="0220BF77">
      <w:pPr>
        <w:spacing w:line="36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1.4.2.3</w:t>
      </w:r>
      <w:r>
        <w:rPr>
          <w:rFonts w:hint="eastAsia" w:ascii="宋体" w:hAnsi="宋体" w:cs="宋体"/>
          <w:color w:val="auto"/>
          <w:szCs w:val="21"/>
          <w:highlight w:val="none"/>
        </w:rPr>
        <w:t>.1 质保期：质保期至少6年，质保期从安装调试完毕，最终验收合格之日开始计算。质保期内任何设备的任何故障都应由中标人提供免费技术服务和维修。超过质保期的，维修时只收部件成本费。</w:t>
      </w:r>
    </w:p>
    <w:p w14:paraId="24F3786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1.4.2.3.2 技术支持要求：中标人必须对所供产品实行终身维修，系统故障的响应时间不得超过8小时(从用户发出服务请求至中标人服务人员到达用户需服务的现场，常规故障可先采用电话提供解决方案并解决或利用远程方式解决)，一般故障在2小时内排除，特殊故障在4小时内排除，中标人投标时有其它服务承诺的，一并履行。若未在8小时内响应的，采购人可以有权从其它的供应商中得到服务，由此造成的全部损失由中标人承担。</w:t>
      </w:r>
    </w:p>
    <w:p w14:paraId="209C0EE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1.4.2.3.3 中标人在质保期内每年应（不少于一次）对设备进行保养、检修。</w:t>
      </w:r>
    </w:p>
    <w:p w14:paraId="3B48E9A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1.4.2.3.4 本项目前两次运行，中标人必须有专业工程师常驻现场，负责指导和处理系统使用问题。</w:t>
      </w:r>
    </w:p>
    <w:p w14:paraId="11A23E28">
      <w:pPr>
        <w:spacing w:line="360" w:lineRule="auto"/>
        <w:ind w:firstLine="422" w:firstLineChars="200"/>
        <w:jc w:val="left"/>
        <w:outlineLvl w:val="2"/>
        <w:rPr>
          <w:rFonts w:ascii="宋体" w:hAnsi="宋体" w:cs="宋体"/>
          <w:b/>
          <w:color w:val="auto"/>
          <w:szCs w:val="21"/>
          <w:highlight w:val="none"/>
        </w:rPr>
      </w:pPr>
      <w:r>
        <w:rPr>
          <w:rFonts w:hint="eastAsia" w:ascii="宋体" w:hAnsi="宋体" w:cs="宋体"/>
          <w:b/>
          <w:color w:val="auto"/>
          <w:szCs w:val="21"/>
          <w:highlight w:val="none"/>
        </w:rPr>
        <w:t>1.4.2.4 技术培训</w:t>
      </w:r>
    </w:p>
    <w:p w14:paraId="2CE6E100">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1.4.2.4.1 中标人须对需方的操作人员、技术人员进行免费培训。</w:t>
      </w:r>
    </w:p>
    <w:p w14:paraId="7F21578E">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1.4.2.4.2 技术培训费用应包含在供货总价中。</w:t>
      </w:r>
    </w:p>
    <w:p w14:paraId="23FFE4B9">
      <w:pPr>
        <w:spacing w:line="36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1.4.2.4.3 中标人负责对需方进行技术培训，包括对需方进行详尽的工作原理、操作使用、一般维护、常见故障排除等一系列的专业培训,并提供系统操作、维修手册及各类设备的说明书。</w:t>
      </w:r>
    </w:p>
    <w:p w14:paraId="4D47264E">
      <w:pPr>
        <w:spacing w:line="360" w:lineRule="auto"/>
        <w:ind w:firstLine="422" w:firstLineChars="200"/>
        <w:jc w:val="left"/>
        <w:outlineLvl w:val="2"/>
        <w:rPr>
          <w:rFonts w:ascii="宋体" w:hAnsi="宋体" w:cs="宋体"/>
          <w:b/>
          <w:color w:val="auto"/>
          <w:szCs w:val="21"/>
          <w:highlight w:val="none"/>
        </w:rPr>
      </w:pPr>
      <w:r>
        <w:rPr>
          <w:rFonts w:hint="eastAsia" w:ascii="宋体" w:hAnsi="宋体" w:cs="宋体"/>
          <w:b/>
          <w:color w:val="auto"/>
          <w:szCs w:val="21"/>
          <w:highlight w:val="none"/>
        </w:rPr>
        <w:t>1.4.2.5 安装调试</w:t>
      </w:r>
    </w:p>
    <w:p w14:paraId="3BD0E06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1.4.2.5.1安装地点：采购人指定地点。</w:t>
      </w:r>
    </w:p>
    <w:p w14:paraId="249F73A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1.4.2.5.2安装完成时间：接到采购人通知后在规定时间内完成制作、安装和调试，如在规定的时间内由于中标人的原因不能完成安装和调试，中标人应承担由此给采购人造成的损失。</w:t>
      </w:r>
    </w:p>
    <w:p w14:paraId="5952261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1.4.2.5.3如中标人委托国内代理（或其他机构）负责安装或配合安装应在签约时指明，但中标人仍要对合同货物及其安装质量负全部责任。</w:t>
      </w:r>
    </w:p>
    <w:p w14:paraId="72B939D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1.4.2.5.4安装标准：符合我国国家有关技术规范要求和技术标准，所有的软件和硬件必须保证同时安装到位。</w:t>
      </w:r>
    </w:p>
    <w:p w14:paraId="704696D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1.4.2.5.5中标人免费提供合同货物的安装服务。</w:t>
      </w:r>
    </w:p>
    <w:p w14:paraId="08B784F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1.4.2.5.6中标人在投标文件中应提供安装调试计划、对安装场地和环境的要求。</w:t>
      </w:r>
    </w:p>
    <w:p w14:paraId="345E93C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1.4.2.5.7中标人采用能适应长途海运、陆运和气候变化，并能很好地防止野蛮装卸、防潮、防雨水侵蚀、防震的坚固的包装材料。中标人应对不适当或不正确的包装而造成的货物锈蚀，直接损坏和损失以及由此产生的所有费用负责。</w:t>
      </w:r>
    </w:p>
    <w:p w14:paraId="041B185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1.4.2.5.8备品备件及耗材：中标人应提供质保期满后主要零部件报价单、质保期满后维护费、软件升级及其相关服务内容。</w:t>
      </w:r>
    </w:p>
    <w:p w14:paraId="7DC65E7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1.4.2.5.9在安装、调试、检验时，应派遣授权委托代理人参加并加以指导，如发现质量问题，代表必须负责处理至采购人满意为止。</w:t>
      </w:r>
    </w:p>
    <w:p w14:paraId="7032BCAE">
      <w:pPr>
        <w:spacing w:line="360" w:lineRule="auto"/>
        <w:ind w:firstLine="422" w:firstLineChars="200"/>
        <w:jc w:val="left"/>
        <w:outlineLvl w:val="2"/>
        <w:rPr>
          <w:rFonts w:ascii="宋体" w:hAnsi="宋体" w:cs="宋体"/>
          <w:bCs/>
          <w:color w:val="auto"/>
          <w:szCs w:val="21"/>
          <w:highlight w:val="none"/>
        </w:rPr>
      </w:pPr>
      <w:r>
        <w:rPr>
          <w:rFonts w:hint="eastAsia" w:ascii="宋体" w:hAnsi="宋体" w:cs="宋体"/>
          <w:b/>
          <w:color w:val="auto"/>
          <w:szCs w:val="21"/>
          <w:highlight w:val="none"/>
        </w:rPr>
        <w:t>1.4.2.6 付款方式</w:t>
      </w:r>
    </w:p>
    <w:p w14:paraId="59178B76">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（1）首年支付款项:合同生效且具备实施条件后7个工作日内，支付合同金额的40%作为预付款(含1年链路费)；项目安装、调试完成并且验收后 30个工作日内支付至合同金额的 70%。</w:t>
      </w:r>
    </w:p>
    <w:p w14:paraId="614F1AC1">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（2）2026年11月底支付剩余款项(含5年链路费)。</w:t>
      </w:r>
    </w:p>
    <w:p w14:paraId="5E55C764">
      <w:pPr>
        <w:spacing w:line="360" w:lineRule="auto"/>
        <w:ind w:firstLine="422" w:firstLineChars="200"/>
        <w:jc w:val="left"/>
        <w:rPr>
          <w:rFonts w:ascii="宋体" w:hAnsi="宋体" w:cs="宋体"/>
          <w:b/>
          <w:color w:val="auto"/>
          <w:szCs w:val="21"/>
          <w:highlight w:val="none"/>
        </w:rPr>
      </w:pPr>
    </w:p>
    <w:p w14:paraId="2109EEDD">
      <w:pPr>
        <w:autoSpaceDN w:val="0"/>
        <w:spacing w:line="360" w:lineRule="auto"/>
        <w:rPr>
          <w:rFonts w:ascii="宋体" w:hAnsi="宋体" w:cs="宋体"/>
          <w:b/>
          <w:color w:val="auto"/>
          <w:szCs w:val="21"/>
          <w:highlight w:val="none"/>
        </w:rPr>
      </w:pPr>
      <w:r>
        <w:rPr>
          <w:rFonts w:hint="eastAsia" w:ascii="宋体" w:hAnsi="宋体" w:cs="宋体"/>
          <w:b/>
          <w:color w:val="auto"/>
          <w:szCs w:val="21"/>
          <w:highlight w:val="none"/>
        </w:rPr>
        <w:t>本项目中标（成交）供应商应在浙江政府采购网（http://zfcg.czt.zj.gov.cn/）上注册成为“政府采购供应商”，如不按要求注册的，采购方有权延期发布中标（成交）通知书和中标（成交）公告，后果由供应商自行承担。</w:t>
      </w:r>
    </w:p>
    <w:p w14:paraId="740E3091">
      <w:pPr>
        <w:autoSpaceDN w:val="0"/>
        <w:spacing w:line="360" w:lineRule="auto"/>
        <w:rPr>
          <w:rFonts w:ascii="宋体" w:hAnsi="宋体" w:cs="宋体"/>
          <w:b/>
          <w:color w:val="auto"/>
          <w:szCs w:val="21"/>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05AFC1D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第五章 合同主要条款</w:t>
      </w:r>
    </w:p>
    <w:p w14:paraId="281B21C8">
      <w:pPr>
        <w:pStyle w:val="52"/>
        <w:jc w:val="center"/>
        <w:rPr>
          <w:rFonts w:hAnsi="宋体" w:cs="宋体"/>
          <w:color w:val="auto"/>
          <w:szCs w:val="21"/>
          <w:highlight w:val="none"/>
        </w:rPr>
      </w:pPr>
      <w:r>
        <w:rPr>
          <w:rFonts w:hint="eastAsia" w:hAnsi="宋体" w:cs="宋体"/>
          <w:color w:val="auto"/>
          <w:kern w:val="2"/>
          <w:sz w:val="21"/>
          <w:szCs w:val="21"/>
          <w:highlight w:val="none"/>
        </w:rPr>
        <w:t>（此稿为合同样本，最终定稿待双方协商后定，但不得背离实质性内容）</w:t>
      </w:r>
    </w:p>
    <w:p w14:paraId="1640F83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将由台州市路桥区教育局（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35FA9758">
      <w:pPr>
        <w:pStyle w:val="13"/>
        <w:spacing w:line="360" w:lineRule="auto"/>
        <w:ind w:firstLine="420" w:firstLineChars="200"/>
        <w:jc w:val="left"/>
        <w:rPr>
          <w:rFonts w:hAnsi="宋体" w:cs="宋体"/>
          <w:color w:val="auto"/>
          <w:szCs w:val="21"/>
          <w:highlight w:val="none"/>
        </w:rPr>
      </w:pPr>
      <w:r>
        <w:rPr>
          <w:rFonts w:hint="eastAsia" w:hAnsi="宋体" w:cs="宋体"/>
          <w:color w:val="auto"/>
          <w:szCs w:val="21"/>
          <w:highlight w:val="none"/>
        </w:rPr>
        <w:t>项目编号：</w:t>
      </w:r>
    </w:p>
    <w:p w14:paraId="1EA31D6E">
      <w:pPr>
        <w:pStyle w:val="13"/>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甲方：</w:t>
      </w:r>
      <w:r>
        <w:rPr>
          <w:rFonts w:hint="eastAsia" w:hAnsi="宋体" w:cs="宋体"/>
          <w:color w:val="auto"/>
          <w:szCs w:val="21"/>
          <w:highlight w:val="none"/>
        </w:rPr>
        <w:t>（采购方）</w:t>
      </w:r>
    </w:p>
    <w:p w14:paraId="575C99B3">
      <w:pPr>
        <w:pStyle w:val="13"/>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乙方：</w:t>
      </w:r>
      <w:r>
        <w:rPr>
          <w:rFonts w:hint="eastAsia" w:hAnsi="宋体" w:cs="宋体"/>
          <w:color w:val="auto"/>
          <w:szCs w:val="21"/>
          <w:highlight w:val="none"/>
        </w:rPr>
        <w:t>（供应商）</w:t>
      </w:r>
      <w:r>
        <w:rPr>
          <w:rFonts w:hint="eastAsia" w:hAnsi="宋体" w:cs="宋体"/>
          <w:b/>
          <w:color w:val="auto"/>
          <w:szCs w:val="21"/>
          <w:highlight w:val="none"/>
        </w:rPr>
        <w:t xml:space="preserve"> </w:t>
      </w:r>
    </w:p>
    <w:p w14:paraId="6018937C">
      <w:pPr>
        <w:pStyle w:val="13"/>
        <w:spacing w:line="360" w:lineRule="auto"/>
        <w:ind w:firstLine="420" w:firstLineChars="200"/>
        <w:jc w:val="left"/>
        <w:rPr>
          <w:rFonts w:hAnsi="宋体" w:cs="宋体"/>
          <w:b/>
          <w:color w:val="auto"/>
          <w:szCs w:val="21"/>
          <w:highlight w:val="none"/>
        </w:rPr>
      </w:pPr>
      <w:r>
        <w:rPr>
          <w:rFonts w:hint="eastAsia" w:hAnsi="宋体" w:cs="宋体"/>
          <w:color w:val="auto"/>
          <w:szCs w:val="21"/>
          <w:highlight w:val="none"/>
        </w:rPr>
        <w:t>甲、乙双方根据</w:t>
      </w:r>
      <w:r>
        <w:rPr>
          <w:rFonts w:hint="eastAsia" w:hAnsi="宋体" w:cs="宋体"/>
          <w:color w:val="auto"/>
          <w:szCs w:val="21"/>
          <w:highlight w:val="none"/>
          <w:u w:val="single"/>
        </w:rPr>
        <w:t>黄岩区中考标准化考点建设项目公开招标</w:t>
      </w:r>
      <w:r>
        <w:rPr>
          <w:rFonts w:hint="eastAsia" w:hAnsi="宋体" w:cs="宋体"/>
          <w:color w:val="auto"/>
          <w:szCs w:val="21"/>
          <w:highlight w:val="none"/>
        </w:rPr>
        <w:t>的结果，签署本合同。</w:t>
      </w:r>
    </w:p>
    <w:p w14:paraId="67003FD9">
      <w:pPr>
        <w:spacing w:line="360" w:lineRule="auto"/>
        <w:ind w:firstLine="422" w:firstLineChars="200"/>
        <w:jc w:val="left"/>
        <w:outlineLvl w:val="2"/>
        <w:rPr>
          <w:rFonts w:ascii="宋体" w:hAnsi="宋体" w:cs="宋体"/>
          <w:b/>
          <w:color w:val="auto"/>
          <w:szCs w:val="21"/>
          <w:highlight w:val="none"/>
        </w:rPr>
      </w:pPr>
      <w:r>
        <w:rPr>
          <w:rFonts w:hint="eastAsia" w:ascii="宋体" w:hAnsi="宋体" w:cs="宋体"/>
          <w:b/>
          <w:color w:val="auto"/>
          <w:szCs w:val="21"/>
          <w:highlight w:val="none"/>
        </w:rPr>
        <w:t>第一条：承包内容</w:t>
      </w:r>
    </w:p>
    <w:p w14:paraId="098AD79C">
      <w:pPr>
        <w:spacing w:line="360" w:lineRule="auto"/>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黄岩区中考标准化考点建设项目</w:t>
      </w:r>
      <w:r>
        <w:rPr>
          <w:rFonts w:hint="eastAsia" w:ascii="宋体" w:hAnsi="宋体" w:cs="宋体"/>
          <w:color w:val="auto"/>
          <w:szCs w:val="21"/>
          <w:highlight w:val="none"/>
        </w:rPr>
        <w:t>，包括上述项目的供货、运输、安装、总体调试、技术培训、直至验收合格及售后服务等。</w:t>
      </w:r>
    </w:p>
    <w:p w14:paraId="7E1D8A70">
      <w:pPr>
        <w:spacing w:line="360" w:lineRule="auto"/>
        <w:ind w:firstLine="422" w:firstLineChars="200"/>
        <w:jc w:val="left"/>
        <w:outlineLvl w:val="2"/>
        <w:rPr>
          <w:rFonts w:ascii="宋体" w:hAnsi="宋体" w:cs="宋体"/>
          <w:b/>
          <w:color w:val="auto"/>
          <w:szCs w:val="21"/>
          <w:highlight w:val="none"/>
        </w:rPr>
      </w:pPr>
      <w:r>
        <w:rPr>
          <w:rFonts w:hint="eastAsia" w:ascii="宋体" w:hAnsi="宋体" w:cs="宋体"/>
          <w:b/>
          <w:color w:val="auto"/>
          <w:szCs w:val="21"/>
          <w:highlight w:val="none"/>
        </w:rPr>
        <w:t>第二条：合同金额</w:t>
      </w:r>
    </w:p>
    <w:p w14:paraId="384B162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本合同金额为(大写):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 人民币。</w:t>
      </w:r>
    </w:p>
    <w:p w14:paraId="7DBDD237">
      <w:pPr>
        <w:pStyle w:val="13"/>
        <w:spacing w:line="360" w:lineRule="auto"/>
        <w:ind w:firstLine="422" w:firstLineChars="200"/>
        <w:jc w:val="left"/>
        <w:rPr>
          <w:rFonts w:hAnsi="宋体" w:cs="仿宋"/>
          <w:color w:val="auto"/>
          <w:szCs w:val="21"/>
          <w:highlight w:val="none"/>
        </w:rPr>
      </w:pPr>
      <w:r>
        <w:rPr>
          <w:rFonts w:hint="eastAsia" w:hAnsi="宋体" w:cs="仿宋"/>
          <w:b/>
          <w:bCs/>
          <w:color w:val="auto"/>
          <w:szCs w:val="21"/>
          <w:highlight w:val="none"/>
        </w:rPr>
        <w:t>注：</w:t>
      </w:r>
      <w:r>
        <w:rPr>
          <w:rFonts w:hint="eastAsia" w:hAnsi="宋体" w:cs="仿宋"/>
          <w:b/>
          <w:color w:val="auto"/>
          <w:szCs w:val="21"/>
          <w:highlight w:val="none"/>
          <w:u w:val="single"/>
        </w:rPr>
        <w:t>合同总价已包含设计费、软件费、设备价款（必备的附件，如配件、备品备件、专用工具和预埋件等）、运输安装调试费、安装人员住宿费、安装所需工具费、安装调试费、验收检测费（含质保期内）、质保期内的维护保养费、技术支持与培训费、税费、采购代理费及不可预见费等所需的一切费用，如有漏项，视同已包含在其它项目中，合同总价和单价不作调整。乙方在报价中已充分考虑作业期间成本投入的市场风险、政策性调整及其它所有不可预见因素，今后不再作调整，甲方要求变动的内容除外。</w:t>
      </w:r>
    </w:p>
    <w:p w14:paraId="3B688A84">
      <w:pPr>
        <w:spacing w:line="360" w:lineRule="auto"/>
        <w:ind w:firstLine="422" w:firstLineChars="200"/>
        <w:jc w:val="left"/>
        <w:outlineLvl w:val="2"/>
        <w:rPr>
          <w:rFonts w:ascii="宋体" w:hAnsi="宋体" w:cs="宋体"/>
          <w:b/>
          <w:color w:val="auto"/>
          <w:szCs w:val="21"/>
          <w:highlight w:val="none"/>
        </w:rPr>
      </w:pPr>
      <w:r>
        <w:rPr>
          <w:rFonts w:hint="eastAsia" w:ascii="宋体" w:hAnsi="宋体" w:cs="宋体"/>
          <w:b/>
          <w:color w:val="auto"/>
          <w:szCs w:val="21"/>
          <w:highlight w:val="none"/>
        </w:rPr>
        <w:t>第三条：交货时间及地点</w:t>
      </w:r>
    </w:p>
    <w:p w14:paraId="3FC5636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1、交货时间：合同生效并具备实施条件后60天内完成本项目的供货，安装，调试并提交验收。</w:t>
      </w:r>
    </w:p>
    <w:p w14:paraId="7722EC3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2、交货地点：甲方指定地点。</w:t>
      </w:r>
    </w:p>
    <w:p w14:paraId="747A6D4F">
      <w:pPr>
        <w:spacing w:line="360" w:lineRule="auto"/>
        <w:ind w:firstLine="422" w:firstLineChars="200"/>
        <w:jc w:val="left"/>
        <w:outlineLvl w:val="2"/>
        <w:rPr>
          <w:rFonts w:ascii="宋体" w:hAnsi="宋体" w:cs="宋体"/>
          <w:b/>
          <w:color w:val="auto"/>
          <w:szCs w:val="21"/>
          <w:highlight w:val="none"/>
        </w:rPr>
      </w:pPr>
      <w:r>
        <w:rPr>
          <w:rFonts w:hint="eastAsia" w:ascii="宋体" w:hAnsi="宋体" w:cs="宋体"/>
          <w:b/>
          <w:color w:val="auto"/>
          <w:szCs w:val="21"/>
          <w:highlight w:val="none"/>
        </w:rPr>
        <w:t>第四条：货物包装、发运及运输</w:t>
      </w:r>
    </w:p>
    <w:p w14:paraId="6F1D2F9D">
      <w:pPr>
        <w:spacing w:line="360" w:lineRule="auto"/>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1、乙方应在货物发运前对其进行满足运输距离、防潮、防震、防锈、防破损和装卸等要求的包装，以保证货物安全运达甲方指定地点。</w:t>
      </w:r>
    </w:p>
    <w:p w14:paraId="6F632EA5">
      <w:pPr>
        <w:spacing w:line="360" w:lineRule="auto"/>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2、货物使用说明书、质量检验证明书、随配附件和工具以及清单一并附于货物内运送。</w:t>
      </w:r>
    </w:p>
    <w:p w14:paraId="19322DAF">
      <w:pPr>
        <w:spacing w:line="360" w:lineRule="auto"/>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3、乙方在货到甲方指定地点</w:t>
      </w:r>
      <w:r>
        <w:rPr>
          <w:rFonts w:hint="eastAsia" w:ascii="宋体" w:hAnsi="宋体" w:cs="仿宋"/>
          <w:color w:val="auto"/>
          <w:szCs w:val="21"/>
          <w:highlight w:val="none"/>
          <w:u w:val="single"/>
        </w:rPr>
        <w:t>24</w:t>
      </w:r>
      <w:r>
        <w:rPr>
          <w:rFonts w:hint="eastAsia" w:ascii="宋体" w:hAnsi="宋体" w:cs="仿宋"/>
          <w:color w:val="auto"/>
          <w:szCs w:val="21"/>
          <w:highlight w:val="none"/>
        </w:rPr>
        <w:t>小时前通知甲方，以便甲方准备接货。</w:t>
      </w:r>
    </w:p>
    <w:p w14:paraId="221B2155">
      <w:pPr>
        <w:spacing w:line="360" w:lineRule="auto"/>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4、货物在甲方初步验收合格签收前发生的风险均由乙方负责。</w:t>
      </w:r>
    </w:p>
    <w:p w14:paraId="20546658">
      <w:pPr>
        <w:spacing w:line="360" w:lineRule="auto"/>
        <w:ind w:firstLine="422" w:firstLineChars="200"/>
        <w:jc w:val="left"/>
        <w:outlineLvl w:val="2"/>
        <w:rPr>
          <w:rFonts w:ascii="宋体" w:hAnsi="宋体" w:cs="宋体"/>
          <w:b/>
          <w:color w:val="auto"/>
          <w:szCs w:val="21"/>
          <w:highlight w:val="none"/>
        </w:rPr>
      </w:pPr>
      <w:r>
        <w:rPr>
          <w:rFonts w:hint="eastAsia" w:ascii="宋体" w:hAnsi="宋体" w:cs="宋体"/>
          <w:b/>
          <w:color w:val="auto"/>
          <w:szCs w:val="21"/>
          <w:highlight w:val="none"/>
        </w:rPr>
        <w:t>第五条：调试和试运行</w:t>
      </w:r>
    </w:p>
    <w:p w14:paraId="269CC910">
      <w:pPr>
        <w:spacing w:line="360" w:lineRule="auto"/>
        <w:ind w:firstLine="420" w:firstLineChars="200"/>
        <w:jc w:val="left"/>
        <w:rPr>
          <w:rFonts w:ascii="宋体" w:hAnsi="宋体" w:cs="仿宋"/>
          <w:color w:val="auto"/>
          <w:szCs w:val="21"/>
          <w:highlight w:val="none"/>
        </w:rPr>
      </w:pPr>
      <w:r>
        <w:rPr>
          <w:rFonts w:ascii="宋体" w:hAnsi="宋体" w:cs="仿宋"/>
          <w:color w:val="auto"/>
          <w:szCs w:val="21"/>
          <w:highlight w:val="none"/>
        </w:rPr>
        <w:t>1</w:t>
      </w:r>
      <w:r>
        <w:rPr>
          <w:rFonts w:hint="eastAsia" w:ascii="宋体" w:hAnsi="宋体" w:cs="仿宋"/>
          <w:color w:val="auto"/>
          <w:szCs w:val="21"/>
          <w:highlight w:val="none"/>
        </w:rPr>
        <w:t>、在安装完成后，乙方应对整个项目的质量、性能等，按照国家或行业标准和规范进行准确和全面的调试、检验，并把测试结果用书面报告的方式交给甲方。</w:t>
      </w:r>
    </w:p>
    <w:p w14:paraId="641D84E0">
      <w:pPr>
        <w:spacing w:line="360" w:lineRule="auto"/>
        <w:ind w:firstLine="420" w:firstLineChars="200"/>
        <w:jc w:val="left"/>
        <w:rPr>
          <w:rFonts w:ascii="宋体" w:hAnsi="宋体" w:cs="仿宋"/>
          <w:color w:val="auto"/>
          <w:szCs w:val="21"/>
          <w:highlight w:val="none"/>
        </w:rPr>
      </w:pPr>
      <w:r>
        <w:rPr>
          <w:rFonts w:ascii="宋体" w:hAnsi="宋体" w:cs="仿宋"/>
          <w:color w:val="auto"/>
          <w:szCs w:val="21"/>
          <w:highlight w:val="none"/>
        </w:rPr>
        <w:t>2</w:t>
      </w:r>
      <w:r>
        <w:rPr>
          <w:rFonts w:hint="eastAsia" w:ascii="宋体" w:hAnsi="宋体" w:cs="仿宋"/>
          <w:color w:val="auto"/>
          <w:szCs w:val="21"/>
          <w:highlight w:val="none"/>
        </w:rPr>
        <w:t>、甲方有权要求派代表参加乙方对本系统的调试。</w:t>
      </w:r>
    </w:p>
    <w:p w14:paraId="7023D3B6">
      <w:pPr>
        <w:spacing w:line="360" w:lineRule="auto"/>
        <w:ind w:firstLine="420" w:firstLineChars="200"/>
        <w:jc w:val="left"/>
        <w:rPr>
          <w:rFonts w:ascii="宋体" w:hAnsi="宋体" w:cs="仿宋"/>
          <w:color w:val="auto"/>
          <w:szCs w:val="21"/>
          <w:highlight w:val="none"/>
        </w:rPr>
      </w:pPr>
      <w:r>
        <w:rPr>
          <w:rFonts w:ascii="宋体" w:hAnsi="宋体" w:cs="仿宋"/>
          <w:color w:val="auto"/>
          <w:szCs w:val="21"/>
          <w:highlight w:val="none"/>
        </w:rPr>
        <w:t>3</w:t>
      </w:r>
      <w:r>
        <w:rPr>
          <w:rFonts w:hint="eastAsia" w:ascii="宋体" w:hAnsi="宋体" w:cs="仿宋"/>
          <w:color w:val="auto"/>
          <w:szCs w:val="21"/>
          <w:highlight w:val="none"/>
        </w:rPr>
        <w:t>、调试完成后，应进行试运行，试运行合格，由甲方进行统一验收。</w:t>
      </w:r>
    </w:p>
    <w:p w14:paraId="0D53908E">
      <w:pPr>
        <w:spacing w:line="360" w:lineRule="auto"/>
        <w:ind w:firstLine="420" w:firstLineChars="200"/>
        <w:jc w:val="left"/>
        <w:rPr>
          <w:rFonts w:ascii="宋体" w:hAnsi="宋体" w:cs="仿宋"/>
          <w:color w:val="auto"/>
          <w:szCs w:val="21"/>
          <w:highlight w:val="none"/>
        </w:rPr>
      </w:pPr>
      <w:r>
        <w:rPr>
          <w:rFonts w:ascii="宋体" w:hAnsi="宋体" w:cs="仿宋"/>
          <w:color w:val="auto"/>
          <w:szCs w:val="21"/>
          <w:highlight w:val="none"/>
        </w:rPr>
        <w:t>4</w:t>
      </w:r>
      <w:r>
        <w:rPr>
          <w:rFonts w:hint="eastAsia" w:ascii="宋体" w:hAnsi="宋体" w:cs="仿宋"/>
          <w:color w:val="auto"/>
          <w:szCs w:val="21"/>
          <w:highlight w:val="none"/>
        </w:rPr>
        <w:t>、调试及试运行期间，乙方应派经验丰富的专业技术人员到现场进行操作，由此发生的费用由乙方自行承担。</w:t>
      </w:r>
    </w:p>
    <w:p w14:paraId="6520C880">
      <w:pPr>
        <w:spacing w:line="360" w:lineRule="auto"/>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5、试运行期间，如各系统仍存在问题，甲方可以延长试运行时间。</w:t>
      </w:r>
    </w:p>
    <w:p w14:paraId="0A6F973A">
      <w:pPr>
        <w:spacing w:line="360" w:lineRule="auto"/>
        <w:ind w:firstLine="422" w:firstLineChars="200"/>
        <w:jc w:val="left"/>
        <w:outlineLvl w:val="2"/>
        <w:rPr>
          <w:rFonts w:ascii="宋体" w:hAnsi="宋体" w:cs="宋体"/>
          <w:b/>
          <w:color w:val="auto"/>
          <w:szCs w:val="21"/>
          <w:highlight w:val="none"/>
        </w:rPr>
      </w:pPr>
      <w:r>
        <w:rPr>
          <w:rFonts w:hint="eastAsia" w:ascii="宋体" w:hAnsi="宋体" w:cs="宋体"/>
          <w:b/>
          <w:color w:val="auto"/>
          <w:szCs w:val="21"/>
          <w:highlight w:val="none"/>
        </w:rPr>
        <w:t>第六条：验收</w:t>
      </w:r>
    </w:p>
    <w:p w14:paraId="25F30DF3">
      <w:pPr>
        <w:spacing w:line="360" w:lineRule="auto"/>
        <w:ind w:firstLine="420" w:firstLineChars="200"/>
        <w:jc w:val="left"/>
        <w:rPr>
          <w:rFonts w:ascii="宋体" w:hAnsi="宋体" w:cs="仿宋"/>
          <w:color w:val="auto"/>
          <w:szCs w:val="21"/>
          <w:highlight w:val="none"/>
        </w:rPr>
      </w:pPr>
      <w:r>
        <w:rPr>
          <w:rFonts w:ascii="宋体" w:hAnsi="宋体" w:cs="仿宋"/>
          <w:color w:val="auto"/>
          <w:szCs w:val="21"/>
          <w:highlight w:val="none"/>
        </w:rPr>
        <w:t>1</w:t>
      </w:r>
      <w:r>
        <w:rPr>
          <w:rFonts w:hint="eastAsia" w:ascii="宋体" w:hAnsi="宋体" w:cs="仿宋"/>
          <w:color w:val="auto"/>
          <w:szCs w:val="21"/>
          <w:highlight w:val="none"/>
        </w:rPr>
        <w:t>、验收合格条件必须满足以下要求：已提供合同要求的全部设备和资料；经过调试及试运行，质量和性能符合要求；调试、试运行及验收时出现的问题已被解决。</w:t>
      </w:r>
    </w:p>
    <w:p w14:paraId="4F6E47D1">
      <w:pPr>
        <w:spacing w:line="360" w:lineRule="auto"/>
        <w:ind w:firstLine="420" w:firstLineChars="200"/>
        <w:jc w:val="left"/>
        <w:rPr>
          <w:rFonts w:ascii="宋体" w:hAnsi="宋体" w:cs="仿宋"/>
          <w:color w:val="auto"/>
          <w:szCs w:val="21"/>
          <w:highlight w:val="none"/>
        </w:rPr>
      </w:pPr>
      <w:r>
        <w:rPr>
          <w:rFonts w:ascii="宋体" w:hAnsi="宋体" w:cs="仿宋"/>
          <w:color w:val="auto"/>
          <w:szCs w:val="21"/>
          <w:highlight w:val="none"/>
        </w:rPr>
        <w:t>2</w:t>
      </w:r>
      <w:r>
        <w:rPr>
          <w:rFonts w:hint="eastAsia" w:ascii="宋体" w:hAnsi="宋体" w:cs="仿宋"/>
          <w:color w:val="auto"/>
          <w:szCs w:val="21"/>
          <w:highlight w:val="none"/>
        </w:rPr>
        <w:t>、项目完工具备履约验收条件，乙方按国家政府采购履约验收有关规定，向甲方提供完整合同履约验收报告单及合同履约验收意见书（到货验收）。</w:t>
      </w:r>
    </w:p>
    <w:p w14:paraId="5553FDEB">
      <w:pPr>
        <w:spacing w:line="360" w:lineRule="auto"/>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3、甲方组织有关单位进行验收，并在验收后</w:t>
      </w:r>
      <w:r>
        <w:rPr>
          <w:rFonts w:ascii="宋体" w:hAnsi="宋体" w:cs="仿宋"/>
          <w:color w:val="auto"/>
          <w:szCs w:val="21"/>
          <w:highlight w:val="none"/>
        </w:rPr>
        <w:t>15</w:t>
      </w:r>
      <w:r>
        <w:rPr>
          <w:rFonts w:hint="eastAsia" w:ascii="宋体" w:hAnsi="宋体" w:cs="仿宋"/>
          <w:color w:val="auto"/>
          <w:szCs w:val="21"/>
          <w:highlight w:val="none"/>
        </w:rPr>
        <w:t>天内给予认可或提出修改意见。乙方按要求修改，并承担由自身原因造成修改的费用。</w:t>
      </w:r>
    </w:p>
    <w:p w14:paraId="5703C108">
      <w:pPr>
        <w:spacing w:line="360" w:lineRule="auto"/>
        <w:ind w:firstLine="420" w:firstLineChars="200"/>
        <w:jc w:val="left"/>
        <w:rPr>
          <w:rFonts w:ascii="宋体" w:hAnsi="宋体" w:cs="仿宋"/>
          <w:color w:val="auto"/>
          <w:szCs w:val="21"/>
          <w:highlight w:val="none"/>
        </w:rPr>
      </w:pPr>
      <w:r>
        <w:rPr>
          <w:rFonts w:ascii="宋体" w:hAnsi="宋体" w:cs="仿宋"/>
          <w:color w:val="auto"/>
          <w:szCs w:val="21"/>
          <w:highlight w:val="none"/>
        </w:rPr>
        <w:t>4</w:t>
      </w:r>
      <w:r>
        <w:rPr>
          <w:rFonts w:hint="eastAsia" w:ascii="宋体" w:hAnsi="宋体" w:cs="仿宋"/>
          <w:color w:val="auto"/>
          <w:szCs w:val="21"/>
          <w:highlight w:val="none"/>
        </w:rPr>
        <w:t>、合同履约验收应以国家颁发的有关规范和质量检验评定标准、相关的国际标准为依据。</w:t>
      </w:r>
    </w:p>
    <w:p w14:paraId="28084395">
      <w:pPr>
        <w:spacing w:line="360" w:lineRule="auto"/>
        <w:ind w:firstLine="422" w:firstLineChars="200"/>
        <w:jc w:val="left"/>
        <w:outlineLvl w:val="2"/>
        <w:rPr>
          <w:rFonts w:ascii="宋体" w:hAnsi="宋体" w:cs="宋体"/>
          <w:b/>
          <w:color w:val="auto"/>
          <w:szCs w:val="21"/>
          <w:highlight w:val="none"/>
        </w:rPr>
      </w:pPr>
      <w:r>
        <w:rPr>
          <w:rFonts w:hint="eastAsia" w:ascii="宋体" w:hAnsi="宋体" w:cs="宋体"/>
          <w:b/>
          <w:color w:val="auto"/>
          <w:szCs w:val="21"/>
          <w:highlight w:val="none"/>
        </w:rPr>
        <w:t>第七条：知识产权</w:t>
      </w:r>
    </w:p>
    <w:p w14:paraId="199C8586">
      <w:pPr>
        <w:pStyle w:val="13"/>
        <w:spacing w:line="360" w:lineRule="auto"/>
        <w:ind w:firstLine="420" w:firstLineChars="200"/>
        <w:jc w:val="left"/>
        <w:rPr>
          <w:rFonts w:hAnsi="宋体" w:cs="仿宋"/>
          <w:b/>
          <w:bCs/>
          <w:color w:val="auto"/>
          <w:szCs w:val="21"/>
          <w:highlight w:val="none"/>
        </w:rPr>
      </w:pPr>
      <w:r>
        <w:rPr>
          <w:rFonts w:hint="eastAsia" w:hAnsi="宋体" w:cs="仿宋"/>
          <w:color w:val="auto"/>
          <w:szCs w:val="21"/>
          <w:highlight w:val="none"/>
        </w:rPr>
        <w:t>1、乙方应保证提供服务过程中不会侵犯任何第三方的知识产权。如因乙方提供服务过程中侵犯了第三方的知识产权，因此产生的法律责任及后果由乙方自行承担。</w:t>
      </w:r>
    </w:p>
    <w:p w14:paraId="4DEF9889">
      <w:pPr>
        <w:pStyle w:val="13"/>
        <w:spacing w:line="360" w:lineRule="auto"/>
        <w:ind w:firstLine="420" w:firstLineChars="200"/>
        <w:jc w:val="left"/>
        <w:rPr>
          <w:rFonts w:hAnsi="宋体" w:cs="仿宋"/>
          <w:color w:val="auto"/>
          <w:szCs w:val="21"/>
          <w:highlight w:val="none"/>
        </w:rPr>
      </w:pPr>
      <w:r>
        <w:rPr>
          <w:rFonts w:hint="eastAsia" w:hAnsi="宋体" w:cs="仿宋"/>
          <w:color w:val="auto"/>
          <w:szCs w:val="21"/>
          <w:highlight w:val="none"/>
        </w:rPr>
        <w:t>2、本项目所有成果版权属甲方所有。乙方在甲方单位开展项目工作时，应遵守相关规章、制度，不得泄密和将成果移交给第三人。</w:t>
      </w:r>
    </w:p>
    <w:p w14:paraId="4D5D974F">
      <w:pPr>
        <w:pStyle w:val="13"/>
        <w:spacing w:line="360" w:lineRule="auto"/>
        <w:ind w:firstLine="420" w:firstLineChars="200"/>
        <w:jc w:val="left"/>
        <w:rPr>
          <w:rFonts w:hAnsi="宋体" w:cs="仿宋"/>
          <w:color w:val="auto"/>
          <w:szCs w:val="21"/>
          <w:highlight w:val="none"/>
        </w:rPr>
      </w:pPr>
      <w:r>
        <w:rPr>
          <w:rFonts w:hint="eastAsia" w:hAnsi="宋体" w:cs="仿宋"/>
          <w:color w:val="auto"/>
          <w:szCs w:val="21"/>
          <w:highlight w:val="none"/>
        </w:rPr>
        <w:t>3、与本项目有关的资料及数据成果中涉及国家秘密的内容，均要求按照《中华人民共和国保守国家秘密法》及相关法律法规执行。乙方应承担监测数据的保密责任，在项目实施过程中形成的监测数据，均不得以任何方式和渠道向外界传递、泄露、披露，否则追究其法律责任。</w:t>
      </w:r>
    </w:p>
    <w:p w14:paraId="6C08881D">
      <w:pPr>
        <w:spacing w:line="360" w:lineRule="auto"/>
        <w:ind w:firstLine="422" w:firstLineChars="200"/>
        <w:jc w:val="left"/>
        <w:outlineLvl w:val="2"/>
        <w:rPr>
          <w:rFonts w:ascii="宋体" w:hAnsi="宋体" w:cs="宋体"/>
          <w:b/>
          <w:color w:val="auto"/>
          <w:szCs w:val="21"/>
          <w:highlight w:val="none"/>
        </w:rPr>
      </w:pPr>
      <w:r>
        <w:rPr>
          <w:rFonts w:hint="eastAsia" w:ascii="宋体" w:hAnsi="宋体" w:cs="宋体"/>
          <w:b/>
          <w:color w:val="auto"/>
          <w:szCs w:val="21"/>
          <w:highlight w:val="none"/>
        </w:rPr>
        <w:t>第八条：履约保证金</w:t>
      </w:r>
    </w:p>
    <w:p w14:paraId="6D661200">
      <w:pPr>
        <w:spacing w:line="360" w:lineRule="auto"/>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1、本项目无履约保证金。</w:t>
      </w:r>
    </w:p>
    <w:p w14:paraId="2B5850CF">
      <w:pPr>
        <w:spacing w:line="360" w:lineRule="auto"/>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2、合同履行过程中，如乙方不按双方签订的合同约定履约，则承担相应经济和法律责任。</w:t>
      </w:r>
    </w:p>
    <w:p w14:paraId="624592C2">
      <w:pPr>
        <w:spacing w:line="360" w:lineRule="auto"/>
        <w:ind w:firstLine="422" w:firstLineChars="200"/>
        <w:jc w:val="left"/>
        <w:outlineLvl w:val="2"/>
        <w:rPr>
          <w:rFonts w:ascii="宋体" w:hAnsi="宋体" w:cs="宋体"/>
          <w:b/>
          <w:color w:val="auto"/>
          <w:szCs w:val="21"/>
          <w:highlight w:val="none"/>
        </w:rPr>
      </w:pPr>
      <w:r>
        <w:rPr>
          <w:rFonts w:hint="eastAsia" w:ascii="宋体" w:hAnsi="宋体" w:cs="宋体"/>
          <w:b/>
          <w:color w:val="auto"/>
          <w:szCs w:val="21"/>
          <w:highlight w:val="none"/>
        </w:rPr>
        <w:t>第九条：转包或分包</w:t>
      </w:r>
    </w:p>
    <w:p w14:paraId="5A36A8A5">
      <w:pPr>
        <w:spacing w:line="360" w:lineRule="auto"/>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1、本合同范围的货物，应由乙方直接供应，不得转让他人供应。</w:t>
      </w:r>
    </w:p>
    <w:p w14:paraId="1B2511ED">
      <w:pPr>
        <w:spacing w:line="360" w:lineRule="auto"/>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2、除非得到甲方的书面同意，乙方不得将本合同范围的货物全部或部分分包给他人供应；</w:t>
      </w:r>
    </w:p>
    <w:p w14:paraId="46F0BFD1">
      <w:pPr>
        <w:spacing w:line="360" w:lineRule="auto"/>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3、如有转让或未经甲方同意的分包行为，甲方有权解除合同并追究乙方的违约责任。</w:t>
      </w:r>
    </w:p>
    <w:p w14:paraId="69E9B9BB">
      <w:pPr>
        <w:spacing w:line="360" w:lineRule="auto"/>
        <w:ind w:firstLine="422" w:firstLineChars="200"/>
        <w:jc w:val="left"/>
        <w:outlineLvl w:val="2"/>
        <w:rPr>
          <w:rFonts w:ascii="宋体" w:hAnsi="宋体" w:cs="宋体"/>
          <w:b/>
          <w:color w:val="auto"/>
          <w:szCs w:val="21"/>
          <w:highlight w:val="none"/>
        </w:rPr>
      </w:pPr>
      <w:r>
        <w:rPr>
          <w:rFonts w:hint="eastAsia" w:ascii="宋体" w:hAnsi="宋体" w:cs="宋体"/>
          <w:b/>
          <w:color w:val="auto"/>
          <w:szCs w:val="21"/>
          <w:highlight w:val="none"/>
        </w:rPr>
        <w:t>第十条：技术培训</w:t>
      </w:r>
    </w:p>
    <w:p w14:paraId="4DA299D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1、为使用户对本系统项目能够有效使用和正确操作、维护，乙方须对用户指派的操作、维护人员进行培训，培训内容包括理论培训和实际操作培训。</w:t>
      </w:r>
    </w:p>
    <w:p w14:paraId="30C4764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2、培训开始之前，应提出培训计划，编写培训教材，由甲方确认后实施培训。</w:t>
      </w:r>
    </w:p>
    <w:p w14:paraId="1BB11C7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3、应负责使接受培训的人员达到能正确操作和维护的上岗资格。</w:t>
      </w:r>
    </w:p>
    <w:p w14:paraId="7040D24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4、培训应包括(但不仅限于)下列内容：</w:t>
      </w:r>
    </w:p>
    <w:p w14:paraId="15BEAA9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 对使用人员进行操作培训：</w:t>
      </w:r>
    </w:p>
    <w:p w14:paraId="0314063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·系统概述，包括系统的构成和功能。</w:t>
      </w:r>
    </w:p>
    <w:p w14:paraId="60C5A83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·系统操作程序（常见故障的排除）。</w:t>
      </w:r>
    </w:p>
    <w:p w14:paraId="45C1057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·现场操作实习。</w:t>
      </w:r>
    </w:p>
    <w:p w14:paraId="3F2C40F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 对系统运行保障人员进行技术和系统维护培训：</w:t>
      </w:r>
    </w:p>
    <w:p w14:paraId="25E7C78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·系统概述，系统原理。</w:t>
      </w:r>
    </w:p>
    <w:p w14:paraId="63D53D1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·系统各部件的检查，系统的调整和维护。</w:t>
      </w:r>
    </w:p>
    <w:p w14:paraId="307D29B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·系统故障排除。</w:t>
      </w:r>
    </w:p>
    <w:p w14:paraId="71D0FA2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5、乙方须协助用户建立起维护和维修制度。制定系统备份方案和安全保障预案。。</w:t>
      </w:r>
    </w:p>
    <w:p w14:paraId="0D4EB1C6">
      <w:pPr>
        <w:spacing w:line="360" w:lineRule="auto"/>
        <w:ind w:firstLine="422" w:firstLineChars="200"/>
        <w:jc w:val="left"/>
        <w:outlineLvl w:val="2"/>
        <w:rPr>
          <w:rFonts w:ascii="宋体" w:hAnsi="宋体" w:cs="宋体"/>
          <w:b/>
          <w:color w:val="auto"/>
          <w:szCs w:val="21"/>
          <w:highlight w:val="none"/>
        </w:rPr>
      </w:pPr>
      <w:r>
        <w:rPr>
          <w:rFonts w:hint="eastAsia" w:ascii="宋体" w:hAnsi="宋体" w:cs="宋体"/>
          <w:b/>
          <w:color w:val="auto"/>
          <w:szCs w:val="21"/>
          <w:highlight w:val="none"/>
        </w:rPr>
        <w:t>第十一条：付款方式</w:t>
      </w:r>
    </w:p>
    <w:p w14:paraId="22499525">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（1）首年支付款项:合同生效且具备实施条件后7个工作日内，支付合同金额的40%作为预付款(含1年链路费)；项目安装、调试完成并且验收后 30个工作日内支付至合同金额的 70%。</w:t>
      </w:r>
    </w:p>
    <w:p w14:paraId="16E2170D">
      <w:pPr>
        <w:spacing w:line="36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（2）2026年11月底支付剩余款项(含5年链路费)。</w:t>
      </w:r>
    </w:p>
    <w:p w14:paraId="5CF46AE7">
      <w:pPr>
        <w:spacing w:line="360" w:lineRule="auto"/>
        <w:ind w:firstLine="422" w:firstLineChars="200"/>
        <w:jc w:val="left"/>
        <w:outlineLvl w:val="2"/>
        <w:rPr>
          <w:rFonts w:ascii="宋体" w:hAnsi="宋体" w:cs="宋体"/>
          <w:b/>
          <w:color w:val="auto"/>
          <w:szCs w:val="21"/>
          <w:highlight w:val="none"/>
        </w:rPr>
      </w:pPr>
      <w:r>
        <w:rPr>
          <w:rFonts w:hint="eastAsia" w:ascii="宋体" w:hAnsi="宋体" w:cs="宋体"/>
          <w:b/>
          <w:color w:val="auto"/>
          <w:szCs w:val="21"/>
          <w:highlight w:val="none"/>
        </w:rPr>
        <w:t>第十二条：违约责任</w:t>
      </w:r>
    </w:p>
    <w:p w14:paraId="2AC2F3D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1、甲方无正当理由拒收货物的，向乙方支付拒收货物总价款的百分之</w:t>
      </w:r>
      <w:r>
        <w:rPr>
          <w:rFonts w:hint="eastAsia" w:ascii="宋体" w:hAnsi="宋体" w:cs="宋体"/>
          <w:color w:val="auto"/>
          <w:szCs w:val="21"/>
          <w:highlight w:val="none"/>
          <w:u w:val="single"/>
        </w:rPr>
        <w:t>五</w:t>
      </w:r>
      <w:r>
        <w:rPr>
          <w:rFonts w:hint="eastAsia" w:ascii="宋体" w:hAnsi="宋体" w:cs="宋体"/>
          <w:color w:val="auto"/>
          <w:szCs w:val="21"/>
          <w:highlight w:val="none"/>
        </w:rPr>
        <w:t>违约金。</w:t>
      </w:r>
    </w:p>
    <w:p w14:paraId="3FC514D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2、甲方无故逾期验收或逾期付款的，应按逾期付款总额每日万分之</w:t>
      </w:r>
      <w:r>
        <w:rPr>
          <w:rFonts w:hint="eastAsia" w:ascii="宋体" w:hAnsi="宋体" w:cs="宋体"/>
          <w:color w:val="auto"/>
          <w:szCs w:val="21"/>
          <w:highlight w:val="none"/>
          <w:u w:val="single"/>
        </w:rPr>
        <w:t>五</w:t>
      </w:r>
      <w:r>
        <w:rPr>
          <w:rFonts w:hint="eastAsia" w:ascii="宋体" w:hAnsi="宋体" w:cs="宋体"/>
          <w:color w:val="auto"/>
          <w:szCs w:val="21"/>
          <w:highlight w:val="none"/>
        </w:rPr>
        <w:t>向乙方支付违约金。</w:t>
      </w:r>
    </w:p>
    <w:p w14:paraId="0C0082A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3、如乙方无法如期完成设备安装调试、前后台相关系统配置、项目验收等情况的，甲方可单方面解除本合同。</w:t>
      </w:r>
    </w:p>
    <w:p w14:paraId="15B5EE3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除不可抗力外，乙方未经甲方同意而拖延交货期的，每逾期一天处以1000元的违约金。交货期延迟的违约金金额达到合同总价5%时，乙方仍不能完工的，甲方可以终止合同，由此造成甲方损失的，乙方应承担赔偿责任。乙方因逾期完工或因其他违约行为导致甲方解除合同的，乙方应向甲方支付合同总价款百分之</w:t>
      </w:r>
      <w:r>
        <w:rPr>
          <w:rFonts w:hint="eastAsia" w:ascii="宋体" w:hAnsi="宋体" w:cs="宋体"/>
          <w:color w:val="auto"/>
          <w:szCs w:val="21"/>
          <w:highlight w:val="none"/>
          <w:u w:val="single"/>
        </w:rPr>
        <w:t>二十</w:t>
      </w:r>
      <w:r>
        <w:rPr>
          <w:rFonts w:hint="eastAsia" w:ascii="宋体" w:hAnsi="宋体" w:cs="宋体"/>
          <w:color w:val="auto"/>
          <w:szCs w:val="21"/>
          <w:highlight w:val="none"/>
        </w:rPr>
        <w:t>的违约金，如造成甲方损失超过违约金的，超出部分由乙方继续承担赔偿责任。</w:t>
      </w:r>
    </w:p>
    <w:p w14:paraId="615275C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在履行合同过程中，如果乙方遇到不能按时交货或不能按时完成系统的安装、调试情况，应及时以书面形式将不能按时交货或不能按时完成系统的安装、调试情况的理由、延误时间通知甲方。甲方收到乙方的通知后，应进行分析，如果同意，可酌情延长交货时间。经甲乙双方友好协商同意，延期交货、安装调试、延期支付资金且无须罚款者可不受上述条款约束。</w:t>
      </w:r>
    </w:p>
    <w:p w14:paraId="089C0DE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乙方所交的货物品种、型号、规格、技术参数、质量不符合合同约定及采购文件规定标准的，甲方有权拒收该货物或解除合同。乙方愿意更换货物但逾期交货的，按乙方逾期交货处理。乙方拒绝更换货物的，甲方有权解除合同，乙方向甲方承担货款总额20%的违约金。</w:t>
      </w:r>
    </w:p>
    <w:p w14:paraId="478FA2E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7、乙方没有按时提供运维服务，或者提供的运维服务达不到要求的，甲方有权选择以下办法处理：</w:t>
      </w:r>
    </w:p>
    <w:p w14:paraId="38898EA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（1）要求乙方重做（运维服务期延长）：由乙方承担所发生的全部费用。</w:t>
      </w:r>
    </w:p>
    <w:p w14:paraId="4EE7DD6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（2）减少报酬：甲方有权酌情减少乙方的服务费。</w:t>
      </w:r>
    </w:p>
    <w:p w14:paraId="024A81D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（3）解除合同：乙方应向甲方支付违约金，违约金按合同总额的10%计算。</w:t>
      </w:r>
    </w:p>
    <w:p w14:paraId="0BC9084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8、乙方向甲方提交的成果应真实、准确，由于乙方提供的成果不实造成的甲方损失，乙方应承担赔偿责任</w:t>
      </w:r>
    </w:p>
    <w:p w14:paraId="66AC2D0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9、乙方未依约提供技术资料、承担保密义务的，依合同总价款的10%向甲方支付违约金。</w:t>
      </w:r>
    </w:p>
    <w:p w14:paraId="12C1802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10、如有转让或未经甲方同意的分包行为，甲方有权解除合同，如造成损失的，由乙方承担全部赔偿责任。</w:t>
      </w:r>
    </w:p>
    <w:p w14:paraId="0262E57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11、乙方因验收不合格更换货物、重新提供服务或整改后应保证一次性验收合格，如果再次验收不合格，甲方可退货并终止合同，因此给甲方造成损失的，乙方须承担赔偿责任。</w:t>
      </w:r>
    </w:p>
    <w:p w14:paraId="7592321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12、成交后，若乙方实际供货的产品与其投标响应文件不符的，将认定为提供虚假材料谋取成交，合同终止并按相关规定处理。</w:t>
      </w:r>
    </w:p>
    <w:p w14:paraId="5CC622C8">
      <w:pPr>
        <w:spacing w:line="360" w:lineRule="auto"/>
        <w:ind w:firstLine="422" w:firstLineChars="200"/>
        <w:jc w:val="left"/>
        <w:outlineLvl w:val="2"/>
        <w:rPr>
          <w:rFonts w:ascii="宋体" w:hAnsi="宋体" w:cs="宋体"/>
          <w:b/>
          <w:color w:val="auto"/>
          <w:szCs w:val="21"/>
          <w:highlight w:val="none"/>
        </w:rPr>
      </w:pPr>
      <w:r>
        <w:rPr>
          <w:rFonts w:hint="eastAsia" w:ascii="宋体" w:hAnsi="宋体" w:cs="宋体"/>
          <w:b/>
          <w:color w:val="auto"/>
          <w:szCs w:val="21"/>
          <w:highlight w:val="none"/>
        </w:rPr>
        <w:t>第十三条：质保期（免费维修期）及售后服务</w:t>
      </w:r>
    </w:p>
    <w:p w14:paraId="760B6FD5">
      <w:pPr>
        <w:spacing w:line="36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质保期：质保期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年，质保期从安装调试完毕，最终验收合格之日开始计算。质保期内任何设备的任何故障都应由乙方提供免费技术服务和维修。超过质保期的，维修时只收部件成本费。</w:t>
      </w:r>
    </w:p>
    <w:p w14:paraId="0E0DBD9C">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技术支持要求：乙方必须对所供产品在质保期内实行免费维修，系统故障的响应时间不得超过8小时(从用户发出服务请求至乙方服务人员到达用户需服务的现场，常规故障可先采用电话</w:t>
      </w:r>
      <w:r>
        <w:rPr>
          <w:rFonts w:hint="eastAsia" w:ascii="宋体" w:hAnsi="宋体" w:cs="宋体"/>
          <w:bCs/>
          <w:color w:val="auto"/>
          <w:szCs w:val="21"/>
          <w:highlight w:val="none"/>
        </w:rPr>
        <w:t>提供解决方案并解决或利用远程方式解决)，一般故障在2小时内排除，特殊故障在4小时内排除，乙方投标时有其它服务承诺的，一并履行。若未在8小时内响应的，采购人可以有权从其它的供应商中得到服务，由此造成的全部损失由乙方承担。</w:t>
      </w:r>
    </w:p>
    <w:p w14:paraId="3B26AC16">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3、乙方在质保期内每年应对设备进行保养、检修（每年不少于一次）。</w:t>
      </w:r>
    </w:p>
    <w:p w14:paraId="76075CC0">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4、本项目前两次运行，乙方必须有专业工程师常驻现场，负责指导和处理系统使用问题。</w:t>
      </w:r>
    </w:p>
    <w:p w14:paraId="736E1940">
      <w:pPr>
        <w:spacing w:line="360" w:lineRule="auto"/>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5、乙方提供的货物存在质量问题，或者达不到技术要求的，根据实际情况，甲方有权选择以下办法处理：</w:t>
      </w:r>
    </w:p>
    <w:p w14:paraId="3FB90EA1">
      <w:pPr>
        <w:spacing w:line="360" w:lineRule="auto"/>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□（1）更换：由乙方承担更换货物所发生的全部费用。</w:t>
      </w:r>
    </w:p>
    <w:p w14:paraId="4E9E3945">
      <w:pPr>
        <w:spacing w:line="360" w:lineRule="auto"/>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□（2）贬值处理：由甲乙双方合议定价。</w:t>
      </w:r>
    </w:p>
    <w:p w14:paraId="48AA5F0D">
      <w:pPr>
        <w:spacing w:line="360" w:lineRule="auto"/>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□（3）退货处理：乙方应退还甲方支付的合同货款，同时应承担该货物的直接费用（包括运输、保险、检验、货款利息及银行手续费等）。</w:t>
      </w:r>
    </w:p>
    <w:p w14:paraId="6880EC71">
      <w:pPr>
        <w:spacing w:line="360" w:lineRule="auto"/>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6、在质保期内，乙方对货物出现的质量及安全问题负责处理解决并承担一切费用。</w:t>
      </w:r>
    </w:p>
    <w:p w14:paraId="5FCFEE27">
      <w:pPr>
        <w:spacing w:line="360" w:lineRule="auto"/>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7、质保期结束前，须由乙方和甲方的代表进行一次全面检查，属于本项目范围内的任何缺陷必须由乙方负责修理。在修复之后，乙方应将缺陷原因、修理内容、修复的时间和日期等报告给用户，报告一式两份。</w:t>
      </w:r>
    </w:p>
    <w:p w14:paraId="28FCC578">
      <w:pPr>
        <w:spacing w:line="360" w:lineRule="auto"/>
        <w:ind w:firstLine="420" w:firstLineChars="200"/>
        <w:jc w:val="left"/>
        <w:rPr>
          <w:rFonts w:ascii="宋体" w:hAnsi="宋体" w:cs="宋体"/>
          <w:color w:val="auto"/>
          <w:szCs w:val="21"/>
          <w:highlight w:val="none"/>
        </w:rPr>
      </w:pPr>
      <w:r>
        <w:rPr>
          <w:rFonts w:hint="eastAsia" w:ascii="宋体" w:hAnsi="宋体" w:cs="仿宋"/>
          <w:color w:val="auto"/>
          <w:szCs w:val="21"/>
          <w:highlight w:val="none"/>
        </w:rPr>
        <w:t>8、其他售后服务：</w:t>
      </w:r>
      <w:r>
        <w:rPr>
          <w:rFonts w:hint="eastAsia" w:ascii="宋体" w:hAnsi="宋体" w:cs="仿宋"/>
          <w:color w:val="auto"/>
          <w:szCs w:val="21"/>
          <w:highlight w:val="none"/>
          <w:u w:val="single"/>
        </w:rPr>
        <w:t xml:space="preserve">                （按投标承诺）。</w:t>
      </w:r>
    </w:p>
    <w:p w14:paraId="386EDEE6">
      <w:pPr>
        <w:spacing w:line="360" w:lineRule="auto"/>
        <w:ind w:firstLine="422" w:firstLineChars="200"/>
        <w:jc w:val="left"/>
        <w:outlineLvl w:val="2"/>
        <w:rPr>
          <w:rFonts w:ascii="宋体" w:hAnsi="宋体" w:cs="宋体"/>
          <w:b/>
          <w:color w:val="auto"/>
          <w:szCs w:val="21"/>
          <w:highlight w:val="none"/>
        </w:rPr>
      </w:pPr>
      <w:r>
        <w:rPr>
          <w:rFonts w:hint="eastAsia" w:ascii="宋体" w:hAnsi="宋体" w:cs="宋体"/>
          <w:b/>
          <w:color w:val="auto"/>
          <w:szCs w:val="21"/>
          <w:highlight w:val="none"/>
        </w:rPr>
        <w:t>第十四条：其他</w:t>
      </w:r>
    </w:p>
    <w:p w14:paraId="39B24BE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1、诉讼管辖及诉讼费用承担</w:t>
      </w:r>
    </w:p>
    <w:p w14:paraId="2D7D493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（1）凡有关本合同或执行本合同中发生的争端，应通过友好协商，妥善解决。如通过协商仍不能解决时，应向甲方所在地有权管辖的人民法院提起诉讼；</w:t>
      </w:r>
    </w:p>
    <w:p w14:paraId="6873E52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（2）诉讼期间，除正在进行诉讼的部分外，本合同其它部分应继续执行。</w:t>
      </w:r>
    </w:p>
    <w:p w14:paraId="7B238DF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2、适用法律</w:t>
      </w:r>
    </w:p>
    <w:p w14:paraId="6301910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本合同按照中华人民共和国的法律进行解释。</w:t>
      </w:r>
    </w:p>
    <w:p w14:paraId="18A00D6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3、组成本合同文件及优先解释顺序如下：</w:t>
      </w:r>
    </w:p>
    <w:p w14:paraId="04810DA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（1）本合同协议书；</w:t>
      </w:r>
    </w:p>
    <w:p w14:paraId="5C635C8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（2）中标通知书；</w:t>
      </w:r>
    </w:p>
    <w:p w14:paraId="15AEE0A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（3）招标文件以及更正通知；</w:t>
      </w:r>
    </w:p>
    <w:p w14:paraId="0A3B29E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（4）投标文件及评标过程中有关澄清文件；</w:t>
      </w:r>
    </w:p>
    <w:p w14:paraId="766A5B0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（5）国家有关标准、规范及有关技术文件；</w:t>
      </w:r>
    </w:p>
    <w:p w14:paraId="07025A2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4、本合同生效及其他</w:t>
      </w:r>
    </w:p>
    <w:p w14:paraId="7CEA6C0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（1）合同在双方签字盖章后生效；</w:t>
      </w:r>
    </w:p>
    <w:p w14:paraId="33C43E6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（2）本合同正本一式陆份（</w:t>
      </w:r>
      <w:r>
        <w:rPr>
          <w:rFonts w:hint="eastAsia" w:ascii="宋体" w:hAnsi="宋体" w:cs="宋体"/>
          <w:color w:val="auto"/>
          <w:highlight w:val="none"/>
        </w:rPr>
        <w:t>采购人执贰份、供应商执贰份、采购代理机构及备案机构各执一份</w:t>
      </w:r>
      <w:r>
        <w:rPr>
          <w:rFonts w:hint="eastAsia" w:ascii="宋体" w:hAnsi="宋体" w:cs="宋体"/>
          <w:color w:val="auto"/>
          <w:szCs w:val="21"/>
          <w:highlight w:val="none"/>
        </w:rPr>
        <w:t>），具有同等法律效力；</w:t>
      </w:r>
    </w:p>
    <w:p w14:paraId="58B6AE7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（3）如需修改或补充合同内容，经协商，双方应签署书面修改或补充协议，作为本合同的一个组成部分；</w:t>
      </w:r>
    </w:p>
    <w:p w14:paraId="77A983A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（4）本合同中如有未尽事宜，由双方协商另行解决；</w:t>
      </w:r>
    </w:p>
    <w:p w14:paraId="428F933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（5）合同附件。</w:t>
      </w:r>
    </w:p>
    <w:p w14:paraId="5F747016">
      <w:pPr>
        <w:tabs>
          <w:tab w:val="left" w:pos="4140"/>
        </w:tabs>
        <w:spacing w:line="360" w:lineRule="auto"/>
        <w:jc w:val="left"/>
        <w:rPr>
          <w:rFonts w:ascii="宋体" w:hAnsi="宋体" w:cs="宋体"/>
          <w:color w:val="auto"/>
          <w:szCs w:val="21"/>
          <w:highlight w:val="none"/>
        </w:rPr>
      </w:pPr>
      <w:r>
        <w:rPr>
          <w:rFonts w:hint="eastAsia" w:ascii="宋体" w:hAnsi="宋体" w:cs="宋体"/>
          <w:color w:val="auto"/>
          <w:szCs w:val="21"/>
          <w:highlight w:val="none"/>
        </w:rPr>
        <w:t>（以下无正文）</w:t>
      </w:r>
    </w:p>
    <w:p w14:paraId="67964288">
      <w:pPr>
        <w:rPr>
          <w:rFonts w:ascii="宋体" w:hAnsi="宋体" w:cs="宋体"/>
          <w:color w:val="auto"/>
          <w:szCs w:val="21"/>
          <w:highlight w:val="none"/>
        </w:rPr>
      </w:pPr>
      <w:r>
        <w:rPr>
          <w:rFonts w:hint="eastAsia" w:ascii="宋体" w:hAnsi="宋体" w:cs="宋体"/>
          <w:color w:val="auto"/>
          <w:szCs w:val="21"/>
          <w:highlight w:val="none"/>
        </w:rPr>
        <w:br w:type="page"/>
      </w:r>
    </w:p>
    <w:p w14:paraId="1653338E">
      <w:pPr>
        <w:tabs>
          <w:tab w:val="left" w:pos="41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（签章页）</w:t>
      </w:r>
    </w:p>
    <w:p w14:paraId="497785C7">
      <w:pPr>
        <w:tabs>
          <w:tab w:val="left" w:pos="41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甲     方（公章）：　　               乙     方（公章）：</w:t>
      </w:r>
    </w:p>
    <w:p w14:paraId="68FB448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法定代表人（签章）：　                法定代表人（签章）：</w:t>
      </w:r>
    </w:p>
    <w:p w14:paraId="76AE87D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委托代理人（签章）：　　              委托代理人（签章）：</w:t>
      </w:r>
    </w:p>
    <w:p w14:paraId="0B2FB4C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经办人（签章）：                      经办人（签章）：</w:t>
      </w:r>
    </w:p>
    <w:p w14:paraId="315D348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　  　话：                          电　  　话：</w:t>
      </w:r>
    </w:p>
    <w:p w14:paraId="0AC4F73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传　  　真：                          传　  　真：</w:t>
      </w:r>
    </w:p>
    <w:p w14:paraId="47A3F36B">
      <w:pPr>
        <w:spacing w:line="360" w:lineRule="auto"/>
        <w:ind w:firstLine="388" w:firstLineChars="200"/>
        <w:jc w:val="left"/>
        <w:rPr>
          <w:rFonts w:ascii="宋体" w:hAnsi="宋体" w:cs="宋体"/>
          <w:color w:val="auto"/>
          <w:szCs w:val="21"/>
          <w:highlight w:val="none"/>
        </w:rPr>
      </w:pPr>
      <w:r>
        <w:rPr>
          <w:rFonts w:hint="eastAsia" w:ascii="宋体" w:hAnsi="宋体" w:cs="宋体"/>
          <w:color w:val="auto"/>
          <w:spacing w:val="-8"/>
          <w:szCs w:val="21"/>
          <w:highlight w:val="none"/>
        </w:rPr>
        <w:t>开 户 银 行</w:t>
      </w:r>
      <w:r>
        <w:rPr>
          <w:rFonts w:hint="eastAsia" w:ascii="宋体" w:hAnsi="宋体" w:cs="宋体"/>
          <w:color w:val="auto"/>
          <w:szCs w:val="21"/>
          <w:highlight w:val="none"/>
        </w:rPr>
        <w:t xml:space="preserve">：                          </w:t>
      </w:r>
      <w:r>
        <w:rPr>
          <w:rFonts w:hint="eastAsia" w:ascii="宋体" w:hAnsi="宋体" w:cs="宋体"/>
          <w:color w:val="auto"/>
          <w:spacing w:val="-8"/>
          <w:szCs w:val="21"/>
          <w:highlight w:val="none"/>
        </w:rPr>
        <w:t>开 户 银 行</w:t>
      </w:r>
      <w:r>
        <w:rPr>
          <w:rFonts w:hint="eastAsia" w:ascii="宋体" w:hAnsi="宋体" w:cs="宋体"/>
          <w:color w:val="auto"/>
          <w:szCs w:val="21"/>
          <w:highlight w:val="none"/>
        </w:rPr>
        <w:t xml:space="preserve">： </w:t>
      </w:r>
    </w:p>
    <w:p w14:paraId="19C6379B">
      <w:pPr>
        <w:tabs>
          <w:tab w:val="left" w:pos="4140"/>
          <w:tab w:val="left" w:pos="432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账　  　号：                          账　  　号：</w:t>
      </w:r>
    </w:p>
    <w:p w14:paraId="7302A093">
      <w:pPr>
        <w:tabs>
          <w:tab w:val="left" w:pos="4140"/>
          <w:tab w:val="left" w:pos="4320"/>
        </w:tabs>
        <w:spacing w:line="360" w:lineRule="auto"/>
        <w:ind w:firstLine="420" w:firstLineChars="200"/>
        <w:jc w:val="left"/>
        <w:rPr>
          <w:rFonts w:ascii="宋体" w:hAnsi="宋体" w:cs="宋体"/>
          <w:b/>
          <w:color w:val="auto"/>
          <w:sz w:val="36"/>
          <w:szCs w:val="36"/>
          <w:highlight w:val="none"/>
        </w:rPr>
      </w:pPr>
      <w:r>
        <w:rPr>
          <w:rFonts w:hint="eastAsia" w:ascii="宋体" w:hAnsi="宋体" w:cs="宋体"/>
          <w:color w:val="auto"/>
          <w:szCs w:val="21"/>
          <w:highlight w:val="none"/>
        </w:rPr>
        <w:t>日      期：                          日      期：</w:t>
      </w:r>
    </w:p>
    <w:p w14:paraId="7A99D0C6">
      <w:pPr>
        <w:spacing w:line="360" w:lineRule="auto"/>
        <w:ind w:firstLine="420" w:firstLineChars="200"/>
        <w:jc w:val="left"/>
        <w:textAlignment w:val="baseline"/>
        <w:rPr>
          <w:rFonts w:ascii="宋体" w:hAnsi="宋体" w:cs="宋体"/>
          <w:snapToGrid w:val="0"/>
          <w:color w:val="auto"/>
          <w:szCs w:val="21"/>
          <w:highlight w:val="none"/>
        </w:rPr>
      </w:pPr>
    </w:p>
    <w:p w14:paraId="05847D2A">
      <w:pPr>
        <w:spacing w:line="360" w:lineRule="auto"/>
        <w:ind w:firstLine="420" w:firstLineChars="200"/>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合同见证方：</w:t>
      </w:r>
    </w:p>
    <w:p w14:paraId="3861D85B">
      <w:pPr>
        <w:spacing w:line="360"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签订日期：       年     月     日</w:t>
      </w:r>
    </w:p>
    <w:p w14:paraId="2C0361E5">
      <w:pPr>
        <w:spacing w:line="500" w:lineRule="exact"/>
        <w:ind w:firstLine="420" w:firstLineChars="200"/>
        <w:textAlignment w:val="baseline"/>
        <w:rPr>
          <w:rFonts w:ascii="宋体" w:hAnsi="宋体" w:cs="宋体"/>
          <w:color w:val="auto"/>
          <w:kern w:val="0"/>
          <w:szCs w:val="21"/>
          <w:highlight w:val="none"/>
        </w:rPr>
      </w:pPr>
    </w:p>
    <w:p w14:paraId="192EC96C">
      <w:pPr>
        <w:pStyle w:val="9"/>
        <w:rPr>
          <w:rFonts w:ascii="宋体" w:hAnsi="宋体" w:cs="宋体"/>
          <w:color w:val="auto"/>
          <w:highlight w:val="none"/>
        </w:rPr>
      </w:pPr>
    </w:p>
    <w:p w14:paraId="60B31858">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21A18D37">
      <w:pPr>
        <w:pStyle w:val="9"/>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第六章 投标文件格式附件</w:t>
      </w:r>
    </w:p>
    <w:p w14:paraId="2EC56442">
      <w:pPr>
        <w:spacing w:line="360" w:lineRule="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附件1</w:t>
      </w:r>
      <w:r>
        <w:rPr>
          <w:rFonts w:hint="eastAsia" w:ascii="宋体" w:hAnsi="宋体" w:cs="宋体"/>
          <w:color w:val="auto"/>
          <w:sz w:val="30"/>
          <w:szCs w:val="30"/>
          <w:highlight w:val="none"/>
        </w:rPr>
        <w:t xml:space="preserve">　　                                      </w:t>
      </w:r>
      <w:r>
        <w:rPr>
          <w:rFonts w:hint="eastAsia" w:ascii="宋体" w:hAnsi="宋体" w:cs="宋体"/>
          <w:b/>
          <w:color w:val="auto"/>
          <w:sz w:val="28"/>
          <w:highlight w:val="none"/>
        </w:rPr>
        <w:t xml:space="preserve"> </w:t>
      </w:r>
      <w:r>
        <w:rPr>
          <w:rFonts w:hint="eastAsia" w:ascii="宋体" w:hAnsi="宋体" w:cs="宋体"/>
          <w:b/>
          <w:color w:val="auto"/>
          <w:sz w:val="28"/>
          <w:highlight w:val="none"/>
          <w:u w:val="single"/>
        </w:rPr>
        <w:t xml:space="preserve">     </w:t>
      </w:r>
      <w:r>
        <w:rPr>
          <w:rFonts w:hint="eastAsia" w:ascii="宋体" w:hAnsi="宋体" w:cs="宋体"/>
          <w:bCs/>
          <w:color w:val="auto"/>
          <w:sz w:val="24"/>
          <w:highlight w:val="none"/>
        </w:rPr>
        <w:t>本</w:t>
      </w:r>
      <w:r>
        <w:rPr>
          <w:rFonts w:hint="eastAsia" w:ascii="宋体" w:hAnsi="宋体" w:cs="宋体"/>
          <w:color w:val="auto"/>
          <w:sz w:val="30"/>
          <w:szCs w:val="30"/>
          <w:highlight w:val="none"/>
        </w:rPr>
        <w:t xml:space="preserve">                       　</w:t>
      </w:r>
    </w:p>
    <w:p w14:paraId="082103E2">
      <w:pPr>
        <w:spacing w:line="360" w:lineRule="auto"/>
        <w:rPr>
          <w:rFonts w:ascii="宋体" w:hAnsi="宋体" w:cs="宋体"/>
          <w:b/>
          <w:color w:val="auto"/>
          <w:sz w:val="30"/>
          <w:szCs w:val="30"/>
          <w:highlight w:val="none"/>
        </w:rPr>
      </w:pPr>
    </w:p>
    <w:p w14:paraId="2D61E812">
      <w:pPr>
        <w:spacing w:line="360" w:lineRule="auto"/>
        <w:ind w:right="-110"/>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067FB846">
      <w:pPr>
        <w:spacing w:beforeLines="100" w:line="360" w:lineRule="auto"/>
        <w:ind w:right="-108"/>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14:paraId="7545EDED">
      <w:pPr>
        <w:autoSpaceDE w:val="0"/>
        <w:autoSpaceDN w:val="0"/>
        <w:adjustRightInd w:val="0"/>
        <w:spacing w:line="360" w:lineRule="auto"/>
        <w:jc w:val="center"/>
        <w:rPr>
          <w:rFonts w:ascii="宋体" w:hAnsi="宋体" w:cs="宋体"/>
          <w:color w:val="auto"/>
          <w:sz w:val="84"/>
          <w:szCs w:val="84"/>
          <w:highlight w:val="none"/>
          <w:lang w:val="zh-CN"/>
        </w:rPr>
      </w:pPr>
    </w:p>
    <w:p w14:paraId="7FC52E2F">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6A4058E4">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2D3C609F">
      <w:pP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3404FB47">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131E65AD">
      <w:pPr>
        <w:spacing w:after="100" w:afterAutospacing="1" w:line="360" w:lineRule="auto"/>
        <w:ind w:right="-108"/>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14:paraId="7ADA166B">
      <w:pPr>
        <w:pStyle w:val="52"/>
        <w:rPr>
          <w:rFonts w:hAnsi="宋体" w:cs="宋体"/>
          <w:color w:val="auto"/>
          <w:highlight w:val="none"/>
        </w:rPr>
      </w:pPr>
    </w:p>
    <w:p w14:paraId="187CC748">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14:paraId="611E3CCF">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6803B9DC">
      <w:pPr>
        <w:spacing w:line="360" w:lineRule="auto"/>
        <w:ind w:right="532" w:firstLine="720" w:firstLineChars="200"/>
        <w:rPr>
          <w:rFonts w:ascii="宋体" w:hAnsi="宋体" w:cs="宋体"/>
          <w:b/>
          <w:color w:val="auto"/>
          <w:sz w:val="36"/>
          <w:szCs w:val="36"/>
          <w:highlight w:val="none"/>
        </w:rPr>
      </w:pPr>
      <w:r>
        <w:rPr>
          <w:rFonts w:hint="eastAsia" w:ascii="宋体" w:hAnsi="宋体" w:cs="宋体"/>
          <w:color w:val="auto"/>
          <w:sz w:val="36"/>
          <w:szCs w:val="36"/>
          <w:highlight w:val="none"/>
        </w:rPr>
        <w:t>时间：</w:t>
      </w:r>
    </w:p>
    <w:p w14:paraId="71EAEC0D">
      <w:pPr>
        <w:snapToGrid w:val="0"/>
        <w:spacing w:before="50" w:after="50" w:line="360" w:lineRule="auto"/>
        <w:jc w:val="center"/>
        <w:outlineLvl w:val="1"/>
        <w:rPr>
          <w:rFonts w:ascii="宋体" w:hAnsi="宋体" w:cs="宋体"/>
          <w:b/>
          <w:bCs/>
          <w:color w:val="auto"/>
          <w:sz w:val="36"/>
          <w:szCs w:val="36"/>
          <w:highlight w:val="none"/>
        </w:rPr>
      </w:pPr>
      <w:r>
        <w:rPr>
          <w:rFonts w:hint="eastAsia" w:ascii="宋体" w:hAnsi="宋体" w:cs="宋体"/>
          <w:b/>
          <w:bCs/>
          <w:color w:val="auto"/>
          <w:sz w:val="36"/>
          <w:szCs w:val="36"/>
          <w:highlight w:val="none"/>
        </w:rPr>
        <w:t>资格证明文件目录</w:t>
      </w:r>
    </w:p>
    <w:p w14:paraId="3B216E6D">
      <w:pPr>
        <w:snapToGrid w:val="0"/>
        <w:spacing w:before="50" w:after="50" w:line="360" w:lineRule="auto"/>
        <w:jc w:val="center"/>
        <w:rPr>
          <w:rFonts w:ascii="宋体" w:hAnsi="宋体" w:cs="宋体"/>
          <w:b/>
          <w:bCs/>
          <w:color w:val="auto"/>
          <w:sz w:val="32"/>
          <w:szCs w:val="32"/>
          <w:highlight w:val="none"/>
        </w:rPr>
      </w:pPr>
    </w:p>
    <w:p w14:paraId="495976A9">
      <w:pPr>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1、投标声明书</w:t>
      </w:r>
      <w:r>
        <w:rPr>
          <w:rFonts w:hint="eastAsia" w:ascii="宋体" w:hAnsi="宋体" w:cs="宋体"/>
          <w:color w:val="auto"/>
          <w:sz w:val="24"/>
          <w:highlight w:val="none"/>
        </w:rPr>
        <w:t>（附件2）</w:t>
      </w:r>
    </w:p>
    <w:p w14:paraId="67385EC1">
      <w:pPr>
        <w:snapToGrid w:val="0"/>
        <w:spacing w:line="360" w:lineRule="auto"/>
        <w:ind w:firstLine="480" w:firstLineChars="200"/>
        <w:rPr>
          <w:rFonts w:ascii="宋体" w:hAnsi="宋体" w:cs="宋体"/>
          <w:color w:val="auto"/>
          <w:kern w:val="0"/>
          <w:sz w:val="24"/>
          <w:highlight w:val="none"/>
        </w:rPr>
      </w:pPr>
      <w:r>
        <w:rPr>
          <w:rFonts w:hint="eastAsia" w:ascii="宋体" w:hAnsi="宋体" w:cs="宋体"/>
          <w:bCs/>
          <w:color w:val="auto"/>
          <w:sz w:val="24"/>
          <w:highlight w:val="none"/>
        </w:rPr>
        <w:t>2、授权委托书（附件3）</w:t>
      </w:r>
    </w:p>
    <w:p w14:paraId="2FB4B665">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3、法人或者其他组织的营业执照等证明文件，法定代表人和授权代表的身份证明</w:t>
      </w:r>
    </w:p>
    <w:p w14:paraId="35066F61">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4、本项目要求的特定资质证书（如有需提供）</w:t>
      </w:r>
    </w:p>
    <w:p w14:paraId="170D45FC">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5、投标人认为需要说明的其他材料</w:t>
      </w:r>
    </w:p>
    <w:p w14:paraId="58A2563A">
      <w:pPr>
        <w:snapToGrid w:val="0"/>
        <w:spacing w:before="100" w:beforeAutospacing="1" w:after="100" w:afterAutospacing="1" w:line="360" w:lineRule="auto"/>
        <w:jc w:val="center"/>
        <w:rPr>
          <w:rFonts w:ascii="宋体" w:hAnsi="宋体" w:cs="宋体"/>
          <w:b/>
          <w:bCs/>
          <w:color w:val="auto"/>
          <w:sz w:val="36"/>
          <w:szCs w:val="32"/>
          <w:highlight w:val="none"/>
        </w:rPr>
      </w:pPr>
    </w:p>
    <w:p w14:paraId="07AE022E">
      <w:pPr>
        <w:spacing w:line="360" w:lineRule="auto"/>
        <w:rPr>
          <w:rFonts w:ascii="宋体" w:hAnsi="宋体" w:cs="宋体"/>
          <w:b/>
          <w:color w:val="auto"/>
          <w:sz w:val="28"/>
          <w:highlight w:val="none"/>
        </w:rPr>
      </w:pPr>
    </w:p>
    <w:p w14:paraId="2520374D">
      <w:pPr>
        <w:spacing w:line="360" w:lineRule="auto"/>
        <w:ind w:left="420"/>
        <w:rPr>
          <w:rFonts w:ascii="宋体" w:hAnsi="宋体" w:cs="宋体"/>
          <w:b/>
          <w:color w:val="auto"/>
          <w:sz w:val="28"/>
          <w:highlight w:val="none"/>
        </w:rPr>
      </w:pPr>
    </w:p>
    <w:p w14:paraId="53DACD5B">
      <w:pPr>
        <w:spacing w:line="360" w:lineRule="auto"/>
        <w:ind w:left="420"/>
        <w:rPr>
          <w:rFonts w:ascii="宋体" w:hAnsi="宋体" w:cs="宋体"/>
          <w:b/>
          <w:color w:val="auto"/>
          <w:sz w:val="28"/>
          <w:highlight w:val="none"/>
        </w:rPr>
      </w:pPr>
    </w:p>
    <w:p w14:paraId="13751523">
      <w:pPr>
        <w:spacing w:line="360" w:lineRule="auto"/>
        <w:ind w:left="420"/>
        <w:rPr>
          <w:rFonts w:ascii="宋体" w:hAnsi="宋体" w:cs="宋体"/>
          <w:b/>
          <w:color w:val="auto"/>
          <w:sz w:val="28"/>
          <w:highlight w:val="none"/>
        </w:rPr>
      </w:pPr>
    </w:p>
    <w:p w14:paraId="5844BC0E">
      <w:pPr>
        <w:spacing w:line="360" w:lineRule="auto"/>
        <w:ind w:left="420"/>
        <w:rPr>
          <w:rFonts w:ascii="宋体" w:hAnsi="宋体" w:cs="宋体"/>
          <w:b/>
          <w:color w:val="auto"/>
          <w:sz w:val="28"/>
          <w:highlight w:val="none"/>
        </w:rPr>
      </w:pPr>
    </w:p>
    <w:p w14:paraId="1DAD14E9">
      <w:pPr>
        <w:spacing w:line="360" w:lineRule="auto"/>
        <w:ind w:left="420"/>
        <w:rPr>
          <w:rFonts w:ascii="宋体" w:hAnsi="宋体" w:cs="宋体"/>
          <w:b/>
          <w:color w:val="auto"/>
          <w:sz w:val="28"/>
          <w:highlight w:val="none"/>
        </w:rPr>
      </w:pPr>
    </w:p>
    <w:p w14:paraId="784C7DA3">
      <w:pPr>
        <w:spacing w:line="360" w:lineRule="auto"/>
        <w:ind w:left="420"/>
        <w:rPr>
          <w:rFonts w:ascii="宋体" w:hAnsi="宋体" w:cs="宋体"/>
          <w:b/>
          <w:color w:val="auto"/>
          <w:sz w:val="28"/>
          <w:highlight w:val="none"/>
        </w:rPr>
      </w:pPr>
    </w:p>
    <w:p w14:paraId="081FDC93">
      <w:pPr>
        <w:spacing w:line="360" w:lineRule="auto"/>
        <w:ind w:left="420"/>
        <w:rPr>
          <w:rFonts w:ascii="宋体" w:hAnsi="宋体" w:cs="宋体"/>
          <w:b/>
          <w:color w:val="auto"/>
          <w:sz w:val="28"/>
          <w:highlight w:val="none"/>
        </w:rPr>
      </w:pPr>
    </w:p>
    <w:p w14:paraId="517C4C84">
      <w:pPr>
        <w:spacing w:line="360" w:lineRule="auto"/>
        <w:ind w:left="420"/>
        <w:rPr>
          <w:rFonts w:ascii="宋体" w:hAnsi="宋体" w:cs="宋体"/>
          <w:b/>
          <w:color w:val="auto"/>
          <w:sz w:val="28"/>
          <w:highlight w:val="none"/>
        </w:rPr>
      </w:pPr>
    </w:p>
    <w:p w14:paraId="53AA92FD">
      <w:pPr>
        <w:spacing w:line="360" w:lineRule="auto"/>
        <w:ind w:left="420"/>
        <w:rPr>
          <w:rFonts w:ascii="宋体" w:hAnsi="宋体" w:cs="宋体"/>
          <w:b/>
          <w:color w:val="auto"/>
          <w:sz w:val="28"/>
          <w:highlight w:val="none"/>
        </w:rPr>
      </w:pPr>
    </w:p>
    <w:p w14:paraId="425CDD96">
      <w:pPr>
        <w:pStyle w:val="9"/>
        <w:rPr>
          <w:rFonts w:ascii="宋体" w:hAnsi="宋体" w:cs="宋体"/>
          <w:b/>
          <w:color w:val="auto"/>
          <w:sz w:val="28"/>
          <w:highlight w:val="none"/>
        </w:rPr>
      </w:pPr>
    </w:p>
    <w:p w14:paraId="43C5C30A">
      <w:pPr>
        <w:spacing w:line="360" w:lineRule="auto"/>
        <w:rPr>
          <w:rFonts w:ascii="宋体" w:hAnsi="宋体" w:cs="宋体"/>
          <w:b/>
          <w:color w:val="auto"/>
          <w:sz w:val="28"/>
          <w:highlight w:val="none"/>
        </w:rPr>
      </w:pPr>
    </w:p>
    <w:p w14:paraId="3A379F79">
      <w:pPr>
        <w:spacing w:line="360" w:lineRule="auto"/>
        <w:rPr>
          <w:rFonts w:ascii="宋体" w:hAnsi="宋体" w:cs="宋体"/>
          <w:b/>
          <w:color w:val="auto"/>
          <w:sz w:val="28"/>
          <w:highlight w:val="none"/>
        </w:rPr>
      </w:pPr>
    </w:p>
    <w:p w14:paraId="6F21A660">
      <w:pPr>
        <w:spacing w:line="360" w:lineRule="auto"/>
        <w:rPr>
          <w:rFonts w:ascii="宋体" w:hAnsi="宋体" w:cs="宋体"/>
          <w:b/>
          <w:color w:val="auto"/>
          <w:sz w:val="28"/>
          <w:highlight w:val="none"/>
        </w:rPr>
      </w:pPr>
      <w:r>
        <w:rPr>
          <w:rFonts w:hint="eastAsia" w:ascii="宋体" w:hAnsi="宋体" w:cs="宋体"/>
          <w:b/>
          <w:color w:val="auto"/>
          <w:sz w:val="28"/>
          <w:highlight w:val="none"/>
        </w:rPr>
        <w:t>附件2</w:t>
      </w:r>
    </w:p>
    <w:p w14:paraId="740CDD5D">
      <w:pP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投标声明书</w:t>
      </w:r>
    </w:p>
    <w:p w14:paraId="0853AFB4">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台州市黄岩区教育局、台州永安工程咨询有限公司：</w:t>
      </w:r>
    </w:p>
    <w:p w14:paraId="3F2054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投标人名称 </w:t>
      </w:r>
      <w:r>
        <w:rPr>
          <w:rFonts w:hint="eastAsia" w:ascii="宋体" w:hAnsi="宋体" w:cs="宋体"/>
          <w:color w:val="auto"/>
          <w:szCs w:val="21"/>
          <w:highlight w:val="none"/>
        </w:rPr>
        <w:t>）系中华人民共和国合法企业，经营地址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E8637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投标人名称 </w:t>
      </w:r>
      <w:r>
        <w:rPr>
          <w:rFonts w:hint="eastAsia" w:ascii="宋体" w:hAnsi="宋体" w:cs="宋体"/>
          <w:color w:val="auto"/>
          <w:szCs w:val="21"/>
          <w:highlight w:val="none"/>
        </w:rPr>
        <w:t>）的法定代表人，我公司自愿参加贵方组织的</w:t>
      </w:r>
      <w:r>
        <w:rPr>
          <w:rFonts w:hint="eastAsia" w:ascii="宋体" w:hAnsi="宋体" w:cs="宋体"/>
          <w:color w:val="auto"/>
          <w:szCs w:val="21"/>
          <w:highlight w:val="none"/>
          <w:u w:val="single"/>
        </w:rPr>
        <w:t>黄岩区中考标准化考点建设项目</w:t>
      </w:r>
      <w:r>
        <w:rPr>
          <w:rFonts w:hint="eastAsia" w:ascii="宋体" w:hAnsi="宋体" w:cs="宋体"/>
          <w:color w:val="auto"/>
          <w:szCs w:val="21"/>
          <w:highlight w:val="none"/>
        </w:rPr>
        <w:t>（编号为</w:t>
      </w:r>
      <w:r>
        <w:rPr>
          <w:rFonts w:hint="eastAsia" w:ascii="宋体" w:hAnsi="宋体" w:cs="宋体"/>
          <w:color w:val="auto"/>
          <w:szCs w:val="21"/>
          <w:highlight w:val="none"/>
          <w:u w:val="single"/>
        </w:rPr>
        <w:t>tzya2025-hy08</w:t>
      </w:r>
      <w:r>
        <w:rPr>
          <w:rFonts w:hint="eastAsia" w:ascii="宋体" w:hAnsi="宋体" w:cs="宋体"/>
          <w:color w:val="auto"/>
          <w:szCs w:val="21"/>
          <w:highlight w:val="none"/>
        </w:rPr>
        <w:t>）的投标，为此，我公司就本次投标有关事项郑重声明如下：</w:t>
      </w:r>
    </w:p>
    <w:p w14:paraId="297957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我公司声明截止投标时间前三年内：在经营活动中没有重大违法记录（重大违法记录是指供应商因违法经营受到刑事处罚或者责令停产停业、吊销许可证或者执照、较大数额罚款等行政处罚）。</w:t>
      </w:r>
    </w:p>
    <w:p w14:paraId="790C34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3D684B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我公司不是采购人的附属机构；在获知本项目采购信息后，与采购人聘请的为此项目提供咨询服务的公司及其附属机构没有任何联系。</w:t>
      </w:r>
    </w:p>
    <w:p w14:paraId="5D9846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F25BF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 我公司严格履行采购合同，不降低合同约定的产品质量和服务，不擅自变更、中止、终止合同，或拒绝履行合同义务；</w:t>
      </w:r>
    </w:p>
    <w:p w14:paraId="61F161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 我公司承诺（若代理服务费由中标单位支付）：如在本项目中标，我公司在中标公告发布之日起5个工作日内按采购文件约定支付代理服务费。</w:t>
      </w:r>
    </w:p>
    <w:p w14:paraId="21BC25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 以上事项如有虚假或隐瞒，我公司愿意承担一切后果，并不再寻求任何旨在减轻或免除法律责任的辩解。</w:t>
      </w:r>
    </w:p>
    <w:p w14:paraId="107A2228">
      <w:pPr>
        <w:spacing w:line="360" w:lineRule="auto"/>
        <w:ind w:firstLine="3360" w:firstLineChars="1600"/>
        <w:rPr>
          <w:rFonts w:ascii="宋体" w:hAnsi="宋体" w:cs="宋体"/>
          <w:color w:val="auto"/>
          <w:szCs w:val="21"/>
          <w:highlight w:val="none"/>
          <w:lang w:val="zh-CN"/>
        </w:rPr>
      </w:pPr>
      <w:r>
        <w:rPr>
          <w:rFonts w:hint="eastAsia" w:ascii="宋体" w:hAnsi="宋体" w:cs="宋体"/>
          <w:color w:val="auto"/>
          <w:szCs w:val="21"/>
          <w:highlight w:val="none"/>
          <w:lang w:val="zh-CN"/>
        </w:rPr>
        <w:t>投标人名称(公章)：</w:t>
      </w:r>
    </w:p>
    <w:p w14:paraId="1A9760F1">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lang w:val="zh-CN"/>
        </w:rPr>
        <w:t>法定代表人或授权委托代理人</w:t>
      </w:r>
      <w:r>
        <w:rPr>
          <w:rFonts w:hint="eastAsia" w:ascii="宋体" w:hAnsi="宋体" w:cs="宋体"/>
          <w:color w:val="auto"/>
          <w:szCs w:val="21"/>
          <w:highlight w:val="none"/>
        </w:rPr>
        <w:t>（签字或盖章）</w:t>
      </w:r>
      <w:r>
        <w:rPr>
          <w:rFonts w:hint="eastAsia" w:ascii="宋体" w:hAnsi="宋体" w:cs="宋体"/>
          <w:color w:val="auto"/>
          <w:szCs w:val="21"/>
          <w:highlight w:val="none"/>
          <w:lang w:val="zh-CN"/>
        </w:rPr>
        <w:t>：</w:t>
      </w:r>
    </w:p>
    <w:p w14:paraId="6A7D407C">
      <w:pPr>
        <w:spacing w:line="360" w:lineRule="auto"/>
        <w:ind w:firstLine="420" w:firstLineChars="200"/>
        <w:jc w:val="center"/>
        <w:rPr>
          <w:rFonts w:ascii="宋体" w:hAnsi="宋体" w:cs="宋体"/>
          <w:b/>
          <w:color w:val="auto"/>
          <w:sz w:val="28"/>
          <w:highlight w:val="none"/>
        </w:rPr>
      </w:pPr>
      <w:r>
        <w:rPr>
          <w:rFonts w:hint="eastAsia" w:ascii="宋体" w:hAnsi="宋体" w:cs="宋体"/>
          <w:color w:val="auto"/>
          <w:szCs w:val="21"/>
          <w:highlight w:val="none"/>
          <w:lang w:val="zh-CN"/>
        </w:rPr>
        <w:t>日期：</w:t>
      </w:r>
      <w:r>
        <w:rPr>
          <w:rFonts w:hint="eastAsia" w:ascii="宋体" w:hAnsi="宋体" w:cs="宋体"/>
          <w:color w:val="auto"/>
          <w:szCs w:val="21"/>
          <w:highlight w:val="none"/>
        </w:rPr>
        <w:t>年  月  日</w:t>
      </w:r>
    </w:p>
    <w:p w14:paraId="0C7B2592">
      <w:pPr>
        <w:adjustRightInd w:val="0"/>
        <w:snapToGrid w:val="0"/>
        <w:spacing w:line="360" w:lineRule="auto"/>
        <w:ind w:right="480"/>
        <w:rPr>
          <w:rFonts w:ascii="宋体" w:hAnsi="宋体" w:cs="宋体"/>
          <w:b/>
          <w:color w:val="auto"/>
          <w:sz w:val="28"/>
          <w:highlight w:val="none"/>
        </w:rPr>
      </w:pPr>
    </w:p>
    <w:p w14:paraId="6C270B8A">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附件3</w:t>
      </w:r>
    </w:p>
    <w:p w14:paraId="63EF278F">
      <w:pPr>
        <w:spacing w:line="360" w:lineRule="auto"/>
        <w:ind w:firstLine="321" w:firstLineChars="100"/>
        <w:jc w:val="center"/>
        <w:rPr>
          <w:rFonts w:ascii="宋体" w:hAnsi="宋体" w:cs="宋体"/>
          <w:b/>
          <w:color w:val="auto"/>
          <w:sz w:val="32"/>
          <w:szCs w:val="32"/>
          <w:highlight w:val="none"/>
          <w:u w:val="single"/>
        </w:rPr>
      </w:pPr>
      <w:r>
        <w:rPr>
          <w:rFonts w:hint="eastAsia" w:ascii="宋体" w:hAnsi="宋体" w:cs="宋体"/>
          <w:b/>
          <w:color w:val="auto"/>
          <w:sz w:val="32"/>
          <w:szCs w:val="32"/>
          <w:highlight w:val="none"/>
        </w:rPr>
        <w:t>授权委托书</w:t>
      </w:r>
    </w:p>
    <w:p w14:paraId="3A353793">
      <w:pPr>
        <w:pStyle w:val="13"/>
        <w:spacing w:line="360" w:lineRule="auto"/>
        <w:ind w:left="210" w:hanging="210" w:hangingChars="100"/>
        <w:rPr>
          <w:rFonts w:hAnsi="宋体" w:cs="宋体"/>
          <w:color w:val="auto"/>
          <w:kern w:val="0"/>
          <w:szCs w:val="21"/>
          <w:highlight w:val="none"/>
        </w:rPr>
      </w:pPr>
      <w:r>
        <w:rPr>
          <w:rFonts w:hint="eastAsia" w:hAnsi="宋体" w:cs="宋体"/>
          <w:color w:val="auto"/>
          <w:szCs w:val="21"/>
          <w:highlight w:val="none"/>
          <w:u w:val="single"/>
        </w:rPr>
        <w:t>台州市黄岩区教育局、台州永安工程咨询有限公司</w:t>
      </w:r>
      <w:r>
        <w:rPr>
          <w:rFonts w:hint="eastAsia" w:hAnsi="宋体" w:cs="宋体"/>
          <w:color w:val="auto"/>
          <w:kern w:val="0"/>
          <w:szCs w:val="21"/>
          <w:highlight w:val="none"/>
        </w:rPr>
        <w:t>：</w:t>
      </w:r>
    </w:p>
    <w:p w14:paraId="1C862C2B">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u w:val="single"/>
        </w:rPr>
        <w:t>（投标人全称）</w:t>
      </w:r>
      <w:r>
        <w:rPr>
          <w:rFonts w:hint="eastAsia" w:hAnsi="宋体" w:cs="宋体"/>
          <w:color w:val="auto"/>
          <w:szCs w:val="21"/>
          <w:highlight w:val="none"/>
        </w:rPr>
        <w:t>法定代表人（或营业执照中单位负责人）</w:t>
      </w:r>
      <w:r>
        <w:rPr>
          <w:rFonts w:hint="eastAsia" w:hAnsi="宋体" w:cs="宋体"/>
          <w:color w:val="auto"/>
          <w:szCs w:val="21"/>
          <w:highlight w:val="none"/>
          <w:u w:val="single"/>
        </w:rPr>
        <w:tab/>
      </w:r>
      <w:r>
        <w:rPr>
          <w:rFonts w:hint="eastAsia" w:hAnsi="宋体" w:cs="宋体"/>
          <w:color w:val="auto"/>
          <w:szCs w:val="21"/>
          <w:highlight w:val="none"/>
          <w:u w:val="single"/>
        </w:rPr>
        <w:t>（法定代表人或营业执照中单位负责人姓名）</w:t>
      </w:r>
      <w:r>
        <w:rPr>
          <w:rFonts w:hint="eastAsia" w:hAnsi="宋体" w:cs="宋体"/>
          <w:color w:val="auto"/>
          <w:szCs w:val="21"/>
          <w:highlight w:val="none"/>
        </w:rPr>
        <w:t>授权</w:t>
      </w:r>
      <w:r>
        <w:rPr>
          <w:rFonts w:hint="eastAsia" w:hAnsi="宋体" w:cs="宋体"/>
          <w:color w:val="auto"/>
          <w:szCs w:val="21"/>
          <w:highlight w:val="none"/>
          <w:u w:val="single"/>
        </w:rPr>
        <w:t>（授权委托代理人姓名）</w:t>
      </w:r>
      <w:r>
        <w:rPr>
          <w:rFonts w:hint="eastAsia" w:hAnsi="宋体" w:cs="宋体"/>
          <w:color w:val="auto"/>
          <w:szCs w:val="21"/>
          <w:highlight w:val="none"/>
        </w:rPr>
        <w:t>为授权委托代理人，参加贵单位组织的</w:t>
      </w:r>
      <w:r>
        <w:rPr>
          <w:rFonts w:hint="eastAsia" w:hAnsi="宋体" w:cs="宋体"/>
          <w:color w:val="auto"/>
          <w:kern w:val="0"/>
          <w:szCs w:val="21"/>
          <w:highlight w:val="none"/>
          <w:u w:val="single"/>
        </w:rPr>
        <w:t>黄岩区中考标准化考点建设项目</w:t>
      </w:r>
      <w:r>
        <w:rPr>
          <w:rFonts w:hint="eastAsia" w:hAnsi="宋体" w:cs="宋体"/>
          <w:color w:val="auto"/>
          <w:szCs w:val="21"/>
          <w:highlight w:val="none"/>
        </w:rPr>
        <w:t>的采购活动，并代表我方全权办理针对上述项目的投标、开标、评标、签约等具体事务和签署相关文件。我方对授权委托代理人的签字事项负全部责任。</w:t>
      </w:r>
    </w:p>
    <w:p w14:paraId="199EEE86">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在撤销授权的书面通知以前，本授权书一直有效。授权委托代理人在授权委托书有效期内签署的所有文件不因授权的撤销而失效。</w:t>
      </w:r>
    </w:p>
    <w:p w14:paraId="19061135">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授权委托代理人无转委托权，特此委托。</w:t>
      </w:r>
    </w:p>
    <w:p w14:paraId="4EA478EC">
      <w:pPr>
        <w:spacing w:line="360" w:lineRule="auto"/>
        <w:rPr>
          <w:rFonts w:ascii="宋体" w:hAnsi="宋体" w:cs="宋体"/>
          <w:color w:val="auto"/>
          <w:szCs w:val="21"/>
          <w:highlight w:val="none"/>
        </w:rPr>
      </w:pPr>
    </w:p>
    <w:p w14:paraId="1D281A12">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法定代表人签字或盖章：</w:t>
      </w:r>
    </w:p>
    <w:p w14:paraId="102E6E5F">
      <w:pPr>
        <w:spacing w:line="360" w:lineRule="auto"/>
        <w:rPr>
          <w:rFonts w:ascii="宋体" w:hAnsi="宋体" w:cs="宋体"/>
          <w:color w:val="auto"/>
          <w:szCs w:val="21"/>
          <w:highlight w:val="none"/>
        </w:rPr>
      </w:pPr>
      <w:r>
        <w:rPr>
          <w:rFonts w:hint="eastAsia" w:ascii="宋体" w:hAnsi="宋体" w:cs="宋体"/>
          <w:color w:val="auto"/>
          <w:szCs w:val="21"/>
          <w:highlight w:val="none"/>
        </w:rPr>
        <w:t>投标人全称（公章）：</w:t>
      </w:r>
    </w:p>
    <w:p w14:paraId="66B1BBB7">
      <w:pPr>
        <w:spacing w:line="360" w:lineRule="auto"/>
        <w:rPr>
          <w:rFonts w:ascii="宋体" w:hAnsi="宋体" w:cs="宋体"/>
          <w:color w:val="auto"/>
          <w:szCs w:val="21"/>
          <w:highlight w:val="none"/>
        </w:rPr>
      </w:pPr>
      <w:r>
        <w:rPr>
          <w:rFonts w:hint="eastAsia" w:ascii="宋体" w:hAnsi="宋体" w:cs="宋体"/>
          <w:color w:val="auto"/>
          <w:szCs w:val="21"/>
          <w:highlight w:val="none"/>
        </w:rPr>
        <w:t>日期：</w:t>
      </w:r>
    </w:p>
    <w:p w14:paraId="18524EE5">
      <w:pPr>
        <w:spacing w:line="360" w:lineRule="auto"/>
        <w:rPr>
          <w:rFonts w:ascii="宋体" w:hAnsi="宋体" w:cs="宋体"/>
          <w:color w:val="auto"/>
          <w:sz w:val="24"/>
          <w:highlight w:val="none"/>
        </w:rPr>
      </w:pPr>
    </w:p>
    <w:p w14:paraId="6693BE51">
      <w:pPr>
        <w:spacing w:line="360" w:lineRule="auto"/>
        <w:rPr>
          <w:rFonts w:ascii="宋体" w:hAnsi="宋体" w:cs="宋体"/>
          <w:b/>
          <w:color w:val="auto"/>
          <w:sz w:val="24"/>
          <w:highlight w:val="none"/>
        </w:rPr>
      </w:pPr>
      <w:r>
        <w:rPr>
          <w:rFonts w:hint="eastAsia" w:ascii="宋体" w:hAnsi="宋体" w:cs="宋体"/>
          <w:b/>
          <w:color w:val="auto"/>
          <w:sz w:val="24"/>
          <w:highlight w:val="none"/>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0DA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07669EC">
            <w:pPr>
              <w:spacing w:line="360" w:lineRule="auto"/>
              <w:rPr>
                <w:rFonts w:ascii="宋体" w:hAnsi="宋体" w:cs="宋体"/>
                <w:b/>
                <w:color w:val="auto"/>
                <w:sz w:val="24"/>
                <w:highlight w:val="none"/>
              </w:rPr>
            </w:pPr>
          </w:p>
          <w:p w14:paraId="1AEBAC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法定代表身份证正、反面复印件粘贴处</w:t>
            </w:r>
          </w:p>
        </w:tc>
      </w:tr>
    </w:tbl>
    <w:p w14:paraId="07B8B3A2">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法定代表人姓名：</w:t>
      </w:r>
    </w:p>
    <w:p w14:paraId="2A215DF1">
      <w:pPr>
        <w:spacing w:line="360" w:lineRule="auto"/>
        <w:rPr>
          <w:rFonts w:ascii="宋体" w:hAnsi="宋体" w:cs="宋体"/>
          <w:color w:val="auto"/>
          <w:szCs w:val="21"/>
          <w:highlight w:val="none"/>
        </w:rPr>
      </w:pPr>
      <w:r>
        <w:rPr>
          <w:rFonts w:hint="eastAsia" w:ascii="宋体" w:hAnsi="宋体" w:cs="宋体"/>
          <w:color w:val="auto"/>
          <w:szCs w:val="21"/>
          <w:highlight w:val="none"/>
        </w:rPr>
        <w:t>传真：</w:t>
      </w:r>
    </w:p>
    <w:p w14:paraId="77CC0749">
      <w:pPr>
        <w:spacing w:line="360" w:lineRule="auto"/>
        <w:rPr>
          <w:rFonts w:ascii="宋体" w:hAnsi="宋体" w:cs="宋体"/>
          <w:color w:val="auto"/>
          <w:szCs w:val="21"/>
          <w:highlight w:val="none"/>
        </w:rPr>
      </w:pPr>
      <w:r>
        <w:rPr>
          <w:rFonts w:hint="eastAsia" w:ascii="宋体" w:hAnsi="宋体" w:cs="宋体"/>
          <w:color w:val="auto"/>
          <w:szCs w:val="21"/>
          <w:highlight w:val="none"/>
        </w:rPr>
        <w:t>电话：</w:t>
      </w:r>
    </w:p>
    <w:p w14:paraId="1D466065">
      <w:pPr>
        <w:spacing w:line="360" w:lineRule="auto"/>
        <w:rPr>
          <w:rFonts w:ascii="宋体" w:hAnsi="宋体" w:cs="宋体"/>
          <w:color w:val="auto"/>
          <w:szCs w:val="21"/>
          <w:highlight w:val="none"/>
        </w:rPr>
      </w:pPr>
      <w:r>
        <w:rPr>
          <w:rFonts w:hint="eastAsia" w:ascii="宋体" w:hAnsi="宋体" w:cs="宋体"/>
          <w:color w:val="auto"/>
          <w:szCs w:val="21"/>
          <w:highlight w:val="none"/>
        </w:rPr>
        <w:t>详细通讯地址：</w:t>
      </w:r>
    </w:p>
    <w:p w14:paraId="5E6BD79D">
      <w:pPr>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p w14:paraId="7B091D47">
      <w:pPr>
        <w:spacing w:line="360" w:lineRule="auto"/>
        <w:rPr>
          <w:rFonts w:ascii="宋体" w:hAnsi="宋体" w:cs="宋体"/>
          <w:b/>
          <w:color w:val="auto"/>
          <w:szCs w:val="21"/>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4AF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6F3E322">
            <w:pPr>
              <w:spacing w:line="360" w:lineRule="auto"/>
              <w:rPr>
                <w:rFonts w:ascii="宋体" w:hAnsi="宋体" w:cs="宋体"/>
                <w:b/>
                <w:color w:val="auto"/>
                <w:szCs w:val="21"/>
                <w:highlight w:val="none"/>
              </w:rPr>
            </w:pPr>
          </w:p>
          <w:p w14:paraId="74D08D79">
            <w:pPr>
              <w:spacing w:line="360" w:lineRule="auto"/>
              <w:jc w:val="center"/>
              <w:rPr>
                <w:rFonts w:ascii="宋体" w:hAnsi="宋体" w:cs="宋体"/>
                <w:b/>
                <w:color w:val="auto"/>
                <w:szCs w:val="21"/>
                <w:highlight w:val="none"/>
              </w:rPr>
            </w:pPr>
            <w:r>
              <w:rPr>
                <w:rFonts w:hint="eastAsia" w:ascii="宋体" w:hAnsi="宋体" w:cs="宋体"/>
                <w:b/>
                <w:color w:val="auto"/>
                <w:sz w:val="24"/>
                <w:highlight w:val="none"/>
              </w:rPr>
              <w:t>授权委托代理人身份证正、反面复印件粘贴处</w:t>
            </w:r>
          </w:p>
        </w:tc>
      </w:tr>
    </w:tbl>
    <w:p w14:paraId="00769188">
      <w:pPr>
        <w:spacing w:line="360" w:lineRule="auto"/>
        <w:rPr>
          <w:rFonts w:ascii="宋体" w:hAnsi="宋体" w:cs="宋体"/>
          <w:color w:val="auto"/>
          <w:szCs w:val="21"/>
          <w:highlight w:val="none"/>
        </w:rPr>
      </w:pPr>
      <w:r>
        <w:rPr>
          <w:rFonts w:hint="eastAsia" w:ascii="宋体" w:hAnsi="宋体" w:cs="宋体"/>
          <w:color w:val="auto"/>
          <w:szCs w:val="21"/>
          <w:highlight w:val="none"/>
        </w:rPr>
        <w:t>授权委托代理人姓名：</w:t>
      </w:r>
    </w:p>
    <w:p w14:paraId="66B66BAF">
      <w:pPr>
        <w:spacing w:line="360" w:lineRule="auto"/>
        <w:rPr>
          <w:rFonts w:ascii="宋体" w:hAnsi="宋体" w:cs="宋体"/>
          <w:color w:val="auto"/>
          <w:szCs w:val="21"/>
          <w:highlight w:val="none"/>
        </w:rPr>
      </w:pPr>
      <w:r>
        <w:rPr>
          <w:rFonts w:hint="eastAsia" w:ascii="宋体" w:hAnsi="宋体" w:cs="宋体"/>
          <w:color w:val="auto"/>
          <w:szCs w:val="21"/>
          <w:highlight w:val="none"/>
        </w:rPr>
        <w:t>职务：</w:t>
      </w:r>
    </w:p>
    <w:p w14:paraId="3810C0E1">
      <w:pPr>
        <w:spacing w:line="360" w:lineRule="auto"/>
        <w:rPr>
          <w:rFonts w:ascii="宋体" w:hAnsi="宋体" w:cs="宋体"/>
          <w:color w:val="auto"/>
          <w:szCs w:val="21"/>
          <w:highlight w:val="none"/>
        </w:rPr>
      </w:pPr>
      <w:r>
        <w:rPr>
          <w:rFonts w:hint="eastAsia" w:ascii="宋体" w:hAnsi="宋体" w:cs="宋体"/>
          <w:color w:val="auto"/>
          <w:szCs w:val="21"/>
          <w:highlight w:val="none"/>
        </w:rPr>
        <w:t>传真：</w:t>
      </w:r>
    </w:p>
    <w:p w14:paraId="3B32210A">
      <w:pPr>
        <w:spacing w:line="360" w:lineRule="auto"/>
        <w:rPr>
          <w:rFonts w:ascii="宋体" w:hAnsi="宋体" w:cs="宋体"/>
          <w:color w:val="auto"/>
          <w:szCs w:val="21"/>
          <w:highlight w:val="none"/>
        </w:rPr>
      </w:pPr>
      <w:r>
        <w:rPr>
          <w:rFonts w:hint="eastAsia" w:ascii="宋体" w:hAnsi="宋体" w:cs="宋体"/>
          <w:color w:val="auto"/>
          <w:szCs w:val="21"/>
          <w:highlight w:val="none"/>
        </w:rPr>
        <w:t>电话：</w:t>
      </w:r>
    </w:p>
    <w:p w14:paraId="69856F07">
      <w:pPr>
        <w:spacing w:line="360" w:lineRule="auto"/>
        <w:rPr>
          <w:rFonts w:ascii="宋体" w:hAnsi="宋体" w:cs="宋体"/>
          <w:color w:val="auto"/>
          <w:szCs w:val="21"/>
          <w:highlight w:val="none"/>
        </w:rPr>
      </w:pPr>
      <w:r>
        <w:rPr>
          <w:rFonts w:hint="eastAsia" w:ascii="宋体" w:hAnsi="宋体" w:cs="宋体"/>
          <w:color w:val="auto"/>
          <w:szCs w:val="21"/>
          <w:highlight w:val="none"/>
        </w:rPr>
        <w:t>详细通讯地址：</w:t>
      </w:r>
    </w:p>
    <w:p w14:paraId="70A01FC2">
      <w:pPr>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p w14:paraId="45280091">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6B195795">
      <w:pPr>
        <w:pStyle w:val="65"/>
        <w:widowControl w:val="0"/>
        <w:snapToGrid w:val="0"/>
        <w:spacing w:line="360" w:lineRule="auto"/>
        <w:jc w:val="center"/>
        <w:rPr>
          <w:rFonts w:hAnsi="宋体" w:cs="宋体"/>
          <w:b/>
          <w:color w:val="auto"/>
          <w:kern w:val="2"/>
          <w:sz w:val="32"/>
          <w:szCs w:val="32"/>
          <w:highlight w:val="none"/>
        </w:rPr>
      </w:pPr>
      <w:r>
        <w:rPr>
          <w:rFonts w:hint="eastAsia" w:hAnsi="宋体" w:cs="宋体"/>
          <w:b/>
          <w:color w:val="auto"/>
          <w:kern w:val="2"/>
          <w:sz w:val="32"/>
          <w:szCs w:val="32"/>
          <w:highlight w:val="none"/>
        </w:rPr>
        <w:t>政府采购活动现场确认声明书</w:t>
      </w:r>
    </w:p>
    <w:p w14:paraId="060ADFB0">
      <w:pPr>
        <w:pStyle w:val="65"/>
        <w:widowControl w:val="0"/>
        <w:snapToGrid w:val="0"/>
        <w:spacing w:line="360" w:lineRule="auto"/>
        <w:jc w:val="both"/>
        <w:rPr>
          <w:rFonts w:hAnsi="宋体" w:cs="宋体"/>
          <w:b/>
          <w:color w:val="auto"/>
          <w:sz w:val="21"/>
          <w:szCs w:val="21"/>
          <w:highlight w:val="none"/>
        </w:rPr>
      </w:pP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台州永安工程咨询有限公司</w:t>
      </w:r>
      <w:r>
        <w:rPr>
          <w:rFonts w:hint="eastAsia" w:hAnsi="宋体" w:cs="宋体"/>
          <w:color w:val="auto"/>
          <w:sz w:val="21"/>
          <w:szCs w:val="21"/>
          <w:highlight w:val="none"/>
        </w:rPr>
        <w:t>：</w:t>
      </w:r>
    </w:p>
    <w:p w14:paraId="110FA90F">
      <w:pPr>
        <w:pStyle w:val="65"/>
        <w:widowControl w:val="0"/>
        <w:adjustRightInd/>
        <w:spacing w:line="360" w:lineRule="auto"/>
        <w:ind w:firstLine="444" w:firstLineChars="200"/>
        <w:rPr>
          <w:rFonts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z w:val="21"/>
          <w:szCs w:val="21"/>
          <w:highlight w:val="none"/>
          <w:u w:val="single"/>
        </w:rPr>
        <w:t xml:space="preserve">  （供应商全称）   </w:t>
      </w:r>
      <w:r>
        <w:rPr>
          <w:rFonts w:hint="eastAsia" w:hAnsi="宋体" w:cs="宋体"/>
          <w:color w:val="auto"/>
          <w:spacing w:val="6"/>
          <w:sz w:val="21"/>
          <w:szCs w:val="21"/>
          <w:highlight w:val="none"/>
        </w:rPr>
        <w:t>负责人</w:t>
      </w:r>
      <w:r>
        <w:rPr>
          <w:rFonts w:hint="eastAsia" w:hAnsi="宋体" w:cs="宋体"/>
          <w:color w:val="auto"/>
          <w:sz w:val="21"/>
          <w:szCs w:val="21"/>
          <w:highlight w:val="none"/>
          <w:u w:val="single"/>
        </w:rPr>
        <w:t xml:space="preserve">  （法定代表人姓名）   </w:t>
      </w:r>
      <w:r>
        <w:rPr>
          <w:rFonts w:hint="eastAsia" w:hAnsi="宋体" w:cs="宋体"/>
          <w:color w:val="auto"/>
          <w:sz w:val="21"/>
          <w:szCs w:val="21"/>
          <w:highlight w:val="none"/>
        </w:rPr>
        <w:t>合</w:t>
      </w:r>
      <w:r>
        <w:rPr>
          <w:rFonts w:hint="eastAsia" w:hAnsi="宋体" w:cs="宋体"/>
          <w:color w:val="auto"/>
          <w:spacing w:val="6"/>
          <w:sz w:val="21"/>
          <w:szCs w:val="21"/>
          <w:highlight w:val="none"/>
        </w:rPr>
        <w:t>法授权参加</w:t>
      </w:r>
      <w:r>
        <w:rPr>
          <w:rFonts w:hint="eastAsia" w:hAnsi="宋体" w:cs="宋体"/>
          <w:color w:val="auto"/>
          <w:sz w:val="21"/>
          <w:szCs w:val="21"/>
          <w:highlight w:val="none"/>
          <w:u w:val="single"/>
        </w:rPr>
        <w:t>黄岩区中考标准化考点建设项目</w:t>
      </w:r>
      <w:r>
        <w:rPr>
          <w:rFonts w:hint="eastAsia" w:hAnsi="宋体" w:cs="宋体"/>
          <w:color w:val="auto"/>
          <w:spacing w:val="6"/>
          <w:sz w:val="21"/>
          <w:szCs w:val="21"/>
          <w:highlight w:val="none"/>
        </w:rPr>
        <w:t>（编号：</w:t>
      </w:r>
      <w:r>
        <w:rPr>
          <w:rFonts w:hint="eastAsia" w:hAnsi="宋体" w:cs="宋体"/>
          <w:color w:val="auto"/>
          <w:sz w:val="21"/>
          <w:szCs w:val="21"/>
          <w:highlight w:val="none"/>
          <w:u w:val="single"/>
        </w:rPr>
        <w:t>tzya2025-hy08</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14:paraId="3B7362C7">
      <w:pPr>
        <w:pStyle w:val="52"/>
        <w:tabs>
          <w:tab w:val="left" w:pos="630"/>
        </w:tabs>
        <w:adjustRightInd/>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一、本单位与采购人之间 </w:t>
      </w:r>
      <w:r>
        <w:rPr>
          <w:rFonts w:hint="eastAsia" w:hAnsi="宋体" w:cs="宋体"/>
          <w:color w:val="auto"/>
          <w:sz w:val="21"/>
          <w:szCs w:val="21"/>
          <w:highlight w:val="none"/>
        </w:rPr>
        <w:sym w:font="Wingdings" w:char="00FE"/>
      </w:r>
      <w:r>
        <w:rPr>
          <w:rFonts w:hint="eastAsia" w:hAnsi="宋体" w:cs="宋体"/>
          <w:color w:val="auto"/>
          <w:sz w:val="21"/>
          <w:szCs w:val="21"/>
          <w:highlight w:val="none"/>
        </w:rPr>
        <w:t>不存在利害关系 □存在下列利害关系</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57C6684E">
      <w:pPr>
        <w:pStyle w:val="52"/>
        <w:adjustRightInd/>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  A.投资关系    B.行政隶属关系    C.业务指导关系</w:t>
      </w:r>
    </w:p>
    <w:p w14:paraId="5C39F20C">
      <w:pPr>
        <w:pStyle w:val="52"/>
        <w:adjustRightInd/>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  D.其他可能影响采购公正的利害关系</w:t>
      </w:r>
      <w:r>
        <w:rPr>
          <w:rFonts w:hint="eastAsia" w:hAnsi="宋体" w:cs="宋体"/>
          <w:color w:val="auto"/>
          <w:sz w:val="21"/>
          <w:szCs w:val="21"/>
          <w:highlight w:val="none"/>
          <w:u w:val="single"/>
        </w:rPr>
        <w:t xml:space="preserve">（如有，请如实说明）                 </w:t>
      </w:r>
      <w:r>
        <w:rPr>
          <w:rFonts w:hint="eastAsia" w:hAnsi="宋体" w:cs="宋体"/>
          <w:color w:val="auto"/>
          <w:sz w:val="21"/>
          <w:szCs w:val="21"/>
          <w:highlight w:val="none"/>
        </w:rPr>
        <w:t>。</w:t>
      </w:r>
    </w:p>
    <w:p w14:paraId="5FC8C369">
      <w:pPr>
        <w:pStyle w:val="52"/>
        <w:adjustRightInd/>
        <w:spacing w:line="360" w:lineRule="auto"/>
        <w:ind w:firstLine="444" w:firstLineChars="200"/>
        <w:rPr>
          <w:rFonts w:hAnsi="宋体" w:cs="宋体"/>
          <w:color w:val="auto"/>
          <w:sz w:val="21"/>
          <w:szCs w:val="21"/>
          <w:highlight w:val="none"/>
        </w:rPr>
      </w:pPr>
      <w:r>
        <w:rPr>
          <w:rFonts w:hint="eastAsia" w:hAnsi="宋体" w:cs="宋体"/>
          <w:color w:val="auto"/>
          <w:spacing w:val="6"/>
          <w:sz w:val="21"/>
          <w:szCs w:val="21"/>
          <w:highlight w:val="none"/>
        </w:rPr>
        <w:t>二、</w:t>
      </w:r>
      <w:r>
        <w:rPr>
          <w:rFonts w:hint="eastAsia" w:hAnsi="宋体" w:cs="宋体"/>
          <w:color w:val="auto"/>
          <w:sz w:val="21"/>
          <w:szCs w:val="21"/>
          <w:highlight w:val="none"/>
        </w:rPr>
        <w:t>现已清楚知道参加本项目采购活动的其他所有供应商名称，本单位</w:t>
      </w:r>
      <w:r>
        <w:rPr>
          <w:rFonts w:hint="eastAsia" w:hAnsi="宋体" w:cs="宋体"/>
          <w:color w:val="auto"/>
          <w:sz w:val="21"/>
          <w:szCs w:val="21"/>
          <w:highlight w:val="none"/>
        </w:rPr>
        <w:sym w:font="Wingdings" w:char="00FE"/>
      </w:r>
      <w:r>
        <w:rPr>
          <w:rFonts w:hint="eastAsia" w:hAnsi="宋体" w:cs="宋体"/>
          <w:color w:val="auto"/>
          <w:sz w:val="21"/>
          <w:szCs w:val="21"/>
          <w:highlight w:val="none"/>
        </w:rPr>
        <w:t>与其他所有供应商之间均不存在利害关系 □与</w:t>
      </w:r>
      <w:r>
        <w:rPr>
          <w:rFonts w:hint="eastAsia" w:hAnsi="宋体" w:cs="宋体"/>
          <w:color w:val="auto"/>
          <w:sz w:val="21"/>
          <w:szCs w:val="21"/>
          <w:highlight w:val="none"/>
          <w:u w:val="single"/>
        </w:rPr>
        <w:t xml:space="preserve">           （供应商名称）</w:t>
      </w:r>
      <w:r>
        <w:rPr>
          <w:rFonts w:hint="eastAsia" w:hAnsi="宋体" w:cs="宋体"/>
          <w:color w:val="auto"/>
          <w:sz w:val="21"/>
          <w:szCs w:val="21"/>
          <w:highlight w:val="none"/>
        </w:rPr>
        <w:t>之间存在下列利害关系</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456CA552">
      <w:pPr>
        <w:pStyle w:val="65"/>
        <w:widowControl w:val="0"/>
        <w:adjustRightInd/>
        <w:spacing w:line="360" w:lineRule="auto"/>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  A.法定代表人或负责人或实际控制人是同一人</w:t>
      </w:r>
    </w:p>
    <w:p w14:paraId="3C866A16">
      <w:pPr>
        <w:pStyle w:val="65"/>
        <w:widowControl w:val="0"/>
        <w:adjustRightInd/>
        <w:spacing w:line="360" w:lineRule="auto"/>
        <w:ind w:firstLine="420" w:firstLineChars="200"/>
        <w:jc w:val="both"/>
        <w:rPr>
          <w:rFonts w:hAnsi="宋体" w:cs="宋体"/>
          <w:color w:val="auto"/>
          <w:spacing w:val="6"/>
          <w:sz w:val="21"/>
          <w:szCs w:val="21"/>
          <w:highlight w:val="none"/>
        </w:rPr>
      </w:pPr>
      <w:r>
        <w:rPr>
          <w:rFonts w:hint="eastAsia" w:hAnsi="宋体" w:cs="宋体"/>
          <w:color w:val="auto"/>
          <w:sz w:val="21"/>
          <w:szCs w:val="21"/>
          <w:highlight w:val="none"/>
        </w:rPr>
        <w:t xml:space="preserve">  B.法定代表人或负责人或实际控制人是夫妻关系</w:t>
      </w:r>
    </w:p>
    <w:p w14:paraId="3AF81257">
      <w:pPr>
        <w:pStyle w:val="65"/>
        <w:widowControl w:val="0"/>
        <w:adjustRightInd/>
        <w:spacing w:line="360" w:lineRule="auto"/>
        <w:ind w:firstLine="420" w:firstLineChars="200"/>
        <w:jc w:val="both"/>
        <w:rPr>
          <w:rFonts w:hAnsi="宋体" w:cs="宋体"/>
          <w:color w:val="auto"/>
          <w:spacing w:val="6"/>
          <w:sz w:val="21"/>
          <w:szCs w:val="21"/>
          <w:highlight w:val="none"/>
        </w:rPr>
      </w:pPr>
      <w:r>
        <w:rPr>
          <w:rFonts w:hint="eastAsia" w:hAnsi="宋体" w:cs="宋体"/>
          <w:color w:val="auto"/>
          <w:sz w:val="21"/>
          <w:szCs w:val="21"/>
          <w:highlight w:val="none"/>
        </w:rPr>
        <w:t xml:space="preserve">  C.法定代表人或负责人或实际控制人是直系血亲关系</w:t>
      </w:r>
    </w:p>
    <w:p w14:paraId="6823136D">
      <w:pPr>
        <w:pStyle w:val="65"/>
        <w:widowControl w:val="0"/>
        <w:adjustRightInd/>
        <w:spacing w:line="360" w:lineRule="auto"/>
        <w:ind w:firstLine="420" w:firstLineChars="200"/>
        <w:jc w:val="both"/>
        <w:rPr>
          <w:rFonts w:hAnsi="宋体" w:cs="宋体"/>
          <w:color w:val="auto"/>
          <w:spacing w:val="6"/>
          <w:sz w:val="21"/>
          <w:szCs w:val="21"/>
          <w:highlight w:val="none"/>
        </w:rPr>
      </w:pPr>
      <w:r>
        <w:rPr>
          <w:rFonts w:hint="eastAsia" w:hAnsi="宋体" w:cs="宋体"/>
          <w:color w:val="auto"/>
          <w:sz w:val="21"/>
          <w:szCs w:val="21"/>
          <w:highlight w:val="none"/>
        </w:rPr>
        <w:t xml:space="preserve">  D.法定代表人或负责人或实际控制人存在三代以内旁系血亲关系</w:t>
      </w:r>
    </w:p>
    <w:p w14:paraId="65033FF5">
      <w:pPr>
        <w:pStyle w:val="65"/>
        <w:widowControl w:val="0"/>
        <w:adjustRightInd/>
        <w:spacing w:line="360" w:lineRule="auto"/>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  E.法定代表人或负责人或实际控制人存在近姻亲关系</w:t>
      </w:r>
    </w:p>
    <w:p w14:paraId="3EA1CF24">
      <w:pPr>
        <w:pStyle w:val="65"/>
        <w:widowControl w:val="0"/>
        <w:adjustRightInd/>
        <w:spacing w:line="360" w:lineRule="auto"/>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  F.法定代表人或负责人或实际控制人存在股份控制或实际控制关系</w:t>
      </w:r>
    </w:p>
    <w:p w14:paraId="3AF0FE3D">
      <w:pPr>
        <w:pStyle w:val="65"/>
        <w:widowControl w:val="0"/>
        <w:adjustRightInd/>
        <w:spacing w:line="360" w:lineRule="auto"/>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  G.存在共同直接或间接投资设立子公司、联营企业和合营企业情况</w:t>
      </w:r>
    </w:p>
    <w:p w14:paraId="12122E98">
      <w:pPr>
        <w:pStyle w:val="65"/>
        <w:widowControl w:val="0"/>
        <w:adjustRightInd/>
        <w:spacing w:line="360" w:lineRule="auto"/>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  H.存在分级代理或代销关系、同一生产制造商关系、管理关系、重要业务（占主营业务收入50%以上）或重要财务往来关系（如融资）等其他实质性控制关系</w:t>
      </w:r>
    </w:p>
    <w:p w14:paraId="6893D7B8">
      <w:pPr>
        <w:pStyle w:val="65"/>
        <w:widowControl w:val="0"/>
        <w:adjustRightInd/>
        <w:spacing w:line="360" w:lineRule="auto"/>
        <w:ind w:firstLine="420" w:firstLineChars="200"/>
        <w:jc w:val="both"/>
        <w:rPr>
          <w:rFonts w:hAnsi="宋体" w:cs="宋体"/>
          <w:color w:val="auto"/>
          <w:spacing w:val="6"/>
          <w:sz w:val="21"/>
          <w:szCs w:val="21"/>
          <w:highlight w:val="none"/>
        </w:rPr>
      </w:pPr>
      <w:r>
        <w:rPr>
          <w:rFonts w:hint="eastAsia" w:hAnsi="宋体" w:cs="宋体"/>
          <w:color w:val="auto"/>
          <w:sz w:val="21"/>
          <w:szCs w:val="21"/>
          <w:highlight w:val="none"/>
        </w:rPr>
        <w:t xml:space="preserve">    I.其他利害关系情况</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707F2645">
      <w:pPr>
        <w:pStyle w:val="52"/>
        <w:adjustRightInd/>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三、现已清楚知道并严格遵守政府采购法律法规和现场纪律。</w:t>
      </w:r>
    </w:p>
    <w:p w14:paraId="64575367">
      <w:pPr>
        <w:pStyle w:val="52"/>
        <w:adjustRightInd/>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四、我发现</w:t>
      </w:r>
      <w:r>
        <w:rPr>
          <w:rFonts w:hint="eastAsia" w:hAnsi="宋体" w:cs="宋体"/>
          <w:color w:val="auto"/>
          <w:sz w:val="21"/>
          <w:szCs w:val="21"/>
          <w:highlight w:val="none"/>
          <w:u w:val="single"/>
        </w:rPr>
        <w:t xml:space="preserve"> </w:t>
      </w:r>
      <w:r>
        <w:rPr>
          <w:rFonts w:hint="eastAsia" w:hAnsi="宋体" w:cs="宋体"/>
          <w:b/>
          <w:bCs/>
          <w:color w:val="auto"/>
          <w:sz w:val="21"/>
          <w:szCs w:val="21"/>
          <w:highlight w:val="none"/>
          <w:u w:val="single"/>
        </w:rPr>
        <w:t xml:space="preserve"> /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供应商之间存在或可能存在上述第二条第</w:t>
      </w:r>
      <w:r>
        <w:rPr>
          <w:rFonts w:hint="eastAsia" w:hAnsi="宋体" w:cs="宋体"/>
          <w:color w:val="auto"/>
          <w:sz w:val="21"/>
          <w:szCs w:val="21"/>
          <w:highlight w:val="none"/>
          <w:u w:val="single"/>
        </w:rPr>
        <w:t xml:space="preserve"> </w:t>
      </w:r>
      <w:r>
        <w:rPr>
          <w:rFonts w:hint="eastAsia" w:hAnsi="宋体" w:cs="宋体"/>
          <w:b/>
          <w:bCs/>
          <w:color w:val="auto"/>
          <w:sz w:val="21"/>
          <w:szCs w:val="21"/>
          <w:highlight w:val="none"/>
          <w:u w:val="singl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项利害关系。</w:t>
      </w:r>
    </w:p>
    <w:p w14:paraId="55CADD88">
      <w:pPr>
        <w:pStyle w:val="52"/>
        <w:adjustRightInd/>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6256653C">
      <w:pPr>
        <w:pStyle w:val="65"/>
        <w:widowControl w:val="0"/>
        <w:snapToGrid w:val="0"/>
        <w:spacing w:line="360" w:lineRule="auto"/>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                                （供应商代表签字或盖章）</w:t>
      </w:r>
    </w:p>
    <w:p w14:paraId="377FBD00">
      <w:pPr>
        <w:pStyle w:val="65"/>
        <w:widowControl w:val="0"/>
        <w:snapToGrid w:val="0"/>
        <w:spacing w:line="360" w:lineRule="auto"/>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                                 年   月   日</w:t>
      </w:r>
    </w:p>
    <w:p w14:paraId="0070F72B">
      <w:pPr>
        <w:snapToGrid w:val="0"/>
        <w:spacing w:line="360" w:lineRule="auto"/>
        <w:rPr>
          <w:rFonts w:ascii="宋体" w:hAnsi="宋体" w:cs="宋体"/>
          <w:b/>
          <w:color w:val="auto"/>
          <w:sz w:val="28"/>
          <w:highlight w:val="none"/>
        </w:rPr>
      </w:pPr>
    </w:p>
    <w:p w14:paraId="0F01B229">
      <w:pPr>
        <w:snapToGrid w:val="0"/>
        <w:spacing w:line="360" w:lineRule="auto"/>
        <w:rPr>
          <w:rFonts w:ascii="宋体" w:hAnsi="宋体" w:cs="宋体"/>
          <w:b/>
          <w:color w:val="auto"/>
          <w:sz w:val="28"/>
          <w:highlight w:val="none"/>
        </w:rPr>
      </w:pPr>
    </w:p>
    <w:p w14:paraId="4F2F6739">
      <w:pPr>
        <w:rPr>
          <w:rFonts w:ascii="宋体" w:hAnsi="宋体" w:cs="宋体"/>
          <w:b/>
          <w:color w:val="auto"/>
          <w:sz w:val="28"/>
          <w:highlight w:val="none"/>
        </w:rPr>
      </w:pPr>
      <w:r>
        <w:rPr>
          <w:rFonts w:hint="eastAsia" w:ascii="宋体" w:hAnsi="宋体" w:cs="宋体"/>
          <w:b/>
          <w:color w:val="auto"/>
          <w:sz w:val="28"/>
          <w:highlight w:val="none"/>
        </w:rPr>
        <w:t xml:space="preserve">附件4                                              </w:t>
      </w:r>
      <w:r>
        <w:rPr>
          <w:rFonts w:hint="eastAsia" w:ascii="宋体" w:hAnsi="宋体" w:cs="宋体"/>
          <w:b/>
          <w:color w:val="auto"/>
          <w:sz w:val="28"/>
          <w:highlight w:val="none"/>
          <w:u w:val="single"/>
        </w:rPr>
        <w:t xml:space="preserve">     </w:t>
      </w:r>
      <w:r>
        <w:rPr>
          <w:rFonts w:hint="eastAsia" w:ascii="宋体" w:hAnsi="宋体" w:cs="宋体"/>
          <w:bCs/>
          <w:color w:val="auto"/>
          <w:sz w:val="24"/>
          <w:highlight w:val="none"/>
        </w:rPr>
        <w:t>本</w:t>
      </w:r>
    </w:p>
    <w:p w14:paraId="320D1F74">
      <w:pPr>
        <w:spacing w:line="360" w:lineRule="auto"/>
        <w:ind w:right="-110"/>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0C889C4D">
      <w:pPr>
        <w:spacing w:beforeLines="100" w:line="360" w:lineRule="auto"/>
        <w:ind w:right="-108"/>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14:paraId="42477E25">
      <w:pPr>
        <w:autoSpaceDE w:val="0"/>
        <w:autoSpaceDN w:val="0"/>
        <w:adjustRightInd w:val="0"/>
        <w:spacing w:line="360" w:lineRule="auto"/>
        <w:jc w:val="center"/>
        <w:rPr>
          <w:rFonts w:ascii="宋体" w:hAnsi="宋体" w:cs="宋体"/>
          <w:color w:val="auto"/>
          <w:sz w:val="84"/>
          <w:szCs w:val="84"/>
          <w:highlight w:val="none"/>
          <w:lang w:val="zh-CN"/>
        </w:rPr>
      </w:pPr>
    </w:p>
    <w:p w14:paraId="585E0591">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371BA85E">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3E07403D">
      <w:pP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4B72C086">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3521B094">
      <w:pPr>
        <w:spacing w:after="100" w:afterAutospacing="1" w:line="360" w:lineRule="auto"/>
        <w:ind w:right="-108"/>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Cs/>
          <w:color w:val="auto"/>
          <w:sz w:val="24"/>
          <w:highlight w:val="none"/>
          <w:lang w:val="zh-CN"/>
        </w:rPr>
        <w:t>商务与技术文件）</w:t>
      </w:r>
    </w:p>
    <w:p w14:paraId="0B30E800">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14:paraId="69F4E9B8">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    址：</w:t>
      </w:r>
    </w:p>
    <w:p w14:paraId="79B4A155">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时    间：</w:t>
      </w:r>
    </w:p>
    <w:p w14:paraId="7354807F">
      <w:pPr>
        <w:spacing w:line="360" w:lineRule="auto"/>
        <w:ind w:right="532" w:firstLine="720" w:firstLineChars="200"/>
        <w:rPr>
          <w:rFonts w:ascii="宋体" w:hAnsi="宋体" w:cs="宋体"/>
          <w:color w:val="auto"/>
          <w:sz w:val="36"/>
          <w:szCs w:val="36"/>
          <w:highlight w:val="none"/>
        </w:rPr>
      </w:pPr>
    </w:p>
    <w:p w14:paraId="6EB33E51">
      <w:pPr>
        <w:snapToGrid w:val="0"/>
        <w:spacing w:before="50" w:after="50" w:line="360" w:lineRule="auto"/>
        <w:jc w:val="center"/>
        <w:rPr>
          <w:rFonts w:ascii="宋体" w:hAnsi="宋体" w:cs="宋体"/>
          <w:b/>
          <w:bCs/>
          <w:color w:val="auto"/>
          <w:sz w:val="32"/>
          <w:szCs w:val="32"/>
          <w:highlight w:val="none"/>
          <w:lang w:val="zh-CN"/>
        </w:rPr>
      </w:pPr>
    </w:p>
    <w:p w14:paraId="2CE1E902">
      <w:pPr>
        <w:snapToGrid w:val="0"/>
        <w:spacing w:before="50" w:after="50" w:line="360" w:lineRule="auto"/>
        <w:rPr>
          <w:rFonts w:ascii="宋体" w:hAnsi="宋体" w:cs="宋体"/>
          <w:b/>
          <w:bCs/>
          <w:color w:val="auto"/>
          <w:sz w:val="32"/>
          <w:szCs w:val="32"/>
          <w:highlight w:val="none"/>
          <w:lang w:val="zh-CN"/>
        </w:rPr>
      </w:pPr>
    </w:p>
    <w:p w14:paraId="2EBC0B4E">
      <w:pPr>
        <w:snapToGrid w:val="0"/>
        <w:spacing w:before="50" w:after="50" w:line="360" w:lineRule="auto"/>
        <w:jc w:val="center"/>
        <w:outlineLvl w:val="1"/>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商务与技术文件</w:t>
      </w:r>
      <w:r>
        <w:rPr>
          <w:rFonts w:hint="eastAsia" w:ascii="宋体" w:hAnsi="宋体" w:cs="宋体"/>
          <w:b/>
          <w:bCs/>
          <w:color w:val="auto"/>
          <w:sz w:val="32"/>
          <w:szCs w:val="32"/>
          <w:highlight w:val="none"/>
        </w:rPr>
        <w:t>目录</w:t>
      </w:r>
    </w:p>
    <w:p w14:paraId="2EB0286D">
      <w:pPr>
        <w:snapToGrid w:val="0"/>
        <w:spacing w:line="360" w:lineRule="auto"/>
        <w:ind w:firstLine="482" w:firstLineChars="200"/>
        <w:rPr>
          <w:rFonts w:ascii="宋体" w:hAnsi="宋体" w:cs="宋体"/>
          <w:b/>
          <w:bCs/>
          <w:color w:val="auto"/>
          <w:sz w:val="24"/>
          <w:highlight w:val="none"/>
        </w:rPr>
      </w:pPr>
    </w:p>
    <w:p w14:paraId="73AA99E8">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一、评标索引</w:t>
      </w:r>
    </w:p>
    <w:p w14:paraId="677FE62B">
      <w:pPr>
        <w:pStyle w:val="9"/>
        <w:rPr>
          <w:rFonts w:ascii="宋体" w:hAnsi="宋体" w:cs="宋体"/>
          <w:color w:val="auto"/>
          <w:highlight w:val="none"/>
        </w:rPr>
      </w:pPr>
      <w:r>
        <w:rPr>
          <w:rFonts w:hint="eastAsia" w:ascii="宋体" w:hAnsi="宋体" w:cs="宋体"/>
          <w:color w:val="auto"/>
          <w:highlight w:val="none"/>
        </w:rPr>
        <w:t xml:space="preserve">      评标索引：自评表（附件5）</w:t>
      </w:r>
    </w:p>
    <w:p w14:paraId="0D6DB97B">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 技术方案描述部分</w:t>
      </w:r>
    </w:p>
    <w:p w14:paraId="0A7F30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1、投标人情况介绍（附件6）；</w:t>
      </w:r>
    </w:p>
    <w:p w14:paraId="413BF0C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2、项目需求的理解与分析；</w:t>
      </w:r>
    </w:p>
    <w:p w14:paraId="6AAC52A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3、项目组织实施方案； </w:t>
      </w:r>
    </w:p>
    <w:p w14:paraId="03F36EEA">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4、项目实施人员一览表（附件7）；</w:t>
      </w:r>
    </w:p>
    <w:p w14:paraId="78DD2721">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5、所投产品的规格、品牌、详细性能介绍及主要配置清单（不含报价）；</w:t>
      </w:r>
    </w:p>
    <w:p w14:paraId="54108CF6">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6、投标人提供的产品供货清单及原产地（附件8）</w:t>
      </w:r>
    </w:p>
    <w:p w14:paraId="1DFBCF4F">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7、产品制造、安装、验收标准；</w:t>
      </w:r>
    </w:p>
    <w:p w14:paraId="6E938967">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三、投标描述部分</w:t>
      </w:r>
    </w:p>
    <w:p w14:paraId="43BAEA8F">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1、投标描述及相关资料；</w:t>
      </w:r>
    </w:p>
    <w:p w14:paraId="5BB1291F">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2、技术需求响应表（附件9）；</w:t>
      </w:r>
    </w:p>
    <w:p w14:paraId="55CAFADE">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3、投标人需要说明的其他内容；（包括可能影响投标人技术性能评分项的各类证明材料）</w:t>
      </w:r>
    </w:p>
    <w:p w14:paraId="7B79E1EC">
      <w:pPr>
        <w:snapToGrid w:val="0"/>
        <w:spacing w:line="360" w:lineRule="auto"/>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四、商务响应部分</w:t>
      </w:r>
    </w:p>
    <w:p w14:paraId="33663C4B">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1、投标人的企业证书一览表（附件10）；</w:t>
      </w:r>
    </w:p>
    <w:p w14:paraId="4B4303C0">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2、类似项目的成功案例（附件11）</w:t>
      </w:r>
    </w:p>
    <w:p w14:paraId="441862FC">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3、资信及商务需求响应表（附件12）；</w:t>
      </w:r>
    </w:p>
    <w:p w14:paraId="7A2B943A">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4、售后服务情况表（附件13）；</w:t>
      </w:r>
    </w:p>
    <w:p w14:paraId="21B51EFC">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5、投标人需要说明的其他内容。（包括可能影响投标人企业实力及信誉评分项以及售后服务评分项的各类证明材料）</w:t>
      </w:r>
    </w:p>
    <w:p w14:paraId="29CB7344">
      <w:pPr>
        <w:snapToGrid w:val="0"/>
        <w:spacing w:before="50" w:after="50" w:line="360" w:lineRule="auto"/>
        <w:rPr>
          <w:rFonts w:ascii="宋体" w:hAnsi="宋体" w:cs="宋体"/>
          <w:b/>
          <w:color w:val="auto"/>
          <w:sz w:val="36"/>
          <w:szCs w:val="36"/>
          <w:highlight w:val="none"/>
        </w:rPr>
      </w:pPr>
    </w:p>
    <w:p w14:paraId="55EB2846">
      <w:pPr>
        <w:pStyle w:val="20"/>
        <w:outlineLvl w:val="9"/>
        <w:rPr>
          <w:rFonts w:ascii="宋体" w:hAnsi="宋体" w:cs="宋体"/>
          <w:color w:val="auto"/>
          <w:highlight w:val="none"/>
        </w:rPr>
      </w:pPr>
    </w:p>
    <w:p w14:paraId="7321E9FB">
      <w:pPr>
        <w:rPr>
          <w:rFonts w:ascii="宋体" w:hAnsi="宋体" w:cs="宋体"/>
          <w:color w:val="auto"/>
          <w:highlight w:val="none"/>
        </w:rPr>
      </w:pPr>
    </w:p>
    <w:p w14:paraId="067E63AB">
      <w:pPr>
        <w:pStyle w:val="20"/>
        <w:outlineLvl w:val="9"/>
        <w:rPr>
          <w:rFonts w:ascii="宋体" w:hAnsi="宋体" w:cs="宋体"/>
          <w:color w:val="auto"/>
          <w:highlight w:val="none"/>
        </w:rPr>
      </w:pPr>
    </w:p>
    <w:p w14:paraId="66329F3D">
      <w:pPr>
        <w:rPr>
          <w:rFonts w:ascii="宋体" w:hAnsi="宋体" w:cs="宋体"/>
          <w:color w:val="auto"/>
          <w:highlight w:val="none"/>
        </w:rPr>
      </w:pPr>
    </w:p>
    <w:p w14:paraId="08865DBC">
      <w:pPr>
        <w:pStyle w:val="40"/>
        <w:shd w:val="clear" w:color="auto" w:fill="FFFFFF"/>
        <w:spacing w:before="0" w:beforeAutospacing="0" w:after="0" w:afterAutospacing="0"/>
        <w:rPr>
          <w:b/>
          <w:color w:val="auto"/>
          <w:sz w:val="28"/>
          <w:highlight w:val="none"/>
        </w:rPr>
        <w:sectPr>
          <w:pgSz w:w="11906" w:h="16838"/>
          <w:pgMar w:top="1440" w:right="1800" w:bottom="1440" w:left="1800" w:header="851" w:footer="992" w:gutter="0"/>
          <w:cols w:space="425" w:num="1"/>
          <w:docGrid w:type="lines" w:linePitch="312" w:charSpace="0"/>
        </w:sectPr>
      </w:pPr>
    </w:p>
    <w:p w14:paraId="4B7732E4">
      <w:pPr>
        <w:pStyle w:val="40"/>
        <w:shd w:val="clear" w:color="auto" w:fill="FFFFFF"/>
        <w:spacing w:before="0" w:beforeAutospacing="0" w:after="0" w:afterAutospacing="0"/>
        <w:rPr>
          <w:b/>
          <w:color w:val="auto"/>
          <w:sz w:val="28"/>
          <w:highlight w:val="none"/>
        </w:rPr>
      </w:pPr>
      <w:r>
        <w:rPr>
          <w:rFonts w:hint="eastAsia"/>
          <w:b/>
          <w:color w:val="auto"/>
          <w:sz w:val="28"/>
          <w:highlight w:val="none"/>
        </w:rPr>
        <w:t>附件5</w:t>
      </w:r>
    </w:p>
    <w:p w14:paraId="6FD90E7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评标索引：自评表</w:t>
      </w:r>
    </w:p>
    <w:tbl>
      <w:tblPr>
        <w:tblStyle w:val="2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060"/>
        <w:gridCol w:w="5240"/>
        <w:gridCol w:w="695"/>
        <w:gridCol w:w="720"/>
        <w:gridCol w:w="663"/>
      </w:tblGrid>
      <w:tr w14:paraId="5F00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420" w:type="dxa"/>
            <w:gridSpan w:val="2"/>
            <w:shd w:val="clear" w:color="auto" w:fill="auto"/>
            <w:vAlign w:val="center"/>
          </w:tcPr>
          <w:p w14:paraId="5338B8DB">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5240" w:type="dxa"/>
            <w:shd w:val="clear" w:color="auto" w:fill="auto"/>
            <w:vAlign w:val="center"/>
          </w:tcPr>
          <w:p w14:paraId="5C3908E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评分标准</w:t>
            </w:r>
          </w:p>
        </w:tc>
        <w:tc>
          <w:tcPr>
            <w:tcW w:w="695" w:type="dxa"/>
            <w:shd w:val="clear" w:color="auto" w:fill="auto"/>
            <w:vAlign w:val="center"/>
          </w:tcPr>
          <w:p w14:paraId="6AE42A7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c>
          <w:tcPr>
            <w:tcW w:w="720" w:type="dxa"/>
            <w:shd w:val="clear" w:color="auto" w:fill="auto"/>
            <w:vAlign w:val="center"/>
          </w:tcPr>
          <w:p w14:paraId="04F3E15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对应页码</w:t>
            </w:r>
          </w:p>
        </w:tc>
        <w:tc>
          <w:tcPr>
            <w:tcW w:w="663" w:type="dxa"/>
            <w:shd w:val="clear" w:color="auto" w:fill="auto"/>
            <w:vAlign w:val="center"/>
          </w:tcPr>
          <w:p w14:paraId="20B2D2A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自评分</w:t>
            </w:r>
          </w:p>
        </w:tc>
      </w:tr>
      <w:tr w14:paraId="2292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1360" w:type="dxa"/>
            <w:vMerge w:val="restart"/>
            <w:shd w:val="clear" w:color="auto" w:fill="auto"/>
            <w:vAlign w:val="center"/>
          </w:tcPr>
          <w:p w14:paraId="621FE06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商务分</w:t>
            </w:r>
          </w:p>
          <w:p w14:paraId="098BB9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（14分）</w:t>
            </w:r>
          </w:p>
        </w:tc>
        <w:tc>
          <w:tcPr>
            <w:tcW w:w="1060" w:type="dxa"/>
            <w:shd w:val="clear" w:color="auto" w:fill="auto"/>
            <w:vAlign w:val="center"/>
          </w:tcPr>
          <w:p w14:paraId="542B52A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承接经验</w:t>
            </w:r>
          </w:p>
        </w:tc>
        <w:tc>
          <w:tcPr>
            <w:tcW w:w="5240" w:type="dxa"/>
            <w:shd w:val="clear" w:color="auto" w:fill="auto"/>
            <w:vAlign w:val="center"/>
          </w:tcPr>
          <w:p w14:paraId="0360A1C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投标人自2023年1月1日以来（</w:t>
            </w:r>
            <w:r>
              <w:rPr>
                <w:rFonts w:hint="eastAsia" w:ascii="宋体" w:hAnsi="宋体" w:cs="宋体"/>
                <w:color w:val="auto"/>
                <w:kern w:val="0"/>
                <w:szCs w:val="21"/>
                <w:highlight w:val="none"/>
                <w:lang w:val="zh-CN"/>
              </w:rPr>
              <w:t>以合同签订时间为准</w:t>
            </w:r>
            <w:r>
              <w:rPr>
                <w:rFonts w:hint="eastAsia" w:ascii="宋体" w:hAnsi="宋体" w:cs="宋体"/>
                <w:color w:val="auto"/>
                <w:kern w:val="0"/>
                <w:szCs w:val="21"/>
                <w:highlight w:val="none"/>
              </w:rPr>
              <w:t>）具有标准化考点项目成功案例，每提供1个得1分，最高得3分。</w:t>
            </w:r>
          </w:p>
          <w:p w14:paraId="376BF2F6">
            <w:pPr>
              <w:widowControl/>
              <w:jc w:val="left"/>
              <w:rPr>
                <w:rFonts w:ascii="宋体" w:hAnsi="宋体" w:cs="宋体"/>
                <w:color w:val="auto"/>
                <w:kern w:val="0"/>
                <w:szCs w:val="21"/>
                <w:highlight w:val="none"/>
              </w:rPr>
            </w:pPr>
            <w:r>
              <w:rPr>
                <w:rFonts w:hint="eastAsia" w:ascii="宋体" w:hAnsi="宋体" w:cs="宋体"/>
                <w:b/>
                <w:bCs/>
                <w:color w:val="auto"/>
                <w:szCs w:val="21"/>
                <w:highlight w:val="none"/>
              </w:rPr>
              <w:t>（须提供有效的合同或中标通知单扫描件加盖投标人公章编入投标文件中，未提供的不得分）</w:t>
            </w:r>
          </w:p>
        </w:tc>
        <w:tc>
          <w:tcPr>
            <w:tcW w:w="695" w:type="dxa"/>
            <w:shd w:val="clear" w:color="auto" w:fill="auto"/>
            <w:vAlign w:val="center"/>
          </w:tcPr>
          <w:p w14:paraId="1F150F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20" w:type="dxa"/>
            <w:shd w:val="clear" w:color="auto" w:fill="auto"/>
            <w:vAlign w:val="center"/>
          </w:tcPr>
          <w:p w14:paraId="66705D85">
            <w:pPr>
              <w:widowControl/>
              <w:jc w:val="center"/>
              <w:rPr>
                <w:rFonts w:ascii="宋体" w:hAnsi="宋体" w:cs="宋体"/>
                <w:color w:val="auto"/>
                <w:kern w:val="0"/>
                <w:szCs w:val="21"/>
                <w:highlight w:val="none"/>
              </w:rPr>
            </w:pPr>
          </w:p>
        </w:tc>
        <w:tc>
          <w:tcPr>
            <w:tcW w:w="663" w:type="dxa"/>
            <w:shd w:val="clear" w:color="auto" w:fill="auto"/>
            <w:vAlign w:val="center"/>
          </w:tcPr>
          <w:p w14:paraId="35E5C4B8">
            <w:pPr>
              <w:widowControl/>
              <w:jc w:val="center"/>
              <w:rPr>
                <w:rFonts w:ascii="宋体" w:hAnsi="宋体" w:cs="宋体"/>
                <w:color w:val="auto"/>
                <w:kern w:val="0"/>
                <w:szCs w:val="21"/>
                <w:highlight w:val="none"/>
              </w:rPr>
            </w:pPr>
          </w:p>
        </w:tc>
      </w:tr>
      <w:tr w14:paraId="3496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1360" w:type="dxa"/>
            <w:vMerge w:val="continue"/>
            <w:shd w:val="clear" w:color="auto" w:fill="auto"/>
            <w:vAlign w:val="center"/>
          </w:tcPr>
          <w:p w14:paraId="6A87DF5A">
            <w:pPr>
              <w:widowControl/>
              <w:jc w:val="center"/>
              <w:rPr>
                <w:rFonts w:ascii="宋体" w:hAnsi="宋体" w:cs="宋体"/>
                <w:color w:val="auto"/>
                <w:kern w:val="0"/>
                <w:szCs w:val="21"/>
                <w:highlight w:val="none"/>
              </w:rPr>
            </w:pPr>
          </w:p>
        </w:tc>
        <w:tc>
          <w:tcPr>
            <w:tcW w:w="1060" w:type="dxa"/>
            <w:shd w:val="clear" w:color="auto" w:fill="auto"/>
            <w:vAlign w:val="center"/>
          </w:tcPr>
          <w:p w14:paraId="13487D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项目负责人</w:t>
            </w:r>
          </w:p>
        </w:tc>
        <w:tc>
          <w:tcPr>
            <w:tcW w:w="5240" w:type="dxa"/>
            <w:shd w:val="clear" w:color="auto" w:fill="auto"/>
            <w:vAlign w:val="center"/>
          </w:tcPr>
          <w:p w14:paraId="42FCCC1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项目负责人具备高级工程师（信息技术专业）职称，人社部门颁发的信息安全工程师、网络工程师、软件设计师、信息系统项目管理师，每提供一个得1分，最高得5分。</w:t>
            </w:r>
          </w:p>
          <w:p w14:paraId="36951A53">
            <w:pPr>
              <w:widowControl/>
              <w:jc w:val="left"/>
              <w:rPr>
                <w:rFonts w:ascii="宋体" w:hAnsi="宋体" w:cs="宋体"/>
                <w:color w:val="auto"/>
                <w:kern w:val="0"/>
                <w:szCs w:val="21"/>
                <w:highlight w:val="none"/>
              </w:rPr>
            </w:pPr>
            <w:r>
              <w:rPr>
                <w:rFonts w:hint="eastAsia" w:ascii="宋体" w:hAnsi="宋体" w:cs="宋体"/>
                <w:b/>
                <w:bCs/>
                <w:color w:val="auto"/>
                <w:kern w:val="0"/>
                <w:szCs w:val="21"/>
                <w:highlight w:val="none"/>
              </w:rPr>
              <w:t>（须提供人员相应的证书原件彩色清晰扫描件和</w:t>
            </w:r>
            <w:r>
              <w:rPr>
                <w:rFonts w:hint="eastAsia" w:ascii="宋体" w:hAnsi="宋体" w:cs="宋体"/>
                <w:b/>
                <w:bCs/>
                <w:color w:val="auto"/>
                <w:szCs w:val="21"/>
                <w:highlight w:val="none"/>
              </w:rPr>
              <w:t>投标截止时间前的社保缴费证明</w:t>
            </w:r>
            <w:r>
              <w:rPr>
                <w:rFonts w:hint="eastAsia" w:ascii="宋体" w:hAnsi="宋体" w:cs="宋体"/>
                <w:b/>
                <w:bCs/>
                <w:color w:val="auto"/>
                <w:kern w:val="0"/>
                <w:szCs w:val="21"/>
                <w:highlight w:val="none"/>
              </w:rPr>
              <w:t>，社保缴纳单位必须与投标人单位名称一致，</w:t>
            </w:r>
            <w:r>
              <w:rPr>
                <w:rFonts w:hint="eastAsia" w:ascii="宋体" w:hAnsi="宋体" w:cs="宋体"/>
                <w:b/>
                <w:bCs/>
                <w:color w:val="auto"/>
                <w:szCs w:val="21"/>
                <w:highlight w:val="none"/>
              </w:rPr>
              <w:t>加盖投标人公章编入投标文件中，</w:t>
            </w:r>
            <w:r>
              <w:rPr>
                <w:rFonts w:hint="eastAsia" w:ascii="宋体" w:hAnsi="宋体" w:cs="宋体"/>
                <w:b/>
                <w:bCs/>
                <w:color w:val="auto"/>
                <w:kern w:val="0"/>
                <w:szCs w:val="21"/>
                <w:highlight w:val="none"/>
              </w:rPr>
              <w:t>未提供、提供不全或未按要求提供的不得分）</w:t>
            </w:r>
          </w:p>
        </w:tc>
        <w:tc>
          <w:tcPr>
            <w:tcW w:w="695" w:type="dxa"/>
            <w:shd w:val="clear" w:color="auto" w:fill="auto"/>
            <w:vAlign w:val="center"/>
          </w:tcPr>
          <w:p w14:paraId="3454F2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20" w:type="dxa"/>
            <w:shd w:val="clear" w:color="auto" w:fill="auto"/>
            <w:vAlign w:val="center"/>
          </w:tcPr>
          <w:p w14:paraId="21BE1DA7">
            <w:pPr>
              <w:widowControl/>
              <w:jc w:val="center"/>
              <w:rPr>
                <w:rFonts w:ascii="宋体" w:hAnsi="宋体" w:cs="宋体"/>
                <w:color w:val="auto"/>
                <w:kern w:val="0"/>
                <w:szCs w:val="21"/>
                <w:highlight w:val="none"/>
              </w:rPr>
            </w:pPr>
          </w:p>
        </w:tc>
        <w:tc>
          <w:tcPr>
            <w:tcW w:w="663" w:type="dxa"/>
            <w:shd w:val="clear" w:color="auto" w:fill="auto"/>
            <w:vAlign w:val="center"/>
          </w:tcPr>
          <w:p w14:paraId="42BB67CD">
            <w:pPr>
              <w:widowControl/>
              <w:jc w:val="center"/>
              <w:rPr>
                <w:rFonts w:ascii="宋体" w:hAnsi="宋体" w:cs="宋体"/>
                <w:color w:val="auto"/>
                <w:kern w:val="0"/>
                <w:szCs w:val="21"/>
                <w:highlight w:val="none"/>
              </w:rPr>
            </w:pPr>
          </w:p>
        </w:tc>
      </w:tr>
      <w:tr w14:paraId="5518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360" w:type="dxa"/>
            <w:vMerge w:val="continue"/>
            <w:shd w:val="clear" w:color="auto" w:fill="auto"/>
            <w:vAlign w:val="center"/>
          </w:tcPr>
          <w:p w14:paraId="40CD760A">
            <w:pPr>
              <w:widowControl/>
              <w:jc w:val="center"/>
              <w:rPr>
                <w:rFonts w:ascii="宋体" w:hAnsi="宋体" w:cs="宋体"/>
                <w:color w:val="auto"/>
                <w:kern w:val="0"/>
                <w:szCs w:val="21"/>
                <w:highlight w:val="none"/>
              </w:rPr>
            </w:pPr>
          </w:p>
        </w:tc>
        <w:tc>
          <w:tcPr>
            <w:tcW w:w="1060" w:type="dxa"/>
            <w:shd w:val="clear" w:color="auto" w:fill="auto"/>
            <w:vAlign w:val="center"/>
          </w:tcPr>
          <w:p w14:paraId="3598B70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5240" w:type="dxa"/>
            <w:shd w:val="clear" w:color="auto" w:fill="auto"/>
            <w:vAlign w:val="center"/>
          </w:tcPr>
          <w:p w14:paraId="63E90BC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本项目的技术负责人（除项目负责人外）具备一级建造师（机电工程）认证证书，人社部门颁发的信息系统项目管理师、系统集成项目管理工程师、网络工程师，每提供一个得1分，最高得4分。</w:t>
            </w:r>
          </w:p>
          <w:p w14:paraId="7868AD56">
            <w:pPr>
              <w:widowControl/>
              <w:jc w:val="left"/>
              <w:rPr>
                <w:rFonts w:ascii="宋体" w:hAnsi="宋体" w:cs="宋体"/>
                <w:color w:val="auto"/>
                <w:kern w:val="0"/>
                <w:szCs w:val="21"/>
                <w:highlight w:val="none"/>
              </w:rPr>
            </w:pPr>
            <w:r>
              <w:rPr>
                <w:rFonts w:hint="eastAsia" w:ascii="宋体" w:hAnsi="宋体" w:cs="宋体"/>
                <w:b/>
                <w:bCs/>
                <w:color w:val="auto"/>
                <w:kern w:val="0"/>
                <w:szCs w:val="21"/>
                <w:highlight w:val="none"/>
              </w:rPr>
              <w:t>（须提供人员相应的证书原件彩色清晰扫描件和</w:t>
            </w:r>
            <w:r>
              <w:rPr>
                <w:rFonts w:hint="eastAsia" w:ascii="宋体" w:hAnsi="宋体" w:cs="宋体"/>
                <w:b/>
                <w:bCs/>
                <w:color w:val="auto"/>
                <w:szCs w:val="21"/>
                <w:highlight w:val="none"/>
              </w:rPr>
              <w:t>投标截止时间前的社保缴费证明</w:t>
            </w:r>
            <w:r>
              <w:rPr>
                <w:rFonts w:hint="eastAsia" w:ascii="宋体" w:hAnsi="宋体" w:cs="宋体"/>
                <w:b/>
                <w:bCs/>
                <w:color w:val="auto"/>
                <w:kern w:val="0"/>
                <w:szCs w:val="21"/>
                <w:highlight w:val="none"/>
              </w:rPr>
              <w:t>，社保缴纳单位必须与投标人单位名称一致，未提供、提供不全或未按要求提供的不得分）</w:t>
            </w:r>
          </w:p>
        </w:tc>
        <w:tc>
          <w:tcPr>
            <w:tcW w:w="695" w:type="dxa"/>
            <w:shd w:val="clear" w:color="auto" w:fill="auto"/>
            <w:vAlign w:val="center"/>
          </w:tcPr>
          <w:p w14:paraId="03E209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720" w:type="dxa"/>
            <w:shd w:val="clear" w:color="auto" w:fill="auto"/>
            <w:vAlign w:val="center"/>
          </w:tcPr>
          <w:p w14:paraId="77ED4D77">
            <w:pPr>
              <w:widowControl/>
              <w:jc w:val="center"/>
              <w:rPr>
                <w:rFonts w:ascii="宋体" w:hAnsi="宋体" w:cs="宋体"/>
                <w:color w:val="auto"/>
                <w:kern w:val="0"/>
                <w:szCs w:val="21"/>
                <w:highlight w:val="none"/>
              </w:rPr>
            </w:pPr>
          </w:p>
        </w:tc>
        <w:tc>
          <w:tcPr>
            <w:tcW w:w="663" w:type="dxa"/>
            <w:shd w:val="clear" w:color="auto" w:fill="auto"/>
            <w:vAlign w:val="center"/>
          </w:tcPr>
          <w:p w14:paraId="3B7526CF">
            <w:pPr>
              <w:widowControl/>
              <w:jc w:val="center"/>
              <w:rPr>
                <w:rFonts w:ascii="宋体" w:hAnsi="宋体" w:cs="宋体"/>
                <w:color w:val="auto"/>
                <w:kern w:val="0"/>
                <w:szCs w:val="21"/>
                <w:highlight w:val="none"/>
              </w:rPr>
            </w:pPr>
          </w:p>
        </w:tc>
      </w:tr>
      <w:tr w14:paraId="0DA8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360" w:type="dxa"/>
            <w:vMerge w:val="continue"/>
            <w:shd w:val="clear" w:color="auto" w:fill="auto"/>
            <w:vAlign w:val="center"/>
          </w:tcPr>
          <w:p w14:paraId="3CB6B073">
            <w:pPr>
              <w:widowControl/>
              <w:jc w:val="center"/>
              <w:rPr>
                <w:rFonts w:ascii="宋体" w:hAnsi="宋体" w:cs="宋体"/>
                <w:color w:val="auto"/>
                <w:kern w:val="0"/>
                <w:szCs w:val="21"/>
                <w:highlight w:val="none"/>
              </w:rPr>
            </w:pPr>
          </w:p>
        </w:tc>
        <w:tc>
          <w:tcPr>
            <w:tcW w:w="1060" w:type="dxa"/>
            <w:shd w:val="clear" w:color="auto" w:fill="auto"/>
            <w:vAlign w:val="center"/>
          </w:tcPr>
          <w:p w14:paraId="0F01FE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项目组成员</w:t>
            </w:r>
          </w:p>
        </w:tc>
        <w:tc>
          <w:tcPr>
            <w:tcW w:w="5240" w:type="dxa"/>
            <w:shd w:val="clear" w:color="auto" w:fill="auto"/>
            <w:vAlign w:val="center"/>
          </w:tcPr>
          <w:p w14:paraId="37C37CD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项目团队成员（除项目负责人、技术负责人外）人员具有人社部门颁发的信息系统项目管理师、软件设计师、网络工程师、信息安全工程师证书，每提供一本证书得0.5分，最高得2分。一人有多项证书或多人有同一本证书的，只按一次得分。</w:t>
            </w:r>
          </w:p>
          <w:p w14:paraId="4B2BD182">
            <w:pPr>
              <w:widowControl/>
              <w:jc w:val="left"/>
              <w:rPr>
                <w:rFonts w:ascii="宋体" w:hAnsi="宋体" w:cs="宋体"/>
                <w:color w:val="auto"/>
                <w:kern w:val="0"/>
                <w:szCs w:val="21"/>
                <w:highlight w:val="none"/>
              </w:rPr>
            </w:pPr>
            <w:r>
              <w:rPr>
                <w:rFonts w:hint="eastAsia" w:ascii="宋体" w:hAnsi="宋体" w:cs="宋体"/>
                <w:b/>
                <w:bCs/>
                <w:color w:val="auto"/>
                <w:kern w:val="0"/>
                <w:szCs w:val="21"/>
                <w:highlight w:val="none"/>
              </w:rPr>
              <w:t>（须提供相应人员的证书原件彩色清晰扫描件和</w:t>
            </w:r>
            <w:r>
              <w:rPr>
                <w:rFonts w:hint="eastAsia" w:ascii="宋体" w:hAnsi="宋体" w:cs="宋体"/>
                <w:b/>
                <w:bCs/>
                <w:color w:val="auto"/>
                <w:szCs w:val="21"/>
                <w:highlight w:val="none"/>
              </w:rPr>
              <w:t>投标截止时间前的社保缴费证明</w:t>
            </w:r>
            <w:r>
              <w:rPr>
                <w:rFonts w:hint="eastAsia" w:ascii="宋体" w:hAnsi="宋体" w:cs="宋体"/>
                <w:b/>
                <w:bCs/>
                <w:color w:val="auto"/>
                <w:kern w:val="0"/>
                <w:szCs w:val="21"/>
                <w:highlight w:val="none"/>
              </w:rPr>
              <w:t>，社保缴纳单位必须与投标人单位名称一致，</w:t>
            </w:r>
            <w:r>
              <w:rPr>
                <w:rFonts w:hint="eastAsia" w:ascii="宋体" w:hAnsi="宋体" w:cs="宋体"/>
                <w:b/>
                <w:bCs/>
                <w:color w:val="auto"/>
                <w:szCs w:val="21"/>
                <w:highlight w:val="none"/>
              </w:rPr>
              <w:t>加盖投标人公章编入投标文件中，</w:t>
            </w:r>
            <w:r>
              <w:rPr>
                <w:rFonts w:hint="eastAsia" w:ascii="宋体" w:hAnsi="宋体" w:cs="宋体"/>
                <w:b/>
                <w:bCs/>
                <w:color w:val="auto"/>
                <w:kern w:val="0"/>
                <w:szCs w:val="21"/>
                <w:highlight w:val="none"/>
              </w:rPr>
              <w:t>未提供、提供不全或未按要求提供的不得分）</w:t>
            </w:r>
          </w:p>
        </w:tc>
        <w:tc>
          <w:tcPr>
            <w:tcW w:w="695" w:type="dxa"/>
            <w:shd w:val="clear" w:color="auto" w:fill="auto"/>
            <w:vAlign w:val="center"/>
          </w:tcPr>
          <w:p w14:paraId="6DC5278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20" w:type="dxa"/>
            <w:shd w:val="clear" w:color="auto" w:fill="auto"/>
            <w:vAlign w:val="center"/>
          </w:tcPr>
          <w:p w14:paraId="1B395FB9">
            <w:pPr>
              <w:widowControl/>
              <w:jc w:val="center"/>
              <w:rPr>
                <w:rFonts w:ascii="宋体" w:hAnsi="宋体" w:cs="宋体"/>
                <w:color w:val="auto"/>
                <w:kern w:val="0"/>
                <w:szCs w:val="21"/>
                <w:highlight w:val="none"/>
              </w:rPr>
            </w:pPr>
          </w:p>
        </w:tc>
        <w:tc>
          <w:tcPr>
            <w:tcW w:w="663" w:type="dxa"/>
            <w:shd w:val="clear" w:color="auto" w:fill="auto"/>
            <w:vAlign w:val="center"/>
          </w:tcPr>
          <w:p w14:paraId="0F58D2D2">
            <w:pPr>
              <w:widowControl/>
              <w:jc w:val="center"/>
              <w:rPr>
                <w:rFonts w:ascii="宋体" w:hAnsi="宋体" w:cs="宋体"/>
                <w:color w:val="auto"/>
                <w:kern w:val="0"/>
                <w:szCs w:val="21"/>
                <w:highlight w:val="none"/>
              </w:rPr>
            </w:pPr>
          </w:p>
        </w:tc>
      </w:tr>
      <w:tr w14:paraId="1759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60" w:type="dxa"/>
            <w:vMerge w:val="restart"/>
            <w:shd w:val="clear" w:color="auto" w:fill="auto"/>
            <w:vAlign w:val="center"/>
          </w:tcPr>
          <w:p w14:paraId="249272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eastAsia="zh-TW"/>
              </w:rPr>
              <w:t>技术</w:t>
            </w:r>
            <w:r>
              <w:rPr>
                <w:rFonts w:hint="eastAsia" w:ascii="宋体" w:hAnsi="宋体" w:cs="宋体"/>
                <w:color w:val="auto"/>
                <w:kern w:val="0"/>
                <w:szCs w:val="21"/>
                <w:highlight w:val="none"/>
              </w:rPr>
              <w:t>分</w:t>
            </w:r>
          </w:p>
          <w:p w14:paraId="70201A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（56</w:t>
            </w:r>
            <w:r>
              <w:rPr>
                <w:rFonts w:hint="eastAsia" w:ascii="宋体" w:hAnsi="宋体" w:cs="宋体"/>
                <w:color w:val="auto"/>
                <w:kern w:val="0"/>
                <w:szCs w:val="21"/>
                <w:highlight w:val="none"/>
                <w:lang w:eastAsia="zh-TW"/>
              </w:rPr>
              <w:t>分</w:t>
            </w:r>
            <w:r>
              <w:rPr>
                <w:rFonts w:hint="eastAsia" w:ascii="宋体" w:hAnsi="宋体" w:cs="宋体"/>
                <w:color w:val="auto"/>
                <w:kern w:val="0"/>
                <w:szCs w:val="21"/>
                <w:highlight w:val="none"/>
              </w:rPr>
              <w:t>）</w:t>
            </w:r>
          </w:p>
        </w:tc>
        <w:tc>
          <w:tcPr>
            <w:tcW w:w="1060" w:type="dxa"/>
            <w:shd w:val="clear" w:color="auto" w:fill="auto"/>
            <w:vAlign w:val="center"/>
          </w:tcPr>
          <w:p w14:paraId="72BAF1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技术指标</w:t>
            </w:r>
          </w:p>
        </w:tc>
        <w:tc>
          <w:tcPr>
            <w:tcW w:w="5240" w:type="dxa"/>
            <w:shd w:val="clear" w:color="auto" w:fill="auto"/>
            <w:vAlign w:val="center"/>
          </w:tcPr>
          <w:p w14:paraId="7635806C">
            <w:pPr>
              <w:pStyle w:val="22"/>
              <w:spacing w:after="0"/>
              <w:ind w:left="0" w:leftChars="0" w:firstLine="0"/>
              <w:rPr>
                <w:rFonts w:ascii="宋体" w:hAnsi="宋体" w:cs="宋体"/>
                <w:color w:val="auto"/>
                <w:kern w:val="0"/>
                <w:szCs w:val="21"/>
                <w:highlight w:val="none"/>
              </w:rPr>
            </w:pPr>
            <w:r>
              <w:rPr>
                <w:rFonts w:hint="eastAsia" w:ascii="宋体" w:hAnsi="宋体" w:cs="宋体"/>
                <w:color w:val="auto"/>
                <w:kern w:val="0"/>
                <w:szCs w:val="21"/>
                <w:highlight w:val="none"/>
              </w:rPr>
              <w:t>投标产品参数指标根据投标产品技术指标是否符合招标文件的要求及符合程度进行打分。</w:t>
            </w:r>
          </w:p>
          <w:p w14:paraId="075E6652">
            <w:pPr>
              <w:pStyle w:val="22"/>
              <w:spacing w:after="0"/>
              <w:ind w:left="0" w:leftChars="0" w:firstLine="0"/>
              <w:rPr>
                <w:rFonts w:ascii="宋体" w:hAnsi="宋体" w:cs="宋体"/>
                <w:color w:val="auto"/>
                <w:kern w:val="0"/>
                <w:szCs w:val="21"/>
                <w:highlight w:val="none"/>
              </w:rPr>
            </w:pPr>
            <w:r>
              <w:rPr>
                <w:rFonts w:hint="eastAsia" w:ascii="宋体" w:hAnsi="宋体" w:cs="宋体"/>
                <w:color w:val="auto"/>
                <w:szCs w:val="21"/>
                <w:highlight w:val="none"/>
              </w:rPr>
              <w:t>所投产品技术参数和配置</w:t>
            </w:r>
            <w:r>
              <w:rPr>
                <w:rFonts w:hint="eastAsia" w:ascii="宋体" w:hAnsi="宋体" w:cs="宋体"/>
                <w:color w:val="auto"/>
                <w:kern w:val="0"/>
                <w:szCs w:val="21"/>
                <w:highlight w:val="none"/>
              </w:rPr>
              <w:t>全部符合采购文件技术参数指标要求</w:t>
            </w:r>
            <w:r>
              <w:rPr>
                <w:rFonts w:hint="eastAsia" w:ascii="宋体" w:hAnsi="宋体" w:cs="宋体"/>
                <w:color w:val="auto"/>
                <w:szCs w:val="21"/>
                <w:highlight w:val="none"/>
              </w:rPr>
              <w:t>（第四章 公开招标需求-1.3.2.3.详细技术参数要求）</w:t>
            </w:r>
            <w:r>
              <w:rPr>
                <w:rFonts w:hint="eastAsia" w:ascii="宋体" w:hAnsi="宋体" w:cs="宋体"/>
                <w:color w:val="auto"/>
                <w:kern w:val="0"/>
                <w:szCs w:val="21"/>
                <w:highlight w:val="none"/>
              </w:rPr>
              <w:t>得28分：“★”是产品的重要指标</w:t>
            </w:r>
            <w:r>
              <w:rPr>
                <w:rFonts w:hint="eastAsia" w:ascii="宋体" w:hAnsi="宋体" w:cs="宋体"/>
                <w:color w:val="auto"/>
                <w:szCs w:val="21"/>
                <w:highlight w:val="none"/>
              </w:rPr>
              <w:t>（共22项）</w:t>
            </w:r>
            <w:r>
              <w:rPr>
                <w:rFonts w:hint="eastAsia" w:ascii="宋体" w:hAnsi="宋体" w:cs="宋体"/>
                <w:color w:val="auto"/>
                <w:kern w:val="0"/>
                <w:szCs w:val="21"/>
                <w:highlight w:val="none"/>
              </w:rPr>
              <w:t>，若出现负偏差，每负偏离一项扣1.3分，扣完为止。</w:t>
            </w:r>
          </w:p>
          <w:p w14:paraId="060AACE3">
            <w:pPr>
              <w:widowControl/>
              <w:jc w:val="left"/>
              <w:rPr>
                <w:rFonts w:ascii="宋体" w:hAnsi="宋体" w:cs="宋体"/>
                <w:color w:val="auto"/>
                <w:kern w:val="0"/>
                <w:szCs w:val="21"/>
                <w:highlight w:val="none"/>
              </w:rPr>
            </w:pPr>
            <w:r>
              <w:rPr>
                <w:rFonts w:hint="eastAsia" w:ascii="宋体" w:hAnsi="宋体" w:cs="宋体"/>
                <w:b/>
                <w:bCs/>
                <w:color w:val="auto"/>
                <w:szCs w:val="21"/>
                <w:highlight w:val="none"/>
              </w:rPr>
              <w:t>(采购文件中要求提供相关证明资料的技术指标，必须提供按采购文件要求提供相应证明材料，否则以负偏离处理。)</w:t>
            </w:r>
          </w:p>
        </w:tc>
        <w:tc>
          <w:tcPr>
            <w:tcW w:w="695" w:type="dxa"/>
            <w:shd w:val="clear" w:color="auto" w:fill="auto"/>
            <w:vAlign w:val="center"/>
          </w:tcPr>
          <w:p w14:paraId="1BE729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720" w:type="dxa"/>
            <w:shd w:val="clear" w:color="auto" w:fill="auto"/>
            <w:vAlign w:val="center"/>
          </w:tcPr>
          <w:p w14:paraId="792DE0F4">
            <w:pPr>
              <w:widowControl/>
              <w:jc w:val="center"/>
              <w:rPr>
                <w:rFonts w:ascii="宋体" w:hAnsi="宋体" w:cs="宋体"/>
                <w:color w:val="auto"/>
                <w:kern w:val="0"/>
                <w:szCs w:val="21"/>
                <w:highlight w:val="none"/>
              </w:rPr>
            </w:pPr>
          </w:p>
        </w:tc>
        <w:tc>
          <w:tcPr>
            <w:tcW w:w="663" w:type="dxa"/>
            <w:shd w:val="clear" w:color="auto" w:fill="auto"/>
            <w:vAlign w:val="center"/>
          </w:tcPr>
          <w:p w14:paraId="36625D43">
            <w:pPr>
              <w:widowControl/>
              <w:jc w:val="center"/>
              <w:rPr>
                <w:rFonts w:ascii="宋体" w:hAnsi="宋体" w:cs="宋体"/>
                <w:color w:val="auto"/>
                <w:kern w:val="0"/>
                <w:szCs w:val="21"/>
                <w:highlight w:val="none"/>
              </w:rPr>
            </w:pPr>
          </w:p>
        </w:tc>
      </w:tr>
      <w:tr w14:paraId="69A4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1360" w:type="dxa"/>
            <w:vMerge w:val="continue"/>
            <w:shd w:val="clear" w:color="auto" w:fill="auto"/>
            <w:vAlign w:val="center"/>
          </w:tcPr>
          <w:p w14:paraId="514B7104">
            <w:pPr>
              <w:widowControl/>
              <w:jc w:val="center"/>
              <w:rPr>
                <w:rFonts w:ascii="宋体" w:hAnsi="宋体" w:cs="宋体"/>
                <w:color w:val="auto"/>
                <w:kern w:val="0"/>
                <w:szCs w:val="21"/>
                <w:highlight w:val="none"/>
              </w:rPr>
            </w:pPr>
          </w:p>
        </w:tc>
        <w:tc>
          <w:tcPr>
            <w:tcW w:w="1060" w:type="dxa"/>
            <w:shd w:val="clear" w:color="auto" w:fill="auto"/>
            <w:vAlign w:val="center"/>
          </w:tcPr>
          <w:p w14:paraId="7A5FCD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总体方案设计</w:t>
            </w:r>
          </w:p>
        </w:tc>
        <w:tc>
          <w:tcPr>
            <w:tcW w:w="5240" w:type="dxa"/>
            <w:shd w:val="clear" w:color="auto" w:fill="auto"/>
            <w:vAlign w:val="center"/>
          </w:tcPr>
          <w:p w14:paraId="111C8A4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投标人须提供项目总体建设方案且详细、完善、科学合理，包括网络整体规划，根据方案与本项目需求的吻合程度进行打分。</w:t>
            </w:r>
          </w:p>
          <w:p w14:paraId="0849F5BA">
            <w:pPr>
              <w:jc w:val="left"/>
              <w:rPr>
                <w:rFonts w:ascii="宋体" w:hAnsi="宋体" w:cs="宋体"/>
                <w:color w:val="auto"/>
                <w:kern w:val="0"/>
                <w:szCs w:val="21"/>
                <w:highlight w:val="none"/>
              </w:rPr>
            </w:pPr>
            <w:r>
              <w:rPr>
                <w:rFonts w:hint="eastAsia" w:ascii="宋体" w:hAnsi="宋体" w:cs="宋体"/>
                <w:color w:val="auto"/>
                <w:spacing w:val="-4"/>
                <w:szCs w:val="21"/>
                <w:highlight w:val="none"/>
              </w:rPr>
              <w:t>一档得5分；二档得4.5分；三档得4分；四档得3.5分；五档得3分；六档得2.5分；七档得2分；八档得1.5分；九档得1分；未提及此项不得分。</w:t>
            </w:r>
          </w:p>
        </w:tc>
        <w:tc>
          <w:tcPr>
            <w:tcW w:w="695" w:type="dxa"/>
            <w:shd w:val="clear" w:color="auto" w:fill="auto"/>
            <w:vAlign w:val="center"/>
          </w:tcPr>
          <w:p w14:paraId="3638A5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20" w:type="dxa"/>
            <w:shd w:val="clear" w:color="auto" w:fill="auto"/>
            <w:vAlign w:val="center"/>
          </w:tcPr>
          <w:p w14:paraId="0110C9A2">
            <w:pPr>
              <w:widowControl/>
              <w:jc w:val="center"/>
              <w:rPr>
                <w:rFonts w:ascii="宋体" w:hAnsi="宋体" w:cs="宋体"/>
                <w:color w:val="auto"/>
                <w:kern w:val="0"/>
                <w:szCs w:val="21"/>
                <w:highlight w:val="none"/>
              </w:rPr>
            </w:pPr>
          </w:p>
        </w:tc>
        <w:tc>
          <w:tcPr>
            <w:tcW w:w="663" w:type="dxa"/>
            <w:shd w:val="clear" w:color="auto" w:fill="auto"/>
            <w:vAlign w:val="center"/>
          </w:tcPr>
          <w:p w14:paraId="27D81E17">
            <w:pPr>
              <w:widowControl/>
              <w:jc w:val="center"/>
              <w:rPr>
                <w:rFonts w:ascii="宋体" w:hAnsi="宋体" w:cs="宋体"/>
                <w:color w:val="auto"/>
                <w:kern w:val="0"/>
                <w:szCs w:val="21"/>
                <w:highlight w:val="none"/>
              </w:rPr>
            </w:pPr>
          </w:p>
        </w:tc>
      </w:tr>
      <w:tr w14:paraId="617F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360" w:type="dxa"/>
            <w:vMerge w:val="continue"/>
            <w:shd w:val="clear" w:color="auto" w:fill="auto"/>
            <w:vAlign w:val="center"/>
          </w:tcPr>
          <w:p w14:paraId="42588500">
            <w:pPr>
              <w:widowControl/>
              <w:jc w:val="center"/>
              <w:rPr>
                <w:rFonts w:ascii="宋体" w:hAnsi="宋体" w:cs="宋体"/>
                <w:color w:val="auto"/>
                <w:kern w:val="0"/>
                <w:szCs w:val="21"/>
                <w:highlight w:val="none"/>
              </w:rPr>
            </w:pPr>
          </w:p>
        </w:tc>
        <w:tc>
          <w:tcPr>
            <w:tcW w:w="1060" w:type="dxa"/>
            <w:shd w:val="clear" w:color="auto" w:fill="auto"/>
            <w:vAlign w:val="center"/>
          </w:tcPr>
          <w:p w14:paraId="0365400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对接方案</w:t>
            </w:r>
          </w:p>
        </w:tc>
        <w:tc>
          <w:tcPr>
            <w:tcW w:w="5240" w:type="dxa"/>
            <w:shd w:val="clear" w:color="auto" w:fill="auto"/>
            <w:vAlign w:val="center"/>
          </w:tcPr>
          <w:p w14:paraId="0D38DA1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根据投标人提供的与省、市考试平台互联互通及兼容性的方案描述进行打分。</w:t>
            </w:r>
          </w:p>
          <w:p w14:paraId="25C2DE6E">
            <w:pPr>
              <w:widowControl/>
              <w:jc w:val="left"/>
              <w:rPr>
                <w:rFonts w:ascii="宋体" w:hAnsi="宋体" w:cs="宋体"/>
                <w:color w:val="auto"/>
                <w:kern w:val="0"/>
                <w:szCs w:val="21"/>
                <w:highlight w:val="none"/>
              </w:rPr>
            </w:pPr>
            <w:r>
              <w:rPr>
                <w:rFonts w:hint="eastAsia" w:ascii="宋体" w:hAnsi="宋体" w:cs="宋体"/>
                <w:color w:val="auto"/>
                <w:spacing w:val="-4"/>
                <w:szCs w:val="21"/>
                <w:highlight w:val="none"/>
              </w:rPr>
              <w:t>一档得5分；二档得4.5分；三档得4分；四档得3.5分；五档得3分；六档得2.5分；七档得2分；八档得1.5分；九档得1分；未提及此项不得分。</w:t>
            </w:r>
          </w:p>
        </w:tc>
        <w:tc>
          <w:tcPr>
            <w:tcW w:w="695" w:type="dxa"/>
            <w:shd w:val="clear" w:color="auto" w:fill="auto"/>
            <w:vAlign w:val="center"/>
          </w:tcPr>
          <w:p w14:paraId="43F2809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20" w:type="dxa"/>
            <w:shd w:val="clear" w:color="auto" w:fill="auto"/>
            <w:vAlign w:val="center"/>
          </w:tcPr>
          <w:p w14:paraId="67FF8E9A">
            <w:pPr>
              <w:widowControl/>
              <w:jc w:val="center"/>
              <w:rPr>
                <w:rFonts w:ascii="宋体" w:hAnsi="宋体" w:cs="宋体"/>
                <w:color w:val="auto"/>
                <w:kern w:val="0"/>
                <w:szCs w:val="21"/>
                <w:highlight w:val="none"/>
              </w:rPr>
            </w:pPr>
          </w:p>
        </w:tc>
        <w:tc>
          <w:tcPr>
            <w:tcW w:w="663" w:type="dxa"/>
            <w:shd w:val="clear" w:color="auto" w:fill="auto"/>
            <w:vAlign w:val="center"/>
          </w:tcPr>
          <w:p w14:paraId="7265BF01">
            <w:pPr>
              <w:widowControl/>
              <w:jc w:val="center"/>
              <w:rPr>
                <w:rFonts w:ascii="宋体" w:hAnsi="宋体" w:cs="宋体"/>
                <w:color w:val="auto"/>
                <w:kern w:val="0"/>
                <w:szCs w:val="21"/>
                <w:highlight w:val="none"/>
              </w:rPr>
            </w:pPr>
          </w:p>
        </w:tc>
      </w:tr>
      <w:tr w14:paraId="61EE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1360" w:type="dxa"/>
            <w:vMerge w:val="continue"/>
            <w:shd w:val="clear" w:color="auto" w:fill="auto"/>
            <w:vAlign w:val="center"/>
          </w:tcPr>
          <w:p w14:paraId="1F45DED9">
            <w:pPr>
              <w:widowControl/>
              <w:jc w:val="center"/>
              <w:rPr>
                <w:rFonts w:ascii="宋体" w:hAnsi="宋体" w:cs="宋体"/>
                <w:color w:val="auto"/>
                <w:kern w:val="0"/>
                <w:szCs w:val="21"/>
                <w:highlight w:val="none"/>
              </w:rPr>
            </w:pPr>
          </w:p>
        </w:tc>
        <w:tc>
          <w:tcPr>
            <w:tcW w:w="1060" w:type="dxa"/>
            <w:shd w:val="clear" w:color="auto" w:fill="auto"/>
            <w:vAlign w:val="center"/>
          </w:tcPr>
          <w:p w14:paraId="58F150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实施方案</w:t>
            </w:r>
          </w:p>
        </w:tc>
        <w:tc>
          <w:tcPr>
            <w:tcW w:w="5240" w:type="dxa"/>
            <w:shd w:val="clear" w:color="auto" w:fill="auto"/>
            <w:vAlign w:val="center"/>
          </w:tcPr>
          <w:p w14:paraId="26DCC93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根据投标人依据项目要求提供的项目实施方案，包括但不限于前期勘查情况、项目管理方案、实施步骤和进度计划、质量保障方案、项目风险管理、应急处置方案、测试和验收方案等进行打分。</w:t>
            </w:r>
          </w:p>
          <w:p w14:paraId="456BF8CB">
            <w:pPr>
              <w:jc w:val="left"/>
              <w:rPr>
                <w:rFonts w:ascii="宋体" w:hAnsi="宋体" w:cs="宋体"/>
                <w:color w:val="auto"/>
                <w:kern w:val="0"/>
                <w:szCs w:val="21"/>
                <w:highlight w:val="none"/>
              </w:rPr>
            </w:pPr>
            <w:r>
              <w:rPr>
                <w:rFonts w:hint="eastAsia" w:ascii="宋体" w:hAnsi="宋体" w:cs="宋体"/>
                <w:color w:val="auto"/>
                <w:spacing w:val="-4"/>
                <w:szCs w:val="21"/>
                <w:highlight w:val="none"/>
              </w:rPr>
              <w:t>一档得5分；二档得4.5分；三档得4分；四档得3.5分；五档得3分；六档得2.5分；七档得2分；八档得1.5分；九档得1分；未提及此项不得分。</w:t>
            </w:r>
          </w:p>
        </w:tc>
        <w:tc>
          <w:tcPr>
            <w:tcW w:w="695" w:type="dxa"/>
            <w:shd w:val="clear" w:color="auto" w:fill="auto"/>
            <w:vAlign w:val="center"/>
          </w:tcPr>
          <w:p w14:paraId="698A09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20" w:type="dxa"/>
            <w:shd w:val="clear" w:color="auto" w:fill="auto"/>
            <w:vAlign w:val="center"/>
          </w:tcPr>
          <w:p w14:paraId="45F389AE">
            <w:pPr>
              <w:widowControl/>
              <w:jc w:val="center"/>
              <w:rPr>
                <w:rFonts w:ascii="宋体" w:hAnsi="宋体" w:cs="宋体"/>
                <w:color w:val="auto"/>
                <w:kern w:val="0"/>
                <w:szCs w:val="21"/>
                <w:highlight w:val="none"/>
              </w:rPr>
            </w:pPr>
          </w:p>
        </w:tc>
        <w:tc>
          <w:tcPr>
            <w:tcW w:w="663" w:type="dxa"/>
            <w:shd w:val="clear" w:color="auto" w:fill="auto"/>
            <w:vAlign w:val="center"/>
          </w:tcPr>
          <w:p w14:paraId="017A1E45">
            <w:pPr>
              <w:widowControl/>
              <w:jc w:val="center"/>
              <w:rPr>
                <w:rFonts w:ascii="宋体" w:hAnsi="宋体" w:cs="宋体"/>
                <w:color w:val="auto"/>
                <w:kern w:val="0"/>
                <w:szCs w:val="21"/>
                <w:highlight w:val="none"/>
              </w:rPr>
            </w:pPr>
          </w:p>
        </w:tc>
      </w:tr>
      <w:tr w14:paraId="1577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60" w:type="dxa"/>
            <w:vMerge w:val="continue"/>
            <w:shd w:val="clear" w:color="auto" w:fill="auto"/>
            <w:vAlign w:val="center"/>
          </w:tcPr>
          <w:p w14:paraId="434E4596">
            <w:pPr>
              <w:widowControl/>
              <w:jc w:val="center"/>
              <w:rPr>
                <w:rFonts w:ascii="宋体" w:hAnsi="宋体" w:cs="宋体"/>
                <w:color w:val="auto"/>
                <w:kern w:val="0"/>
                <w:szCs w:val="21"/>
                <w:highlight w:val="none"/>
              </w:rPr>
            </w:pPr>
          </w:p>
        </w:tc>
        <w:tc>
          <w:tcPr>
            <w:tcW w:w="1060" w:type="dxa"/>
            <w:shd w:val="clear" w:color="auto" w:fill="auto"/>
            <w:vAlign w:val="center"/>
          </w:tcPr>
          <w:p w14:paraId="0129B1F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大型考试保障方案</w:t>
            </w:r>
          </w:p>
        </w:tc>
        <w:tc>
          <w:tcPr>
            <w:tcW w:w="5240" w:type="dxa"/>
            <w:shd w:val="clear" w:color="auto" w:fill="auto"/>
            <w:vAlign w:val="center"/>
          </w:tcPr>
          <w:p w14:paraId="35CC60C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根据投标人提供的大型考试保障方案描述进行打分。</w:t>
            </w:r>
          </w:p>
          <w:p w14:paraId="4D85A1B4">
            <w:pPr>
              <w:widowControl/>
              <w:jc w:val="left"/>
              <w:rPr>
                <w:rFonts w:ascii="宋体" w:hAnsi="宋体" w:cs="宋体"/>
                <w:color w:val="auto"/>
                <w:kern w:val="0"/>
                <w:szCs w:val="21"/>
                <w:highlight w:val="none"/>
              </w:rPr>
            </w:pPr>
            <w:r>
              <w:rPr>
                <w:rFonts w:hint="eastAsia" w:ascii="宋体" w:hAnsi="宋体" w:cs="宋体"/>
                <w:color w:val="auto"/>
                <w:spacing w:val="-4"/>
                <w:szCs w:val="21"/>
                <w:highlight w:val="none"/>
              </w:rPr>
              <w:t>一档得5分；二档得4.5分；三档得4分；四档得3.5分；五档得3分；六档得2.5分；七档得2分；八档得1.5分；九档得1分；未提及此项不得分。</w:t>
            </w:r>
          </w:p>
        </w:tc>
        <w:tc>
          <w:tcPr>
            <w:tcW w:w="695" w:type="dxa"/>
            <w:shd w:val="clear" w:color="auto" w:fill="auto"/>
            <w:vAlign w:val="center"/>
          </w:tcPr>
          <w:p w14:paraId="098984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20" w:type="dxa"/>
            <w:shd w:val="clear" w:color="auto" w:fill="auto"/>
            <w:vAlign w:val="center"/>
          </w:tcPr>
          <w:p w14:paraId="19FB8AE5">
            <w:pPr>
              <w:widowControl/>
              <w:jc w:val="center"/>
              <w:rPr>
                <w:rFonts w:ascii="宋体" w:hAnsi="宋体" w:cs="宋体"/>
                <w:color w:val="auto"/>
                <w:kern w:val="0"/>
                <w:szCs w:val="21"/>
                <w:highlight w:val="none"/>
              </w:rPr>
            </w:pPr>
          </w:p>
        </w:tc>
        <w:tc>
          <w:tcPr>
            <w:tcW w:w="663" w:type="dxa"/>
            <w:shd w:val="clear" w:color="auto" w:fill="auto"/>
            <w:vAlign w:val="center"/>
          </w:tcPr>
          <w:p w14:paraId="435AFF9C">
            <w:pPr>
              <w:widowControl/>
              <w:jc w:val="center"/>
              <w:rPr>
                <w:rFonts w:ascii="宋体" w:hAnsi="宋体" w:cs="宋体"/>
                <w:color w:val="auto"/>
                <w:kern w:val="0"/>
                <w:szCs w:val="21"/>
                <w:highlight w:val="none"/>
              </w:rPr>
            </w:pPr>
          </w:p>
        </w:tc>
      </w:tr>
      <w:tr w14:paraId="235D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60" w:type="dxa"/>
            <w:vMerge w:val="continue"/>
            <w:shd w:val="clear" w:color="auto" w:fill="auto"/>
            <w:vAlign w:val="center"/>
          </w:tcPr>
          <w:p w14:paraId="0407BB27">
            <w:pPr>
              <w:widowControl/>
              <w:jc w:val="center"/>
              <w:rPr>
                <w:rFonts w:ascii="宋体" w:hAnsi="宋体" w:cs="宋体"/>
                <w:color w:val="auto"/>
                <w:kern w:val="0"/>
                <w:szCs w:val="21"/>
                <w:highlight w:val="none"/>
              </w:rPr>
            </w:pPr>
          </w:p>
        </w:tc>
        <w:tc>
          <w:tcPr>
            <w:tcW w:w="1060" w:type="dxa"/>
            <w:vMerge w:val="restart"/>
            <w:shd w:val="clear" w:color="auto" w:fill="auto"/>
            <w:vAlign w:val="center"/>
          </w:tcPr>
          <w:p w14:paraId="2A0CAE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培训方案</w:t>
            </w:r>
          </w:p>
        </w:tc>
        <w:tc>
          <w:tcPr>
            <w:tcW w:w="5240" w:type="dxa"/>
            <w:shd w:val="clear" w:color="auto" w:fill="auto"/>
            <w:vAlign w:val="center"/>
          </w:tcPr>
          <w:p w14:paraId="5E14EEA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项目培训负责人具有教育部门颁发的教师资格证，人社部门颁发的信息系统项目管理师、系统集成管理工程师、二级建造师（机电），每个得0.5分，最高得2分。</w:t>
            </w:r>
          </w:p>
          <w:p w14:paraId="5AE8D30A">
            <w:pPr>
              <w:widowControl/>
              <w:jc w:val="left"/>
              <w:rPr>
                <w:rFonts w:ascii="宋体" w:hAnsi="宋体" w:cs="宋体"/>
                <w:color w:val="auto"/>
                <w:szCs w:val="21"/>
                <w:highlight w:val="none"/>
              </w:rPr>
            </w:pPr>
            <w:r>
              <w:rPr>
                <w:rFonts w:hint="eastAsia" w:ascii="宋体" w:hAnsi="宋体" w:cs="宋体"/>
                <w:b/>
                <w:bCs/>
                <w:color w:val="auto"/>
                <w:kern w:val="0"/>
                <w:szCs w:val="21"/>
                <w:highlight w:val="none"/>
              </w:rPr>
              <w:t>（须提供相应人员的证书原件彩色清晰扫描件和</w:t>
            </w:r>
            <w:r>
              <w:rPr>
                <w:rFonts w:hint="eastAsia" w:ascii="宋体" w:hAnsi="宋体" w:cs="宋体"/>
                <w:b/>
                <w:bCs/>
                <w:color w:val="auto"/>
                <w:szCs w:val="21"/>
                <w:highlight w:val="none"/>
              </w:rPr>
              <w:t>投标截止时间前的社保缴费证明</w:t>
            </w:r>
            <w:r>
              <w:rPr>
                <w:rFonts w:hint="eastAsia" w:ascii="宋体" w:hAnsi="宋体" w:cs="宋体"/>
                <w:b/>
                <w:bCs/>
                <w:color w:val="auto"/>
                <w:kern w:val="0"/>
                <w:szCs w:val="21"/>
                <w:highlight w:val="none"/>
              </w:rPr>
              <w:t>，社保缴纳单位必须与投标人单位名称一致，</w:t>
            </w:r>
            <w:r>
              <w:rPr>
                <w:rFonts w:hint="eastAsia" w:ascii="宋体" w:hAnsi="宋体" w:cs="宋体"/>
                <w:b/>
                <w:bCs/>
                <w:color w:val="auto"/>
                <w:szCs w:val="21"/>
                <w:highlight w:val="none"/>
              </w:rPr>
              <w:t>加盖投标人公章编入投标文件中，</w:t>
            </w:r>
            <w:r>
              <w:rPr>
                <w:rFonts w:hint="eastAsia" w:ascii="宋体" w:hAnsi="宋体" w:cs="宋体"/>
                <w:b/>
                <w:bCs/>
                <w:color w:val="auto"/>
                <w:kern w:val="0"/>
                <w:szCs w:val="21"/>
                <w:highlight w:val="none"/>
              </w:rPr>
              <w:t>未提供、提供不全或未按要求提供的不得分）</w:t>
            </w:r>
          </w:p>
        </w:tc>
        <w:tc>
          <w:tcPr>
            <w:tcW w:w="695" w:type="dxa"/>
            <w:shd w:val="clear" w:color="auto" w:fill="auto"/>
            <w:vAlign w:val="center"/>
          </w:tcPr>
          <w:p w14:paraId="119E701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20" w:type="dxa"/>
            <w:shd w:val="clear" w:color="auto" w:fill="auto"/>
            <w:vAlign w:val="center"/>
          </w:tcPr>
          <w:p w14:paraId="01D57CDB">
            <w:pPr>
              <w:widowControl/>
              <w:jc w:val="center"/>
              <w:rPr>
                <w:rFonts w:ascii="宋体" w:hAnsi="宋体" w:cs="宋体"/>
                <w:color w:val="auto"/>
                <w:kern w:val="0"/>
                <w:szCs w:val="21"/>
                <w:highlight w:val="none"/>
              </w:rPr>
            </w:pPr>
          </w:p>
        </w:tc>
        <w:tc>
          <w:tcPr>
            <w:tcW w:w="663" w:type="dxa"/>
            <w:shd w:val="clear" w:color="auto" w:fill="auto"/>
            <w:vAlign w:val="center"/>
          </w:tcPr>
          <w:p w14:paraId="6E96460F">
            <w:pPr>
              <w:widowControl/>
              <w:jc w:val="center"/>
              <w:rPr>
                <w:rFonts w:ascii="宋体" w:hAnsi="宋体" w:cs="宋体"/>
                <w:color w:val="auto"/>
                <w:kern w:val="0"/>
                <w:szCs w:val="21"/>
                <w:highlight w:val="none"/>
              </w:rPr>
            </w:pPr>
          </w:p>
        </w:tc>
      </w:tr>
      <w:tr w14:paraId="3711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60" w:type="dxa"/>
            <w:vMerge w:val="continue"/>
            <w:shd w:val="clear" w:color="auto" w:fill="auto"/>
            <w:vAlign w:val="center"/>
          </w:tcPr>
          <w:p w14:paraId="2E6B2FCA">
            <w:pPr>
              <w:widowControl/>
              <w:jc w:val="center"/>
              <w:rPr>
                <w:rFonts w:ascii="宋体" w:hAnsi="宋体" w:cs="宋体"/>
                <w:color w:val="auto"/>
                <w:kern w:val="0"/>
                <w:szCs w:val="21"/>
                <w:highlight w:val="none"/>
              </w:rPr>
            </w:pPr>
          </w:p>
        </w:tc>
        <w:tc>
          <w:tcPr>
            <w:tcW w:w="1060" w:type="dxa"/>
            <w:vMerge w:val="continue"/>
            <w:shd w:val="clear" w:color="auto" w:fill="auto"/>
            <w:vAlign w:val="center"/>
          </w:tcPr>
          <w:p w14:paraId="293C3AD0">
            <w:pPr>
              <w:widowControl/>
              <w:jc w:val="center"/>
              <w:rPr>
                <w:rFonts w:ascii="宋体" w:hAnsi="宋体" w:cs="宋体"/>
                <w:color w:val="auto"/>
                <w:kern w:val="0"/>
                <w:szCs w:val="21"/>
                <w:highlight w:val="none"/>
              </w:rPr>
            </w:pPr>
          </w:p>
        </w:tc>
        <w:tc>
          <w:tcPr>
            <w:tcW w:w="5240" w:type="dxa"/>
            <w:shd w:val="clear" w:color="auto" w:fill="auto"/>
            <w:vAlign w:val="center"/>
          </w:tcPr>
          <w:p w14:paraId="21EE2F96">
            <w:pPr>
              <w:widowControl/>
              <w:jc w:val="left"/>
              <w:rPr>
                <w:rFonts w:ascii="宋体" w:hAnsi="宋体" w:cs="宋体"/>
                <w:color w:val="auto"/>
                <w:kern w:val="0"/>
                <w:szCs w:val="21"/>
                <w:highlight w:val="none"/>
              </w:rPr>
            </w:pPr>
            <w:r>
              <w:rPr>
                <w:rFonts w:hint="eastAsia" w:ascii="宋体" w:hAnsi="宋体" w:cs="宋体"/>
                <w:color w:val="auto"/>
                <w:szCs w:val="21"/>
                <w:highlight w:val="none"/>
              </w:rPr>
              <w:t>根据投标人提供的培训方案包括但不限于培训目的、培训内容等内容</w:t>
            </w:r>
            <w:r>
              <w:rPr>
                <w:rFonts w:hint="eastAsia" w:ascii="宋体" w:hAnsi="宋体" w:cs="宋体"/>
                <w:color w:val="auto"/>
                <w:kern w:val="0"/>
                <w:szCs w:val="21"/>
                <w:highlight w:val="none"/>
              </w:rPr>
              <w:t>进行打分。</w:t>
            </w:r>
          </w:p>
          <w:p w14:paraId="6C0E739F">
            <w:pPr>
              <w:jc w:val="left"/>
              <w:rPr>
                <w:rFonts w:ascii="宋体" w:hAnsi="宋体" w:cs="宋体"/>
                <w:color w:val="auto"/>
                <w:szCs w:val="21"/>
                <w:highlight w:val="none"/>
              </w:rPr>
            </w:pPr>
            <w:r>
              <w:rPr>
                <w:rFonts w:hint="eastAsia" w:ascii="宋体" w:hAnsi="宋体" w:cs="宋体"/>
                <w:color w:val="auto"/>
                <w:spacing w:val="-4"/>
                <w:szCs w:val="21"/>
                <w:highlight w:val="none"/>
              </w:rPr>
              <w:t>一档得3分；二档得2.5分；三档得2分；四档得1.5分；五档得1分；未提及此项不得分。</w:t>
            </w:r>
          </w:p>
        </w:tc>
        <w:tc>
          <w:tcPr>
            <w:tcW w:w="695" w:type="dxa"/>
            <w:shd w:val="clear" w:color="auto" w:fill="auto"/>
            <w:vAlign w:val="center"/>
          </w:tcPr>
          <w:p w14:paraId="159A3C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20" w:type="dxa"/>
            <w:shd w:val="clear" w:color="auto" w:fill="auto"/>
            <w:vAlign w:val="center"/>
          </w:tcPr>
          <w:p w14:paraId="7C576177">
            <w:pPr>
              <w:widowControl/>
              <w:jc w:val="center"/>
              <w:rPr>
                <w:rFonts w:ascii="宋体" w:hAnsi="宋体" w:cs="宋体"/>
                <w:color w:val="auto"/>
                <w:kern w:val="0"/>
                <w:szCs w:val="21"/>
                <w:highlight w:val="none"/>
              </w:rPr>
            </w:pPr>
          </w:p>
        </w:tc>
        <w:tc>
          <w:tcPr>
            <w:tcW w:w="663" w:type="dxa"/>
            <w:shd w:val="clear" w:color="auto" w:fill="auto"/>
            <w:vAlign w:val="center"/>
          </w:tcPr>
          <w:p w14:paraId="17846590">
            <w:pPr>
              <w:widowControl/>
              <w:jc w:val="center"/>
              <w:rPr>
                <w:rFonts w:ascii="宋体" w:hAnsi="宋体" w:cs="宋体"/>
                <w:color w:val="auto"/>
                <w:kern w:val="0"/>
                <w:szCs w:val="21"/>
                <w:highlight w:val="none"/>
              </w:rPr>
            </w:pPr>
          </w:p>
        </w:tc>
      </w:tr>
      <w:tr w14:paraId="194C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360" w:type="dxa"/>
            <w:vMerge w:val="continue"/>
            <w:shd w:val="clear" w:color="auto" w:fill="auto"/>
            <w:vAlign w:val="center"/>
          </w:tcPr>
          <w:p w14:paraId="4C214FA5">
            <w:pPr>
              <w:widowControl/>
              <w:jc w:val="center"/>
              <w:rPr>
                <w:rFonts w:ascii="宋体" w:hAnsi="宋体" w:cs="宋体"/>
                <w:color w:val="auto"/>
                <w:kern w:val="0"/>
                <w:szCs w:val="21"/>
                <w:highlight w:val="none"/>
              </w:rPr>
            </w:pPr>
          </w:p>
        </w:tc>
        <w:tc>
          <w:tcPr>
            <w:tcW w:w="1060" w:type="dxa"/>
            <w:shd w:val="clear" w:color="auto" w:fill="auto"/>
            <w:vAlign w:val="center"/>
          </w:tcPr>
          <w:p w14:paraId="3E61932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售后服务方案</w:t>
            </w:r>
          </w:p>
        </w:tc>
        <w:tc>
          <w:tcPr>
            <w:tcW w:w="5240" w:type="dxa"/>
            <w:shd w:val="clear" w:color="auto" w:fill="auto"/>
            <w:vAlign w:val="center"/>
          </w:tcPr>
          <w:p w14:paraId="6187037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根据</w:t>
            </w:r>
            <w:r>
              <w:rPr>
                <w:rFonts w:hint="eastAsia" w:ascii="宋体" w:hAnsi="宋体" w:cs="宋体"/>
                <w:color w:val="auto"/>
                <w:szCs w:val="21"/>
                <w:highlight w:val="none"/>
              </w:rPr>
              <w:t>投标人提供的</w:t>
            </w:r>
            <w:r>
              <w:rPr>
                <w:rFonts w:hint="eastAsia" w:ascii="宋体" w:hAnsi="宋体" w:cs="宋体"/>
                <w:color w:val="auto"/>
                <w:kern w:val="0"/>
                <w:szCs w:val="21"/>
                <w:highlight w:val="none"/>
              </w:rPr>
              <w:t>售后服务承诺、服务组织架构、服务保障措施等情况进行打分。</w:t>
            </w:r>
          </w:p>
          <w:p w14:paraId="63AA5CEC">
            <w:pPr>
              <w:widowControl/>
              <w:jc w:val="left"/>
              <w:rPr>
                <w:rFonts w:ascii="宋体" w:hAnsi="宋体" w:cs="宋体"/>
                <w:color w:val="auto"/>
                <w:kern w:val="0"/>
                <w:szCs w:val="21"/>
                <w:highlight w:val="none"/>
              </w:rPr>
            </w:pPr>
            <w:r>
              <w:rPr>
                <w:rFonts w:hint="eastAsia" w:ascii="宋体" w:hAnsi="宋体" w:cs="宋体"/>
                <w:color w:val="auto"/>
                <w:spacing w:val="-4"/>
                <w:szCs w:val="21"/>
                <w:highlight w:val="none"/>
              </w:rPr>
              <w:t>一档得3分；二档得2.5分；三档得2分；四档得1.5分；五档得1分；未提及此项不得分。</w:t>
            </w:r>
          </w:p>
        </w:tc>
        <w:tc>
          <w:tcPr>
            <w:tcW w:w="695" w:type="dxa"/>
            <w:shd w:val="clear" w:color="auto" w:fill="auto"/>
            <w:vAlign w:val="center"/>
          </w:tcPr>
          <w:p w14:paraId="7C9090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20" w:type="dxa"/>
            <w:shd w:val="clear" w:color="auto" w:fill="auto"/>
            <w:vAlign w:val="center"/>
          </w:tcPr>
          <w:p w14:paraId="7FD0BE93">
            <w:pPr>
              <w:widowControl/>
              <w:jc w:val="center"/>
              <w:rPr>
                <w:rFonts w:ascii="宋体" w:hAnsi="宋体" w:cs="宋体"/>
                <w:color w:val="auto"/>
                <w:kern w:val="0"/>
                <w:szCs w:val="21"/>
                <w:highlight w:val="none"/>
              </w:rPr>
            </w:pPr>
          </w:p>
        </w:tc>
        <w:tc>
          <w:tcPr>
            <w:tcW w:w="663" w:type="dxa"/>
            <w:shd w:val="clear" w:color="auto" w:fill="auto"/>
            <w:vAlign w:val="center"/>
          </w:tcPr>
          <w:p w14:paraId="6FCF09C6">
            <w:pPr>
              <w:widowControl/>
              <w:jc w:val="center"/>
              <w:rPr>
                <w:rFonts w:ascii="宋体" w:hAnsi="宋体" w:cs="宋体"/>
                <w:color w:val="auto"/>
                <w:kern w:val="0"/>
                <w:szCs w:val="21"/>
                <w:highlight w:val="none"/>
              </w:rPr>
            </w:pPr>
          </w:p>
        </w:tc>
      </w:tr>
    </w:tbl>
    <w:p w14:paraId="0167F7E4">
      <w:pPr>
        <w:pStyle w:val="2"/>
        <w:rPr>
          <w:color w:val="auto"/>
          <w:highlight w:val="none"/>
        </w:rPr>
      </w:pPr>
    </w:p>
    <w:p w14:paraId="05FEB42B">
      <w:pPr>
        <w:pStyle w:val="9"/>
        <w:rPr>
          <w:rFonts w:ascii="宋体" w:hAnsi="宋体" w:cs="宋体"/>
          <w:color w:val="auto"/>
          <w:highlight w:val="none"/>
          <w:lang w:val="zh-CN"/>
        </w:rPr>
      </w:pPr>
    </w:p>
    <w:p w14:paraId="3C95CAF4">
      <w:pPr>
        <w:pStyle w:val="40"/>
        <w:shd w:val="clear" w:color="auto" w:fill="FFFFFF"/>
        <w:spacing w:before="0" w:beforeAutospacing="0" w:after="0" w:afterAutospacing="0"/>
        <w:jc w:val="both"/>
        <w:rPr>
          <w:b/>
          <w:color w:val="auto"/>
          <w:sz w:val="32"/>
          <w:szCs w:val="32"/>
          <w:highlight w:val="none"/>
        </w:rPr>
        <w:sectPr>
          <w:pgSz w:w="11906" w:h="16838"/>
          <w:pgMar w:top="1440" w:right="1800" w:bottom="1440" w:left="1800" w:header="851" w:footer="992" w:gutter="0"/>
          <w:cols w:space="425" w:num="1"/>
          <w:docGrid w:type="lines" w:linePitch="312" w:charSpace="0"/>
        </w:sectPr>
      </w:pPr>
    </w:p>
    <w:p w14:paraId="053505E8">
      <w:pPr>
        <w:pStyle w:val="40"/>
        <w:shd w:val="clear" w:color="auto" w:fill="FFFFFF"/>
        <w:spacing w:before="0" w:beforeAutospacing="0" w:after="0" w:afterAutospacing="0"/>
        <w:jc w:val="both"/>
        <w:rPr>
          <w:b/>
          <w:color w:val="auto"/>
          <w:sz w:val="28"/>
          <w:szCs w:val="28"/>
          <w:highlight w:val="none"/>
        </w:rPr>
      </w:pPr>
      <w:r>
        <w:rPr>
          <w:rFonts w:hint="eastAsia"/>
          <w:b/>
          <w:color w:val="auto"/>
          <w:sz w:val="28"/>
          <w:szCs w:val="28"/>
          <w:highlight w:val="none"/>
        </w:rPr>
        <w:t>附件6</w:t>
      </w:r>
    </w:p>
    <w:p w14:paraId="27D71221">
      <w:pPr>
        <w:pStyle w:val="40"/>
        <w:shd w:val="clear" w:color="auto" w:fill="FFFFFF"/>
        <w:spacing w:before="0" w:beforeAutospacing="0" w:after="0" w:afterAutospacing="0"/>
        <w:jc w:val="center"/>
        <w:rPr>
          <w:color w:val="auto"/>
          <w:sz w:val="36"/>
          <w:szCs w:val="36"/>
          <w:highlight w:val="none"/>
        </w:rPr>
      </w:pPr>
      <w:r>
        <w:rPr>
          <w:rFonts w:hint="eastAsia"/>
          <w:b/>
          <w:color w:val="auto"/>
          <w:sz w:val="32"/>
          <w:szCs w:val="32"/>
          <w:highlight w:val="none"/>
        </w:rPr>
        <w:t>投标</w:t>
      </w:r>
      <w:r>
        <w:rPr>
          <w:rFonts w:hint="eastAsia"/>
          <w:b/>
          <w:bCs/>
          <w:color w:val="auto"/>
          <w:spacing w:val="21"/>
          <w:sz w:val="32"/>
          <w:szCs w:val="32"/>
          <w:highlight w:val="none"/>
        </w:rPr>
        <w:t>人基本情况表</w:t>
      </w:r>
    </w:p>
    <w:tbl>
      <w:tblPr>
        <w:tblStyle w:val="23"/>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7A9F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684594E7">
            <w:pPr>
              <w:pStyle w:val="40"/>
              <w:shd w:val="clear" w:color="auto" w:fill="FFFFFF"/>
              <w:rPr>
                <w:bCs/>
                <w:color w:val="auto"/>
                <w:sz w:val="21"/>
                <w:szCs w:val="21"/>
                <w:highlight w:val="none"/>
              </w:rPr>
            </w:pPr>
            <w:r>
              <w:rPr>
                <w:rFonts w:hint="eastAsia"/>
                <w:bCs/>
                <w:color w:val="auto"/>
                <w:spacing w:val="27"/>
                <w:sz w:val="21"/>
                <w:szCs w:val="21"/>
                <w:highlight w:val="none"/>
              </w:rPr>
              <w:t>企业名称</w:t>
            </w:r>
          </w:p>
        </w:tc>
        <w:tc>
          <w:tcPr>
            <w:tcW w:w="3911" w:type="dxa"/>
            <w:gridSpan w:val="6"/>
          </w:tcPr>
          <w:p w14:paraId="2C79346B">
            <w:pPr>
              <w:pStyle w:val="40"/>
              <w:shd w:val="clear" w:color="auto" w:fill="FFFFFF"/>
              <w:rPr>
                <w:bCs/>
                <w:color w:val="auto"/>
                <w:sz w:val="21"/>
                <w:szCs w:val="21"/>
                <w:highlight w:val="none"/>
              </w:rPr>
            </w:pPr>
          </w:p>
        </w:tc>
        <w:tc>
          <w:tcPr>
            <w:tcW w:w="2001" w:type="dxa"/>
            <w:gridSpan w:val="3"/>
          </w:tcPr>
          <w:p w14:paraId="0C548F67">
            <w:pPr>
              <w:pStyle w:val="40"/>
              <w:shd w:val="clear" w:color="auto" w:fill="FFFFFF"/>
              <w:rPr>
                <w:bCs/>
                <w:color w:val="auto"/>
                <w:sz w:val="21"/>
                <w:szCs w:val="21"/>
                <w:highlight w:val="none"/>
              </w:rPr>
            </w:pPr>
            <w:r>
              <w:rPr>
                <w:rFonts w:hint="eastAsia"/>
                <w:bCs/>
                <w:color w:val="auto"/>
                <w:spacing w:val="16"/>
                <w:sz w:val="21"/>
                <w:szCs w:val="21"/>
                <w:highlight w:val="none"/>
              </w:rPr>
              <w:t>法定代表人</w:t>
            </w:r>
          </w:p>
        </w:tc>
        <w:tc>
          <w:tcPr>
            <w:tcW w:w="2151" w:type="dxa"/>
            <w:gridSpan w:val="2"/>
          </w:tcPr>
          <w:p w14:paraId="5871C2F3">
            <w:pPr>
              <w:pStyle w:val="40"/>
              <w:shd w:val="clear" w:color="auto" w:fill="FFFFFF"/>
              <w:rPr>
                <w:bCs/>
                <w:color w:val="auto"/>
                <w:sz w:val="21"/>
                <w:szCs w:val="21"/>
                <w:highlight w:val="none"/>
              </w:rPr>
            </w:pPr>
          </w:p>
        </w:tc>
      </w:tr>
      <w:tr w14:paraId="49E5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1148578F">
            <w:pPr>
              <w:pStyle w:val="40"/>
              <w:shd w:val="clear" w:color="auto" w:fill="FFFFFF"/>
              <w:rPr>
                <w:bCs/>
                <w:color w:val="auto"/>
                <w:spacing w:val="16"/>
                <w:sz w:val="21"/>
                <w:szCs w:val="21"/>
                <w:highlight w:val="none"/>
              </w:rPr>
            </w:pPr>
            <w:r>
              <w:rPr>
                <w:rFonts w:hint="eastAsia"/>
                <w:bCs/>
                <w:color w:val="auto"/>
                <w:spacing w:val="27"/>
                <w:sz w:val="21"/>
                <w:szCs w:val="21"/>
                <w:highlight w:val="none"/>
              </w:rPr>
              <w:t>地址</w:t>
            </w:r>
          </w:p>
        </w:tc>
        <w:tc>
          <w:tcPr>
            <w:tcW w:w="3911" w:type="dxa"/>
            <w:gridSpan w:val="6"/>
          </w:tcPr>
          <w:p w14:paraId="1AD7082C">
            <w:pPr>
              <w:pStyle w:val="40"/>
              <w:shd w:val="clear" w:color="auto" w:fill="FFFFFF"/>
              <w:rPr>
                <w:bCs/>
                <w:color w:val="auto"/>
                <w:spacing w:val="16"/>
                <w:sz w:val="21"/>
                <w:szCs w:val="21"/>
                <w:highlight w:val="none"/>
              </w:rPr>
            </w:pPr>
          </w:p>
        </w:tc>
        <w:tc>
          <w:tcPr>
            <w:tcW w:w="2001" w:type="dxa"/>
            <w:gridSpan w:val="3"/>
          </w:tcPr>
          <w:p w14:paraId="6167F876">
            <w:pPr>
              <w:pStyle w:val="40"/>
              <w:shd w:val="clear" w:color="auto" w:fill="FFFFFF"/>
              <w:rPr>
                <w:bCs/>
                <w:color w:val="auto"/>
                <w:spacing w:val="16"/>
                <w:sz w:val="21"/>
                <w:szCs w:val="21"/>
                <w:highlight w:val="none"/>
              </w:rPr>
            </w:pPr>
            <w:r>
              <w:rPr>
                <w:rFonts w:hint="eastAsia"/>
                <w:bCs/>
                <w:color w:val="auto"/>
                <w:spacing w:val="16"/>
                <w:sz w:val="21"/>
                <w:szCs w:val="21"/>
                <w:highlight w:val="none"/>
              </w:rPr>
              <w:t>企业性质</w:t>
            </w:r>
          </w:p>
        </w:tc>
        <w:tc>
          <w:tcPr>
            <w:tcW w:w="2151" w:type="dxa"/>
            <w:gridSpan w:val="2"/>
          </w:tcPr>
          <w:p w14:paraId="7F7B6834">
            <w:pPr>
              <w:pStyle w:val="40"/>
              <w:shd w:val="clear" w:color="auto" w:fill="FFFFFF"/>
              <w:rPr>
                <w:bCs/>
                <w:color w:val="auto"/>
                <w:spacing w:val="16"/>
                <w:sz w:val="21"/>
                <w:szCs w:val="21"/>
                <w:highlight w:val="none"/>
              </w:rPr>
            </w:pPr>
          </w:p>
        </w:tc>
      </w:tr>
      <w:tr w14:paraId="1262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15DE2A16">
            <w:pPr>
              <w:pStyle w:val="40"/>
              <w:shd w:val="clear" w:color="auto" w:fill="FFFFFF"/>
              <w:rPr>
                <w:bCs/>
                <w:color w:val="auto"/>
                <w:spacing w:val="16"/>
                <w:sz w:val="21"/>
                <w:szCs w:val="21"/>
                <w:highlight w:val="none"/>
              </w:rPr>
            </w:pPr>
            <w:r>
              <w:rPr>
                <w:rFonts w:hint="eastAsia"/>
                <w:bCs/>
                <w:color w:val="auto"/>
                <w:spacing w:val="27"/>
                <w:sz w:val="21"/>
                <w:szCs w:val="21"/>
                <w:highlight w:val="none"/>
              </w:rPr>
              <w:t>股东姓名</w:t>
            </w:r>
          </w:p>
        </w:tc>
        <w:tc>
          <w:tcPr>
            <w:tcW w:w="633" w:type="dxa"/>
          </w:tcPr>
          <w:p w14:paraId="6461C97F">
            <w:pPr>
              <w:pStyle w:val="40"/>
              <w:shd w:val="clear" w:color="auto" w:fill="FFFFFF"/>
              <w:spacing w:before="0" w:beforeAutospacing="0" w:after="0" w:afterAutospacing="0"/>
              <w:rPr>
                <w:bCs/>
                <w:color w:val="auto"/>
                <w:spacing w:val="16"/>
                <w:sz w:val="21"/>
                <w:szCs w:val="21"/>
                <w:highlight w:val="none"/>
              </w:rPr>
            </w:pPr>
          </w:p>
        </w:tc>
        <w:tc>
          <w:tcPr>
            <w:tcW w:w="910" w:type="dxa"/>
          </w:tcPr>
          <w:p w14:paraId="6CFE23F1">
            <w:pPr>
              <w:pStyle w:val="40"/>
              <w:shd w:val="clear" w:color="auto" w:fill="FFFFFF"/>
              <w:rPr>
                <w:bCs/>
                <w:color w:val="auto"/>
                <w:spacing w:val="16"/>
                <w:sz w:val="21"/>
                <w:szCs w:val="21"/>
                <w:highlight w:val="none"/>
              </w:rPr>
            </w:pPr>
            <w:r>
              <w:rPr>
                <w:rFonts w:hint="eastAsia"/>
                <w:bCs/>
                <w:color w:val="auto"/>
                <w:spacing w:val="16"/>
                <w:sz w:val="21"/>
                <w:szCs w:val="21"/>
                <w:highlight w:val="none"/>
              </w:rPr>
              <w:t>股权结构（%）</w:t>
            </w:r>
          </w:p>
        </w:tc>
        <w:tc>
          <w:tcPr>
            <w:tcW w:w="2368" w:type="dxa"/>
            <w:gridSpan w:val="4"/>
          </w:tcPr>
          <w:p w14:paraId="44FC099A">
            <w:pPr>
              <w:widowControl/>
              <w:jc w:val="left"/>
              <w:rPr>
                <w:rFonts w:ascii="宋体" w:hAnsi="宋体" w:cs="宋体"/>
                <w:bCs/>
                <w:color w:val="auto"/>
                <w:spacing w:val="16"/>
                <w:kern w:val="0"/>
                <w:szCs w:val="21"/>
                <w:highlight w:val="none"/>
              </w:rPr>
            </w:pPr>
          </w:p>
          <w:p w14:paraId="7412B60B">
            <w:pPr>
              <w:pStyle w:val="40"/>
              <w:shd w:val="clear" w:color="auto" w:fill="FFFFFF"/>
              <w:rPr>
                <w:bCs/>
                <w:color w:val="auto"/>
                <w:spacing w:val="16"/>
                <w:sz w:val="21"/>
                <w:szCs w:val="21"/>
                <w:highlight w:val="none"/>
              </w:rPr>
            </w:pPr>
          </w:p>
        </w:tc>
        <w:tc>
          <w:tcPr>
            <w:tcW w:w="2001" w:type="dxa"/>
            <w:gridSpan w:val="3"/>
          </w:tcPr>
          <w:p w14:paraId="1C23DB9D">
            <w:pPr>
              <w:pStyle w:val="40"/>
              <w:shd w:val="clear" w:color="auto" w:fill="FFFFFF"/>
              <w:ind w:left="107"/>
              <w:rPr>
                <w:bCs/>
                <w:color w:val="auto"/>
                <w:spacing w:val="16"/>
                <w:sz w:val="21"/>
                <w:szCs w:val="21"/>
                <w:highlight w:val="none"/>
              </w:rPr>
            </w:pPr>
            <w:r>
              <w:rPr>
                <w:rFonts w:hint="eastAsia"/>
                <w:bCs/>
                <w:color w:val="auto"/>
                <w:spacing w:val="16"/>
                <w:sz w:val="21"/>
                <w:szCs w:val="21"/>
                <w:highlight w:val="none"/>
              </w:rPr>
              <w:t>股东关系</w:t>
            </w:r>
          </w:p>
        </w:tc>
        <w:tc>
          <w:tcPr>
            <w:tcW w:w="2151" w:type="dxa"/>
            <w:gridSpan w:val="2"/>
          </w:tcPr>
          <w:p w14:paraId="5A95A1A4">
            <w:pPr>
              <w:pStyle w:val="40"/>
              <w:shd w:val="clear" w:color="auto" w:fill="FFFFFF"/>
              <w:ind w:left="107"/>
              <w:rPr>
                <w:bCs/>
                <w:color w:val="auto"/>
                <w:spacing w:val="16"/>
                <w:sz w:val="21"/>
                <w:szCs w:val="21"/>
                <w:highlight w:val="none"/>
              </w:rPr>
            </w:pPr>
          </w:p>
        </w:tc>
      </w:tr>
      <w:tr w14:paraId="6C41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2617695E">
            <w:pPr>
              <w:pStyle w:val="40"/>
              <w:shd w:val="clear" w:color="auto" w:fill="FFFFFF"/>
              <w:rPr>
                <w:bCs/>
                <w:color w:val="auto"/>
                <w:spacing w:val="16"/>
                <w:sz w:val="21"/>
                <w:szCs w:val="21"/>
                <w:highlight w:val="none"/>
              </w:rPr>
            </w:pPr>
            <w:r>
              <w:rPr>
                <w:rFonts w:hint="eastAsia"/>
                <w:bCs/>
                <w:color w:val="auto"/>
                <w:spacing w:val="12"/>
                <w:sz w:val="21"/>
                <w:szCs w:val="21"/>
                <w:highlight w:val="none"/>
              </w:rPr>
              <w:t>联系人</w:t>
            </w:r>
            <w:r>
              <w:rPr>
                <w:rFonts w:hint="eastAsia"/>
                <w:bCs/>
                <w:color w:val="auto"/>
                <w:spacing w:val="27"/>
                <w:sz w:val="21"/>
                <w:szCs w:val="21"/>
                <w:highlight w:val="none"/>
              </w:rPr>
              <w:t>姓名</w:t>
            </w:r>
          </w:p>
        </w:tc>
        <w:tc>
          <w:tcPr>
            <w:tcW w:w="633" w:type="dxa"/>
            <w:vMerge w:val="restart"/>
            <w:tcBorders>
              <w:top w:val="nil"/>
            </w:tcBorders>
          </w:tcPr>
          <w:p w14:paraId="4F95A62E">
            <w:pPr>
              <w:pStyle w:val="40"/>
              <w:shd w:val="clear" w:color="auto" w:fill="FFFFFF"/>
              <w:rPr>
                <w:bCs/>
                <w:color w:val="auto"/>
                <w:spacing w:val="16"/>
                <w:sz w:val="21"/>
                <w:szCs w:val="21"/>
                <w:highlight w:val="none"/>
              </w:rPr>
            </w:pPr>
          </w:p>
        </w:tc>
        <w:tc>
          <w:tcPr>
            <w:tcW w:w="910" w:type="dxa"/>
            <w:tcBorders>
              <w:top w:val="nil"/>
            </w:tcBorders>
          </w:tcPr>
          <w:p w14:paraId="0FDD438A">
            <w:pPr>
              <w:pStyle w:val="40"/>
              <w:shd w:val="clear" w:color="auto" w:fill="FFFFFF"/>
              <w:rPr>
                <w:bCs/>
                <w:color w:val="auto"/>
                <w:spacing w:val="16"/>
                <w:sz w:val="21"/>
                <w:szCs w:val="21"/>
                <w:highlight w:val="none"/>
              </w:rPr>
            </w:pPr>
            <w:r>
              <w:rPr>
                <w:rFonts w:hint="eastAsia"/>
                <w:bCs/>
                <w:color w:val="auto"/>
                <w:spacing w:val="16"/>
                <w:sz w:val="21"/>
                <w:szCs w:val="21"/>
                <w:highlight w:val="none"/>
              </w:rPr>
              <w:t>固定电话</w:t>
            </w:r>
          </w:p>
        </w:tc>
        <w:tc>
          <w:tcPr>
            <w:tcW w:w="2368" w:type="dxa"/>
            <w:gridSpan w:val="4"/>
            <w:tcBorders>
              <w:top w:val="nil"/>
            </w:tcBorders>
          </w:tcPr>
          <w:p w14:paraId="512BE611">
            <w:pPr>
              <w:widowControl/>
              <w:jc w:val="left"/>
              <w:rPr>
                <w:rFonts w:ascii="宋体" w:hAnsi="宋体" w:cs="宋体"/>
                <w:bCs/>
                <w:color w:val="auto"/>
                <w:spacing w:val="16"/>
                <w:kern w:val="0"/>
                <w:szCs w:val="21"/>
                <w:highlight w:val="none"/>
              </w:rPr>
            </w:pPr>
          </w:p>
          <w:p w14:paraId="77833323">
            <w:pPr>
              <w:pStyle w:val="40"/>
              <w:shd w:val="clear" w:color="auto" w:fill="FFFFFF"/>
              <w:rPr>
                <w:bCs/>
                <w:color w:val="auto"/>
                <w:spacing w:val="16"/>
                <w:sz w:val="21"/>
                <w:szCs w:val="21"/>
                <w:highlight w:val="none"/>
              </w:rPr>
            </w:pPr>
          </w:p>
        </w:tc>
        <w:tc>
          <w:tcPr>
            <w:tcW w:w="2001" w:type="dxa"/>
            <w:gridSpan w:val="3"/>
            <w:vMerge w:val="restart"/>
          </w:tcPr>
          <w:p w14:paraId="213F08B2">
            <w:pPr>
              <w:pStyle w:val="40"/>
              <w:shd w:val="clear" w:color="auto" w:fill="FFFFFF"/>
              <w:spacing w:before="0" w:beforeAutospacing="0" w:after="0" w:afterAutospacing="0"/>
              <w:rPr>
                <w:bCs/>
                <w:color w:val="auto"/>
                <w:spacing w:val="16"/>
                <w:sz w:val="21"/>
                <w:szCs w:val="21"/>
                <w:highlight w:val="none"/>
              </w:rPr>
            </w:pPr>
            <w:r>
              <w:rPr>
                <w:rFonts w:hint="eastAsia"/>
                <w:bCs/>
                <w:color w:val="auto"/>
                <w:spacing w:val="16"/>
                <w:sz w:val="21"/>
                <w:szCs w:val="21"/>
                <w:highlight w:val="none"/>
              </w:rPr>
              <w:t>传真</w:t>
            </w:r>
          </w:p>
        </w:tc>
        <w:tc>
          <w:tcPr>
            <w:tcW w:w="2151" w:type="dxa"/>
            <w:gridSpan w:val="2"/>
            <w:vMerge w:val="restart"/>
          </w:tcPr>
          <w:p w14:paraId="47160E5E">
            <w:pPr>
              <w:pStyle w:val="40"/>
              <w:shd w:val="clear" w:color="auto" w:fill="FFFFFF"/>
              <w:rPr>
                <w:bCs/>
                <w:color w:val="auto"/>
                <w:spacing w:val="16"/>
                <w:sz w:val="21"/>
                <w:szCs w:val="21"/>
                <w:highlight w:val="none"/>
              </w:rPr>
            </w:pPr>
          </w:p>
        </w:tc>
      </w:tr>
      <w:tr w14:paraId="73F7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57C7681B">
            <w:pPr>
              <w:pStyle w:val="40"/>
              <w:shd w:val="clear" w:color="auto" w:fill="FFFFFF"/>
              <w:ind w:left="107"/>
              <w:rPr>
                <w:bCs/>
                <w:color w:val="auto"/>
                <w:sz w:val="21"/>
                <w:szCs w:val="21"/>
                <w:highlight w:val="none"/>
              </w:rPr>
            </w:pPr>
          </w:p>
        </w:tc>
        <w:tc>
          <w:tcPr>
            <w:tcW w:w="633" w:type="dxa"/>
            <w:vMerge w:val="continue"/>
          </w:tcPr>
          <w:p w14:paraId="35BDB23F">
            <w:pPr>
              <w:pStyle w:val="40"/>
              <w:shd w:val="clear" w:color="auto" w:fill="FFFFFF"/>
              <w:rPr>
                <w:bCs/>
                <w:color w:val="auto"/>
                <w:spacing w:val="16"/>
                <w:sz w:val="21"/>
                <w:szCs w:val="21"/>
                <w:highlight w:val="none"/>
              </w:rPr>
            </w:pPr>
          </w:p>
        </w:tc>
        <w:tc>
          <w:tcPr>
            <w:tcW w:w="910" w:type="dxa"/>
          </w:tcPr>
          <w:p w14:paraId="1ADF5325">
            <w:pPr>
              <w:pStyle w:val="40"/>
              <w:shd w:val="clear" w:color="auto" w:fill="FFFFFF"/>
              <w:rPr>
                <w:bCs/>
                <w:color w:val="auto"/>
                <w:spacing w:val="16"/>
                <w:sz w:val="21"/>
                <w:szCs w:val="21"/>
                <w:highlight w:val="none"/>
              </w:rPr>
            </w:pPr>
            <w:r>
              <w:rPr>
                <w:rFonts w:hint="eastAsia"/>
                <w:bCs/>
                <w:color w:val="auto"/>
                <w:spacing w:val="27"/>
                <w:sz w:val="21"/>
                <w:szCs w:val="21"/>
                <w:highlight w:val="none"/>
              </w:rPr>
              <w:t>手机</w:t>
            </w:r>
          </w:p>
        </w:tc>
        <w:tc>
          <w:tcPr>
            <w:tcW w:w="2368" w:type="dxa"/>
            <w:gridSpan w:val="4"/>
          </w:tcPr>
          <w:p w14:paraId="75BAE04F">
            <w:pPr>
              <w:pStyle w:val="40"/>
              <w:shd w:val="clear" w:color="auto" w:fill="FFFFFF"/>
              <w:rPr>
                <w:bCs/>
                <w:color w:val="auto"/>
                <w:spacing w:val="16"/>
                <w:sz w:val="21"/>
                <w:szCs w:val="21"/>
                <w:highlight w:val="none"/>
              </w:rPr>
            </w:pPr>
          </w:p>
        </w:tc>
        <w:tc>
          <w:tcPr>
            <w:tcW w:w="2001" w:type="dxa"/>
            <w:gridSpan w:val="3"/>
            <w:vMerge w:val="continue"/>
          </w:tcPr>
          <w:p w14:paraId="6ECDE928">
            <w:pPr>
              <w:pStyle w:val="40"/>
              <w:shd w:val="clear" w:color="auto" w:fill="FFFFFF"/>
              <w:rPr>
                <w:bCs/>
                <w:color w:val="auto"/>
                <w:spacing w:val="16"/>
                <w:sz w:val="21"/>
                <w:szCs w:val="21"/>
                <w:highlight w:val="none"/>
              </w:rPr>
            </w:pPr>
          </w:p>
        </w:tc>
        <w:tc>
          <w:tcPr>
            <w:tcW w:w="2151" w:type="dxa"/>
            <w:gridSpan w:val="2"/>
            <w:vMerge w:val="continue"/>
          </w:tcPr>
          <w:p w14:paraId="43E73B2E">
            <w:pPr>
              <w:pStyle w:val="40"/>
              <w:shd w:val="clear" w:color="auto" w:fill="FFFFFF"/>
              <w:rPr>
                <w:bCs/>
                <w:color w:val="auto"/>
                <w:spacing w:val="16"/>
                <w:sz w:val="21"/>
                <w:szCs w:val="21"/>
                <w:highlight w:val="none"/>
              </w:rPr>
            </w:pPr>
          </w:p>
        </w:tc>
      </w:tr>
      <w:tr w14:paraId="2476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3FAE9DCB">
            <w:pPr>
              <w:pStyle w:val="40"/>
              <w:shd w:val="clear" w:color="auto" w:fill="FFFFFF"/>
              <w:ind w:left="107"/>
              <w:rPr>
                <w:bCs/>
                <w:color w:val="auto"/>
                <w:sz w:val="21"/>
                <w:szCs w:val="21"/>
                <w:highlight w:val="none"/>
              </w:rPr>
            </w:pPr>
            <w:r>
              <w:rPr>
                <w:rFonts w:hint="eastAsia"/>
                <w:bCs/>
                <w:color w:val="auto"/>
                <w:sz w:val="21"/>
                <w:szCs w:val="21"/>
                <w:highlight w:val="none"/>
              </w:rPr>
              <w:t>一、</w:t>
            </w:r>
          </w:p>
          <w:p w14:paraId="2316BF8F">
            <w:pPr>
              <w:pStyle w:val="40"/>
              <w:shd w:val="clear" w:color="auto" w:fill="FFFFFF"/>
              <w:ind w:left="107"/>
              <w:rPr>
                <w:bCs/>
                <w:color w:val="auto"/>
                <w:sz w:val="21"/>
                <w:szCs w:val="21"/>
                <w:highlight w:val="none"/>
              </w:rPr>
            </w:pPr>
            <w:r>
              <w:rPr>
                <w:rFonts w:hint="eastAsia"/>
                <w:bCs/>
                <w:color w:val="auto"/>
                <w:sz w:val="21"/>
                <w:szCs w:val="21"/>
                <w:highlight w:val="none"/>
              </w:rPr>
              <w:t>企</w:t>
            </w:r>
          </w:p>
          <w:p w14:paraId="5B286830">
            <w:pPr>
              <w:pStyle w:val="40"/>
              <w:shd w:val="clear" w:color="auto" w:fill="FFFFFF"/>
              <w:ind w:left="107"/>
              <w:rPr>
                <w:bCs/>
                <w:color w:val="auto"/>
                <w:sz w:val="21"/>
                <w:szCs w:val="21"/>
                <w:highlight w:val="none"/>
              </w:rPr>
            </w:pPr>
            <w:r>
              <w:rPr>
                <w:rFonts w:hint="eastAsia"/>
                <w:bCs/>
                <w:color w:val="auto"/>
                <w:sz w:val="21"/>
                <w:szCs w:val="21"/>
                <w:highlight w:val="none"/>
              </w:rPr>
              <w:t>业</w:t>
            </w:r>
          </w:p>
          <w:p w14:paraId="174C3B78">
            <w:pPr>
              <w:pStyle w:val="40"/>
              <w:shd w:val="clear" w:color="auto" w:fill="FFFFFF"/>
              <w:ind w:left="107"/>
              <w:rPr>
                <w:bCs/>
                <w:color w:val="auto"/>
                <w:spacing w:val="27"/>
                <w:sz w:val="21"/>
                <w:szCs w:val="21"/>
                <w:highlight w:val="none"/>
              </w:rPr>
            </w:pPr>
            <w:r>
              <w:rPr>
                <w:rFonts w:hint="eastAsia"/>
                <w:bCs/>
                <w:color w:val="auto"/>
                <w:spacing w:val="27"/>
                <w:sz w:val="21"/>
                <w:szCs w:val="21"/>
                <w:highlight w:val="none"/>
              </w:rPr>
              <w:t>概</w:t>
            </w:r>
          </w:p>
          <w:p w14:paraId="22037072">
            <w:pPr>
              <w:pStyle w:val="40"/>
              <w:shd w:val="clear" w:color="auto" w:fill="FFFFFF"/>
              <w:ind w:left="107"/>
              <w:rPr>
                <w:bCs/>
                <w:color w:val="auto"/>
                <w:sz w:val="21"/>
                <w:szCs w:val="21"/>
                <w:highlight w:val="none"/>
              </w:rPr>
            </w:pPr>
            <w:r>
              <w:rPr>
                <w:rFonts w:hint="eastAsia"/>
                <w:bCs/>
                <w:color w:val="auto"/>
                <w:spacing w:val="27"/>
                <w:sz w:val="21"/>
                <w:szCs w:val="21"/>
                <w:highlight w:val="none"/>
              </w:rPr>
              <w:t>况</w:t>
            </w:r>
          </w:p>
        </w:tc>
        <w:tc>
          <w:tcPr>
            <w:tcW w:w="633" w:type="dxa"/>
            <w:tcBorders>
              <w:top w:val="nil"/>
            </w:tcBorders>
          </w:tcPr>
          <w:p w14:paraId="0C0846C3">
            <w:pPr>
              <w:pStyle w:val="40"/>
              <w:shd w:val="clear" w:color="auto" w:fill="FFFFFF"/>
              <w:rPr>
                <w:bCs/>
                <w:color w:val="auto"/>
                <w:spacing w:val="16"/>
                <w:sz w:val="21"/>
                <w:szCs w:val="21"/>
                <w:highlight w:val="none"/>
              </w:rPr>
            </w:pPr>
            <w:r>
              <w:rPr>
                <w:rFonts w:hint="eastAsia"/>
                <w:bCs/>
                <w:color w:val="auto"/>
                <w:spacing w:val="16"/>
                <w:sz w:val="21"/>
                <w:szCs w:val="21"/>
                <w:highlight w:val="none"/>
              </w:rPr>
              <w:t>职工人数</w:t>
            </w:r>
          </w:p>
        </w:tc>
        <w:tc>
          <w:tcPr>
            <w:tcW w:w="910" w:type="dxa"/>
            <w:tcBorders>
              <w:top w:val="nil"/>
            </w:tcBorders>
          </w:tcPr>
          <w:p w14:paraId="09785648">
            <w:pPr>
              <w:pStyle w:val="40"/>
              <w:shd w:val="clear" w:color="auto" w:fill="FFFFFF"/>
              <w:rPr>
                <w:bCs/>
                <w:color w:val="auto"/>
                <w:spacing w:val="16"/>
                <w:sz w:val="21"/>
                <w:szCs w:val="21"/>
                <w:highlight w:val="none"/>
              </w:rPr>
            </w:pPr>
          </w:p>
        </w:tc>
        <w:tc>
          <w:tcPr>
            <w:tcW w:w="1163" w:type="dxa"/>
            <w:gridSpan w:val="2"/>
            <w:tcBorders>
              <w:top w:val="nil"/>
            </w:tcBorders>
          </w:tcPr>
          <w:p w14:paraId="626028A0">
            <w:pPr>
              <w:pStyle w:val="40"/>
              <w:shd w:val="clear" w:color="auto" w:fill="FFFFFF"/>
              <w:spacing w:before="0" w:beforeAutospacing="0" w:after="0" w:afterAutospacing="0"/>
              <w:rPr>
                <w:bCs/>
                <w:color w:val="auto"/>
                <w:sz w:val="21"/>
                <w:szCs w:val="21"/>
                <w:highlight w:val="none"/>
              </w:rPr>
            </w:pPr>
            <w:r>
              <w:rPr>
                <w:rFonts w:hint="eastAsia"/>
                <w:bCs/>
                <w:color w:val="auto"/>
                <w:spacing w:val="18"/>
                <w:sz w:val="21"/>
                <w:szCs w:val="21"/>
                <w:highlight w:val="none"/>
              </w:rPr>
              <w:t>具备大专以</w:t>
            </w:r>
            <w:r>
              <w:rPr>
                <w:rFonts w:hint="eastAsia"/>
                <w:bCs/>
                <w:color w:val="auto"/>
                <w:spacing w:val="12"/>
                <w:sz w:val="21"/>
                <w:szCs w:val="21"/>
                <w:highlight w:val="none"/>
              </w:rPr>
              <w:t>上学历人数</w:t>
            </w:r>
          </w:p>
        </w:tc>
        <w:tc>
          <w:tcPr>
            <w:tcW w:w="1205" w:type="dxa"/>
            <w:gridSpan w:val="2"/>
            <w:tcBorders>
              <w:top w:val="nil"/>
            </w:tcBorders>
          </w:tcPr>
          <w:p w14:paraId="30BB6997">
            <w:pPr>
              <w:widowControl/>
              <w:jc w:val="left"/>
              <w:rPr>
                <w:rFonts w:ascii="宋体" w:hAnsi="宋体" w:cs="宋体"/>
                <w:bCs/>
                <w:color w:val="auto"/>
                <w:spacing w:val="16"/>
                <w:kern w:val="0"/>
                <w:szCs w:val="21"/>
                <w:highlight w:val="none"/>
              </w:rPr>
            </w:pPr>
          </w:p>
          <w:p w14:paraId="4A22A7F3">
            <w:pPr>
              <w:widowControl/>
              <w:jc w:val="left"/>
              <w:rPr>
                <w:rFonts w:ascii="宋体" w:hAnsi="宋体" w:cs="宋体"/>
                <w:bCs/>
                <w:color w:val="auto"/>
                <w:spacing w:val="16"/>
                <w:kern w:val="0"/>
                <w:szCs w:val="21"/>
                <w:highlight w:val="none"/>
              </w:rPr>
            </w:pPr>
          </w:p>
          <w:p w14:paraId="289C0DEC">
            <w:pPr>
              <w:pStyle w:val="40"/>
              <w:shd w:val="clear" w:color="auto" w:fill="FFFFFF"/>
              <w:rPr>
                <w:bCs/>
                <w:color w:val="auto"/>
                <w:spacing w:val="16"/>
                <w:sz w:val="21"/>
                <w:szCs w:val="21"/>
                <w:highlight w:val="none"/>
              </w:rPr>
            </w:pPr>
          </w:p>
        </w:tc>
        <w:tc>
          <w:tcPr>
            <w:tcW w:w="2001" w:type="dxa"/>
            <w:gridSpan w:val="3"/>
          </w:tcPr>
          <w:p w14:paraId="778AC1D2">
            <w:pPr>
              <w:pStyle w:val="40"/>
              <w:shd w:val="clear" w:color="auto" w:fill="FFFFFF"/>
              <w:rPr>
                <w:bCs/>
                <w:color w:val="auto"/>
                <w:spacing w:val="16"/>
                <w:sz w:val="21"/>
                <w:szCs w:val="21"/>
                <w:highlight w:val="none"/>
              </w:rPr>
            </w:pPr>
            <w:r>
              <w:rPr>
                <w:rFonts w:hint="eastAsia"/>
                <w:bCs/>
                <w:color w:val="auto"/>
                <w:spacing w:val="65"/>
                <w:sz w:val="21"/>
                <w:szCs w:val="21"/>
                <w:highlight w:val="none"/>
              </w:rPr>
              <w:t>国家授予技</w:t>
            </w:r>
            <w:r>
              <w:rPr>
                <w:rFonts w:hint="eastAsia"/>
                <w:bCs/>
                <w:color w:val="auto"/>
                <w:spacing w:val="12"/>
                <w:sz w:val="21"/>
                <w:szCs w:val="21"/>
                <w:highlight w:val="none"/>
              </w:rPr>
              <w:t>术职称人数</w:t>
            </w:r>
          </w:p>
        </w:tc>
        <w:tc>
          <w:tcPr>
            <w:tcW w:w="2151" w:type="dxa"/>
            <w:gridSpan w:val="2"/>
          </w:tcPr>
          <w:p w14:paraId="27A8EDDC">
            <w:pPr>
              <w:widowControl/>
              <w:jc w:val="left"/>
              <w:rPr>
                <w:rFonts w:ascii="宋体" w:hAnsi="宋体" w:cs="宋体"/>
                <w:bCs/>
                <w:color w:val="auto"/>
                <w:spacing w:val="16"/>
                <w:kern w:val="0"/>
                <w:szCs w:val="21"/>
                <w:highlight w:val="none"/>
              </w:rPr>
            </w:pPr>
          </w:p>
          <w:p w14:paraId="38CF0534">
            <w:pPr>
              <w:pStyle w:val="40"/>
              <w:shd w:val="clear" w:color="auto" w:fill="FFFFFF"/>
              <w:rPr>
                <w:bCs/>
                <w:color w:val="auto"/>
                <w:spacing w:val="16"/>
                <w:sz w:val="21"/>
                <w:szCs w:val="21"/>
                <w:highlight w:val="none"/>
              </w:rPr>
            </w:pPr>
          </w:p>
        </w:tc>
      </w:tr>
      <w:tr w14:paraId="58C4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361189FB">
            <w:pPr>
              <w:pStyle w:val="40"/>
              <w:shd w:val="clear" w:color="auto" w:fill="FFFFFF"/>
              <w:ind w:left="107"/>
              <w:rPr>
                <w:bCs/>
                <w:color w:val="auto"/>
                <w:sz w:val="21"/>
                <w:szCs w:val="21"/>
                <w:highlight w:val="none"/>
              </w:rPr>
            </w:pPr>
          </w:p>
        </w:tc>
        <w:tc>
          <w:tcPr>
            <w:tcW w:w="633" w:type="dxa"/>
          </w:tcPr>
          <w:p w14:paraId="0E285AEF">
            <w:pPr>
              <w:pStyle w:val="40"/>
              <w:shd w:val="clear" w:color="auto" w:fill="FFFFFF"/>
              <w:rPr>
                <w:bCs/>
                <w:color w:val="auto"/>
                <w:sz w:val="21"/>
                <w:szCs w:val="21"/>
                <w:highlight w:val="none"/>
              </w:rPr>
            </w:pPr>
            <w:r>
              <w:rPr>
                <w:rFonts w:hint="eastAsia"/>
                <w:bCs/>
                <w:color w:val="auto"/>
                <w:spacing w:val="16"/>
                <w:sz w:val="21"/>
                <w:szCs w:val="21"/>
                <w:highlight w:val="none"/>
              </w:rPr>
              <w:t>占地面积</w:t>
            </w:r>
          </w:p>
        </w:tc>
        <w:tc>
          <w:tcPr>
            <w:tcW w:w="910" w:type="dxa"/>
          </w:tcPr>
          <w:p w14:paraId="66945A1C">
            <w:pPr>
              <w:pStyle w:val="40"/>
              <w:shd w:val="clear" w:color="auto" w:fill="FFFFFF"/>
              <w:rPr>
                <w:bCs/>
                <w:color w:val="auto"/>
                <w:sz w:val="21"/>
                <w:szCs w:val="21"/>
                <w:highlight w:val="none"/>
              </w:rPr>
            </w:pPr>
          </w:p>
        </w:tc>
        <w:tc>
          <w:tcPr>
            <w:tcW w:w="1163" w:type="dxa"/>
            <w:gridSpan w:val="2"/>
          </w:tcPr>
          <w:p w14:paraId="3D57D365">
            <w:pPr>
              <w:pStyle w:val="40"/>
              <w:shd w:val="clear" w:color="auto" w:fill="FFFFFF"/>
              <w:rPr>
                <w:bCs/>
                <w:color w:val="auto"/>
                <w:sz w:val="21"/>
                <w:szCs w:val="21"/>
                <w:highlight w:val="none"/>
              </w:rPr>
            </w:pPr>
            <w:r>
              <w:rPr>
                <w:rFonts w:hint="eastAsia"/>
                <w:bCs/>
                <w:color w:val="auto"/>
                <w:spacing w:val="16"/>
                <w:sz w:val="21"/>
                <w:szCs w:val="21"/>
                <w:highlight w:val="none"/>
              </w:rPr>
              <w:t>建筑面积</w:t>
            </w:r>
          </w:p>
        </w:tc>
        <w:tc>
          <w:tcPr>
            <w:tcW w:w="1205" w:type="dxa"/>
            <w:gridSpan w:val="2"/>
          </w:tcPr>
          <w:p w14:paraId="1781440B">
            <w:pPr>
              <w:pStyle w:val="40"/>
              <w:shd w:val="clear" w:color="auto" w:fill="FFFFFF"/>
              <w:rPr>
                <w:bCs/>
                <w:color w:val="auto"/>
                <w:sz w:val="21"/>
                <w:szCs w:val="21"/>
                <w:highlight w:val="none"/>
              </w:rPr>
            </w:pPr>
            <w:r>
              <w:rPr>
                <w:rFonts w:hint="eastAsia"/>
                <w:bCs/>
                <w:color w:val="auto"/>
                <w:sz w:val="21"/>
                <w:szCs w:val="21"/>
                <w:highlight w:val="none"/>
              </w:rPr>
              <w:t>平方米</w:t>
            </w:r>
          </w:p>
          <w:p w14:paraId="183328B8">
            <w:pPr>
              <w:pStyle w:val="40"/>
              <w:shd w:val="clear" w:color="auto" w:fill="FFFFFF"/>
              <w:rPr>
                <w:bCs/>
                <w:color w:val="auto"/>
                <w:sz w:val="21"/>
                <w:szCs w:val="21"/>
                <w:highlight w:val="none"/>
              </w:rPr>
            </w:pPr>
            <w:r>
              <w:rPr>
                <w:rFonts w:hint="eastAsia"/>
                <w:bCs/>
                <w:color w:val="auto"/>
                <w:spacing w:val="16"/>
                <w:sz w:val="21"/>
                <w:szCs w:val="21"/>
                <w:highlight w:val="none"/>
              </w:rPr>
              <w:t>□自有□租賃</w:t>
            </w:r>
          </w:p>
        </w:tc>
        <w:tc>
          <w:tcPr>
            <w:tcW w:w="2001" w:type="dxa"/>
            <w:gridSpan w:val="3"/>
          </w:tcPr>
          <w:p w14:paraId="6ECF61A3">
            <w:pPr>
              <w:pStyle w:val="40"/>
              <w:shd w:val="clear" w:color="auto" w:fill="FFFFFF"/>
              <w:rPr>
                <w:bCs/>
                <w:color w:val="auto"/>
                <w:sz w:val="21"/>
                <w:szCs w:val="21"/>
                <w:highlight w:val="none"/>
              </w:rPr>
            </w:pPr>
            <w:r>
              <w:rPr>
                <w:rFonts w:hint="eastAsia"/>
                <w:bCs/>
                <w:color w:val="auto"/>
                <w:spacing w:val="16"/>
                <w:sz w:val="21"/>
                <w:szCs w:val="21"/>
                <w:highlight w:val="none"/>
              </w:rPr>
              <w:t>生产经营场所及场所的设施与设备</w:t>
            </w:r>
          </w:p>
        </w:tc>
        <w:tc>
          <w:tcPr>
            <w:tcW w:w="2151" w:type="dxa"/>
            <w:gridSpan w:val="2"/>
          </w:tcPr>
          <w:p w14:paraId="5D7DB8F1">
            <w:pPr>
              <w:pStyle w:val="40"/>
              <w:shd w:val="clear" w:color="auto" w:fill="FFFFFF"/>
              <w:spacing w:before="0" w:beforeAutospacing="0" w:after="0" w:afterAutospacing="0"/>
              <w:rPr>
                <w:bCs/>
                <w:color w:val="auto"/>
                <w:spacing w:val="16"/>
                <w:sz w:val="21"/>
                <w:szCs w:val="21"/>
                <w:highlight w:val="none"/>
              </w:rPr>
            </w:pPr>
          </w:p>
        </w:tc>
      </w:tr>
      <w:tr w14:paraId="4F33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50EFE492">
            <w:pPr>
              <w:pStyle w:val="40"/>
              <w:shd w:val="clear" w:color="auto" w:fill="FFFFFF"/>
              <w:ind w:left="107"/>
              <w:rPr>
                <w:bCs/>
                <w:color w:val="auto"/>
                <w:sz w:val="21"/>
                <w:szCs w:val="21"/>
                <w:highlight w:val="none"/>
              </w:rPr>
            </w:pPr>
          </w:p>
        </w:tc>
        <w:tc>
          <w:tcPr>
            <w:tcW w:w="633" w:type="dxa"/>
          </w:tcPr>
          <w:p w14:paraId="6B8B0A4E">
            <w:pPr>
              <w:pStyle w:val="40"/>
              <w:shd w:val="clear" w:color="auto" w:fill="FFFFFF"/>
              <w:ind w:left="2"/>
              <w:rPr>
                <w:bCs/>
                <w:color w:val="auto"/>
                <w:spacing w:val="16"/>
                <w:sz w:val="21"/>
                <w:szCs w:val="21"/>
                <w:highlight w:val="none"/>
              </w:rPr>
            </w:pPr>
            <w:r>
              <w:rPr>
                <w:rFonts w:hint="eastAsia"/>
                <w:bCs/>
                <w:color w:val="auto"/>
                <w:spacing w:val="16"/>
                <w:sz w:val="21"/>
                <w:szCs w:val="21"/>
                <w:highlight w:val="none"/>
              </w:rPr>
              <w:t>注册资金</w:t>
            </w:r>
          </w:p>
        </w:tc>
        <w:tc>
          <w:tcPr>
            <w:tcW w:w="910" w:type="dxa"/>
          </w:tcPr>
          <w:p w14:paraId="746F5752">
            <w:pPr>
              <w:pStyle w:val="40"/>
              <w:shd w:val="clear" w:color="auto" w:fill="FFFFFF"/>
              <w:ind w:left="2"/>
              <w:rPr>
                <w:bCs/>
                <w:color w:val="auto"/>
                <w:sz w:val="21"/>
                <w:szCs w:val="21"/>
                <w:highlight w:val="none"/>
              </w:rPr>
            </w:pPr>
          </w:p>
        </w:tc>
        <w:tc>
          <w:tcPr>
            <w:tcW w:w="1163" w:type="dxa"/>
            <w:gridSpan w:val="2"/>
          </w:tcPr>
          <w:p w14:paraId="1DFD8B3A">
            <w:pPr>
              <w:pStyle w:val="40"/>
              <w:shd w:val="clear" w:color="auto" w:fill="FFFFFF"/>
              <w:ind w:left="107"/>
              <w:rPr>
                <w:bCs/>
                <w:color w:val="auto"/>
                <w:sz w:val="21"/>
                <w:szCs w:val="21"/>
                <w:highlight w:val="none"/>
              </w:rPr>
            </w:pPr>
            <w:r>
              <w:rPr>
                <w:rFonts w:hint="eastAsia"/>
                <w:bCs/>
                <w:color w:val="auto"/>
                <w:spacing w:val="16"/>
                <w:sz w:val="21"/>
                <w:szCs w:val="21"/>
                <w:highlight w:val="none"/>
              </w:rPr>
              <w:t>注册发证</w:t>
            </w:r>
            <w:r>
              <w:rPr>
                <w:rFonts w:hint="eastAsia"/>
                <w:bCs/>
                <w:color w:val="auto"/>
                <w:spacing w:val="27"/>
                <w:sz w:val="21"/>
                <w:szCs w:val="21"/>
                <w:highlight w:val="none"/>
              </w:rPr>
              <w:t>机关</w:t>
            </w:r>
          </w:p>
        </w:tc>
        <w:tc>
          <w:tcPr>
            <w:tcW w:w="3206" w:type="dxa"/>
            <w:gridSpan w:val="5"/>
          </w:tcPr>
          <w:p w14:paraId="09F5FCB4">
            <w:pPr>
              <w:widowControl/>
              <w:jc w:val="left"/>
              <w:rPr>
                <w:rFonts w:ascii="宋体" w:hAnsi="宋体" w:cs="宋体"/>
                <w:bCs/>
                <w:color w:val="auto"/>
                <w:kern w:val="0"/>
                <w:szCs w:val="21"/>
                <w:highlight w:val="none"/>
              </w:rPr>
            </w:pPr>
          </w:p>
          <w:p w14:paraId="24D88524">
            <w:pPr>
              <w:pStyle w:val="40"/>
              <w:shd w:val="clear" w:color="auto" w:fill="FFFFFF"/>
              <w:ind w:left="107"/>
              <w:rPr>
                <w:bCs/>
                <w:color w:val="auto"/>
                <w:sz w:val="21"/>
                <w:szCs w:val="21"/>
                <w:highlight w:val="none"/>
              </w:rPr>
            </w:pPr>
          </w:p>
        </w:tc>
        <w:tc>
          <w:tcPr>
            <w:tcW w:w="1218" w:type="dxa"/>
          </w:tcPr>
          <w:p w14:paraId="19F39895">
            <w:pPr>
              <w:pStyle w:val="40"/>
              <w:shd w:val="clear" w:color="auto" w:fill="FFFFFF"/>
              <w:ind w:left="107"/>
              <w:rPr>
                <w:bCs/>
                <w:color w:val="auto"/>
                <w:sz w:val="21"/>
                <w:szCs w:val="21"/>
                <w:highlight w:val="none"/>
              </w:rPr>
            </w:pPr>
            <w:r>
              <w:rPr>
                <w:rFonts w:hint="eastAsia"/>
                <w:bCs/>
                <w:color w:val="auto"/>
                <w:sz w:val="21"/>
                <w:szCs w:val="21"/>
                <w:highlight w:val="none"/>
              </w:rPr>
              <w:t>公司成</w:t>
            </w:r>
            <w:r>
              <w:rPr>
                <w:rFonts w:hint="eastAsia"/>
                <w:bCs/>
                <w:color w:val="auto"/>
                <w:spacing w:val="12"/>
                <w:sz w:val="21"/>
                <w:szCs w:val="21"/>
                <w:highlight w:val="none"/>
              </w:rPr>
              <w:t>立时间</w:t>
            </w:r>
          </w:p>
        </w:tc>
        <w:tc>
          <w:tcPr>
            <w:tcW w:w="933" w:type="dxa"/>
          </w:tcPr>
          <w:p w14:paraId="4D7ED3BA">
            <w:pPr>
              <w:pStyle w:val="40"/>
              <w:shd w:val="clear" w:color="auto" w:fill="FFFFFF"/>
              <w:ind w:left="107"/>
              <w:rPr>
                <w:bCs/>
                <w:color w:val="auto"/>
                <w:sz w:val="21"/>
                <w:szCs w:val="21"/>
                <w:highlight w:val="none"/>
              </w:rPr>
            </w:pPr>
          </w:p>
        </w:tc>
      </w:tr>
      <w:tr w14:paraId="42D4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0CCBEDFC">
            <w:pPr>
              <w:pStyle w:val="40"/>
              <w:shd w:val="clear" w:color="auto" w:fill="FFFFFF"/>
              <w:ind w:left="107"/>
              <w:rPr>
                <w:bCs/>
                <w:color w:val="auto"/>
                <w:sz w:val="21"/>
                <w:szCs w:val="21"/>
                <w:highlight w:val="none"/>
              </w:rPr>
            </w:pPr>
          </w:p>
        </w:tc>
        <w:tc>
          <w:tcPr>
            <w:tcW w:w="633" w:type="dxa"/>
          </w:tcPr>
          <w:p w14:paraId="219DEE81">
            <w:pPr>
              <w:pStyle w:val="40"/>
              <w:shd w:val="clear" w:color="auto" w:fill="FFFFFF"/>
              <w:ind w:left="2"/>
              <w:rPr>
                <w:bCs/>
                <w:color w:val="auto"/>
                <w:sz w:val="21"/>
                <w:szCs w:val="21"/>
                <w:highlight w:val="none"/>
              </w:rPr>
            </w:pPr>
            <w:r>
              <w:rPr>
                <w:rFonts w:hint="eastAsia"/>
                <w:bCs/>
                <w:color w:val="auto"/>
                <w:sz w:val="21"/>
                <w:szCs w:val="21"/>
                <w:highlight w:val="none"/>
              </w:rPr>
              <w:t>核准经营范围</w:t>
            </w:r>
          </w:p>
        </w:tc>
        <w:tc>
          <w:tcPr>
            <w:tcW w:w="7430" w:type="dxa"/>
            <w:gridSpan w:val="10"/>
          </w:tcPr>
          <w:p w14:paraId="0A5896EB">
            <w:pPr>
              <w:pStyle w:val="40"/>
              <w:shd w:val="clear" w:color="auto" w:fill="FFFFFF"/>
              <w:ind w:left="107"/>
              <w:rPr>
                <w:bCs/>
                <w:color w:val="auto"/>
                <w:sz w:val="21"/>
                <w:szCs w:val="21"/>
                <w:highlight w:val="none"/>
              </w:rPr>
            </w:pPr>
          </w:p>
        </w:tc>
      </w:tr>
      <w:tr w14:paraId="7136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5F0EB714">
            <w:pPr>
              <w:pStyle w:val="40"/>
              <w:shd w:val="clear" w:color="auto" w:fill="FFFFFF"/>
              <w:ind w:left="107"/>
              <w:rPr>
                <w:bCs/>
                <w:color w:val="auto"/>
                <w:sz w:val="21"/>
                <w:szCs w:val="21"/>
                <w:highlight w:val="none"/>
              </w:rPr>
            </w:pPr>
          </w:p>
        </w:tc>
        <w:tc>
          <w:tcPr>
            <w:tcW w:w="8063" w:type="dxa"/>
            <w:gridSpan w:val="11"/>
          </w:tcPr>
          <w:p w14:paraId="7F082816">
            <w:pPr>
              <w:pStyle w:val="40"/>
              <w:shd w:val="clear" w:color="auto" w:fill="FFFFFF"/>
              <w:rPr>
                <w:bCs/>
                <w:color w:val="auto"/>
                <w:spacing w:val="13"/>
                <w:sz w:val="21"/>
                <w:szCs w:val="21"/>
                <w:highlight w:val="none"/>
              </w:rPr>
            </w:pPr>
            <w:r>
              <w:rPr>
                <w:rFonts w:hint="eastAsia"/>
                <w:bCs/>
                <w:color w:val="auto"/>
                <w:spacing w:val="13"/>
                <w:sz w:val="21"/>
                <w:szCs w:val="21"/>
                <w:highlight w:val="none"/>
              </w:rPr>
              <w:t>发展历程及主要荣誉：</w:t>
            </w:r>
          </w:p>
        </w:tc>
      </w:tr>
      <w:tr w14:paraId="1AC7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2AB4B9C6">
            <w:pPr>
              <w:pStyle w:val="40"/>
              <w:shd w:val="clear" w:color="auto" w:fill="FFFFFF"/>
              <w:ind w:left="107"/>
              <w:rPr>
                <w:bCs/>
                <w:color w:val="auto"/>
                <w:sz w:val="21"/>
                <w:szCs w:val="21"/>
                <w:highlight w:val="none"/>
              </w:rPr>
            </w:pPr>
            <w:r>
              <w:rPr>
                <w:rFonts w:hint="eastAsia"/>
                <w:bCs/>
                <w:color w:val="auto"/>
                <w:sz w:val="21"/>
                <w:szCs w:val="21"/>
                <w:highlight w:val="none"/>
              </w:rPr>
              <w:t>二、</w:t>
            </w:r>
          </w:p>
          <w:p w14:paraId="3B380039">
            <w:pPr>
              <w:pStyle w:val="40"/>
              <w:shd w:val="clear" w:color="auto" w:fill="FFFFFF"/>
              <w:ind w:left="107"/>
              <w:rPr>
                <w:bCs/>
                <w:color w:val="auto"/>
                <w:spacing w:val="16"/>
                <w:sz w:val="21"/>
                <w:szCs w:val="21"/>
                <w:highlight w:val="none"/>
              </w:rPr>
            </w:pPr>
            <w:r>
              <w:rPr>
                <w:rFonts w:hint="eastAsia"/>
                <w:bCs/>
                <w:color w:val="auto"/>
                <w:sz w:val="21"/>
                <w:szCs w:val="21"/>
                <w:highlight w:val="none"/>
              </w:rPr>
              <w:t>企</w:t>
            </w:r>
            <w:r>
              <w:rPr>
                <w:rFonts w:hint="eastAsia"/>
                <w:bCs/>
                <w:color w:val="auto"/>
                <w:spacing w:val="12"/>
                <w:sz w:val="21"/>
                <w:szCs w:val="21"/>
                <w:highlight w:val="none"/>
              </w:rPr>
              <w:t>业有关资质获证情况</w:t>
            </w:r>
          </w:p>
        </w:tc>
        <w:tc>
          <w:tcPr>
            <w:tcW w:w="1854" w:type="dxa"/>
            <w:gridSpan w:val="3"/>
            <w:vMerge w:val="restart"/>
          </w:tcPr>
          <w:p w14:paraId="0E4EF207">
            <w:pPr>
              <w:pStyle w:val="40"/>
              <w:shd w:val="clear" w:color="auto" w:fill="FFFFFF"/>
              <w:spacing w:before="0" w:beforeAutospacing="0" w:after="0" w:afterAutospacing="0"/>
              <w:rPr>
                <w:bCs/>
                <w:color w:val="auto"/>
                <w:spacing w:val="16"/>
                <w:sz w:val="21"/>
                <w:szCs w:val="21"/>
                <w:highlight w:val="none"/>
              </w:rPr>
            </w:pPr>
            <w:r>
              <w:rPr>
                <w:rFonts w:hint="eastAsia"/>
                <w:bCs/>
                <w:color w:val="auto"/>
                <w:spacing w:val="12"/>
                <w:sz w:val="21"/>
                <w:szCs w:val="21"/>
                <w:highlight w:val="none"/>
              </w:rPr>
              <w:t>产品生产许可证情况</w:t>
            </w:r>
            <w:r>
              <w:rPr>
                <w:rFonts w:hint="eastAsia"/>
                <w:bCs/>
                <w:color w:val="auto"/>
                <w:spacing w:val="41"/>
                <w:sz w:val="21"/>
                <w:szCs w:val="21"/>
                <w:highlight w:val="none"/>
              </w:rPr>
              <w:t>（对需获得生产许可证的</w:t>
            </w:r>
            <w:r>
              <w:rPr>
                <w:rFonts w:hint="eastAsia"/>
                <w:bCs/>
                <w:color w:val="auto"/>
                <w:spacing w:val="11"/>
                <w:sz w:val="21"/>
                <w:szCs w:val="21"/>
                <w:highlight w:val="none"/>
              </w:rPr>
              <w:t>产品要填写此栏）</w:t>
            </w:r>
          </w:p>
        </w:tc>
        <w:tc>
          <w:tcPr>
            <w:tcW w:w="964" w:type="dxa"/>
            <w:gridSpan w:val="2"/>
          </w:tcPr>
          <w:p w14:paraId="4F619B89">
            <w:pPr>
              <w:pStyle w:val="40"/>
              <w:shd w:val="clear" w:color="auto" w:fill="FFFFFF"/>
              <w:ind w:right="-78" w:rightChars="-37"/>
              <w:rPr>
                <w:bCs/>
                <w:color w:val="auto"/>
                <w:spacing w:val="16"/>
                <w:sz w:val="21"/>
                <w:szCs w:val="21"/>
                <w:highlight w:val="none"/>
              </w:rPr>
            </w:pPr>
            <w:r>
              <w:rPr>
                <w:rFonts w:hint="eastAsia"/>
                <w:bCs/>
                <w:color w:val="auto"/>
                <w:spacing w:val="16"/>
                <w:sz w:val="21"/>
                <w:szCs w:val="21"/>
                <w:highlight w:val="none"/>
              </w:rPr>
              <w:t>产品名称</w:t>
            </w:r>
          </w:p>
        </w:tc>
        <w:tc>
          <w:tcPr>
            <w:tcW w:w="1418" w:type="dxa"/>
            <w:gridSpan w:val="2"/>
          </w:tcPr>
          <w:p w14:paraId="031ECBD8">
            <w:pPr>
              <w:pStyle w:val="40"/>
              <w:shd w:val="clear" w:color="auto" w:fill="FFFFFF"/>
              <w:spacing w:before="0" w:beforeAutospacing="0" w:after="0" w:afterAutospacing="0"/>
              <w:rPr>
                <w:bCs/>
                <w:color w:val="auto"/>
                <w:sz w:val="21"/>
                <w:szCs w:val="21"/>
                <w:highlight w:val="none"/>
              </w:rPr>
            </w:pPr>
            <w:r>
              <w:rPr>
                <w:rFonts w:hint="eastAsia"/>
                <w:bCs/>
                <w:color w:val="auto"/>
                <w:spacing w:val="16"/>
                <w:sz w:val="21"/>
                <w:szCs w:val="21"/>
                <w:highlight w:val="none"/>
              </w:rPr>
              <w:t>发证机关</w:t>
            </w:r>
          </w:p>
        </w:tc>
        <w:tc>
          <w:tcPr>
            <w:tcW w:w="1276" w:type="dxa"/>
          </w:tcPr>
          <w:p w14:paraId="6E6C1EEF">
            <w:pPr>
              <w:pStyle w:val="40"/>
              <w:shd w:val="clear" w:color="auto" w:fill="FFFFFF"/>
              <w:jc w:val="center"/>
              <w:rPr>
                <w:bCs/>
                <w:color w:val="auto"/>
                <w:sz w:val="21"/>
                <w:szCs w:val="21"/>
                <w:highlight w:val="none"/>
              </w:rPr>
            </w:pPr>
            <w:r>
              <w:rPr>
                <w:rFonts w:hint="eastAsia"/>
                <w:bCs/>
                <w:color w:val="auto"/>
                <w:spacing w:val="27"/>
                <w:sz w:val="21"/>
                <w:szCs w:val="21"/>
                <w:highlight w:val="none"/>
              </w:rPr>
              <w:t>编号</w:t>
            </w:r>
          </w:p>
        </w:tc>
        <w:tc>
          <w:tcPr>
            <w:tcW w:w="1618" w:type="dxa"/>
            <w:gridSpan w:val="2"/>
          </w:tcPr>
          <w:p w14:paraId="70D3F129">
            <w:pPr>
              <w:pStyle w:val="40"/>
              <w:shd w:val="clear" w:color="auto" w:fill="FFFFFF"/>
              <w:jc w:val="center"/>
              <w:rPr>
                <w:bCs/>
                <w:color w:val="auto"/>
                <w:sz w:val="21"/>
                <w:szCs w:val="21"/>
                <w:highlight w:val="none"/>
              </w:rPr>
            </w:pPr>
            <w:r>
              <w:rPr>
                <w:rFonts w:hint="eastAsia"/>
                <w:bCs/>
                <w:color w:val="auto"/>
                <w:spacing w:val="16"/>
                <w:sz w:val="21"/>
                <w:szCs w:val="21"/>
                <w:highlight w:val="none"/>
              </w:rPr>
              <w:t>发证时间</w:t>
            </w:r>
          </w:p>
        </w:tc>
        <w:tc>
          <w:tcPr>
            <w:tcW w:w="933" w:type="dxa"/>
          </w:tcPr>
          <w:p w14:paraId="1BFBE00F">
            <w:pPr>
              <w:pStyle w:val="40"/>
              <w:shd w:val="clear" w:color="auto" w:fill="FFFFFF"/>
              <w:spacing w:before="0" w:beforeAutospacing="0" w:after="0" w:afterAutospacing="0"/>
              <w:jc w:val="center"/>
              <w:rPr>
                <w:bCs/>
                <w:color w:val="auto"/>
                <w:sz w:val="21"/>
                <w:szCs w:val="21"/>
                <w:highlight w:val="none"/>
              </w:rPr>
            </w:pPr>
            <w:r>
              <w:rPr>
                <w:rFonts w:hint="eastAsia"/>
                <w:bCs/>
                <w:color w:val="auto"/>
                <w:spacing w:val="27"/>
                <w:sz w:val="21"/>
                <w:szCs w:val="21"/>
                <w:highlight w:val="none"/>
              </w:rPr>
              <w:t>期限</w:t>
            </w:r>
          </w:p>
        </w:tc>
      </w:tr>
      <w:tr w14:paraId="4E7F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15E26123">
            <w:pPr>
              <w:pStyle w:val="40"/>
              <w:shd w:val="clear" w:color="auto" w:fill="FFFFFF"/>
              <w:ind w:left="107"/>
              <w:rPr>
                <w:bCs/>
                <w:color w:val="auto"/>
                <w:sz w:val="21"/>
                <w:szCs w:val="21"/>
                <w:highlight w:val="none"/>
              </w:rPr>
            </w:pPr>
          </w:p>
        </w:tc>
        <w:tc>
          <w:tcPr>
            <w:tcW w:w="1854" w:type="dxa"/>
            <w:gridSpan w:val="3"/>
            <w:vMerge w:val="continue"/>
          </w:tcPr>
          <w:p w14:paraId="7743B352">
            <w:pPr>
              <w:pStyle w:val="40"/>
              <w:shd w:val="clear" w:color="auto" w:fill="FFFFFF"/>
              <w:rPr>
                <w:bCs/>
                <w:color w:val="auto"/>
                <w:sz w:val="21"/>
                <w:szCs w:val="21"/>
                <w:highlight w:val="none"/>
              </w:rPr>
            </w:pPr>
          </w:p>
        </w:tc>
        <w:tc>
          <w:tcPr>
            <w:tcW w:w="964" w:type="dxa"/>
            <w:gridSpan w:val="2"/>
          </w:tcPr>
          <w:p w14:paraId="204B991E">
            <w:pPr>
              <w:pStyle w:val="40"/>
              <w:shd w:val="clear" w:color="auto" w:fill="FFFFFF"/>
              <w:rPr>
                <w:bCs/>
                <w:color w:val="auto"/>
                <w:sz w:val="21"/>
                <w:szCs w:val="21"/>
                <w:highlight w:val="none"/>
              </w:rPr>
            </w:pPr>
          </w:p>
        </w:tc>
        <w:tc>
          <w:tcPr>
            <w:tcW w:w="1418" w:type="dxa"/>
            <w:gridSpan w:val="2"/>
          </w:tcPr>
          <w:p w14:paraId="28B2E77F">
            <w:pPr>
              <w:pStyle w:val="40"/>
              <w:shd w:val="clear" w:color="auto" w:fill="FFFFFF"/>
              <w:rPr>
                <w:bCs/>
                <w:color w:val="auto"/>
                <w:sz w:val="21"/>
                <w:szCs w:val="21"/>
                <w:highlight w:val="none"/>
              </w:rPr>
            </w:pPr>
          </w:p>
        </w:tc>
        <w:tc>
          <w:tcPr>
            <w:tcW w:w="1276" w:type="dxa"/>
          </w:tcPr>
          <w:p w14:paraId="08EE46B9">
            <w:pPr>
              <w:pStyle w:val="40"/>
              <w:shd w:val="clear" w:color="auto" w:fill="FFFFFF"/>
              <w:rPr>
                <w:bCs/>
                <w:color w:val="auto"/>
                <w:sz w:val="21"/>
                <w:szCs w:val="21"/>
                <w:highlight w:val="none"/>
              </w:rPr>
            </w:pPr>
          </w:p>
        </w:tc>
        <w:tc>
          <w:tcPr>
            <w:tcW w:w="2551" w:type="dxa"/>
            <w:gridSpan w:val="3"/>
          </w:tcPr>
          <w:p w14:paraId="157A2B0D">
            <w:pPr>
              <w:pStyle w:val="40"/>
              <w:shd w:val="clear" w:color="auto" w:fill="FFFFFF"/>
              <w:rPr>
                <w:bCs/>
                <w:color w:val="auto"/>
                <w:sz w:val="21"/>
                <w:szCs w:val="21"/>
                <w:highlight w:val="none"/>
              </w:rPr>
            </w:pPr>
          </w:p>
        </w:tc>
      </w:tr>
      <w:tr w14:paraId="12B7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48153E5B">
            <w:pPr>
              <w:pStyle w:val="40"/>
              <w:shd w:val="clear" w:color="auto" w:fill="FFFFFF"/>
              <w:ind w:left="107"/>
              <w:rPr>
                <w:bCs/>
                <w:color w:val="auto"/>
                <w:spacing w:val="16"/>
                <w:sz w:val="21"/>
                <w:szCs w:val="21"/>
                <w:highlight w:val="none"/>
              </w:rPr>
            </w:pPr>
          </w:p>
        </w:tc>
        <w:tc>
          <w:tcPr>
            <w:tcW w:w="1854" w:type="dxa"/>
            <w:gridSpan w:val="3"/>
          </w:tcPr>
          <w:p w14:paraId="5C5E7510">
            <w:pPr>
              <w:pStyle w:val="40"/>
              <w:shd w:val="clear" w:color="auto" w:fill="FFFFFF"/>
              <w:spacing w:before="0" w:beforeAutospacing="0" w:after="0" w:afterAutospacing="0"/>
              <w:ind w:right="-107" w:rightChars="-51"/>
              <w:rPr>
                <w:bCs/>
                <w:color w:val="auto"/>
                <w:spacing w:val="41"/>
                <w:sz w:val="21"/>
                <w:szCs w:val="21"/>
                <w:highlight w:val="none"/>
              </w:rPr>
            </w:pPr>
            <w:r>
              <w:rPr>
                <w:rFonts w:hint="eastAsia"/>
                <w:bCs/>
                <w:color w:val="auto"/>
                <w:spacing w:val="41"/>
                <w:sz w:val="21"/>
                <w:szCs w:val="21"/>
                <w:highlight w:val="none"/>
              </w:rPr>
              <w:t>企业通过质量体系、环保</w:t>
            </w:r>
            <w:r>
              <w:rPr>
                <w:rFonts w:hint="eastAsia"/>
                <w:bCs/>
                <w:color w:val="auto"/>
                <w:spacing w:val="11"/>
                <w:sz w:val="21"/>
                <w:szCs w:val="21"/>
                <w:highlight w:val="none"/>
              </w:rPr>
              <w:t>体系、计量等认证情况</w:t>
            </w:r>
          </w:p>
        </w:tc>
        <w:tc>
          <w:tcPr>
            <w:tcW w:w="6209" w:type="dxa"/>
            <w:gridSpan w:val="8"/>
          </w:tcPr>
          <w:p w14:paraId="26543141">
            <w:pPr>
              <w:pStyle w:val="40"/>
              <w:shd w:val="clear" w:color="auto" w:fill="FFFFFF"/>
              <w:rPr>
                <w:bCs/>
                <w:color w:val="auto"/>
                <w:spacing w:val="16"/>
                <w:sz w:val="21"/>
                <w:szCs w:val="21"/>
                <w:highlight w:val="none"/>
              </w:rPr>
            </w:pPr>
          </w:p>
        </w:tc>
      </w:tr>
      <w:tr w14:paraId="4BCD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7FA2FF00">
            <w:pPr>
              <w:pStyle w:val="40"/>
              <w:shd w:val="clear" w:color="auto" w:fill="FFFFFF"/>
              <w:ind w:left="107"/>
              <w:rPr>
                <w:bCs/>
                <w:color w:val="auto"/>
                <w:spacing w:val="27"/>
                <w:sz w:val="21"/>
                <w:szCs w:val="21"/>
                <w:highlight w:val="none"/>
              </w:rPr>
            </w:pPr>
          </w:p>
        </w:tc>
        <w:tc>
          <w:tcPr>
            <w:tcW w:w="1854" w:type="dxa"/>
            <w:gridSpan w:val="3"/>
          </w:tcPr>
          <w:p w14:paraId="6C2D0C78">
            <w:pPr>
              <w:pStyle w:val="40"/>
              <w:shd w:val="clear" w:color="auto" w:fill="FFFFFF"/>
              <w:rPr>
                <w:bCs/>
                <w:color w:val="auto"/>
                <w:spacing w:val="16"/>
                <w:sz w:val="21"/>
                <w:szCs w:val="21"/>
                <w:highlight w:val="none"/>
              </w:rPr>
            </w:pPr>
            <w:r>
              <w:rPr>
                <w:rFonts w:hint="eastAsia"/>
                <w:bCs/>
                <w:color w:val="auto"/>
                <w:spacing w:val="10"/>
                <w:sz w:val="21"/>
                <w:szCs w:val="21"/>
                <w:highlight w:val="none"/>
              </w:rPr>
              <w:t>企业获得专利情况</w:t>
            </w:r>
          </w:p>
        </w:tc>
        <w:tc>
          <w:tcPr>
            <w:tcW w:w="6209" w:type="dxa"/>
            <w:gridSpan w:val="8"/>
          </w:tcPr>
          <w:p w14:paraId="29C004F6">
            <w:pPr>
              <w:pStyle w:val="40"/>
              <w:shd w:val="clear" w:color="auto" w:fill="FFFFFF"/>
              <w:rPr>
                <w:bCs/>
                <w:color w:val="auto"/>
                <w:spacing w:val="16"/>
                <w:sz w:val="21"/>
                <w:szCs w:val="21"/>
                <w:highlight w:val="none"/>
              </w:rPr>
            </w:pPr>
          </w:p>
        </w:tc>
      </w:tr>
    </w:tbl>
    <w:p w14:paraId="02E73296">
      <w:pPr>
        <w:pStyle w:val="40"/>
        <w:shd w:val="clear" w:color="auto" w:fill="FFFFFF"/>
        <w:spacing w:before="0" w:beforeAutospacing="0" w:after="0" w:afterAutospacing="0" w:line="360" w:lineRule="auto"/>
        <w:rPr>
          <w:color w:val="auto"/>
          <w:highlight w:val="none"/>
        </w:rPr>
      </w:pPr>
    </w:p>
    <w:p w14:paraId="729E397A">
      <w:pPr>
        <w:pStyle w:val="40"/>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1767FFB9">
      <w:pPr>
        <w:pStyle w:val="40"/>
        <w:shd w:val="clear" w:color="auto" w:fill="FFFFFF"/>
        <w:spacing w:before="0" w:beforeAutospacing="0" w:after="0" w:afterAutospacing="0" w:line="360" w:lineRule="auto"/>
        <w:ind w:firstLine="424" w:firstLineChars="202"/>
        <w:rPr>
          <w:color w:val="auto"/>
          <w:sz w:val="21"/>
          <w:szCs w:val="21"/>
          <w:highlight w:val="none"/>
        </w:rPr>
      </w:pPr>
      <w:r>
        <w:rPr>
          <w:rFonts w:hint="eastAsia"/>
          <w:color w:val="auto"/>
          <w:sz w:val="21"/>
          <w:szCs w:val="21"/>
          <w:highlight w:val="none"/>
        </w:rPr>
        <w:t>1.姓名栏必须将所有股东都统计在内，若非股份公司此行（第三行）无需填写；</w:t>
      </w:r>
    </w:p>
    <w:p w14:paraId="4B5F34F8">
      <w:pPr>
        <w:spacing w:line="360" w:lineRule="auto"/>
        <w:rPr>
          <w:rFonts w:ascii="宋体" w:hAnsi="宋体" w:cs="宋体"/>
          <w:color w:val="auto"/>
          <w:szCs w:val="21"/>
          <w:highlight w:val="none"/>
        </w:rPr>
      </w:pPr>
    </w:p>
    <w:p w14:paraId="06467BCA">
      <w:pPr>
        <w:spacing w:line="360" w:lineRule="auto"/>
        <w:rPr>
          <w:rFonts w:ascii="宋体" w:hAnsi="宋体" w:cs="宋体"/>
          <w:color w:val="auto"/>
          <w:szCs w:val="21"/>
          <w:highlight w:val="none"/>
        </w:rPr>
      </w:pPr>
    </w:p>
    <w:p w14:paraId="661D3BC4">
      <w:pPr>
        <w:spacing w:line="360" w:lineRule="auto"/>
        <w:ind w:firstLine="371" w:firstLineChars="177"/>
        <w:rPr>
          <w:rFonts w:ascii="宋体" w:hAnsi="宋体" w:cs="宋体"/>
          <w:color w:val="auto"/>
          <w:szCs w:val="21"/>
          <w:highlight w:val="none"/>
          <w:u w:val="single"/>
        </w:rPr>
      </w:pPr>
      <w:r>
        <w:rPr>
          <w:rFonts w:hint="eastAsia" w:ascii="宋体" w:hAnsi="宋体" w:cs="宋体"/>
          <w:color w:val="auto"/>
          <w:szCs w:val="21"/>
          <w:highlight w:val="none"/>
        </w:rPr>
        <w:t>投标人名称（盖章）：</w:t>
      </w:r>
    </w:p>
    <w:p w14:paraId="4FEF0CC0">
      <w:pPr>
        <w:spacing w:line="360" w:lineRule="auto"/>
        <w:ind w:left="420"/>
        <w:rPr>
          <w:rFonts w:ascii="宋体" w:hAnsi="宋体" w:cs="宋体"/>
          <w:color w:val="auto"/>
          <w:szCs w:val="21"/>
          <w:highlight w:val="none"/>
        </w:rPr>
      </w:pPr>
    </w:p>
    <w:p w14:paraId="6AFB7630">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p>
    <w:p w14:paraId="47DDA74A">
      <w:pPr>
        <w:spacing w:line="360" w:lineRule="auto"/>
        <w:rPr>
          <w:rFonts w:ascii="宋体" w:hAnsi="宋体" w:cs="宋体"/>
          <w:color w:val="auto"/>
          <w:szCs w:val="21"/>
          <w:highlight w:val="none"/>
        </w:rPr>
      </w:pPr>
    </w:p>
    <w:p w14:paraId="096F7292">
      <w:pPr>
        <w:pStyle w:val="40"/>
        <w:shd w:val="clear" w:color="auto" w:fill="FFFFFF"/>
        <w:spacing w:before="0" w:beforeAutospacing="0" w:after="0" w:afterAutospacing="0" w:line="360" w:lineRule="auto"/>
        <w:ind w:firstLine="371" w:firstLineChars="177"/>
        <w:rPr>
          <w:color w:val="auto"/>
          <w:sz w:val="21"/>
          <w:szCs w:val="21"/>
          <w:highlight w:val="none"/>
        </w:rPr>
      </w:pPr>
      <w:r>
        <w:rPr>
          <w:rFonts w:hint="eastAsia"/>
          <w:color w:val="auto"/>
          <w:sz w:val="21"/>
          <w:szCs w:val="21"/>
          <w:highlight w:val="none"/>
        </w:rPr>
        <w:t>日期：</w:t>
      </w:r>
    </w:p>
    <w:p w14:paraId="44A45747">
      <w:pPr>
        <w:pStyle w:val="40"/>
        <w:shd w:val="clear" w:color="auto" w:fill="FFFFFF"/>
        <w:spacing w:before="0" w:beforeAutospacing="0" w:after="0" w:afterAutospacing="0" w:line="360" w:lineRule="auto"/>
        <w:ind w:firstLine="498" w:firstLineChars="177"/>
        <w:rPr>
          <w:b/>
          <w:color w:val="auto"/>
          <w:sz w:val="28"/>
          <w:highlight w:val="none"/>
        </w:rPr>
      </w:pPr>
    </w:p>
    <w:p w14:paraId="78893F27">
      <w:pPr>
        <w:pStyle w:val="40"/>
        <w:shd w:val="clear" w:color="auto" w:fill="FFFFFF"/>
        <w:spacing w:before="0" w:beforeAutospacing="0" w:after="0" w:afterAutospacing="0" w:line="360" w:lineRule="auto"/>
        <w:ind w:firstLine="498" w:firstLineChars="177"/>
        <w:rPr>
          <w:b/>
          <w:color w:val="auto"/>
          <w:sz w:val="28"/>
          <w:highlight w:val="none"/>
        </w:rPr>
      </w:pPr>
    </w:p>
    <w:p w14:paraId="3F8D684C">
      <w:pPr>
        <w:pStyle w:val="40"/>
        <w:shd w:val="clear" w:color="auto" w:fill="FFFFFF"/>
        <w:spacing w:before="0" w:beforeAutospacing="0" w:after="0" w:afterAutospacing="0" w:line="360" w:lineRule="auto"/>
        <w:ind w:firstLine="498" w:firstLineChars="177"/>
        <w:rPr>
          <w:b/>
          <w:color w:val="auto"/>
          <w:sz w:val="28"/>
          <w:highlight w:val="none"/>
        </w:rPr>
      </w:pPr>
    </w:p>
    <w:p w14:paraId="0D38A5BD">
      <w:pPr>
        <w:pStyle w:val="40"/>
        <w:shd w:val="clear" w:color="auto" w:fill="FFFFFF"/>
        <w:spacing w:before="0" w:beforeAutospacing="0" w:after="0" w:afterAutospacing="0" w:line="360" w:lineRule="auto"/>
        <w:ind w:firstLine="498" w:firstLineChars="177"/>
        <w:rPr>
          <w:b/>
          <w:color w:val="auto"/>
          <w:sz w:val="28"/>
          <w:highlight w:val="none"/>
        </w:rPr>
      </w:pPr>
    </w:p>
    <w:p w14:paraId="57FE0B73">
      <w:pPr>
        <w:pStyle w:val="40"/>
        <w:shd w:val="clear" w:color="auto" w:fill="FFFFFF"/>
        <w:spacing w:before="0" w:beforeAutospacing="0" w:after="0" w:afterAutospacing="0" w:line="360" w:lineRule="auto"/>
        <w:ind w:firstLine="498" w:firstLineChars="177"/>
        <w:rPr>
          <w:b/>
          <w:color w:val="auto"/>
          <w:sz w:val="28"/>
          <w:highlight w:val="none"/>
        </w:rPr>
      </w:pPr>
    </w:p>
    <w:p w14:paraId="4DB32686">
      <w:pPr>
        <w:pStyle w:val="40"/>
        <w:shd w:val="clear" w:color="auto" w:fill="FFFFFF"/>
        <w:spacing w:before="0" w:beforeAutospacing="0" w:after="0" w:afterAutospacing="0" w:line="360" w:lineRule="auto"/>
        <w:ind w:firstLine="498" w:firstLineChars="177"/>
        <w:rPr>
          <w:b/>
          <w:color w:val="auto"/>
          <w:sz w:val="28"/>
          <w:highlight w:val="none"/>
        </w:rPr>
      </w:pPr>
    </w:p>
    <w:p w14:paraId="314C8F96">
      <w:pPr>
        <w:pStyle w:val="40"/>
        <w:shd w:val="clear" w:color="auto" w:fill="FFFFFF"/>
        <w:spacing w:before="0" w:beforeAutospacing="0" w:after="0" w:afterAutospacing="0" w:line="360" w:lineRule="auto"/>
        <w:ind w:firstLine="498" w:firstLineChars="177"/>
        <w:rPr>
          <w:b/>
          <w:color w:val="auto"/>
          <w:sz w:val="28"/>
          <w:highlight w:val="none"/>
        </w:rPr>
      </w:pPr>
    </w:p>
    <w:p w14:paraId="680BB319">
      <w:pPr>
        <w:pStyle w:val="40"/>
        <w:shd w:val="clear" w:color="auto" w:fill="FFFFFF"/>
        <w:spacing w:before="0" w:beforeAutospacing="0" w:after="0" w:afterAutospacing="0" w:line="360" w:lineRule="auto"/>
        <w:ind w:firstLine="498" w:firstLineChars="177"/>
        <w:rPr>
          <w:b/>
          <w:color w:val="auto"/>
          <w:sz w:val="28"/>
          <w:highlight w:val="none"/>
        </w:rPr>
      </w:pPr>
    </w:p>
    <w:p w14:paraId="229405BB">
      <w:pPr>
        <w:pStyle w:val="40"/>
        <w:shd w:val="clear" w:color="auto" w:fill="FFFFFF"/>
        <w:spacing w:before="0" w:beforeAutospacing="0" w:after="0" w:afterAutospacing="0" w:line="360" w:lineRule="auto"/>
        <w:ind w:firstLine="498" w:firstLineChars="177"/>
        <w:rPr>
          <w:b/>
          <w:color w:val="auto"/>
          <w:sz w:val="28"/>
          <w:highlight w:val="none"/>
        </w:rPr>
      </w:pPr>
    </w:p>
    <w:p w14:paraId="51BFF1AE">
      <w:pPr>
        <w:pStyle w:val="40"/>
        <w:shd w:val="clear" w:color="auto" w:fill="FFFFFF"/>
        <w:spacing w:before="0" w:beforeAutospacing="0" w:after="0" w:afterAutospacing="0" w:line="360" w:lineRule="auto"/>
        <w:ind w:firstLine="498" w:firstLineChars="177"/>
        <w:rPr>
          <w:b/>
          <w:color w:val="auto"/>
          <w:sz w:val="28"/>
          <w:highlight w:val="none"/>
        </w:rPr>
      </w:pPr>
    </w:p>
    <w:p w14:paraId="47C17206">
      <w:pPr>
        <w:pStyle w:val="40"/>
        <w:shd w:val="clear" w:color="auto" w:fill="FFFFFF"/>
        <w:spacing w:before="0" w:beforeAutospacing="0" w:after="0" w:afterAutospacing="0" w:line="360" w:lineRule="auto"/>
        <w:ind w:firstLine="498" w:firstLineChars="177"/>
        <w:rPr>
          <w:b/>
          <w:color w:val="auto"/>
          <w:sz w:val="28"/>
          <w:highlight w:val="none"/>
        </w:rPr>
      </w:pPr>
    </w:p>
    <w:p w14:paraId="44BDE27D">
      <w:pPr>
        <w:pStyle w:val="40"/>
        <w:shd w:val="clear" w:color="auto" w:fill="FFFFFF"/>
        <w:spacing w:before="0" w:beforeAutospacing="0" w:after="0" w:afterAutospacing="0" w:line="360" w:lineRule="auto"/>
        <w:rPr>
          <w:b/>
          <w:color w:val="auto"/>
          <w:sz w:val="28"/>
          <w:highlight w:val="none"/>
        </w:rPr>
        <w:sectPr>
          <w:pgSz w:w="11906" w:h="16838"/>
          <w:pgMar w:top="1440" w:right="1800" w:bottom="1440" w:left="1800" w:header="851" w:footer="992" w:gutter="0"/>
          <w:cols w:space="425" w:num="1"/>
          <w:docGrid w:type="lines" w:linePitch="312" w:charSpace="0"/>
        </w:sectPr>
      </w:pPr>
    </w:p>
    <w:p w14:paraId="17934C42">
      <w:pPr>
        <w:pStyle w:val="40"/>
        <w:shd w:val="clear" w:color="auto" w:fill="FFFFFF"/>
        <w:spacing w:before="0" w:beforeAutospacing="0" w:after="0" w:afterAutospacing="0" w:line="360" w:lineRule="auto"/>
        <w:rPr>
          <w:color w:val="auto"/>
          <w:highlight w:val="none"/>
        </w:rPr>
      </w:pPr>
      <w:r>
        <w:rPr>
          <w:rFonts w:hint="eastAsia"/>
          <w:b/>
          <w:color w:val="auto"/>
          <w:sz w:val="28"/>
          <w:highlight w:val="none"/>
        </w:rPr>
        <w:t>附件7</w:t>
      </w:r>
    </w:p>
    <w:p w14:paraId="7B9062E2">
      <w:pPr>
        <w:snapToGrid w:val="0"/>
        <w:spacing w:beforeLines="50" w:after="50" w:line="360" w:lineRule="auto"/>
        <w:jc w:val="center"/>
        <w:rPr>
          <w:rFonts w:ascii="宋体" w:hAnsi="宋体" w:cs="宋体"/>
          <w:b/>
          <w:color w:val="auto"/>
          <w:sz w:val="36"/>
          <w:szCs w:val="36"/>
          <w:highlight w:val="none"/>
        </w:rPr>
      </w:pPr>
      <w:r>
        <w:rPr>
          <w:rFonts w:hint="eastAsia" w:ascii="宋体" w:hAnsi="宋体" w:cs="宋体"/>
          <w:b/>
          <w:color w:val="auto"/>
          <w:sz w:val="32"/>
          <w:szCs w:val="32"/>
          <w:highlight w:val="none"/>
        </w:rPr>
        <w:t>项目实施人员一览表</w:t>
      </w:r>
    </w:p>
    <w:p w14:paraId="23C80A62">
      <w:pPr>
        <w:snapToGrid w:val="0"/>
        <w:spacing w:beforeLines="50" w:after="50" w:line="360" w:lineRule="auto"/>
        <w:ind w:firstLine="2400" w:firstLineChars="1000"/>
        <w:rPr>
          <w:rFonts w:ascii="宋体" w:hAnsi="宋体" w:cs="宋体"/>
          <w:color w:val="auto"/>
          <w:sz w:val="24"/>
          <w:highlight w:val="none"/>
        </w:rPr>
      </w:pPr>
      <w:r>
        <w:rPr>
          <w:rFonts w:hint="eastAsia" w:ascii="宋体" w:hAnsi="宋体" w:cs="宋体"/>
          <w:color w:val="auto"/>
          <w:sz w:val="24"/>
          <w:highlight w:val="none"/>
        </w:rPr>
        <w:t>（主要从业人员及其技术资格）</w:t>
      </w:r>
    </w:p>
    <w:tbl>
      <w:tblPr>
        <w:tblStyle w:val="23"/>
        <w:tblW w:w="9100" w:type="dxa"/>
        <w:tblInd w:w="-34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3"/>
        <w:gridCol w:w="826"/>
        <w:gridCol w:w="932"/>
        <w:gridCol w:w="911"/>
        <w:gridCol w:w="1586"/>
        <w:gridCol w:w="1371"/>
        <w:gridCol w:w="1307"/>
        <w:gridCol w:w="1504"/>
      </w:tblGrid>
      <w:tr w14:paraId="57DDF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vAlign w:val="center"/>
          </w:tcPr>
          <w:p w14:paraId="4662DB21">
            <w:pPr>
              <w:snapToGrid w:val="0"/>
              <w:spacing w:beforeLines="50" w:after="50"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26" w:type="dxa"/>
            <w:tcBorders>
              <w:top w:val="single" w:color="auto" w:sz="4" w:space="0"/>
              <w:left w:val="single" w:color="auto" w:sz="4" w:space="0"/>
              <w:bottom w:val="single" w:color="auto" w:sz="4" w:space="0"/>
              <w:right w:val="single" w:color="auto" w:sz="4" w:space="0"/>
            </w:tcBorders>
            <w:vAlign w:val="center"/>
          </w:tcPr>
          <w:p w14:paraId="6D0BB9EA">
            <w:pPr>
              <w:snapToGrid w:val="0"/>
              <w:spacing w:beforeLines="50" w:after="50" w:line="360" w:lineRule="auto"/>
              <w:jc w:val="center"/>
              <w:rPr>
                <w:rFonts w:ascii="宋体" w:hAnsi="宋体" w:cs="宋体"/>
                <w:b/>
                <w:color w:val="auto"/>
                <w:szCs w:val="21"/>
                <w:highlight w:val="none"/>
              </w:rPr>
            </w:pPr>
            <w:r>
              <w:rPr>
                <w:rFonts w:hint="eastAsia" w:ascii="宋体" w:hAnsi="宋体" w:cs="宋体"/>
                <w:b/>
                <w:color w:val="auto"/>
                <w:szCs w:val="21"/>
                <w:highlight w:val="none"/>
              </w:rPr>
              <w:t>姓名</w:t>
            </w:r>
          </w:p>
        </w:tc>
        <w:tc>
          <w:tcPr>
            <w:tcW w:w="932" w:type="dxa"/>
            <w:tcBorders>
              <w:top w:val="single" w:color="auto" w:sz="4" w:space="0"/>
              <w:left w:val="single" w:color="auto" w:sz="4" w:space="0"/>
              <w:bottom w:val="single" w:color="auto" w:sz="4" w:space="0"/>
              <w:right w:val="single" w:color="auto" w:sz="4" w:space="0"/>
            </w:tcBorders>
            <w:vAlign w:val="center"/>
          </w:tcPr>
          <w:p w14:paraId="08354854">
            <w:pPr>
              <w:snapToGrid w:val="0"/>
              <w:spacing w:beforeLines="50" w:after="50" w:line="360" w:lineRule="auto"/>
              <w:jc w:val="center"/>
              <w:rPr>
                <w:rFonts w:ascii="宋体" w:hAnsi="宋体" w:cs="宋体"/>
                <w:b/>
                <w:color w:val="auto"/>
                <w:szCs w:val="21"/>
                <w:highlight w:val="none"/>
              </w:rPr>
            </w:pPr>
            <w:r>
              <w:rPr>
                <w:rFonts w:hint="eastAsia" w:ascii="宋体" w:hAnsi="宋体" w:cs="宋体"/>
                <w:b/>
                <w:color w:val="auto"/>
                <w:szCs w:val="21"/>
                <w:highlight w:val="none"/>
              </w:rPr>
              <w:t>职务</w:t>
            </w:r>
          </w:p>
        </w:tc>
        <w:tc>
          <w:tcPr>
            <w:tcW w:w="911" w:type="dxa"/>
            <w:tcBorders>
              <w:top w:val="single" w:color="auto" w:sz="4" w:space="0"/>
              <w:left w:val="single" w:color="auto" w:sz="4" w:space="0"/>
              <w:bottom w:val="single" w:color="auto" w:sz="4" w:space="0"/>
              <w:right w:val="single" w:color="auto" w:sz="4" w:space="0"/>
            </w:tcBorders>
            <w:vAlign w:val="center"/>
          </w:tcPr>
          <w:p w14:paraId="02804C58">
            <w:pPr>
              <w:snapToGrid w:val="0"/>
              <w:spacing w:beforeLines="50" w:after="50" w:line="360" w:lineRule="auto"/>
              <w:jc w:val="center"/>
              <w:rPr>
                <w:rFonts w:ascii="宋体" w:hAnsi="宋体" w:cs="宋体"/>
                <w:b/>
                <w:color w:val="auto"/>
                <w:szCs w:val="21"/>
                <w:highlight w:val="none"/>
              </w:rPr>
            </w:pPr>
            <w:r>
              <w:rPr>
                <w:rFonts w:hint="eastAsia" w:ascii="宋体" w:hAnsi="宋体" w:cs="宋体"/>
                <w:b/>
                <w:color w:val="auto"/>
                <w:szCs w:val="21"/>
                <w:highlight w:val="none"/>
              </w:rPr>
              <w:t>职责</w:t>
            </w:r>
          </w:p>
        </w:tc>
        <w:tc>
          <w:tcPr>
            <w:tcW w:w="1586" w:type="dxa"/>
            <w:tcBorders>
              <w:top w:val="single" w:color="auto" w:sz="4" w:space="0"/>
              <w:left w:val="single" w:color="auto" w:sz="4" w:space="0"/>
              <w:bottom w:val="single" w:color="auto" w:sz="4" w:space="0"/>
              <w:right w:val="single" w:color="auto" w:sz="4" w:space="0"/>
            </w:tcBorders>
            <w:vAlign w:val="center"/>
          </w:tcPr>
          <w:p w14:paraId="0E0804A1">
            <w:pPr>
              <w:snapToGrid w:val="0"/>
              <w:spacing w:beforeLines="50" w:after="50" w:line="360" w:lineRule="auto"/>
              <w:jc w:val="center"/>
              <w:rPr>
                <w:rFonts w:ascii="宋体" w:hAnsi="宋体" w:cs="宋体"/>
                <w:b/>
                <w:color w:val="auto"/>
                <w:szCs w:val="21"/>
                <w:highlight w:val="none"/>
              </w:rPr>
            </w:pPr>
            <w:r>
              <w:rPr>
                <w:rFonts w:hint="eastAsia" w:ascii="宋体" w:hAnsi="宋体" w:cs="宋体"/>
                <w:b/>
                <w:color w:val="auto"/>
                <w:szCs w:val="21"/>
                <w:highlight w:val="none"/>
              </w:rPr>
              <w:t>专业技术资格</w:t>
            </w:r>
          </w:p>
        </w:tc>
        <w:tc>
          <w:tcPr>
            <w:tcW w:w="1371" w:type="dxa"/>
            <w:tcBorders>
              <w:top w:val="single" w:color="auto" w:sz="4" w:space="0"/>
              <w:left w:val="single" w:color="auto" w:sz="4" w:space="0"/>
              <w:bottom w:val="single" w:color="auto" w:sz="4" w:space="0"/>
              <w:right w:val="single" w:color="auto" w:sz="4" w:space="0"/>
            </w:tcBorders>
            <w:vAlign w:val="center"/>
          </w:tcPr>
          <w:p w14:paraId="46A23DA7">
            <w:pPr>
              <w:snapToGrid w:val="0"/>
              <w:spacing w:beforeLines="50" w:after="50" w:line="360" w:lineRule="auto"/>
              <w:jc w:val="center"/>
              <w:rPr>
                <w:rFonts w:ascii="宋体" w:hAnsi="宋体" w:cs="宋体"/>
                <w:b/>
                <w:color w:val="auto"/>
                <w:szCs w:val="21"/>
                <w:highlight w:val="none"/>
              </w:rPr>
            </w:pPr>
            <w:r>
              <w:rPr>
                <w:rFonts w:hint="eastAsia" w:ascii="宋体" w:hAnsi="宋体" w:cs="宋体"/>
                <w:b/>
                <w:color w:val="auto"/>
                <w:szCs w:val="21"/>
                <w:highlight w:val="none"/>
              </w:rPr>
              <w:t>证书编号</w:t>
            </w:r>
          </w:p>
        </w:tc>
        <w:tc>
          <w:tcPr>
            <w:tcW w:w="1307" w:type="dxa"/>
            <w:tcBorders>
              <w:top w:val="single" w:color="auto" w:sz="4" w:space="0"/>
              <w:left w:val="single" w:color="auto" w:sz="4" w:space="0"/>
              <w:bottom w:val="single" w:color="auto" w:sz="4" w:space="0"/>
              <w:right w:val="single" w:color="auto" w:sz="4" w:space="0"/>
            </w:tcBorders>
            <w:vAlign w:val="center"/>
          </w:tcPr>
          <w:p w14:paraId="307447BF">
            <w:pPr>
              <w:snapToGrid w:val="0"/>
              <w:spacing w:beforeLines="50" w:after="5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参加本单位工作时间</w:t>
            </w:r>
          </w:p>
        </w:tc>
        <w:tc>
          <w:tcPr>
            <w:tcW w:w="1504" w:type="dxa"/>
            <w:tcBorders>
              <w:top w:val="single" w:color="auto" w:sz="4" w:space="0"/>
              <w:left w:val="single" w:color="auto" w:sz="4" w:space="0"/>
              <w:bottom w:val="single" w:color="auto" w:sz="4" w:space="0"/>
            </w:tcBorders>
            <w:vAlign w:val="center"/>
          </w:tcPr>
          <w:p w14:paraId="30B8BCA6">
            <w:pPr>
              <w:snapToGrid w:val="0"/>
              <w:spacing w:beforeLines="50" w:after="50" w:line="360" w:lineRule="auto"/>
              <w:jc w:val="center"/>
              <w:rPr>
                <w:rFonts w:ascii="宋体" w:hAnsi="宋体" w:cs="宋体"/>
                <w:b/>
                <w:bCs/>
                <w:color w:val="auto"/>
                <w:szCs w:val="21"/>
                <w:highlight w:val="none"/>
              </w:rPr>
            </w:pPr>
            <w:r>
              <w:rPr>
                <w:rFonts w:hint="eastAsia" w:ascii="宋体" w:hAnsi="宋体" w:cs="宋体"/>
                <w:b/>
                <w:color w:val="auto"/>
                <w:szCs w:val="21"/>
                <w:highlight w:val="none"/>
              </w:rPr>
              <w:t>劳动合同编号</w:t>
            </w:r>
          </w:p>
        </w:tc>
      </w:tr>
      <w:tr w14:paraId="7B5C4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52E699EF">
            <w:pPr>
              <w:snapToGrid w:val="0"/>
              <w:spacing w:beforeLines="50" w:after="50" w:line="360" w:lineRule="auto"/>
              <w:rPr>
                <w:rFonts w:ascii="宋体" w:hAnsi="宋体" w:cs="宋体"/>
                <w:color w:val="auto"/>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2F0E718A">
            <w:pPr>
              <w:snapToGrid w:val="0"/>
              <w:spacing w:beforeLines="50" w:after="50" w:line="360" w:lineRule="auto"/>
              <w:rPr>
                <w:rFonts w:ascii="宋体" w:hAnsi="宋体" w:cs="宋体"/>
                <w:b/>
                <w:color w:val="auto"/>
                <w:kern w:val="44"/>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0EF2C34D">
            <w:pPr>
              <w:snapToGrid w:val="0"/>
              <w:spacing w:beforeLines="50" w:after="50" w:line="360" w:lineRule="auto"/>
              <w:rPr>
                <w:rFonts w:ascii="宋体" w:hAnsi="宋体" w:cs="宋体"/>
                <w:b/>
                <w:color w:val="auto"/>
                <w:kern w:val="44"/>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452F9D9C">
            <w:pPr>
              <w:snapToGrid w:val="0"/>
              <w:spacing w:beforeLines="50" w:after="50" w:line="360" w:lineRule="auto"/>
              <w:rPr>
                <w:rFonts w:ascii="宋体" w:hAnsi="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15C2C0B7">
            <w:pPr>
              <w:snapToGrid w:val="0"/>
              <w:spacing w:beforeLines="50" w:after="50" w:line="360" w:lineRule="auto"/>
              <w:rPr>
                <w:rFonts w:ascii="宋体" w:hAnsi="宋体" w:cs="宋体"/>
                <w:b/>
                <w:color w:val="auto"/>
                <w:kern w:val="44"/>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50E5F945">
            <w:pPr>
              <w:snapToGrid w:val="0"/>
              <w:spacing w:beforeLines="50" w:after="50" w:line="360" w:lineRule="auto"/>
              <w:rPr>
                <w:rFonts w:ascii="宋体" w:hAnsi="宋体" w:cs="宋体"/>
                <w:b/>
                <w:color w:val="auto"/>
                <w:kern w:val="44"/>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54BB0C1E">
            <w:pPr>
              <w:snapToGrid w:val="0"/>
              <w:spacing w:beforeLines="50" w:after="50" w:line="360" w:lineRule="auto"/>
              <w:rPr>
                <w:rFonts w:ascii="宋体" w:hAnsi="宋体" w:cs="宋体"/>
                <w:b/>
                <w:color w:val="auto"/>
                <w:kern w:val="44"/>
                <w:szCs w:val="21"/>
                <w:highlight w:val="none"/>
              </w:rPr>
            </w:pPr>
          </w:p>
        </w:tc>
        <w:tc>
          <w:tcPr>
            <w:tcW w:w="1504" w:type="dxa"/>
            <w:tcBorders>
              <w:top w:val="single" w:color="auto" w:sz="4" w:space="0"/>
              <w:left w:val="single" w:color="auto" w:sz="4" w:space="0"/>
              <w:bottom w:val="single" w:color="auto" w:sz="4" w:space="0"/>
            </w:tcBorders>
          </w:tcPr>
          <w:p w14:paraId="5717DF76">
            <w:pPr>
              <w:snapToGrid w:val="0"/>
              <w:spacing w:beforeLines="50" w:after="50" w:line="360" w:lineRule="auto"/>
              <w:rPr>
                <w:rFonts w:ascii="宋体" w:hAnsi="宋体" w:cs="宋体"/>
                <w:b/>
                <w:color w:val="auto"/>
                <w:kern w:val="44"/>
                <w:szCs w:val="21"/>
                <w:highlight w:val="none"/>
              </w:rPr>
            </w:pPr>
          </w:p>
        </w:tc>
      </w:tr>
      <w:tr w14:paraId="5273F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3ADFC724">
            <w:pPr>
              <w:snapToGrid w:val="0"/>
              <w:spacing w:beforeLines="50" w:after="50" w:line="360" w:lineRule="auto"/>
              <w:rPr>
                <w:rFonts w:ascii="宋体" w:hAnsi="宋体" w:cs="宋体"/>
                <w:color w:val="auto"/>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00B7C44F">
            <w:pPr>
              <w:snapToGrid w:val="0"/>
              <w:spacing w:beforeLines="50" w:after="50" w:line="360" w:lineRule="auto"/>
              <w:rPr>
                <w:rFonts w:ascii="宋体" w:hAnsi="宋体" w:cs="宋体"/>
                <w:b/>
                <w:color w:val="auto"/>
                <w:kern w:val="44"/>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7D40BB38">
            <w:pPr>
              <w:snapToGrid w:val="0"/>
              <w:spacing w:beforeLines="50" w:after="50" w:line="360" w:lineRule="auto"/>
              <w:rPr>
                <w:rFonts w:ascii="宋体" w:hAnsi="宋体" w:cs="宋体"/>
                <w:b/>
                <w:color w:val="auto"/>
                <w:kern w:val="44"/>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11759D55">
            <w:pPr>
              <w:snapToGrid w:val="0"/>
              <w:spacing w:beforeLines="50" w:after="50" w:line="360" w:lineRule="auto"/>
              <w:rPr>
                <w:rFonts w:ascii="宋体" w:hAnsi="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2C946EB4">
            <w:pPr>
              <w:snapToGrid w:val="0"/>
              <w:spacing w:beforeLines="50" w:after="50" w:line="360" w:lineRule="auto"/>
              <w:rPr>
                <w:rFonts w:ascii="宋体" w:hAnsi="宋体" w:cs="宋体"/>
                <w:b/>
                <w:color w:val="auto"/>
                <w:kern w:val="44"/>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41D3D938">
            <w:pPr>
              <w:snapToGrid w:val="0"/>
              <w:spacing w:beforeLines="50" w:after="50" w:line="360" w:lineRule="auto"/>
              <w:rPr>
                <w:rFonts w:ascii="宋体" w:hAnsi="宋体" w:cs="宋体"/>
                <w:b/>
                <w:color w:val="auto"/>
                <w:kern w:val="44"/>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6FD4A013">
            <w:pPr>
              <w:snapToGrid w:val="0"/>
              <w:spacing w:beforeLines="50" w:after="50" w:line="360" w:lineRule="auto"/>
              <w:rPr>
                <w:rFonts w:ascii="宋体" w:hAnsi="宋体" w:cs="宋体"/>
                <w:b/>
                <w:color w:val="auto"/>
                <w:kern w:val="44"/>
                <w:szCs w:val="21"/>
                <w:highlight w:val="none"/>
              </w:rPr>
            </w:pPr>
          </w:p>
        </w:tc>
        <w:tc>
          <w:tcPr>
            <w:tcW w:w="1504" w:type="dxa"/>
            <w:tcBorders>
              <w:top w:val="single" w:color="auto" w:sz="4" w:space="0"/>
              <w:left w:val="single" w:color="auto" w:sz="4" w:space="0"/>
              <w:bottom w:val="single" w:color="auto" w:sz="4" w:space="0"/>
            </w:tcBorders>
          </w:tcPr>
          <w:p w14:paraId="3EF7FCEF">
            <w:pPr>
              <w:snapToGrid w:val="0"/>
              <w:spacing w:beforeLines="50" w:after="50" w:line="360" w:lineRule="auto"/>
              <w:rPr>
                <w:rFonts w:ascii="宋体" w:hAnsi="宋体" w:cs="宋体"/>
                <w:b/>
                <w:color w:val="auto"/>
                <w:kern w:val="44"/>
                <w:szCs w:val="21"/>
                <w:highlight w:val="none"/>
              </w:rPr>
            </w:pPr>
          </w:p>
        </w:tc>
      </w:tr>
      <w:tr w14:paraId="78825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7E80FDC9">
            <w:pPr>
              <w:snapToGrid w:val="0"/>
              <w:spacing w:beforeLines="50" w:after="50" w:line="360" w:lineRule="auto"/>
              <w:rPr>
                <w:rFonts w:ascii="宋体" w:hAnsi="宋体" w:cs="宋体"/>
                <w:color w:val="auto"/>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7AEC41E6">
            <w:pPr>
              <w:snapToGrid w:val="0"/>
              <w:spacing w:beforeLines="50" w:after="50" w:line="360" w:lineRule="auto"/>
              <w:rPr>
                <w:rFonts w:ascii="宋体" w:hAnsi="宋体" w:cs="宋体"/>
                <w:b/>
                <w:color w:val="auto"/>
                <w:kern w:val="44"/>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7AA85DF1">
            <w:pPr>
              <w:snapToGrid w:val="0"/>
              <w:spacing w:beforeLines="50" w:after="50" w:line="360" w:lineRule="auto"/>
              <w:rPr>
                <w:rFonts w:ascii="宋体" w:hAnsi="宋体" w:cs="宋体"/>
                <w:b/>
                <w:color w:val="auto"/>
                <w:kern w:val="44"/>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22E24C48">
            <w:pPr>
              <w:pStyle w:val="14"/>
              <w:snapToGrid w:val="0"/>
              <w:spacing w:beforeLines="50" w:after="50" w:line="360" w:lineRule="auto"/>
              <w:ind w:left="5250"/>
              <w:rPr>
                <w:rFonts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02E86A10">
            <w:pPr>
              <w:pStyle w:val="14"/>
              <w:snapToGrid w:val="0"/>
              <w:spacing w:beforeLines="50" w:after="50" w:line="360" w:lineRule="auto"/>
              <w:ind w:left="5250"/>
              <w:rPr>
                <w:rFonts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4CA41778">
            <w:pPr>
              <w:pStyle w:val="14"/>
              <w:spacing w:line="360" w:lineRule="auto"/>
              <w:ind w:left="5250"/>
              <w:rPr>
                <w:rFonts w:ascii="宋体" w:hAnsi="宋体" w:eastAsia="宋体" w:cs="宋体"/>
                <w:color w:val="auto"/>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34CE87E6">
            <w:pPr>
              <w:snapToGrid w:val="0"/>
              <w:spacing w:beforeLines="50" w:after="50" w:line="360" w:lineRule="auto"/>
              <w:rPr>
                <w:rFonts w:ascii="宋体" w:hAnsi="宋体" w:cs="宋体"/>
                <w:color w:val="auto"/>
                <w:szCs w:val="21"/>
                <w:highlight w:val="none"/>
              </w:rPr>
            </w:pPr>
          </w:p>
        </w:tc>
        <w:tc>
          <w:tcPr>
            <w:tcW w:w="1504" w:type="dxa"/>
            <w:tcBorders>
              <w:top w:val="single" w:color="auto" w:sz="4" w:space="0"/>
              <w:left w:val="single" w:color="auto" w:sz="4" w:space="0"/>
              <w:bottom w:val="single" w:color="auto" w:sz="4" w:space="0"/>
            </w:tcBorders>
          </w:tcPr>
          <w:p w14:paraId="0FF01651">
            <w:pPr>
              <w:snapToGrid w:val="0"/>
              <w:spacing w:beforeLines="50" w:after="50" w:line="360" w:lineRule="auto"/>
              <w:rPr>
                <w:rFonts w:ascii="宋体" w:hAnsi="宋体" w:cs="宋体"/>
                <w:b/>
                <w:color w:val="auto"/>
                <w:kern w:val="44"/>
                <w:szCs w:val="21"/>
                <w:highlight w:val="none"/>
              </w:rPr>
            </w:pPr>
          </w:p>
        </w:tc>
      </w:tr>
      <w:tr w14:paraId="115FB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07AE73B4">
            <w:pPr>
              <w:snapToGrid w:val="0"/>
              <w:spacing w:beforeLines="50" w:after="50" w:line="360" w:lineRule="auto"/>
              <w:rPr>
                <w:rFonts w:ascii="宋体" w:hAnsi="宋体" w:cs="宋体"/>
                <w:color w:val="auto"/>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0DD35764">
            <w:pPr>
              <w:snapToGrid w:val="0"/>
              <w:spacing w:beforeLines="50" w:after="50" w:line="360" w:lineRule="auto"/>
              <w:rPr>
                <w:rFonts w:ascii="宋体" w:hAnsi="宋体" w:cs="宋体"/>
                <w:b/>
                <w:color w:val="auto"/>
                <w:kern w:val="44"/>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7FDAF602">
            <w:pPr>
              <w:snapToGrid w:val="0"/>
              <w:spacing w:beforeLines="50" w:after="50" w:line="360" w:lineRule="auto"/>
              <w:rPr>
                <w:rFonts w:ascii="宋体" w:hAnsi="宋体" w:cs="宋体"/>
                <w:b/>
                <w:color w:val="auto"/>
                <w:kern w:val="44"/>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174D0A43">
            <w:pPr>
              <w:snapToGrid w:val="0"/>
              <w:spacing w:beforeLines="50" w:after="50" w:line="360" w:lineRule="auto"/>
              <w:rPr>
                <w:rFonts w:ascii="宋体" w:hAnsi="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1BC0841B">
            <w:pPr>
              <w:snapToGrid w:val="0"/>
              <w:spacing w:beforeLines="50" w:after="50" w:line="360" w:lineRule="auto"/>
              <w:rPr>
                <w:rFonts w:ascii="宋体" w:hAnsi="宋体" w:cs="宋体"/>
                <w:b/>
                <w:color w:val="auto"/>
                <w:kern w:val="44"/>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0D400B6B">
            <w:pPr>
              <w:snapToGrid w:val="0"/>
              <w:spacing w:beforeLines="50" w:after="50" w:line="360" w:lineRule="auto"/>
              <w:rPr>
                <w:rFonts w:ascii="宋体" w:hAnsi="宋体" w:cs="宋体"/>
                <w:b/>
                <w:color w:val="auto"/>
                <w:kern w:val="44"/>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594572B4">
            <w:pPr>
              <w:snapToGrid w:val="0"/>
              <w:spacing w:beforeLines="50" w:after="50" w:line="360" w:lineRule="auto"/>
              <w:rPr>
                <w:rFonts w:ascii="宋体" w:hAnsi="宋体" w:cs="宋体"/>
                <w:b/>
                <w:color w:val="auto"/>
                <w:kern w:val="44"/>
                <w:szCs w:val="21"/>
                <w:highlight w:val="none"/>
              </w:rPr>
            </w:pPr>
          </w:p>
        </w:tc>
        <w:tc>
          <w:tcPr>
            <w:tcW w:w="1504" w:type="dxa"/>
            <w:tcBorders>
              <w:top w:val="single" w:color="auto" w:sz="4" w:space="0"/>
              <w:left w:val="single" w:color="auto" w:sz="4" w:space="0"/>
              <w:bottom w:val="single" w:color="auto" w:sz="4" w:space="0"/>
            </w:tcBorders>
          </w:tcPr>
          <w:p w14:paraId="0DDBAEF2">
            <w:pPr>
              <w:snapToGrid w:val="0"/>
              <w:spacing w:beforeLines="50" w:after="50" w:line="360" w:lineRule="auto"/>
              <w:rPr>
                <w:rFonts w:ascii="宋体" w:hAnsi="宋体" w:cs="宋体"/>
                <w:b/>
                <w:color w:val="auto"/>
                <w:kern w:val="44"/>
                <w:szCs w:val="21"/>
                <w:highlight w:val="none"/>
              </w:rPr>
            </w:pPr>
          </w:p>
        </w:tc>
      </w:tr>
      <w:tr w14:paraId="0C362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319709B9">
            <w:pPr>
              <w:snapToGrid w:val="0"/>
              <w:spacing w:beforeLines="50" w:after="50" w:line="360" w:lineRule="auto"/>
              <w:rPr>
                <w:rFonts w:ascii="宋体" w:hAnsi="宋体" w:cs="宋体"/>
                <w:color w:val="auto"/>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21936674">
            <w:pPr>
              <w:snapToGrid w:val="0"/>
              <w:spacing w:beforeLines="50" w:after="50" w:line="360" w:lineRule="auto"/>
              <w:rPr>
                <w:rFonts w:ascii="宋体" w:hAnsi="宋体" w:cs="宋体"/>
                <w:b/>
                <w:color w:val="auto"/>
                <w:kern w:val="44"/>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5CD37C1D">
            <w:pPr>
              <w:snapToGrid w:val="0"/>
              <w:spacing w:beforeLines="50" w:after="50" w:line="360" w:lineRule="auto"/>
              <w:rPr>
                <w:rFonts w:ascii="宋体" w:hAnsi="宋体" w:cs="宋体"/>
                <w:b/>
                <w:color w:val="auto"/>
                <w:kern w:val="44"/>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0AFEA50A">
            <w:pPr>
              <w:snapToGrid w:val="0"/>
              <w:spacing w:beforeLines="50" w:after="50" w:line="360" w:lineRule="auto"/>
              <w:rPr>
                <w:rFonts w:ascii="宋体" w:hAnsi="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33190327">
            <w:pPr>
              <w:snapToGrid w:val="0"/>
              <w:spacing w:beforeLines="50" w:after="50" w:line="360" w:lineRule="auto"/>
              <w:rPr>
                <w:rFonts w:ascii="宋体" w:hAnsi="宋体" w:cs="宋体"/>
                <w:b/>
                <w:color w:val="auto"/>
                <w:kern w:val="44"/>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1C753C51">
            <w:pPr>
              <w:snapToGrid w:val="0"/>
              <w:spacing w:beforeLines="50" w:after="50" w:line="360" w:lineRule="auto"/>
              <w:rPr>
                <w:rFonts w:ascii="宋体" w:hAnsi="宋体" w:cs="宋体"/>
                <w:b/>
                <w:color w:val="auto"/>
                <w:kern w:val="44"/>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6D6F7850">
            <w:pPr>
              <w:snapToGrid w:val="0"/>
              <w:spacing w:beforeLines="50" w:after="50" w:line="360" w:lineRule="auto"/>
              <w:rPr>
                <w:rFonts w:ascii="宋体" w:hAnsi="宋体" w:cs="宋体"/>
                <w:b/>
                <w:color w:val="auto"/>
                <w:kern w:val="44"/>
                <w:szCs w:val="21"/>
                <w:highlight w:val="none"/>
              </w:rPr>
            </w:pPr>
          </w:p>
        </w:tc>
        <w:tc>
          <w:tcPr>
            <w:tcW w:w="1504" w:type="dxa"/>
            <w:tcBorders>
              <w:top w:val="single" w:color="auto" w:sz="4" w:space="0"/>
              <w:left w:val="single" w:color="auto" w:sz="4" w:space="0"/>
              <w:bottom w:val="single" w:color="auto" w:sz="4" w:space="0"/>
            </w:tcBorders>
          </w:tcPr>
          <w:p w14:paraId="00C32125">
            <w:pPr>
              <w:snapToGrid w:val="0"/>
              <w:spacing w:beforeLines="50" w:after="50" w:line="360" w:lineRule="auto"/>
              <w:rPr>
                <w:rFonts w:ascii="宋体" w:hAnsi="宋体" w:cs="宋体"/>
                <w:b/>
                <w:color w:val="auto"/>
                <w:kern w:val="44"/>
                <w:szCs w:val="21"/>
                <w:highlight w:val="none"/>
              </w:rPr>
            </w:pPr>
          </w:p>
        </w:tc>
      </w:tr>
      <w:tr w14:paraId="5F01E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56E61CA1">
            <w:pPr>
              <w:snapToGrid w:val="0"/>
              <w:spacing w:beforeLines="50" w:after="50" w:line="360" w:lineRule="auto"/>
              <w:rPr>
                <w:rFonts w:ascii="宋体" w:hAnsi="宋体" w:cs="宋体"/>
                <w:color w:val="auto"/>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5F850F6A">
            <w:pPr>
              <w:snapToGrid w:val="0"/>
              <w:spacing w:beforeLines="50" w:after="50" w:line="360" w:lineRule="auto"/>
              <w:rPr>
                <w:rFonts w:ascii="宋体" w:hAnsi="宋体" w:cs="宋体"/>
                <w:b/>
                <w:color w:val="auto"/>
                <w:kern w:val="44"/>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3B3C062C">
            <w:pPr>
              <w:snapToGrid w:val="0"/>
              <w:spacing w:beforeLines="50" w:after="50" w:line="360" w:lineRule="auto"/>
              <w:rPr>
                <w:rFonts w:ascii="宋体" w:hAnsi="宋体" w:cs="宋体"/>
                <w:b/>
                <w:color w:val="auto"/>
                <w:kern w:val="44"/>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07484CB1">
            <w:pPr>
              <w:snapToGrid w:val="0"/>
              <w:spacing w:beforeLines="50" w:after="50" w:line="360" w:lineRule="auto"/>
              <w:rPr>
                <w:rFonts w:ascii="宋体" w:hAnsi="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78F9B4B">
            <w:pPr>
              <w:snapToGrid w:val="0"/>
              <w:spacing w:beforeLines="50" w:after="50" w:line="360" w:lineRule="auto"/>
              <w:rPr>
                <w:rFonts w:ascii="宋体" w:hAnsi="宋体" w:cs="宋体"/>
                <w:b/>
                <w:color w:val="auto"/>
                <w:kern w:val="44"/>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5AFAE895">
            <w:pPr>
              <w:snapToGrid w:val="0"/>
              <w:spacing w:beforeLines="50" w:after="50" w:line="360" w:lineRule="auto"/>
              <w:rPr>
                <w:rFonts w:ascii="宋体" w:hAnsi="宋体" w:cs="宋体"/>
                <w:b/>
                <w:color w:val="auto"/>
                <w:kern w:val="44"/>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3FCF8BBB">
            <w:pPr>
              <w:snapToGrid w:val="0"/>
              <w:spacing w:beforeLines="50" w:after="50" w:line="360" w:lineRule="auto"/>
              <w:rPr>
                <w:rFonts w:ascii="宋体" w:hAnsi="宋体" w:cs="宋体"/>
                <w:b/>
                <w:color w:val="auto"/>
                <w:kern w:val="44"/>
                <w:szCs w:val="21"/>
                <w:highlight w:val="none"/>
              </w:rPr>
            </w:pPr>
          </w:p>
        </w:tc>
        <w:tc>
          <w:tcPr>
            <w:tcW w:w="1504" w:type="dxa"/>
            <w:tcBorders>
              <w:top w:val="single" w:color="auto" w:sz="4" w:space="0"/>
              <w:left w:val="single" w:color="auto" w:sz="4" w:space="0"/>
              <w:bottom w:val="single" w:color="auto" w:sz="4" w:space="0"/>
            </w:tcBorders>
          </w:tcPr>
          <w:p w14:paraId="0F10C31C">
            <w:pPr>
              <w:snapToGrid w:val="0"/>
              <w:spacing w:beforeLines="50" w:after="50" w:line="360" w:lineRule="auto"/>
              <w:rPr>
                <w:rFonts w:ascii="宋体" w:hAnsi="宋体" w:cs="宋体"/>
                <w:b/>
                <w:color w:val="auto"/>
                <w:kern w:val="44"/>
                <w:szCs w:val="21"/>
                <w:highlight w:val="none"/>
              </w:rPr>
            </w:pPr>
          </w:p>
        </w:tc>
      </w:tr>
      <w:tr w14:paraId="6C73F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5DEFF167">
            <w:pPr>
              <w:snapToGrid w:val="0"/>
              <w:spacing w:beforeLines="50" w:after="50" w:line="360" w:lineRule="auto"/>
              <w:rPr>
                <w:rFonts w:ascii="宋体" w:hAnsi="宋体" w:cs="宋体"/>
                <w:color w:val="auto"/>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05C3AC79">
            <w:pPr>
              <w:snapToGrid w:val="0"/>
              <w:spacing w:beforeLines="50" w:after="50" w:line="360" w:lineRule="auto"/>
              <w:rPr>
                <w:rFonts w:ascii="宋体" w:hAnsi="宋体" w:cs="宋体"/>
                <w:b/>
                <w:color w:val="auto"/>
                <w:kern w:val="44"/>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0942E164">
            <w:pPr>
              <w:snapToGrid w:val="0"/>
              <w:spacing w:beforeLines="50" w:after="50" w:line="360" w:lineRule="auto"/>
              <w:rPr>
                <w:rFonts w:ascii="宋体" w:hAnsi="宋体" w:cs="宋体"/>
                <w:b/>
                <w:color w:val="auto"/>
                <w:kern w:val="44"/>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2661BD1F">
            <w:pPr>
              <w:snapToGrid w:val="0"/>
              <w:spacing w:beforeLines="50" w:after="50" w:line="360" w:lineRule="auto"/>
              <w:rPr>
                <w:rFonts w:ascii="宋体" w:hAnsi="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081AF36D">
            <w:pPr>
              <w:snapToGrid w:val="0"/>
              <w:spacing w:beforeLines="50" w:after="50" w:line="360" w:lineRule="auto"/>
              <w:rPr>
                <w:rFonts w:ascii="宋体" w:hAnsi="宋体" w:cs="宋体"/>
                <w:b/>
                <w:color w:val="auto"/>
                <w:kern w:val="44"/>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40F1B87A">
            <w:pPr>
              <w:snapToGrid w:val="0"/>
              <w:spacing w:beforeLines="50" w:after="50" w:line="360" w:lineRule="auto"/>
              <w:rPr>
                <w:rFonts w:ascii="宋体" w:hAnsi="宋体" w:cs="宋体"/>
                <w:b/>
                <w:color w:val="auto"/>
                <w:kern w:val="44"/>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7250D46A">
            <w:pPr>
              <w:snapToGrid w:val="0"/>
              <w:spacing w:beforeLines="50" w:after="50" w:line="360" w:lineRule="auto"/>
              <w:rPr>
                <w:rFonts w:ascii="宋体" w:hAnsi="宋体" w:cs="宋体"/>
                <w:b/>
                <w:color w:val="auto"/>
                <w:kern w:val="44"/>
                <w:szCs w:val="21"/>
                <w:highlight w:val="none"/>
              </w:rPr>
            </w:pPr>
          </w:p>
        </w:tc>
        <w:tc>
          <w:tcPr>
            <w:tcW w:w="1504" w:type="dxa"/>
            <w:tcBorders>
              <w:top w:val="single" w:color="auto" w:sz="4" w:space="0"/>
              <w:left w:val="single" w:color="auto" w:sz="4" w:space="0"/>
              <w:bottom w:val="single" w:color="auto" w:sz="4" w:space="0"/>
            </w:tcBorders>
          </w:tcPr>
          <w:p w14:paraId="50CAD019">
            <w:pPr>
              <w:snapToGrid w:val="0"/>
              <w:spacing w:beforeLines="50" w:after="50" w:line="360" w:lineRule="auto"/>
              <w:rPr>
                <w:rFonts w:ascii="宋体" w:hAnsi="宋体" w:cs="宋体"/>
                <w:b/>
                <w:color w:val="auto"/>
                <w:kern w:val="44"/>
                <w:szCs w:val="21"/>
                <w:highlight w:val="none"/>
              </w:rPr>
            </w:pPr>
          </w:p>
        </w:tc>
      </w:tr>
      <w:tr w14:paraId="7A913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374B6474">
            <w:pPr>
              <w:snapToGrid w:val="0"/>
              <w:spacing w:beforeLines="50" w:after="50" w:line="360" w:lineRule="auto"/>
              <w:rPr>
                <w:rFonts w:ascii="宋体" w:hAnsi="宋体" w:cs="宋体"/>
                <w:color w:val="auto"/>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6858C007">
            <w:pPr>
              <w:snapToGrid w:val="0"/>
              <w:spacing w:beforeLines="50" w:after="50" w:line="360" w:lineRule="auto"/>
              <w:rPr>
                <w:rFonts w:ascii="宋体" w:hAnsi="宋体" w:cs="宋体"/>
                <w:b/>
                <w:color w:val="auto"/>
                <w:kern w:val="44"/>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0AF13552">
            <w:pPr>
              <w:snapToGrid w:val="0"/>
              <w:spacing w:beforeLines="50" w:after="50" w:line="360" w:lineRule="auto"/>
              <w:rPr>
                <w:rFonts w:ascii="宋体" w:hAnsi="宋体" w:cs="宋体"/>
                <w:b/>
                <w:color w:val="auto"/>
                <w:kern w:val="44"/>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7BB6B760">
            <w:pPr>
              <w:snapToGrid w:val="0"/>
              <w:spacing w:beforeLines="50" w:after="50" w:line="360" w:lineRule="auto"/>
              <w:rPr>
                <w:rFonts w:ascii="宋体" w:hAnsi="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304F2839">
            <w:pPr>
              <w:snapToGrid w:val="0"/>
              <w:spacing w:beforeLines="50" w:after="50" w:line="360" w:lineRule="auto"/>
              <w:rPr>
                <w:rFonts w:ascii="宋体" w:hAnsi="宋体" w:cs="宋体"/>
                <w:b/>
                <w:color w:val="auto"/>
                <w:kern w:val="44"/>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78D6A400">
            <w:pPr>
              <w:snapToGrid w:val="0"/>
              <w:spacing w:beforeLines="50" w:after="50" w:line="360" w:lineRule="auto"/>
              <w:rPr>
                <w:rFonts w:ascii="宋体" w:hAnsi="宋体" w:cs="宋体"/>
                <w:b/>
                <w:color w:val="auto"/>
                <w:kern w:val="44"/>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3E4B1181">
            <w:pPr>
              <w:snapToGrid w:val="0"/>
              <w:spacing w:beforeLines="50" w:after="50" w:line="360" w:lineRule="auto"/>
              <w:rPr>
                <w:rFonts w:ascii="宋体" w:hAnsi="宋体" w:cs="宋体"/>
                <w:b/>
                <w:color w:val="auto"/>
                <w:kern w:val="44"/>
                <w:szCs w:val="21"/>
                <w:highlight w:val="none"/>
              </w:rPr>
            </w:pPr>
          </w:p>
        </w:tc>
        <w:tc>
          <w:tcPr>
            <w:tcW w:w="1504" w:type="dxa"/>
            <w:tcBorders>
              <w:top w:val="single" w:color="auto" w:sz="4" w:space="0"/>
              <w:left w:val="single" w:color="auto" w:sz="4" w:space="0"/>
              <w:bottom w:val="single" w:color="auto" w:sz="4" w:space="0"/>
            </w:tcBorders>
          </w:tcPr>
          <w:p w14:paraId="3D5180B7">
            <w:pPr>
              <w:snapToGrid w:val="0"/>
              <w:spacing w:beforeLines="50" w:after="50" w:line="360" w:lineRule="auto"/>
              <w:rPr>
                <w:rFonts w:ascii="宋体" w:hAnsi="宋体" w:cs="宋体"/>
                <w:b/>
                <w:color w:val="auto"/>
                <w:kern w:val="44"/>
                <w:szCs w:val="21"/>
                <w:highlight w:val="none"/>
              </w:rPr>
            </w:pPr>
          </w:p>
        </w:tc>
      </w:tr>
    </w:tbl>
    <w:p w14:paraId="37C6154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要求：</w:t>
      </w:r>
    </w:p>
    <w:p w14:paraId="2D1439DF">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在填写时，如本表格不适合投标单位的实际情况，可根据本表格式自行划表填写。</w:t>
      </w:r>
    </w:p>
    <w:p w14:paraId="2151F775">
      <w:pPr>
        <w:pStyle w:val="4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2、附人员证书复印件；</w:t>
      </w:r>
    </w:p>
    <w:p w14:paraId="0C8D57F7">
      <w:pPr>
        <w:pStyle w:val="4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3、出具上述人员在本单位服务的外部证明。</w:t>
      </w:r>
    </w:p>
    <w:p w14:paraId="0DF45C2C">
      <w:pPr>
        <w:spacing w:line="360" w:lineRule="auto"/>
        <w:ind w:left="420"/>
        <w:rPr>
          <w:rFonts w:ascii="宋体" w:hAnsi="宋体" w:cs="宋体"/>
          <w:color w:val="auto"/>
          <w:szCs w:val="21"/>
          <w:highlight w:val="none"/>
        </w:rPr>
      </w:pPr>
    </w:p>
    <w:p w14:paraId="66C61571">
      <w:pPr>
        <w:spacing w:line="360" w:lineRule="auto"/>
        <w:ind w:left="420"/>
        <w:rPr>
          <w:rFonts w:ascii="宋体" w:hAnsi="宋体" w:cs="宋体"/>
          <w:color w:val="auto"/>
          <w:szCs w:val="21"/>
          <w:highlight w:val="none"/>
        </w:rPr>
      </w:pPr>
      <w:r>
        <w:rPr>
          <w:rFonts w:hint="eastAsia" w:ascii="宋体" w:hAnsi="宋体" w:cs="宋体"/>
          <w:color w:val="auto"/>
          <w:szCs w:val="21"/>
          <w:highlight w:val="none"/>
        </w:rPr>
        <w:t>投标人名称（盖章）：</w:t>
      </w:r>
    </w:p>
    <w:p w14:paraId="43DCA9C7">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p>
    <w:p w14:paraId="6216C745">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日期：</w:t>
      </w:r>
    </w:p>
    <w:p w14:paraId="61505B61">
      <w:pPr>
        <w:spacing w:line="360" w:lineRule="auto"/>
        <w:rPr>
          <w:rFonts w:ascii="宋体" w:hAnsi="宋体" w:cs="宋体"/>
          <w:b/>
          <w:color w:val="auto"/>
          <w:sz w:val="28"/>
          <w:highlight w:val="none"/>
        </w:rPr>
      </w:pPr>
    </w:p>
    <w:p w14:paraId="40D19C1A">
      <w:pPr>
        <w:spacing w:line="360" w:lineRule="auto"/>
        <w:rPr>
          <w:rFonts w:ascii="宋体" w:hAnsi="宋体" w:cs="宋体"/>
          <w:b/>
          <w:color w:val="auto"/>
          <w:sz w:val="28"/>
          <w:highlight w:val="none"/>
        </w:rPr>
      </w:pPr>
    </w:p>
    <w:p w14:paraId="468DAA9E">
      <w:pPr>
        <w:spacing w:line="360" w:lineRule="auto"/>
        <w:rPr>
          <w:rFonts w:ascii="宋体" w:hAnsi="宋体" w:cs="宋体"/>
          <w:b/>
          <w:color w:val="auto"/>
          <w:sz w:val="28"/>
          <w:highlight w:val="none"/>
        </w:rPr>
        <w:sectPr>
          <w:pgSz w:w="11906" w:h="16838"/>
          <w:pgMar w:top="1440" w:right="1800" w:bottom="1440" w:left="1800" w:header="851" w:footer="992" w:gutter="0"/>
          <w:cols w:space="425" w:num="1"/>
          <w:docGrid w:type="lines" w:linePitch="312" w:charSpace="0"/>
        </w:sectPr>
      </w:pPr>
    </w:p>
    <w:p w14:paraId="3DC7ECED">
      <w:pPr>
        <w:spacing w:line="360" w:lineRule="auto"/>
        <w:rPr>
          <w:rFonts w:ascii="宋体" w:hAnsi="宋体" w:cs="宋体"/>
          <w:color w:val="auto"/>
          <w:highlight w:val="none"/>
        </w:rPr>
      </w:pPr>
      <w:r>
        <w:rPr>
          <w:rFonts w:hint="eastAsia" w:ascii="宋体" w:hAnsi="宋体" w:cs="宋体"/>
          <w:b/>
          <w:color w:val="auto"/>
          <w:sz w:val="28"/>
          <w:highlight w:val="none"/>
        </w:rPr>
        <w:t>附件8</w:t>
      </w:r>
    </w:p>
    <w:p w14:paraId="1A81C203">
      <w:pPr>
        <w:spacing w:beforeLines="50"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投标人提供的产品供货清单及原产地</w:t>
      </w:r>
    </w:p>
    <w:p w14:paraId="7F71DCF4">
      <w:pPr>
        <w:spacing w:line="360" w:lineRule="auto"/>
        <w:rPr>
          <w:rFonts w:ascii="宋体" w:hAnsi="宋体" w:cs="宋体"/>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18"/>
        <w:gridCol w:w="967"/>
        <w:gridCol w:w="967"/>
        <w:gridCol w:w="967"/>
        <w:gridCol w:w="967"/>
        <w:gridCol w:w="967"/>
        <w:gridCol w:w="967"/>
      </w:tblGrid>
      <w:tr w14:paraId="2F16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5" w:type="dxa"/>
            <w:vAlign w:val="center"/>
          </w:tcPr>
          <w:p w14:paraId="27EAC920">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 号</w:t>
            </w:r>
          </w:p>
        </w:tc>
        <w:tc>
          <w:tcPr>
            <w:tcW w:w="1118" w:type="dxa"/>
            <w:vAlign w:val="center"/>
          </w:tcPr>
          <w:p w14:paraId="2BEB312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名  称</w:t>
            </w:r>
          </w:p>
        </w:tc>
        <w:tc>
          <w:tcPr>
            <w:tcW w:w="967" w:type="dxa"/>
            <w:vAlign w:val="center"/>
          </w:tcPr>
          <w:p w14:paraId="2C2E990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型号</w:t>
            </w:r>
          </w:p>
        </w:tc>
        <w:tc>
          <w:tcPr>
            <w:tcW w:w="967" w:type="dxa"/>
            <w:vAlign w:val="center"/>
          </w:tcPr>
          <w:p w14:paraId="1C8031E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制造商/原产地</w:t>
            </w:r>
          </w:p>
        </w:tc>
        <w:tc>
          <w:tcPr>
            <w:tcW w:w="967" w:type="dxa"/>
            <w:vAlign w:val="center"/>
          </w:tcPr>
          <w:p w14:paraId="468BEED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品牌</w:t>
            </w:r>
          </w:p>
        </w:tc>
        <w:tc>
          <w:tcPr>
            <w:tcW w:w="967" w:type="dxa"/>
            <w:vAlign w:val="center"/>
          </w:tcPr>
          <w:p w14:paraId="79CDD5E0">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单 位</w:t>
            </w:r>
          </w:p>
        </w:tc>
        <w:tc>
          <w:tcPr>
            <w:tcW w:w="967" w:type="dxa"/>
            <w:vAlign w:val="center"/>
          </w:tcPr>
          <w:p w14:paraId="700F5AD2">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 量</w:t>
            </w:r>
          </w:p>
        </w:tc>
        <w:tc>
          <w:tcPr>
            <w:tcW w:w="967" w:type="dxa"/>
            <w:vAlign w:val="center"/>
          </w:tcPr>
          <w:p w14:paraId="714E49A3">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备 注</w:t>
            </w:r>
          </w:p>
          <w:p w14:paraId="61920B2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w:t>
            </w:r>
          </w:p>
        </w:tc>
      </w:tr>
      <w:tr w14:paraId="6C31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15" w:type="dxa"/>
            <w:vAlign w:val="center"/>
          </w:tcPr>
          <w:p w14:paraId="5523AE9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118" w:type="dxa"/>
            <w:vAlign w:val="center"/>
          </w:tcPr>
          <w:p w14:paraId="2DA6BE8C">
            <w:pPr>
              <w:spacing w:line="360" w:lineRule="auto"/>
              <w:jc w:val="center"/>
              <w:rPr>
                <w:rFonts w:ascii="宋体" w:hAnsi="宋体" w:cs="宋体"/>
                <w:color w:val="auto"/>
                <w:szCs w:val="21"/>
                <w:highlight w:val="none"/>
              </w:rPr>
            </w:pPr>
          </w:p>
        </w:tc>
        <w:tc>
          <w:tcPr>
            <w:tcW w:w="967" w:type="dxa"/>
            <w:vAlign w:val="center"/>
          </w:tcPr>
          <w:p w14:paraId="07E0A987">
            <w:pPr>
              <w:spacing w:line="360" w:lineRule="auto"/>
              <w:jc w:val="center"/>
              <w:rPr>
                <w:rFonts w:ascii="宋体" w:hAnsi="宋体" w:cs="宋体"/>
                <w:color w:val="auto"/>
                <w:szCs w:val="21"/>
                <w:highlight w:val="none"/>
              </w:rPr>
            </w:pPr>
          </w:p>
        </w:tc>
        <w:tc>
          <w:tcPr>
            <w:tcW w:w="967" w:type="dxa"/>
            <w:vAlign w:val="center"/>
          </w:tcPr>
          <w:p w14:paraId="492DBD9C">
            <w:pPr>
              <w:spacing w:line="360" w:lineRule="auto"/>
              <w:jc w:val="center"/>
              <w:rPr>
                <w:rFonts w:ascii="宋体" w:hAnsi="宋体" w:cs="宋体"/>
                <w:color w:val="auto"/>
                <w:szCs w:val="21"/>
                <w:highlight w:val="none"/>
              </w:rPr>
            </w:pPr>
          </w:p>
        </w:tc>
        <w:tc>
          <w:tcPr>
            <w:tcW w:w="967" w:type="dxa"/>
            <w:vAlign w:val="center"/>
          </w:tcPr>
          <w:p w14:paraId="4D2D11BF">
            <w:pPr>
              <w:spacing w:line="360" w:lineRule="auto"/>
              <w:jc w:val="center"/>
              <w:rPr>
                <w:rFonts w:ascii="宋体" w:hAnsi="宋体" w:cs="宋体"/>
                <w:color w:val="auto"/>
                <w:szCs w:val="21"/>
                <w:highlight w:val="none"/>
              </w:rPr>
            </w:pPr>
          </w:p>
        </w:tc>
        <w:tc>
          <w:tcPr>
            <w:tcW w:w="967" w:type="dxa"/>
            <w:vAlign w:val="center"/>
          </w:tcPr>
          <w:p w14:paraId="1E034252">
            <w:pPr>
              <w:spacing w:line="360" w:lineRule="auto"/>
              <w:jc w:val="center"/>
              <w:rPr>
                <w:rFonts w:ascii="宋体" w:hAnsi="宋体" w:cs="宋体"/>
                <w:color w:val="auto"/>
                <w:szCs w:val="21"/>
                <w:highlight w:val="none"/>
              </w:rPr>
            </w:pPr>
          </w:p>
        </w:tc>
        <w:tc>
          <w:tcPr>
            <w:tcW w:w="967" w:type="dxa"/>
            <w:vAlign w:val="center"/>
          </w:tcPr>
          <w:p w14:paraId="3FB7ED21">
            <w:pPr>
              <w:spacing w:line="360" w:lineRule="auto"/>
              <w:jc w:val="center"/>
              <w:rPr>
                <w:rFonts w:ascii="宋体" w:hAnsi="宋体" w:cs="宋体"/>
                <w:color w:val="auto"/>
                <w:szCs w:val="21"/>
                <w:highlight w:val="none"/>
              </w:rPr>
            </w:pPr>
          </w:p>
        </w:tc>
        <w:tc>
          <w:tcPr>
            <w:tcW w:w="967" w:type="dxa"/>
            <w:vAlign w:val="center"/>
          </w:tcPr>
          <w:p w14:paraId="6B7F20E8">
            <w:pPr>
              <w:spacing w:line="360" w:lineRule="auto"/>
              <w:jc w:val="center"/>
              <w:rPr>
                <w:rFonts w:ascii="宋体" w:hAnsi="宋体" w:cs="宋体"/>
                <w:color w:val="auto"/>
                <w:szCs w:val="21"/>
                <w:highlight w:val="none"/>
              </w:rPr>
            </w:pPr>
          </w:p>
        </w:tc>
      </w:tr>
      <w:tr w14:paraId="4D50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5" w:type="dxa"/>
          </w:tcPr>
          <w:p w14:paraId="2187CF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118" w:type="dxa"/>
          </w:tcPr>
          <w:p w14:paraId="47E48245">
            <w:pPr>
              <w:spacing w:line="360" w:lineRule="auto"/>
              <w:jc w:val="center"/>
              <w:rPr>
                <w:rFonts w:ascii="宋体" w:hAnsi="宋体" w:cs="宋体"/>
                <w:color w:val="auto"/>
                <w:szCs w:val="21"/>
                <w:highlight w:val="none"/>
              </w:rPr>
            </w:pPr>
          </w:p>
        </w:tc>
        <w:tc>
          <w:tcPr>
            <w:tcW w:w="967" w:type="dxa"/>
          </w:tcPr>
          <w:p w14:paraId="06C8455D">
            <w:pPr>
              <w:spacing w:line="360" w:lineRule="auto"/>
              <w:jc w:val="center"/>
              <w:rPr>
                <w:rFonts w:ascii="宋体" w:hAnsi="宋体" w:cs="宋体"/>
                <w:color w:val="auto"/>
                <w:szCs w:val="21"/>
                <w:highlight w:val="none"/>
              </w:rPr>
            </w:pPr>
          </w:p>
        </w:tc>
        <w:tc>
          <w:tcPr>
            <w:tcW w:w="967" w:type="dxa"/>
          </w:tcPr>
          <w:p w14:paraId="5741A240">
            <w:pPr>
              <w:spacing w:line="360" w:lineRule="auto"/>
              <w:jc w:val="center"/>
              <w:rPr>
                <w:rFonts w:ascii="宋体" w:hAnsi="宋体" w:cs="宋体"/>
                <w:color w:val="auto"/>
                <w:szCs w:val="21"/>
                <w:highlight w:val="none"/>
              </w:rPr>
            </w:pPr>
          </w:p>
        </w:tc>
        <w:tc>
          <w:tcPr>
            <w:tcW w:w="967" w:type="dxa"/>
          </w:tcPr>
          <w:p w14:paraId="6D74C6AB">
            <w:pPr>
              <w:spacing w:line="360" w:lineRule="auto"/>
              <w:jc w:val="center"/>
              <w:rPr>
                <w:rFonts w:ascii="宋体" w:hAnsi="宋体" w:cs="宋体"/>
                <w:color w:val="auto"/>
                <w:szCs w:val="21"/>
                <w:highlight w:val="none"/>
              </w:rPr>
            </w:pPr>
          </w:p>
        </w:tc>
        <w:tc>
          <w:tcPr>
            <w:tcW w:w="967" w:type="dxa"/>
          </w:tcPr>
          <w:p w14:paraId="67C64734">
            <w:pPr>
              <w:spacing w:line="360" w:lineRule="auto"/>
              <w:jc w:val="center"/>
              <w:rPr>
                <w:rFonts w:ascii="宋体" w:hAnsi="宋体" w:cs="宋体"/>
                <w:color w:val="auto"/>
                <w:szCs w:val="21"/>
                <w:highlight w:val="none"/>
              </w:rPr>
            </w:pPr>
          </w:p>
        </w:tc>
        <w:tc>
          <w:tcPr>
            <w:tcW w:w="967" w:type="dxa"/>
          </w:tcPr>
          <w:p w14:paraId="74278159">
            <w:pPr>
              <w:spacing w:line="360" w:lineRule="auto"/>
              <w:jc w:val="center"/>
              <w:rPr>
                <w:rFonts w:ascii="宋体" w:hAnsi="宋体" w:cs="宋体"/>
                <w:color w:val="auto"/>
                <w:szCs w:val="21"/>
                <w:highlight w:val="none"/>
              </w:rPr>
            </w:pPr>
          </w:p>
        </w:tc>
        <w:tc>
          <w:tcPr>
            <w:tcW w:w="967" w:type="dxa"/>
          </w:tcPr>
          <w:p w14:paraId="40B75A40">
            <w:pPr>
              <w:spacing w:line="360" w:lineRule="auto"/>
              <w:jc w:val="center"/>
              <w:rPr>
                <w:rFonts w:ascii="宋体" w:hAnsi="宋体" w:cs="宋体"/>
                <w:color w:val="auto"/>
                <w:szCs w:val="21"/>
                <w:highlight w:val="none"/>
              </w:rPr>
            </w:pPr>
          </w:p>
        </w:tc>
      </w:tr>
      <w:tr w14:paraId="02E6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15" w:type="dxa"/>
          </w:tcPr>
          <w:p w14:paraId="73AF25C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118" w:type="dxa"/>
          </w:tcPr>
          <w:p w14:paraId="760B7007">
            <w:pPr>
              <w:spacing w:line="360" w:lineRule="auto"/>
              <w:jc w:val="center"/>
              <w:rPr>
                <w:rFonts w:ascii="宋体" w:hAnsi="宋体" w:cs="宋体"/>
                <w:color w:val="auto"/>
                <w:szCs w:val="21"/>
                <w:highlight w:val="none"/>
              </w:rPr>
            </w:pPr>
          </w:p>
        </w:tc>
        <w:tc>
          <w:tcPr>
            <w:tcW w:w="967" w:type="dxa"/>
          </w:tcPr>
          <w:p w14:paraId="6EEF47B8">
            <w:pPr>
              <w:spacing w:line="360" w:lineRule="auto"/>
              <w:jc w:val="center"/>
              <w:rPr>
                <w:rFonts w:ascii="宋体" w:hAnsi="宋体" w:cs="宋体"/>
                <w:color w:val="auto"/>
                <w:szCs w:val="21"/>
                <w:highlight w:val="none"/>
              </w:rPr>
            </w:pPr>
          </w:p>
        </w:tc>
        <w:tc>
          <w:tcPr>
            <w:tcW w:w="967" w:type="dxa"/>
          </w:tcPr>
          <w:p w14:paraId="3DDD0D8F">
            <w:pPr>
              <w:spacing w:line="360" w:lineRule="auto"/>
              <w:jc w:val="center"/>
              <w:rPr>
                <w:rFonts w:ascii="宋体" w:hAnsi="宋体" w:cs="宋体"/>
                <w:color w:val="auto"/>
                <w:szCs w:val="21"/>
                <w:highlight w:val="none"/>
              </w:rPr>
            </w:pPr>
          </w:p>
        </w:tc>
        <w:tc>
          <w:tcPr>
            <w:tcW w:w="967" w:type="dxa"/>
          </w:tcPr>
          <w:p w14:paraId="7DA89499">
            <w:pPr>
              <w:spacing w:line="360" w:lineRule="auto"/>
              <w:jc w:val="center"/>
              <w:rPr>
                <w:rFonts w:ascii="宋体" w:hAnsi="宋体" w:cs="宋体"/>
                <w:color w:val="auto"/>
                <w:szCs w:val="21"/>
                <w:highlight w:val="none"/>
              </w:rPr>
            </w:pPr>
          </w:p>
        </w:tc>
        <w:tc>
          <w:tcPr>
            <w:tcW w:w="967" w:type="dxa"/>
          </w:tcPr>
          <w:p w14:paraId="07ED1531">
            <w:pPr>
              <w:spacing w:line="360" w:lineRule="auto"/>
              <w:jc w:val="center"/>
              <w:rPr>
                <w:rFonts w:ascii="宋体" w:hAnsi="宋体" w:cs="宋体"/>
                <w:color w:val="auto"/>
                <w:szCs w:val="21"/>
                <w:highlight w:val="none"/>
              </w:rPr>
            </w:pPr>
          </w:p>
        </w:tc>
        <w:tc>
          <w:tcPr>
            <w:tcW w:w="967" w:type="dxa"/>
          </w:tcPr>
          <w:p w14:paraId="7433FB00">
            <w:pPr>
              <w:spacing w:line="360" w:lineRule="auto"/>
              <w:jc w:val="center"/>
              <w:rPr>
                <w:rFonts w:ascii="宋体" w:hAnsi="宋体" w:cs="宋体"/>
                <w:color w:val="auto"/>
                <w:szCs w:val="21"/>
                <w:highlight w:val="none"/>
              </w:rPr>
            </w:pPr>
          </w:p>
        </w:tc>
        <w:tc>
          <w:tcPr>
            <w:tcW w:w="967" w:type="dxa"/>
          </w:tcPr>
          <w:p w14:paraId="1583DF42">
            <w:pPr>
              <w:spacing w:line="360" w:lineRule="auto"/>
              <w:jc w:val="center"/>
              <w:rPr>
                <w:rFonts w:ascii="宋体" w:hAnsi="宋体" w:cs="宋体"/>
                <w:color w:val="auto"/>
                <w:szCs w:val="21"/>
                <w:highlight w:val="none"/>
              </w:rPr>
            </w:pPr>
          </w:p>
        </w:tc>
      </w:tr>
      <w:tr w14:paraId="5D7A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5" w:type="dxa"/>
          </w:tcPr>
          <w:p w14:paraId="23B4DC4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118" w:type="dxa"/>
          </w:tcPr>
          <w:p w14:paraId="2A092EB2">
            <w:pPr>
              <w:spacing w:line="360" w:lineRule="auto"/>
              <w:jc w:val="center"/>
              <w:rPr>
                <w:rFonts w:ascii="宋体" w:hAnsi="宋体" w:cs="宋体"/>
                <w:color w:val="auto"/>
                <w:szCs w:val="21"/>
                <w:highlight w:val="none"/>
              </w:rPr>
            </w:pPr>
          </w:p>
        </w:tc>
        <w:tc>
          <w:tcPr>
            <w:tcW w:w="967" w:type="dxa"/>
          </w:tcPr>
          <w:p w14:paraId="3E851C79">
            <w:pPr>
              <w:spacing w:line="360" w:lineRule="auto"/>
              <w:jc w:val="center"/>
              <w:rPr>
                <w:rFonts w:ascii="宋体" w:hAnsi="宋体" w:cs="宋体"/>
                <w:color w:val="auto"/>
                <w:szCs w:val="21"/>
                <w:highlight w:val="none"/>
              </w:rPr>
            </w:pPr>
          </w:p>
        </w:tc>
        <w:tc>
          <w:tcPr>
            <w:tcW w:w="967" w:type="dxa"/>
          </w:tcPr>
          <w:p w14:paraId="0FC38135">
            <w:pPr>
              <w:spacing w:line="360" w:lineRule="auto"/>
              <w:jc w:val="center"/>
              <w:rPr>
                <w:rFonts w:ascii="宋体" w:hAnsi="宋体" w:cs="宋体"/>
                <w:color w:val="auto"/>
                <w:szCs w:val="21"/>
                <w:highlight w:val="none"/>
              </w:rPr>
            </w:pPr>
          </w:p>
        </w:tc>
        <w:tc>
          <w:tcPr>
            <w:tcW w:w="967" w:type="dxa"/>
          </w:tcPr>
          <w:p w14:paraId="720B7484">
            <w:pPr>
              <w:spacing w:line="360" w:lineRule="auto"/>
              <w:jc w:val="center"/>
              <w:rPr>
                <w:rFonts w:ascii="宋体" w:hAnsi="宋体" w:cs="宋体"/>
                <w:color w:val="auto"/>
                <w:szCs w:val="21"/>
                <w:highlight w:val="none"/>
              </w:rPr>
            </w:pPr>
          </w:p>
        </w:tc>
        <w:tc>
          <w:tcPr>
            <w:tcW w:w="967" w:type="dxa"/>
          </w:tcPr>
          <w:p w14:paraId="5C3AE4A0">
            <w:pPr>
              <w:spacing w:line="360" w:lineRule="auto"/>
              <w:jc w:val="center"/>
              <w:rPr>
                <w:rFonts w:ascii="宋体" w:hAnsi="宋体" w:cs="宋体"/>
                <w:color w:val="auto"/>
                <w:szCs w:val="21"/>
                <w:highlight w:val="none"/>
              </w:rPr>
            </w:pPr>
          </w:p>
        </w:tc>
        <w:tc>
          <w:tcPr>
            <w:tcW w:w="967" w:type="dxa"/>
          </w:tcPr>
          <w:p w14:paraId="5F9D8929">
            <w:pPr>
              <w:spacing w:line="360" w:lineRule="auto"/>
              <w:jc w:val="center"/>
              <w:rPr>
                <w:rFonts w:ascii="宋体" w:hAnsi="宋体" w:cs="宋体"/>
                <w:color w:val="auto"/>
                <w:szCs w:val="21"/>
                <w:highlight w:val="none"/>
              </w:rPr>
            </w:pPr>
          </w:p>
        </w:tc>
        <w:tc>
          <w:tcPr>
            <w:tcW w:w="967" w:type="dxa"/>
          </w:tcPr>
          <w:p w14:paraId="522614FB">
            <w:pPr>
              <w:spacing w:line="360" w:lineRule="auto"/>
              <w:jc w:val="center"/>
              <w:rPr>
                <w:rFonts w:ascii="宋体" w:hAnsi="宋体" w:cs="宋体"/>
                <w:color w:val="auto"/>
                <w:szCs w:val="21"/>
                <w:highlight w:val="none"/>
              </w:rPr>
            </w:pPr>
          </w:p>
        </w:tc>
      </w:tr>
      <w:tr w14:paraId="5D94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15" w:type="dxa"/>
          </w:tcPr>
          <w:p w14:paraId="59DB595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118" w:type="dxa"/>
          </w:tcPr>
          <w:p w14:paraId="374DBBB0">
            <w:pPr>
              <w:spacing w:line="360" w:lineRule="auto"/>
              <w:jc w:val="center"/>
              <w:rPr>
                <w:rFonts w:ascii="宋体" w:hAnsi="宋体" w:cs="宋体"/>
                <w:color w:val="auto"/>
                <w:szCs w:val="21"/>
                <w:highlight w:val="none"/>
              </w:rPr>
            </w:pPr>
          </w:p>
        </w:tc>
        <w:tc>
          <w:tcPr>
            <w:tcW w:w="967" w:type="dxa"/>
          </w:tcPr>
          <w:p w14:paraId="5EF56FBE">
            <w:pPr>
              <w:spacing w:line="360" w:lineRule="auto"/>
              <w:jc w:val="center"/>
              <w:rPr>
                <w:rFonts w:ascii="宋体" w:hAnsi="宋体" w:cs="宋体"/>
                <w:color w:val="auto"/>
                <w:szCs w:val="21"/>
                <w:highlight w:val="none"/>
              </w:rPr>
            </w:pPr>
          </w:p>
        </w:tc>
        <w:tc>
          <w:tcPr>
            <w:tcW w:w="967" w:type="dxa"/>
          </w:tcPr>
          <w:p w14:paraId="001623A6">
            <w:pPr>
              <w:spacing w:line="360" w:lineRule="auto"/>
              <w:jc w:val="center"/>
              <w:rPr>
                <w:rFonts w:ascii="宋体" w:hAnsi="宋体" w:cs="宋体"/>
                <w:color w:val="auto"/>
                <w:szCs w:val="21"/>
                <w:highlight w:val="none"/>
              </w:rPr>
            </w:pPr>
          </w:p>
        </w:tc>
        <w:tc>
          <w:tcPr>
            <w:tcW w:w="967" w:type="dxa"/>
          </w:tcPr>
          <w:p w14:paraId="16C48FE9">
            <w:pPr>
              <w:spacing w:line="360" w:lineRule="auto"/>
              <w:jc w:val="center"/>
              <w:rPr>
                <w:rFonts w:ascii="宋体" w:hAnsi="宋体" w:cs="宋体"/>
                <w:color w:val="auto"/>
                <w:szCs w:val="21"/>
                <w:highlight w:val="none"/>
              </w:rPr>
            </w:pPr>
          </w:p>
        </w:tc>
        <w:tc>
          <w:tcPr>
            <w:tcW w:w="967" w:type="dxa"/>
          </w:tcPr>
          <w:p w14:paraId="230603A2">
            <w:pPr>
              <w:spacing w:line="360" w:lineRule="auto"/>
              <w:jc w:val="center"/>
              <w:rPr>
                <w:rFonts w:ascii="宋体" w:hAnsi="宋体" w:cs="宋体"/>
                <w:color w:val="auto"/>
                <w:szCs w:val="21"/>
                <w:highlight w:val="none"/>
              </w:rPr>
            </w:pPr>
          </w:p>
        </w:tc>
        <w:tc>
          <w:tcPr>
            <w:tcW w:w="967" w:type="dxa"/>
          </w:tcPr>
          <w:p w14:paraId="03FF0FE1">
            <w:pPr>
              <w:spacing w:line="360" w:lineRule="auto"/>
              <w:jc w:val="center"/>
              <w:rPr>
                <w:rFonts w:ascii="宋体" w:hAnsi="宋体" w:cs="宋体"/>
                <w:color w:val="auto"/>
                <w:szCs w:val="21"/>
                <w:highlight w:val="none"/>
              </w:rPr>
            </w:pPr>
          </w:p>
        </w:tc>
        <w:tc>
          <w:tcPr>
            <w:tcW w:w="967" w:type="dxa"/>
          </w:tcPr>
          <w:p w14:paraId="7605B4D1">
            <w:pPr>
              <w:spacing w:line="360" w:lineRule="auto"/>
              <w:jc w:val="center"/>
              <w:rPr>
                <w:rFonts w:ascii="宋体" w:hAnsi="宋体" w:cs="宋体"/>
                <w:color w:val="auto"/>
                <w:szCs w:val="21"/>
                <w:highlight w:val="none"/>
              </w:rPr>
            </w:pPr>
          </w:p>
        </w:tc>
      </w:tr>
      <w:tr w14:paraId="1E5D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15" w:type="dxa"/>
          </w:tcPr>
          <w:p w14:paraId="3D1EBB3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118" w:type="dxa"/>
          </w:tcPr>
          <w:p w14:paraId="4DE954C1">
            <w:pPr>
              <w:spacing w:line="360" w:lineRule="auto"/>
              <w:jc w:val="center"/>
              <w:rPr>
                <w:rFonts w:ascii="宋体" w:hAnsi="宋体" w:cs="宋体"/>
                <w:color w:val="auto"/>
                <w:szCs w:val="21"/>
                <w:highlight w:val="none"/>
              </w:rPr>
            </w:pPr>
          </w:p>
        </w:tc>
        <w:tc>
          <w:tcPr>
            <w:tcW w:w="967" w:type="dxa"/>
          </w:tcPr>
          <w:p w14:paraId="56CDD7A5">
            <w:pPr>
              <w:spacing w:line="360" w:lineRule="auto"/>
              <w:jc w:val="center"/>
              <w:rPr>
                <w:rFonts w:ascii="宋体" w:hAnsi="宋体" w:cs="宋体"/>
                <w:color w:val="auto"/>
                <w:szCs w:val="21"/>
                <w:highlight w:val="none"/>
              </w:rPr>
            </w:pPr>
          </w:p>
        </w:tc>
        <w:tc>
          <w:tcPr>
            <w:tcW w:w="967" w:type="dxa"/>
          </w:tcPr>
          <w:p w14:paraId="0A3598B4">
            <w:pPr>
              <w:spacing w:line="360" w:lineRule="auto"/>
              <w:jc w:val="center"/>
              <w:rPr>
                <w:rFonts w:ascii="宋体" w:hAnsi="宋体" w:cs="宋体"/>
                <w:color w:val="auto"/>
                <w:szCs w:val="21"/>
                <w:highlight w:val="none"/>
              </w:rPr>
            </w:pPr>
          </w:p>
        </w:tc>
        <w:tc>
          <w:tcPr>
            <w:tcW w:w="967" w:type="dxa"/>
          </w:tcPr>
          <w:p w14:paraId="37C74F05">
            <w:pPr>
              <w:spacing w:line="360" w:lineRule="auto"/>
              <w:jc w:val="center"/>
              <w:rPr>
                <w:rFonts w:ascii="宋体" w:hAnsi="宋体" w:cs="宋体"/>
                <w:color w:val="auto"/>
                <w:szCs w:val="21"/>
                <w:highlight w:val="none"/>
              </w:rPr>
            </w:pPr>
          </w:p>
        </w:tc>
        <w:tc>
          <w:tcPr>
            <w:tcW w:w="967" w:type="dxa"/>
          </w:tcPr>
          <w:p w14:paraId="3247719B">
            <w:pPr>
              <w:spacing w:line="360" w:lineRule="auto"/>
              <w:jc w:val="center"/>
              <w:rPr>
                <w:rFonts w:ascii="宋体" w:hAnsi="宋体" w:cs="宋体"/>
                <w:color w:val="auto"/>
                <w:szCs w:val="21"/>
                <w:highlight w:val="none"/>
              </w:rPr>
            </w:pPr>
          </w:p>
        </w:tc>
        <w:tc>
          <w:tcPr>
            <w:tcW w:w="967" w:type="dxa"/>
          </w:tcPr>
          <w:p w14:paraId="77A936D9">
            <w:pPr>
              <w:spacing w:line="360" w:lineRule="auto"/>
              <w:jc w:val="center"/>
              <w:rPr>
                <w:rFonts w:ascii="宋体" w:hAnsi="宋体" w:cs="宋体"/>
                <w:color w:val="auto"/>
                <w:szCs w:val="21"/>
                <w:highlight w:val="none"/>
              </w:rPr>
            </w:pPr>
          </w:p>
        </w:tc>
        <w:tc>
          <w:tcPr>
            <w:tcW w:w="967" w:type="dxa"/>
          </w:tcPr>
          <w:p w14:paraId="147D8785">
            <w:pPr>
              <w:spacing w:line="360" w:lineRule="auto"/>
              <w:jc w:val="center"/>
              <w:rPr>
                <w:rFonts w:ascii="宋体" w:hAnsi="宋体" w:cs="宋体"/>
                <w:color w:val="auto"/>
                <w:szCs w:val="21"/>
                <w:highlight w:val="none"/>
              </w:rPr>
            </w:pPr>
          </w:p>
        </w:tc>
      </w:tr>
      <w:tr w14:paraId="59D1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15" w:type="dxa"/>
          </w:tcPr>
          <w:p w14:paraId="16A19F8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118" w:type="dxa"/>
          </w:tcPr>
          <w:p w14:paraId="7B192322">
            <w:pPr>
              <w:spacing w:line="360" w:lineRule="auto"/>
              <w:jc w:val="center"/>
              <w:rPr>
                <w:rFonts w:ascii="宋体" w:hAnsi="宋体" w:cs="宋体"/>
                <w:color w:val="auto"/>
                <w:szCs w:val="21"/>
                <w:highlight w:val="none"/>
              </w:rPr>
            </w:pPr>
          </w:p>
        </w:tc>
        <w:tc>
          <w:tcPr>
            <w:tcW w:w="967" w:type="dxa"/>
          </w:tcPr>
          <w:p w14:paraId="0190475A">
            <w:pPr>
              <w:spacing w:line="360" w:lineRule="auto"/>
              <w:jc w:val="center"/>
              <w:rPr>
                <w:rFonts w:ascii="宋体" w:hAnsi="宋体" w:cs="宋体"/>
                <w:color w:val="auto"/>
                <w:szCs w:val="21"/>
                <w:highlight w:val="none"/>
              </w:rPr>
            </w:pPr>
          </w:p>
        </w:tc>
        <w:tc>
          <w:tcPr>
            <w:tcW w:w="967" w:type="dxa"/>
          </w:tcPr>
          <w:p w14:paraId="0D11B6FC">
            <w:pPr>
              <w:spacing w:line="360" w:lineRule="auto"/>
              <w:jc w:val="center"/>
              <w:rPr>
                <w:rFonts w:ascii="宋体" w:hAnsi="宋体" w:cs="宋体"/>
                <w:color w:val="auto"/>
                <w:szCs w:val="21"/>
                <w:highlight w:val="none"/>
              </w:rPr>
            </w:pPr>
          </w:p>
        </w:tc>
        <w:tc>
          <w:tcPr>
            <w:tcW w:w="967" w:type="dxa"/>
          </w:tcPr>
          <w:p w14:paraId="0783751C">
            <w:pPr>
              <w:spacing w:line="360" w:lineRule="auto"/>
              <w:jc w:val="center"/>
              <w:rPr>
                <w:rFonts w:ascii="宋体" w:hAnsi="宋体" w:cs="宋体"/>
                <w:color w:val="auto"/>
                <w:szCs w:val="21"/>
                <w:highlight w:val="none"/>
              </w:rPr>
            </w:pPr>
          </w:p>
        </w:tc>
        <w:tc>
          <w:tcPr>
            <w:tcW w:w="967" w:type="dxa"/>
          </w:tcPr>
          <w:p w14:paraId="262C39E8">
            <w:pPr>
              <w:spacing w:line="360" w:lineRule="auto"/>
              <w:jc w:val="center"/>
              <w:rPr>
                <w:rFonts w:ascii="宋体" w:hAnsi="宋体" w:cs="宋体"/>
                <w:color w:val="auto"/>
                <w:szCs w:val="21"/>
                <w:highlight w:val="none"/>
              </w:rPr>
            </w:pPr>
          </w:p>
        </w:tc>
        <w:tc>
          <w:tcPr>
            <w:tcW w:w="967" w:type="dxa"/>
          </w:tcPr>
          <w:p w14:paraId="1AEFF9FC">
            <w:pPr>
              <w:spacing w:line="360" w:lineRule="auto"/>
              <w:jc w:val="center"/>
              <w:rPr>
                <w:rFonts w:ascii="宋体" w:hAnsi="宋体" w:cs="宋体"/>
                <w:color w:val="auto"/>
                <w:szCs w:val="21"/>
                <w:highlight w:val="none"/>
              </w:rPr>
            </w:pPr>
          </w:p>
        </w:tc>
        <w:tc>
          <w:tcPr>
            <w:tcW w:w="967" w:type="dxa"/>
          </w:tcPr>
          <w:p w14:paraId="1BD4C99B">
            <w:pPr>
              <w:spacing w:line="360" w:lineRule="auto"/>
              <w:jc w:val="center"/>
              <w:rPr>
                <w:rFonts w:ascii="宋体" w:hAnsi="宋体" w:cs="宋体"/>
                <w:color w:val="auto"/>
                <w:szCs w:val="21"/>
                <w:highlight w:val="none"/>
              </w:rPr>
            </w:pPr>
          </w:p>
        </w:tc>
      </w:tr>
      <w:tr w14:paraId="492E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5" w:type="dxa"/>
          </w:tcPr>
          <w:p w14:paraId="7565D348">
            <w:pPr>
              <w:spacing w:line="360" w:lineRule="auto"/>
              <w:jc w:val="center"/>
              <w:rPr>
                <w:rFonts w:ascii="宋体" w:hAnsi="宋体" w:cs="宋体"/>
                <w:color w:val="auto"/>
                <w:szCs w:val="21"/>
                <w:highlight w:val="none"/>
              </w:rPr>
            </w:pPr>
          </w:p>
        </w:tc>
        <w:tc>
          <w:tcPr>
            <w:tcW w:w="1118" w:type="dxa"/>
          </w:tcPr>
          <w:p w14:paraId="1282A88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随产品备品备件</w:t>
            </w:r>
          </w:p>
        </w:tc>
        <w:tc>
          <w:tcPr>
            <w:tcW w:w="967" w:type="dxa"/>
          </w:tcPr>
          <w:p w14:paraId="0ABF7D3C">
            <w:pPr>
              <w:spacing w:line="360" w:lineRule="auto"/>
              <w:jc w:val="center"/>
              <w:rPr>
                <w:rFonts w:ascii="宋体" w:hAnsi="宋体" w:cs="宋体"/>
                <w:color w:val="auto"/>
                <w:szCs w:val="21"/>
                <w:highlight w:val="none"/>
              </w:rPr>
            </w:pPr>
          </w:p>
        </w:tc>
        <w:tc>
          <w:tcPr>
            <w:tcW w:w="967" w:type="dxa"/>
          </w:tcPr>
          <w:p w14:paraId="000A70FA">
            <w:pPr>
              <w:spacing w:line="360" w:lineRule="auto"/>
              <w:jc w:val="center"/>
              <w:rPr>
                <w:rFonts w:ascii="宋体" w:hAnsi="宋体" w:cs="宋体"/>
                <w:color w:val="auto"/>
                <w:szCs w:val="21"/>
                <w:highlight w:val="none"/>
              </w:rPr>
            </w:pPr>
          </w:p>
        </w:tc>
        <w:tc>
          <w:tcPr>
            <w:tcW w:w="967" w:type="dxa"/>
          </w:tcPr>
          <w:p w14:paraId="4DAA2615">
            <w:pPr>
              <w:spacing w:line="360" w:lineRule="auto"/>
              <w:jc w:val="center"/>
              <w:rPr>
                <w:rFonts w:ascii="宋体" w:hAnsi="宋体" w:cs="宋体"/>
                <w:color w:val="auto"/>
                <w:szCs w:val="21"/>
                <w:highlight w:val="none"/>
              </w:rPr>
            </w:pPr>
          </w:p>
        </w:tc>
        <w:tc>
          <w:tcPr>
            <w:tcW w:w="967" w:type="dxa"/>
          </w:tcPr>
          <w:p w14:paraId="0A1E47D9">
            <w:pPr>
              <w:spacing w:line="360" w:lineRule="auto"/>
              <w:jc w:val="center"/>
              <w:rPr>
                <w:rFonts w:ascii="宋体" w:hAnsi="宋体" w:cs="宋体"/>
                <w:color w:val="auto"/>
                <w:szCs w:val="21"/>
                <w:highlight w:val="none"/>
              </w:rPr>
            </w:pPr>
          </w:p>
        </w:tc>
        <w:tc>
          <w:tcPr>
            <w:tcW w:w="967" w:type="dxa"/>
          </w:tcPr>
          <w:p w14:paraId="3E406E2B">
            <w:pPr>
              <w:spacing w:line="360" w:lineRule="auto"/>
              <w:jc w:val="center"/>
              <w:rPr>
                <w:rFonts w:ascii="宋体" w:hAnsi="宋体" w:cs="宋体"/>
                <w:color w:val="auto"/>
                <w:szCs w:val="21"/>
                <w:highlight w:val="none"/>
              </w:rPr>
            </w:pPr>
          </w:p>
        </w:tc>
        <w:tc>
          <w:tcPr>
            <w:tcW w:w="967" w:type="dxa"/>
          </w:tcPr>
          <w:p w14:paraId="0A571142">
            <w:pPr>
              <w:spacing w:line="360" w:lineRule="auto"/>
              <w:jc w:val="center"/>
              <w:rPr>
                <w:rFonts w:ascii="宋体" w:hAnsi="宋体" w:cs="宋体"/>
                <w:color w:val="auto"/>
                <w:szCs w:val="21"/>
                <w:highlight w:val="none"/>
              </w:rPr>
            </w:pPr>
          </w:p>
        </w:tc>
      </w:tr>
      <w:tr w14:paraId="73C6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15" w:type="dxa"/>
          </w:tcPr>
          <w:p w14:paraId="37FEB9E6">
            <w:pPr>
              <w:spacing w:line="360" w:lineRule="auto"/>
              <w:jc w:val="center"/>
              <w:rPr>
                <w:rFonts w:ascii="宋体" w:hAnsi="宋体" w:cs="宋体"/>
                <w:color w:val="auto"/>
                <w:szCs w:val="21"/>
                <w:highlight w:val="none"/>
              </w:rPr>
            </w:pPr>
          </w:p>
        </w:tc>
        <w:tc>
          <w:tcPr>
            <w:tcW w:w="1118" w:type="dxa"/>
          </w:tcPr>
          <w:p w14:paraId="16B3A7FA">
            <w:pPr>
              <w:spacing w:line="360" w:lineRule="auto"/>
              <w:jc w:val="center"/>
              <w:rPr>
                <w:rFonts w:ascii="宋体" w:hAnsi="宋体" w:cs="宋体"/>
                <w:color w:val="auto"/>
                <w:szCs w:val="21"/>
                <w:highlight w:val="none"/>
              </w:rPr>
            </w:pPr>
          </w:p>
        </w:tc>
        <w:tc>
          <w:tcPr>
            <w:tcW w:w="967" w:type="dxa"/>
          </w:tcPr>
          <w:p w14:paraId="5E60EC12">
            <w:pPr>
              <w:spacing w:line="360" w:lineRule="auto"/>
              <w:jc w:val="center"/>
              <w:rPr>
                <w:rFonts w:ascii="宋体" w:hAnsi="宋体" w:cs="宋体"/>
                <w:color w:val="auto"/>
                <w:szCs w:val="21"/>
                <w:highlight w:val="none"/>
              </w:rPr>
            </w:pPr>
          </w:p>
        </w:tc>
        <w:tc>
          <w:tcPr>
            <w:tcW w:w="967" w:type="dxa"/>
          </w:tcPr>
          <w:p w14:paraId="071A49A7">
            <w:pPr>
              <w:spacing w:line="360" w:lineRule="auto"/>
              <w:jc w:val="center"/>
              <w:rPr>
                <w:rFonts w:ascii="宋体" w:hAnsi="宋体" w:cs="宋体"/>
                <w:color w:val="auto"/>
                <w:szCs w:val="21"/>
                <w:highlight w:val="none"/>
              </w:rPr>
            </w:pPr>
          </w:p>
        </w:tc>
        <w:tc>
          <w:tcPr>
            <w:tcW w:w="967" w:type="dxa"/>
          </w:tcPr>
          <w:p w14:paraId="415C1FAE">
            <w:pPr>
              <w:spacing w:line="360" w:lineRule="auto"/>
              <w:jc w:val="center"/>
              <w:rPr>
                <w:rFonts w:ascii="宋体" w:hAnsi="宋体" w:cs="宋体"/>
                <w:color w:val="auto"/>
                <w:szCs w:val="21"/>
                <w:highlight w:val="none"/>
              </w:rPr>
            </w:pPr>
          </w:p>
        </w:tc>
        <w:tc>
          <w:tcPr>
            <w:tcW w:w="967" w:type="dxa"/>
          </w:tcPr>
          <w:p w14:paraId="7EFEFE37">
            <w:pPr>
              <w:spacing w:line="360" w:lineRule="auto"/>
              <w:jc w:val="center"/>
              <w:rPr>
                <w:rFonts w:ascii="宋体" w:hAnsi="宋体" w:cs="宋体"/>
                <w:color w:val="auto"/>
                <w:szCs w:val="21"/>
                <w:highlight w:val="none"/>
              </w:rPr>
            </w:pPr>
          </w:p>
        </w:tc>
        <w:tc>
          <w:tcPr>
            <w:tcW w:w="967" w:type="dxa"/>
          </w:tcPr>
          <w:p w14:paraId="11D75EAF">
            <w:pPr>
              <w:spacing w:line="360" w:lineRule="auto"/>
              <w:jc w:val="center"/>
              <w:rPr>
                <w:rFonts w:ascii="宋体" w:hAnsi="宋体" w:cs="宋体"/>
                <w:color w:val="auto"/>
                <w:szCs w:val="21"/>
                <w:highlight w:val="none"/>
              </w:rPr>
            </w:pPr>
          </w:p>
        </w:tc>
        <w:tc>
          <w:tcPr>
            <w:tcW w:w="967" w:type="dxa"/>
          </w:tcPr>
          <w:p w14:paraId="64163125">
            <w:pPr>
              <w:spacing w:line="360" w:lineRule="auto"/>
              <w:jc w:val="center"/>
              <w:rPr>
                <w:rFonts w:ascii="宋体" w:hAnsi="宋体" w:cs="宋体"/>
                <w:color w:val="auto"/>
                <w:szCs w:val="21"/>
                <w:highlight w:val="none"/>
              </w:rPr>
            </w:pPr>
          </w:p>
        </w:tc>
      </w:tr>
    </w:tbl>
    <w:p w14:paraId="54A1FA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735D58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1、本表所列项目应全部计入投标总价。</w:t>
      </w:r>
    </w:p>
    <w:p w14:paraId="5C8223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2、投标人在投标时，应对所供产品的包装方式给予具体说明。</w:t>
      </w:r>
    </w:p>
    <w:p w14:paraId="2B6B27E3">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3、此表仅提供了表格形式，投标人应根据需要准备足够数量的表格来填写本表。</w:t>
      </w:r>
    </w:p>
    <w:p w14:paraId="38BA6F5B">
      <w:pPr>
        <w:spacing w:line="360" w:lineRule="auto"/>
        <w:ind w:left="420"/>
        <w:rPr>
          <w:rFonts w:ascii="宋体" w:hAnsi="宋体" w:cs="宋体"/>
          <w:color w:val="auto"/>
          <w:szCs w:val="21"/>
          <w:highlight w:val="none"/>
        </w:rPr>
      </w:pPr>
    </w:p>
    <w:p w14:paraId="6C28D531">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投标人名称（盖章）：</w:t>
      </w:r>
    </w:p>
    <w:p w14:paraId="0B8BBEEF">
      <w:pPr>
        <w:spacing w:line="360" w:lineRule="auto"/>
        <w:ind w:left="420"/>
        <w:rPr>
          <w:rFonts w:ascii="宋体" w:hAnsi="宋体" w:cs="宋体"/>
          <w:color w:val="auto"/>
          <w:szCs w:val="21"/>
          <w:highlight w:val="none"/>
        </w:rPr>
      </w:pPr>
    </w:p>
    <w:p w14:paraId="353F3547">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p>
    <w:p w14:paraId="2AC362CE">
      <w:pPr>
        <w:spacing w:line="360" w:lineRule="auto"/>
        <w:rPr>
          <w:rFonts w:ascii="宋体" w:hAnsi="宋体" w:cs="宋体"/>
          <w:color w:val="auto"/>
          <w:szCs w:val="21"/>
          <w:highlight w:val="none"/>
        </w:rPr>
      </w:pPr>
    </w:p>
    <w:p w14:paraId="118C8825">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日期：</w:t>
      </w:r>
    </w:p>
    <w:p w14:paraId="696170AF">
      <w:pPr>
        <w:snapToGrid w:val="0"/>
        <w:spacing w:before="50" w:after="50" w:line="360" w:lineRule="auto"/>
        <w:rPr>
          <w:rFonts w:ascii="宋体" w:hAnsi="宋体" w:cs="宋体"/>
          <w:b/>
          <w:color w:val="auto"/>
          <w:szCs w:val="21"/>
          <w:highlight w:val="none"/>
        </w:rPr>
      </w:pPr>
    </w:p>
    <w:p w14:paraId="061F95A5">
      <w:pPr>
        <w:pStyle w:val="9"/>
        <w:rPr>
          <w:rFonts w:ascii="宋体" w:hAnsi="宋体" w:cs="宋体"/>
          <w:color w:val="auto"/>
          <w:highlight w:val="none"/>
        </w:rPr>
      </w:pPr>
    </w:p>
    <w:p w14:paraId="6FDAF3A4">
      <w:pPr>
        <w:pStyle w:val="9"/>
        <w:rPr>
          <w:rFonts w:ascii="宋体" w:hAnsi="宋体" w:cs="宋体"/>
          <w:color w:val="auto"/>
          <w:highlight w:val="none"/>
        </w:rPr>
      </w:pPr>
    </w:p>
    <w:p w14:paraId="5946A55C">
      <w:pPr>
        <w:rPr>
          <w:rFonts w:ascii="宋体" w:hAnsi="宋体" w:cs="宋体"/>
          <w:b/>
          <w:color w:val="auto"/>
          <w:sz w:val="28"/>
          <w:highlight w:val="none"/>
        </w:rPr>
      </w:pPr>
      <w:r>
        <w:rPr>
          <w:rFonts w:hint="eastAsia" w:ascii="宋体" w:hAnsi="宋体" w:cs="宋体"/>
          <w:b/>
          <w:color w:val="auto"/>
          <w:sz w:val="28"/>
          <w:highlight w:val="none"/>
        </w:rPr>
        <w:br w:type="page"/>
      </w:r>
    </w:p>
    <w:p w14:paraId="1C197C9A">
      <w:pPr>
        <w:snapToGrid w:val="0"/>
        <w:spacing w:before="50" w:after="50" w:line="360" w:lineRule="auto"/>
        <w:rPr>
          <w:rFonts w:ascii="宋体" w:hAnsi="宋体" w:cs="宋体"/>
          <w:b/>
          <w:color w:val="auto"/>
          <w:sz w:val="28"/>
          <w:highlight w:val="none"/>
        </w:rPr>
      </w:pPr>
      <w:r>
        <w:rPr>
          <w:rFonts w:hint="eastAsia" w:ascii="宋体" w:hAnsi="宋体" w:cs="宋体"/>
          <w:b/>
          <w:color w:val="auto"/>
          <w:sz w:val="28"/>
          <w:highlight w:val="none"/>
        </w:rPr>
        <w:t>附件9</w:t>
      </w:r>
    </w:p>
    <w:p w14:paraId="1276AAF4">
      <w:pPr>
        <w:spacing w:line="360" w:lineRule="auto"/>
        <w:ind w:left="480"/>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p w14:paraId="11768431">
      <w:pPr>
        <w:spacing w:line="360" w:lineRule="auto"/>
        <w:rPr>
          <w:rFonts w:ascii="宋体" w:hAnsi="宋体" w:cs="宋体"/>
          <w:color w:val="auto"/>
          <w:szCs w:val="21"/>
          <w:highlight w:val="none"/>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0306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2CBEC0C4">
            <w:pPr>
              <w:pStyle w:val="44"/>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785" w:type="dxa"/>
            <w:vAlign w:val="center"/>
          </w:tcPr>
          <w:p w14:paraId="33F93720">
            <w:pPr>
              <w:pStyle w:val="44"/>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名称</w:t>
            </w:r>
          </w:p>
        </w:tc>
        <w:tc>
          <w:tcPr>
            <w:tcW w:w="1449" w:type="dxa"/>
            <w:vAlign w:val="center"/>
          </w:tcPr>
          <w:p w14:paraId="0D781F1E">
            <w:pPr>
              <w:pStyle w:val="44"/>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规格型号</w:t>
            </w:r>
          </w:p>
        </w:tc>
        <w:tc>
          <w:tcPr>
            <w:tcW w:w="1560" w:type="dxa"/>
            <w:vAlign w:val="center"/>
          </w:tcPr>
          <w:p w14:paraId="105ABF7F">
            <w:pPr>
              <w:pStyle w:val="44"/>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招标参数</w:t>
            </w:r>
          </w:p>
        </w:tc>
        <w:tc>
          <w:tcPr>
            <w:tcW w:w="1401" w:type="dxa"/>
            <w:vAlign w:val="center"/>
          </w:tcPr>
          <w:p w14:paraId="2B7035D0">
            <w:pPr>
              <w:pStyle w:val="44"/>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投标参数</w:t>
            </w:r>
          </w:p>
        </w:tc>
        <w:tc>
          <w:tcPr>
            <w:tcW w:w="1365" w:type="dxa"/>
            <w:vAlign w:val="center"/>
          </w:tcPr>
          <w:p w14:paraId="378BFE32">
            <w:pPr>
              <w:pStyle w:val="44"/>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偏离说明</w:t>
            </w:r>
          </w:p>
        </w:tc>
      </w:tr>
      <w:tr w14:paraId="7C63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E6E5F1B">
            <w:pPr>
              <w:spacing w:line="360" w:lineRule="auto"/>
              <w:rPr>
                <w:rFonts w:ascii="宋体" w:hAnsi="宋体" w:cs="宋体"/>
                <w:color w:val="auto"/>
                <w:szCs w:val="21"/>
                <w:highlight w:val="none"/>
              </w:rPr>
            </w:pPr>
          </w:p>
        </w:tc>
        <w:tc>
          <w:tcPr>
            <w:tcW w:w="1785" w:type="dxa"/>
            <w:vAlign w:val="center"/>
          </w:tcPr>
          <w:p w14:paraId="751E1223">
            <w:pPr>
              <w:spacing w:line="360" w:lineRule="auto"/>
              <w:rPr>
                <w:rFonts w:ascii="宋体" w:hAnsi="宋体" w:cs="宋体"/>
                <w:color w:val="auto"/>
                <w:szCs w:val="21"/>
                <w:highlight w:val="none"/>
              </w:rPr>
            </w:pPr>
          </w:p>
        </w:tc>
        <w:tc>
          <w:tcPr>
            <w:tcW w:w="1449" w:type="dxa"/>
            <w:vAlign w:val="center"/>
          </w:tcPr>
          <w:p w14:paraId="4A008CEE">
            <w:pPr>
              <w:spacing w:line="360" w:lineRule="auto"/>
              <w:rPr>
                <w:rFonts w:ascii="宋体" w:hAnsi="宋体" w:cs="宋体"/>
                <w:color w:val="auto"/>
                <w:szCs w:val="21"/>
                <w:highlight w:val="none"/>
              </w:rPr>
            </w:pPr>
          </w:p>
        </w:tc>
        <w:tc>
          <w:tcPr>
            <w:tcW w:w="1560" w:type="dxa"/>
            <w:vAlign w:val="center"/>
          </w:tcPr>
          <w:p w14:paraId="1359681E">
            <w:pPr>
              <w:spacing w:line="360" w:lineRule="auto"/>
              <w:rPr>
                <w:rFonts w:ascii="宋体" w:hAnsi="宋体" w:cs="宋体"/>
                <w:color w:val="auto"/>
                <w:szCs w:val="21"/>
                <w:highlight w:val="none"/>
              </w:rPr>
            </w:pPr>
          </w:p>
        </w:tc>
        <w:tc>
          <w:tcPr>
            <w:tcW w:w="1401" w:type="dxa"/>
            <w:vAlign w:val="center"/>
          </w:tcPr>
          <w:p w14:paraId="72B2CBED">
            <w:pPr>
              <w:spacing w:line="360" w:lineRule="auto"/>
              <w:rPr>
                <w:rFonts w:ascii="宋体" w:hAnsi="宋体" w:cs="宋体"/>
                <w:color w:val="auto"/>
                <w:szCs w:val="21"/>
                <w:highlight w:val="none"/>
              </w:rPr>
            </w:pPr>
          </w:p>
        </w:tc>
        <w:tc>
          <w:tcPr>
            <w:tcW w:w="1365" w:type="dxa"/>
            <w:vAlign w:val="center"/>
          </w:tcPr>
          <w:p w14:paraId="6978C7AD">
            <w:pPr>
              <w:spacing w:line="360" w:lineRule="auto"/>
              <w:rPr>
                <w:rFonts w:ascii="宋体" w:hAnsi="宋体" w:cs="宋体"/>
                <w:color w:val="auto"/>
                <w:szCs w:val="21"/>
                <w:highlight w:val="none"/>
              </w:rPr>
            </w:pPr>
          </w:p>
        </w:tc>
      </w:tr>
      <w:tr w14:paraId="4110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1A57F94">
            <w:pPr>
              <w:spacing w:line="360" w:lineRule="auto"/>
              <w:rPr>
                <w:rFonts w:ascii="宋体" w:hAnsi="宋体" w:cs="宋体"/>
                <w:color w:val="auto"/>
                <w:szCs w:val="21"/>
                <w:highlight w:val="none"/>
              </w:rPr>
            </w:pPr>
          </w:p>
        </w:tc>
        <w:tc>
          <w:tcPr>
            <w:tcW w:w="1785" w:type="dxa"/>
            <w:vAlign w:val="center"/>
          </w:tcPr>
          <w:p w14:paraId="27B3B589">
            <w:pPr>
              <w:spacing w:line="360" w:lineRule="auto"/>
              <w:rPr>
                <w:rFonts w:ascii="宋体" w:hAnsi="宋体" w:cs="宋体"/>
                <w:color w:val="auto"/>
                <w:szCs w:val="21"/>
                <w:highlight w:val="none"/>
              </w:rPr>
            </w:pPr>
          </w:p>
        </w:tc>
        <w:tc>
          <w:tcPr>
            <w:tcW w:w="1449" w:type="dxa"/>
            <w:vAlign w:val="center"/>
          </w:tcPr>
          <w:p w14:paraId="21F50E5C">
            <w:pPr>
              <w:spacing w:line="360" w:lineRule="auto"/>
              <w:rPr>
                <w:rFonts w:ascii="宋体" w:hAnsi="宋体" w:cs="宋体"/>
                <w:color w:val="auto"/>
                <w:szCs w:val="21"/>
                <w:highlight w:val="none"/>
              </w:rPr>
            </w:pPr>
          </w:p>
        </w:tc>
        <w:tc>
          <w:tcPr>
            <w:tcW w:w="1560" w:type="dxa"/>
            <w:vAlign w:val="center"/>
          </w:tcPr>
          <w:p w14:paraId="16A25F81">
            <w:pPr>
              <w:spacing w:line="360" w:lineRule="auto"/>
              <w:rPr>
                <w:rFonts w:ascii="宋体" w:hAnsi="宋体" w:cs="宋体"/>
                <w:color w:val="auto"/>
                <w:szCs w:val="21"/>
                <w:highlight w:val="none"/>
              </w:rPr>
            </w:pPr>
          </w:p>
        </w:tc>
        <w:tc>
          <w:tcPr>
            <w:tcW w:w="1401" w:type="dxa"/>
            <w:vAlign w:val="center"/>
          </w:tcPr>
          <w:p w14:paraId="1B4571C4">
            <w:pPr>
              <w:spacing w:line="360" w:lineRule="auto"/>
              <w:rPr>
                <w:rFonts w:ascii="宋体" w:hAnsi="宋体" w:cs="宋体"/>
                <w:color w:val="auto"/>
                <w:szCs w:val="21"/>
                <w:highlight w:val="none"/>
              </w:rPr>
            </w:pPr>
          </w:p>
        </w:tc>
        <w:tc>
          <w:tcPr>
            <w:tcW w:w="1365" w:type="dxa"/>
            <w:vAlign w:val="center"/>
          </w:tcPr>
          <w:p w14:paraId="62E9F31F">
            <w:pPr>
              <w:spacing w:line="360" w:lineRule="auto"/>
              <w:rPr>
                <w:rFonts w:ascii="宋体" w:hAnsi="宋体" w:cs="宋体"/>
                <w:color w:val="auto"/>
                <w:szCs w:val="21"/>
                <w:highlight w:val="none"/>
              </w:rPr>
            </w:pPr>
          </w:p>
        </w:tc>
      </w:tr>
      <w:tr w14:paraId="6858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9C5A555">
            <w:pPr>
              <w:spacing w:line="360" w:lineRule="auto"/>
              <w:rPr>
                <w:rFonts w:ascii="宋体" w:hAnsi="宋体" w:cs="宋体"/>
                <w:color w:val="auto"/>
                <w:szCs w:val="21"/>
                <w:highlight w:val="none"/>
              </w:rPr>
            </w:pPr>
          </w:p>
        </w:tc>
        <w:tc>
          <w:tcPr>
            <w:tcW w:w="1785" w:type="dxa"/>
            <w:vAlign w:val="center"/>
          </w:tcPr>
          <w:p w14:paraId="03C7A165">
            <w:pPr>
              <w:spacing w:line="360" w:lineRule="auto"/>
              <w:rPr>
                <w:rFonts w:ascii="宋体" w:hAnsi="宋体" w:cs="宋体"/>
                <w:color w:val="auto"/>
                <w:szCs w:val="21"/>
                <w:highlight w:val="none"/>
              </w:rPr>
            </w:pPr>
          </w:p>
        </w:tc>
        <w:tc>
          <w:tcPr>
            <w:tcW w:w="1449" w:type="dxa"/>
            <w:vAlign w:val="center"/>
          </w:tcPr>
          <w:p w14:paraId="6C89835F">
            <w:pPr>
              <w:spacing w:line="360" w:lineRule="auto"/>
              <w:rPr>
                <w:rFonts w:ascii="宋体" w:hAnsi="宋体" w:cs="宋体"/>
                <w:color w:val="auto"/>
                <w:szCs w:val="21"/>
                <w:highlight w:val="none"/>
              </w:rPr>
            </w:pPr>
          </w:p>
        </w:tc>
        <w:tc>
          <w:tcPr>
            <w:tcW w:w="1560" w:type="dxa"/>
            <w:vAlign w:val="center"/>
          </w:tcPr>
          <w:p w14:paraId="461CB08F">
            <w:pPr>
              <w:spacing w:line="360" w:lineRule="auto"/>
              <w:rPr>
                <w:rFonts w:ascii="宋体" w:hAnsi="宋体" w:cs="宋体"/>
                <w:color w:val="auto"/>
                <w:szCs w:val="21"/>
                <w:highlight w:val="none"/>
              </w:rPr>
            </w:pPr>
          </w:p>
        </w:tc>
        <w:tc>
          <w:tcPr>
            <w:tcW w:w="1401" w:type="dxa"/>
            <w:vAlign w:val="center"/>
          </w:tcPr>
          <w:p w14:paraId="153172C4">
            <w:pPr>
              <w:spacing w:line="360" w:lineRule="auto"/>
              <w:rPr>
                <w:rFonts w:ascii="宋体" w:hAnsi="宋体" w:cs="宋体"/>
                <w:color w:val="auto"/>
                <w:szCs w:val="21"/>
                <w:highlight w:val="none"/>
              </w:rPr>
            </w:pPr>
          </w:p>
        </w:tc>
        <w:tc>
          <w:tcPr>
            <w:tcW w:w="1365" w:type="dxa"/>
            <w:vAlign w:val="center"/>
          </w:tcPr>
          <w:p w14:paraId="14BC05DE">
            <w:pPr>
              <w:spacing w:line="360" w:lineRule="auto"/>
              <w:rPr>
                <w:rFonts w:ascii="宋体" w:hAnsi="宋体" w:cs="宋体"/>
                <w:color w:val="auto"/>
                <w:szCs w:val="21"/>
                <w:highlight w:val="none"/>
              </w:rPr>
            </w:pPr>
          </w:p>
        </w:tc>
      </w:tr>
      <w:tr w14:paraId="7DA3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3A7E5B0">
            <w:pPr>
              <w:spacing w:line="360" w:lineRule="auto"/>
              <w:rPr>
                <w:rFonts w:ascii="宋体" w:hAnsi="宋体" w:cs="宋体"/>
                <w:color w:val="auto"/>
                <w:szCs w:val="21"/>
                <w:highlight w:val="none"/>
              </w:rPr>
            </w:pPr>
          </w:p>
        </w:tc>
        <w:tc>
          <w:tcPr>
            <w:tcW w:w="1785" w:type="dxa"/>
            <w:vAlign w:val="center"/>
          </w:tcPr>
          <w:p w14:paraId="1669CDEC">
            <w:pPr>
              <w:spacing w:line="360" w:lineRule="auto"/>
              <w:rPr>
                <w:rFonts w:ascii="宋体" w:hAnsi="宋体" w:cs="宋体"/>
                <w:color w:val="auto"/>
                <w:szCs w:val="21"/>
                <w:highlight w:val="none"/>
              </w:rPr>
            </w:pPr>
          </w:p>
        </w:tc>
        <w:tc>
          <w:tcPr>
            <w:tcW w:w="1449" w:type="dxa"/>
            <w:vAlign w:val="center"/>
          </w:tcPr>
          <w:p w14:paraId="690F011A">
            <w:pPr>
              <w:spacing w:line="360" w:lineRule="auto"/>
              <w:rPr>
                <w:rFonts w:ascii="宋体" w:hAnsi="宋体" w:cs="宋体"/>
                <w:color w:val="auto"/>
                <w:szCs w:val="21"/>
                <w:highlight w:val="none"/>
              </w:rPr>
            </w:pPr>
          </w:p>
        </w:tc>
        <w:tc>
          <w:tcPr>
            <w:tcW w:w="1560" w:type="dxa"/>
            <w:vAlign w:val="center"/>
          </w:tcPr>
          <w:p w14:paraId="051139D2">
            <w:pPr>
              <w:spacing w:line="360" w:lineRule="auto"/>
              <w:rPr>
                <w:rFonts w:ascii="宋体" w:hAnsi="宋体" w:cs="宋体"/>
                <w:color w:val="auto"/>
                <w:szCs w:val="21"/>
                <w:highlight w:val="none"/>
              </w:rPr>
            </w:pPr>
          </w:p>
        </w:tc>
        <w:tc>
          <w:tcPr>
            <w:tcW w:w="1401" w:type="dxa"/>
            <w:vAlign w:val="center"/>
          </w:tcPr>
          <w:p w14:paraId="4B1B2F5C">
            <w:pPr>
              <w:spacing w:line="360" w:lineRule="auto"/>
              <w:rPr>
                <w:rFonts w:ascii="宋体" w:hAnsi="宋体" w:cs="宋体"/>
                <w:color w:val="auto"/>
                <w:szCs w:val="21"/>
                <w:highlight w:val="none"/>
              </w:rPr>
            </w:pPr>
          </w:p>
        </w:tc>
        <w:tc>
          <w:tcPr>
            <w:tcW w:w="1365" w:type="dxa"/>
            <w:vAlign w:val="center"/>
          </w:tcPr>
          <w:p w14:paraId="6DE845B5">
            <w:pPr>
              <w:spacing w:line="360" w:lineRule="auto"/>
              <w:rPr>
                <w:rFonts w:ascii="宋体" w:hAnsi="宋体" w:cs="宋体"/>
                <w:color w:val="auto"/>
                <w:szCs w:val="21"/>
                <w:highlight w:val="none"/>
              </w:rPr>
            </w:pPr>
          </w:p>
        </w:tc>
      </w:tr>
      <w:tr w14:paraId="2009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04CD0F64">
            <w:pPr>
              <w:spacing w:line="360" w:lineRule="auto"/>
              <w:rPr>
                <w:rFonts w:ascii="宋体" w:hAnsi="宋体" w:cs="宋体"/>
                <w:color w:val="auto"/>
                <w:szCs w:val="21"/>
                <w:highlight w:val="none"/>
              </w:rPr>
            </w:pPr>
          </w:p>
        </w:tc>
        <w:tc>
          <w:tcPr>
            <w:tcW w:w="1785" w:type="dxa"/>
            <w:vAlign w:val="center"/>
          </w:tcPr>
          <w:p w14:paraId="35CEE031">
            <w:pPr>
              <w:spacing w:line="360" w:lineRule="auto"/>
              <w:rPr>
                <w:rFonts w:ascii="宋体" w:hAnsi="宋体" w:cs="宋体"/>
                <w:color w:val="auto"/>
                <w:szCs w:val="21"/>
                <w:highlight w:val="none"/>
              </w:rPr>
            </w:pPr>
          </w:p>
        </w:tc>
        <w:tc>
          <w:tcPr>
            <w:tcW w:w="1449" w:type="dxa"/>
            <w:vAlign w:val="center"/>
          </w:tcPr>
          <w:p w14:paraId="0B1EE61C">
            <w:pPr>
              <w:spacing w:line="360" w:lineRule="auto"/>
              <w:rPr>
                <w:rFonts w:ascii="宋体" w:hAnsi="宋体" w:cs="宋体"/>
                <w:color w:val="auto"/>
                <w:szCs w:val="21"/>
                <w:highlight w:val="none"/>
              </w:rPr>
            </w:pPr>
          </w:p>
        </w:tc>
        <w:tc>
          <w:tcPr>
            <w:tcW w:w="1560" w:type="dxa"/>
            <w:vAlign w:val="center"/>
          </w:tcPr>
          <w:p w14:paraId="2C4CD7C1">
            <w:pPr>
              <w:spacing w:line="360" w:lineRule="auto"/>
              <w:rPr>
                <w:rFonts w:ascii="宋体" w:hAnsi="宋体" w:cs="宋体"/>
                <w:color w:val="auto"/>
                <w:szCs w:val="21"/>
                <w:highlight w:val="none"/>
              </w:rPr>
            </w:pPr>
          </w:p>
        </w:tc>
        <w:tc>
          <w:tcPr>
            <w:tcW w:w="1401" w:type="dxa"/>
            <w:vAlign w:val="center"/>
          </w:tcPr>
          <w:p w14:paraId="036909D0">
            <w:pPr>
              <w:spacing w:line="360" w:lineRule="auto"/>
              <w:rPr>
                <w:rFonts w:ascii="宋体" w:hAnsi="宋体" w:cs="宋体"/>
                <w:color w:val="auto"/>
                <w:szCs w:val="21"/>
                <w:highlight w:val="none"/>
              </w:rPr>
            </w:pPr>
          </w:p>
        </w:tc>
        <w:tc>
          <w:tcPr>
            <w:tcW w:w="1365" w:type="dxa"/>
            <w:vAlign w:val="center"/>
          </w:tcPr>
          <w:p w14:paraId="2879B118">
            <w:pPr>
              <w:spacing w:line="360" w:lineRule="auto"/>
              <w:rPr>
                <w:rFonts w:ascii="宋体" w:hAnsi="宋体" w:cs="宋体"/>
                <w:color w:val="auto"/>
                <w:szCs w:val="21"/>
                <w:highlight w:val="none"/>
              </w:rPr>
            </w:pPr>
          </w:p>
        </w:tc>
      </w:tr>
      <w:tr w14:paraId="3823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BF62D80">
            <w:pPr>
              <w:spacing w:line="360" w:lineRule="auto"/>
              <w:rPr>
                <w:rFonts w:ascii="宋体" w:hAnsi="宋体" w:cs="宋体"/>
                <w:color w:val="auto"/>
                <w:szCs w:val="21"/>
                <w:highlight w:val="none"/>
              </w:rPr>
            </w:pPr>
          </w:p>
        </w:tc>
        <w:tc>
          <w:tcPr>
            <w:tcW w:w="1785" w:type="dxa"/>
            <w:vAlign w:val="center"/>
          </w:tcPr>
          <w:p w14:paraId="281659BD">
            <w:pPr>
              <w:spacing w:line="360" w:lineRule="auto"/>
              <w:rPr>
                <w:rFonts w:ascii="宋体" w:hAnsi="宋体" w:cs="宋体"/>
                <w:color w:val="auto"/>
                <w:szCs w:val="21"/>
                <w:highlight w:val="none"/>
              </w:rPr>
            </w:pPr>
          </w:p>
        </w:tc>
        <w:tc>
          <w:tcPr>
            <w:tcW w:w="1449" w:type="dxa"/>
            <w:vAlign w:val="center"/>
          </w:tcPr>
          <w:p w14:paraId="65D5F2C4">
            <w:pPr>
              <w:spacing w:line="360" w:lineRule="auto"/>
              <w:rPr>
                <w:rFonts w:ascii="宋体" w:hAnsi="宋体" w:cs="宋体"/>
                <w:color w:val="auto"/>
                <w:szCs w:val="21"/>
                <w:highlight w:val="none"/>
              </w:rPr>
            </w:pPr>
          </w:p>
        </w:tc>
        <w:tc>
          <w:tcPr>
            <w:tcW w:w="1560" w:type="dxa"/>
            <w:vAlign w:val="center"/>
          </w:tcPr>
          <w:p w14:paraId="69B83F7F">
            <w:pPr>
              <w:spacing w:line="360" w:lineRule="auto"/>
              <w:rPr>
                <w:rFonts w:ascii="宋体" w:hAnsi="宋体" w:cs="宋体"/>
                <w:color w:val="auto"/>
                <w:szCs w:val="21"/>
                <w:highlight w:val="none"/>
              </w:rPr>
            </w:pPr>
          </w:p>
        </w:tc>
        <w:tc>
          <w:tcPr>
            <w:tcW w:w="1401" w:type="dxa"/>
            <w:vAlign w:val="center"/>
          </w:tcPr>
          <w:p w14:paraId="6ECD06D9">
            <w:pPr>
              <w:spacing w:line="360" w:lineRule="auto"/>
              <w:rPr>
                <w:rFonts w:ascii="宋体" w:hAnsi="宋体" w:cs="宋体"/>
                <w:color w:val="auto"/>
                <w:szCs w:val="21"/>
                <w:highlight w:val="none"/>
              </w:rPr>
            </w:pPr>
          </w:p>
        </w:tc>
        <w:tc>
          <w:tcPr>
            <w:tcW w:w="1365" w:type="dxa"/>
            <w:vAlign w:val="center"/>
          </w:tcPr>
          <w:p w14:paraId="3F41364B">
            <w:pPr>
              <w:spacing w:line="360" w:lineRule="auto"/>
              <w:rPr>
                <w:rFonts w:ascii="宋体" w:hAnsi="宋体" w:cs="宋体"/>
                <w:color w:val="auto"/>
                <w:szCs w:val="21"/>
                <w:highlight w:val="none"/>
              </w:rPr>
            </w:pPr>
          </w:p>
        </w:tc>
      </w:tr>
      <w:tr w14:paraId="2624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59CAEF57">
            <w:pPr>
              <w:spacing w:line="360" w:lineRule="auto"/>
              <w:rPr>
                <w:rFonts w:ascii="宋体" w:hAnsi="宋体" w:cs="宋体"/>
                <w:color w:val="auto"/>
                <w:szCs w:val="21"/>
                <w:highlight w:val="none"/>
              </w:rPr>
            </w:pPr>
          </w:p>
        </w:tc>
        <w:tc>
          <w:tcPr>
            <w:tcW w:w="1785" w:type="dxa"/>
            <w:vAlign w:val="center"/>
          </w:tcPr>
          <w:p w14:paraId="5119CB42">
            <w:pPr>
              <w:spacing w:line="360" w:lineRule="auto"/>
              <w:rPr>
                <w:rFonts w:ascii="宋体" w:hAnsi="宋体" w:cs="宋体"/>
                <w:color w:val="auto"/>
                <w:szCs w:val="21"/>
                <w:highlight w:val="none"/>
              </w:rPr>
            </w:pPr>
          </w:p>
        </w:tc>
        <w:tc>
          <w:tcPr>
            <w:tcW w:w="1449" w:type="dxa"/>
            <w:vAlign w:val="center"/>
          </w:tcPr>
          <w:p w14:paraId="3A249639">
            <w:pPr>
              <w:spacing w:line="360" w:lineRule="auto"/>
              <w:rPr>
                <w:rFonts w:ascii="宋体" w:hAnsi="宋体" w:cs="宋体"/>
                <w:color w:val="auto"/>
                <w:szCs w:val="21"/>
                <w:highlight w:val="none"/>
              </w:rPr>
            </w:pPr>
          </w:p>
        </w:tc>
        <w:tc>
          <w:tcPr>
            <w:tcW w:w="1560" w:type="dxa"/>
            <w:vAlign w:val="center"/>
          </w:tcPr>
          <w:p w14:paraId="1517F6FC">
            <w:pPr>
              <w:spacing w:line="360" w:lineRule="auto"/>
              <w:rPr>
                <w:rFonts w:ascii="宋体" w:hAnsi="宋体" w:cs="宋体"/>
                <w:color w:val="auto"/>
                <w:szCs w:val="21"/>
                <w:highlight w:val="none"/>
              </w:rPr>
            </w:pPr>
          </w:p>
        </w:tc>
        <w:tc>
          <w:tcPr>
            <w:tcW w:w="1401" w:type="dxa"/>
            <w:vAlign w:val="center"/>
          </w:tcPr>
          <w:p w14:paraId="575F11E3">
            <w:pPr>
              <w:spacing w:line="360" w:lineRule="auto"/>
              <w:rPr>
                <w:rFonts w:ascii="宋体" w:hAnsi="宋体" w:cs="宋体"/>
                <w:color w:val="auto"/>
                <w:szCs w:val="21"/>
                <w:highlight w:val="none"/>
              </w:rPr>
            </w:pPr>
          </w:p>
        </w:tc>
        <w:tc>
          <w:tcPr>
            <w:tcW w:w="1365" w:type="dxa"/>
            <w:vAlign w:val="center"/>
          </w:tcPr>
          <w:p w14:paraId="76506B8E">
            <w:pPr>
              <w:spacing w:line="360" w:lineRule="auto"/>
              <w:rPr>
                <w:rFonts w:ascii="宋体" w:hAnsi="宋体" w:cs="宋体"/>
                <w:color w:val="auto"/>
                <w:szCs w:val="21"/>
                <w:highlight w:val="none"/>
              </w:rPr>
            </w:pPr>
          </w:p>
        </w:tc>
      </w:tr>
    </w:tbl>
    <w:p w14:paraId="7842D474">
      <w:pPr>
        <w:pStyle w:val="42"/>
        <w:widowControl w:val="0"/>
        <w:tabs>
          <w:tab w:val="left" w:pos="360"/>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要求：</w:t>
      </w:r>
    </w:p>
    <w:p w14:paraId="72F3AE57">
      <w:pPr>
        <w:pStyle w:val="42"/>
        <w:widowControl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1、本表参照本招标文件第四部分“公开招标需求”填制，投标人应根据投标设备的性能指标、服务指标，对照招标文件要求在“偏离情况”栏注明“正偏离”、“负偏离”或“无偏离”。</w:t>
      </w:r>
    </w:p>
    <w:p w14:paraId="38888DB4">
      <w:pPr>
        <w:pStyle w:val="42"/>
        <w:widowControl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0AC26F3D">
      <w:pPr>
        <w:spacing w:line="360" w:lineRule="auto"/>
        <w:rPr>
          <w:rFonts w:ascii="宋体" w:hAnsi="宋体" w:cs="宋体"/>
          <w:color w:val="auto"/>
          <w:szCs w:val="21"/>
          <w:highlight w:val="none"/>
        </w:rPr>
      </w:pPr>
    </w:p>
    <w:p w14:paraId="72C36617">
      <w:pPr>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投标人名称（盖章）：</w:t>
      </w:r>
    </w:p>
    <w:p w14:paraId="2B08D7BF">
      <w:pPr>
        <w:spacing w:line="360" w:lineRule="auto"/>
        <w:ind w:left="420"/>
        <w:rPr>
          <w:rFonts w:ascii="宋体" w:hAnsi="宋体" w:cs="宋体"/>
          <w:color w:val="auto"/>
          <w:szCs w:val="21"/>
          <w:highlight w:val="none"/>
        </w:rPr>
      </w:pPr>
    </w:p>
    <w:p w14:paraId="75FE7ABD">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p>
    <w:p w14:paraId="69CD302A">
      <w:pPr>
        <w:spacing w:line="360" w:lineRule="auto"/>
        <w:rPr>
          <w:rFonts w:ascii="宋体" w:hAnsi="宋体" w:cs="宋体"/>
          <w:color w:val="auto"/>
          <w:szCs w:val="21"/>
          <w:highlight w:val="none"/>
        </w:rPr>
      </w:pPr>
    </w:p>
    <w:p w14:paraId="5FB355CB">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日期：</w:t>
      </w:r>
    </w:p>
    <w:p w14:paraId="4051E3F9">
      <w:pPr>
        <w:pStyle w:val="43"/>
        <w:spacing w:line="360" w:lineRule="auto"/>
        <w:jc w:val="left"/>
        <w:rPr>
          <w:rFonts w:ascii="宋体" w:hAnsi="宋体" w:cs="宋体"/>
          <w:b/>
          <w:color w:val="auto"/>
          <w:sz w:val="28"/>
          <w:highlight w:val="none"/>
        </w:rPr>
      </w:pPr>
    </w:p>
    <w:p w14:paraId="3FDEED76">
      <w:pPr>
        <w:pStyle w:val="43"/>
        <w:spacing w:line="360" w:lineRule="auto"/>
        <w:jc w:val="left"/>
        <w:rPr>
          <w:rFonts w:ascii="宋体" w:hAnsi="宋体" w:cs="宋体"/>
          <w:b/>
          <w:color w:val="auto"/>
          <w:sz w:val="28"/>
          <w:highlight w:val="none"/>
        </w:rPr>
      </w:pPr>
    </w:p>
    <w:p w14:paraId="3530A33A">
      <w:pPr>
        <w:pStyle w:val="43"/>
        <w:spacing w:line="360" w:lineRule="auto"/>
        <w:jc w:val="left"/>
        <w:rPr>
          <w:rFonts w:ascii="宋体" w:hAnsi="宋体" w:cs="宋体"/>
          <w:b/>
          <w:color w:val="auto"/>
          <w:sz w:val="28"/>
          <w:highlight w:val="none"/>
        </w:rPr>
      </w:pPr>
      <w:r>
        <w:rPr>
          <w:rFonts w:hint="eastAsia" w:ascii="宋体" w:hAnsi="宋体" w:cs="宋体"/>
          <w:b/>
          <w:color w:val="auto"/>
          <w:sz w:val="28"/>
          <w:highlight w:val="none"/>
        </w:rPr>
        <w:t>附件10</w:t>
      </w:r>
    </w:p>
    <w:p w14:paraId="1AC7CCB7">
      <w:pPr>
        <w:pStyle w:val="44"/>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企业证书一览表</w:t>
      </w:r>
    </w:p>
    <w:p w14:paraId="6634AC81">
      <w:pPr>
        <w:pStyle w:val="44"/>
        <w:spacing w:line="360" w:lineRule="auto"/>
        <w:jc w:val="center"/>
        <w:rPr>
          <w:rFonts w:ascii="宋体" w:hAnsi="宋体" w:cs="宋体"/>
          <w:color w:val="auto"/>
          <w:sz w:val="24"/>
          <w:highlight w:val="none"/>
        </w:rPr>
      </w:pPr>
    </w:p>
    <w:tbl>
      <w:tblPr>
        <w:tblStyle w:val="23"/>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517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Pr>
          <w:p w14:paraId="5CAC6402">
            <w:pPr>
              <w:pStyle w:val="44"/>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证书名称</w:t>
            </w:r>
          </w:p>
        </w:tc>
        <w:tc>
          <w:tcPr>
            <w:tcW w:w="2258" w:type="dxa"/>
          </w:tcPr>
          <w:p w14:paraId="4AD1493A">
            <w:pPr>
              <w:pStyle w:val="44"/>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发证单位</w:t>
            </w:r>
          </w:p>
        </w:tc>
        <w:tc>
          <w:tcPr>
            <w:tcW w:w="2260" w:type="dxa"/>
          </w:tcPr>
          <w:p w14:paraId="0C5F17C7">
            <w:pPr>
              <w:pStyle w:val="44"/>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证书等级</w:t>
            </w:r>
          </w:p>
        </w:tc>
        <w:tc>
          <w:tcPr>
            <w:tcW w:w="2047" w:type="dxa"/>
          </w:tcPr>
          <w:p w14:paraId="728AC560">
            <w:pPr>
              <w:pStyle w:val="44"/>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证书有效期</w:t>
            </w:r>
          </w:p>
        </w:tc>
      </w:tr>
      <w:tr w14:paraId="4E41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1165BE99">
            <w:pPr>
              <w:pStyle w:val="44"/>
              <w:spacing w:line="360" w:lineRule="auto"/>
              <w:jc w:val="center"/>
              <w:rPr>
                <w:rFonts w:ascii="宋体" w:hAnsi="宋体" w:cs="宋体"/>
                <w:color w:val="auto"/>
                <w:szCs w:val="21"/>
                <w:highlight w:val="none"/>
              </w:rPr>
            </w:pPr>
          </w:p>
        </w:tc>
        <w:tc>
          <w:tcPr>
            <w:tcW w:w="2258" w:type="dxa"/>
          </w:tcPr>
          <w:p w14:paraId="077C0A86">
            <w:pPr>
              <w:pStyle w:val="44"/>
              <w:spacing w:line="360" w:lineRule="auto"/>
              <w:jc w:val="center"/>
              <w:rPr>
                <w:rFonts w:ascii="宋体" w:hAnsi="宋体" w:cs="宋体"/>
                <w:color w:val="auto"/>
                <w:szCs w:val="21"/>
                <w:highlight w:val="none"/>
              </w:rPr>
            </w:pPr>
          </w:p>
        </w:tc>
        <w:tc>
          <w:tcPr>
            <w:tcW w:w="2260" w:type="dxa"/>
          </w:tcPr>
          <w:p w14:paraId="663B6767">
            <w:pPr>
              <w:pStyle w:val="44"/>
              <w:spacing w:line="360" w:lineRule="auto"/>
              <w:jc w:val="center"/>
              <w:rPr>
                <w:rFonts w:ascii="宋体" w:hAnsi="宋体" w:cs="宋体"/>
                <w:color w:val="auto"/>
                <w:szCs w:val="21"/>
                <w:highlight w:val="none"/>
              </w:rPr>
            </w:pPr>
          </w:p>
        </w:tc>
        <w:tc>
          <w:tcPr>
            <w:tcW w:w="2047" w:type="dxa"/>
          </w:tcPr>
          <w:p w14:paraId="7ED81A08">
            <w:pPr>
              <w:pStyle w:val="44"/>
              <w:spacing w:line="360" w:lineRule="auto"/>
              <w:jc w:val="center"/>
              <w:rPr>
                <w:rFonts w:ascii="宋体" w:hAnsi="宋体" w:cs="宋体"/>
                <w:color w:val="auto"/>
                <w:szCs w:val="21"/>
                <w:highlight w:val="none"/>
              </w:rPr>
            </w:pPr>
          </w:p>
        </w:tc>
      </w:tr>
      <w:tr w14:paraId="33B5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00236F2C">
            <w:pPr>
              <w:pStyle w:val="44"/>
              <w:spacing w:line="360" w:lineRule="auto"/>
              <w:jc w:val="center"/>
              <w:rPr>
                <w:rFonts w:ascii="宋体" w:hAnsi="宋体" w:cs="宋体"/>
                <w:color w:val="auto"/>
                <w:szCs w:val="21"/>
                <w:highlight w:val="none"/>
              </w:rPr>
            </w:pPr>
          </w:p>
        </w:tc>
        <w:tc>
          <w:tcPr>
            <w:tcW w:w="2258" w:type="dxa"/>
          </w:tcPr>
          <w:p w14:paraId="0B8C94EA">
            <w:pPr>
              <w:pStyle w:val="44"/>
              <w:spacing w:line="360" w:lineRule="auto"/>
              <w:jc w:val="center"/>
              <w:rPr>
                <w:rFonts w:ascii="宋体" w:hAnsi="宋体" w:cs="宋体"/>
                <w:color w:val="auto"/>
                <w:szCs w:val="21"/>
                <w:highlight w:val="none"/>
              </w:rPr>
            </w:pPr>
          </w:p>
        </w:tc>
        <w:tc>
          <w:tcPr>
            <w:tcW w:w="2260" w:type="dxa"/>
          </w:tcPr>
          <w:p w14:paraId="3E1AB75C">
            <w:pPr>
              <w:pStyle w:val="44"/>
              <w:spacing w:line="360" w:lineRule="auto"/>
              <w:jc w:val="center"/>
              <w:rPr>
                <w:rFonts w:ascii="宋体" w:hAnsi="宋体" w:cs="宋体"/>
                <w:color w:val="auto"/>
                <w:szCs w:val="21"/>
                <w:highlight w:val="none"/>
              </w:rPr>
            </w:pPr>
          </w:p>
        </w:tc>
        <w:tc>
          <w:tcPr>
            <w:tcW w:w="2047" w:type="dxa"/>
          </w:tcPr>
          <w:p w14:paraId="34DA012B">
            <w:pPr>
              <w:pStyle w:val="44"/>
              <w:spacing w:line="360" w:lineRule="auto"/>
              <w:jc w:val="center"/>
              <w:rPr>
                <w:rFonts w:ascii="宋体" w:hAnsi="宋体" w:cs="宋体"/>
                <w:color w:val="auto"/>
                <w:szCs w:val="21"/>
                <w:highlight w:val="none"/>
              </w:rPr>
            </w:pPr>
          </w:p>
        </w:tc>
      </w:tr>
      <w:tr w14:paraId="2AC8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0F82AC58">
            <w:pPr>
              <w:pStyle w:val="44"/>
              <w:spacing w:line="360" w:lineRule="auto"/>
              <w:jc w:val="center"/>
              <w:rPr>
                <w:rFonts w:ascii="宋体" w:hAnsi="宋体" w:cs="宋体"/>
                <w:color w:val="auto"/>
                <w:szCs w:val="21"/>
                <w:highlight w:val="none"/>
              </w:rPr>
            </w:pPr>
          </w:p>
        </w:tc>
        <w:tc>
          <w:tcPr>
            <w:tcW w:w="2258" w:type="dxa"/>
          </w:tcPr>
          <w:p w14:paraId="32B4EE67">
            <w:pPr>
              <w:pStyle w:val="44"/>
              <w:spacing w:line="360" w:lineRule="auto"/>
              <w:jc w:val="center"/>
              <w:rPr>
                <w:rFonts w:ascii="宋体" w:hAnsi="宋体" w:cs="宋体"/>
                <w:color w:val="auto"/>
                <w:szCs w:val="21"/>
                <w:highlight w:val="none"/>
              </w:rPr>
            </w:pPr>
          </w:p>
        </w:tc>
        <w:tc>
          <w:tcPr>
            <w:tcW w:w="2260" w:type="dxa"/>
          </w:tcPr>
          <w:p w14:paraId="42FDB4C6">
            <w:pPr>
              <w:pStyle w:val="44"/>
              <w:spacing w:line="360" w:lineRule="auto"/>
              <w:jc w:val="center"/>
              <w:rPr>
                <w:rFonts w:ascii="宋体" w:hAnsi="宋体" w:cs="宋体"/>
                <w:color w:val="auto"/>
                <w:szCs w:val="21"/>
                <w:highlight w:val="none"/>
              </w:rPr>
            </w:pPr>
          </w:p>
        </w:tc>
        <w:tc>
          <w:tcPr>
            <w:tcW w:w="2047" w:type="dxa"/>
          </w:tcPr>
          <w:p w14:paraId="3F443AC0">
            <w:pPr>
              <w:pStyle w:val="44"/>
              <w:spacing w:line="360" w:lineRule="auto"/>
              <w:jc w:val="center"/>
              <w:rPr>
                <w:rFonts w:ascii="宋体" w:hAnsi="宋体" w:cs="宋体"/>
                <w:color w:val="auto"/>
                <w:szCs w:val="21"/>
                <w:highlight w:val="none"/>
              </w:rPr>
            </w:pPr>
          </w:p>
        </w:tc>
      </w:tr>
      <w:tr w14:paraId="5757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48B4F404">
            <w:pPr>
              <w:pStyle w:val="44"/>
              <w:spacing w:line="360" w:lineRule="auto"/>
              <w:jc w:val="center"/>
              <w:rPr>
                <w:rFonts w:ascii="宋体" w:hAnsi="宋体" w:cs="宋体"/>
                <w:color w:val="auto"/>
                <w:szCs w:val="21"/>
                <w:highlight w:val="none"/>
              </w:rPr>
            </w:pPr>
          </w:p>
        </w:tc>
        <w:tc>
          <w:tcPr>
            <w:tcW w:w="2258" w:type="dxa"/>
          </w:tcPr>
          <w:p w14:paraId="7DF3F71F">
            <w:pPr>
              <w:pStyle w:val="44"/>
              <w:spacing w:line="360" w:lineRule="auto"/>
              <w:jc w:val="center"/>
              <w:rPr>
                <w:rFonts w:ascii="宋体" w:hAnsi="宋体" w:cs="宋体"/>
                <w:color w:val="auto"/>
                <w:szCs w:val="21"/>
                <w:highlight w:val="none"/>
              </w:rPr>
            </w:pPr>
          </w:p>
        </w:tc>
        <w:tc>
          <w:tcPr>
            <w:tcW w:w="2260" w:type="dxa"/>
          </w:tcPr>
          <w:p w14:paraId="162D0361">
            <w:pPr>
              <w:pStyle w:val="44"/>
              <w:spacing w:line="360" w:lineRule="auto"/>
              <w:jc w:val="center"/>
              <w:rPr>
                <w:rFonts w:ascii="宋体" w:hAnsi="宋体" w:cs="宋体"/>
                <w:color w:val="auto"/>
                <w:szCs w:val="21"/>
                <w:highlight w:val="none"/>
              </w:rPr>
            </w:pPr>
          </w:p>
        </w:tc>
        <w:tc>
          <w:tcPr>
            <w:tcW w:w="2047" w:type="dxa"/>
          </w:tcPr>
          <w:p w14:paraId="7F94EDED">
            <w:pPr>
              <w:pStyle w:val="44"/>
              <w:spacing w:line="360" w:lineRule="auto"/>
              <w:jc w:val="center"/>
              <w:rPr>
                <w:rFonts w:ascii="宋体" w:hAnsi="宋体" w:cs="宋体"/>
                <w:color w:val="auto"/>
                <w:szCs w:val="21"/>
                <w:highlight w:val="none"/>
              </w:rPr>
            </w:pPr>
          </w:p>
        </w:tc>
      </w:tr>
      <w:tr w14:paraId="36E1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30B43B46">
            <w:pPr>
              <w:pStyle w:val="44"/>
              <w:spacing w:line="360" w:lineRule="auto"/>
              <w:jc w:val="center"/>
              <w:rPr>
                <w:rFonts w:ascii="宋体" w:hAnsi="宋体" w:cs="宋体"/>
                <w:color w:val="auto"/>
                <w:szCs w:val="21"/>
                <w:highlight w:val="none"/>
              </w:rPr>
            </w:pPr>
          </w:p>
        </w:tc>
        <w:tc>
          <w:tcPr>
            <w:tcW w:w="2258" w:type="dxa"/>
          </w:tcPr>
          <w:p w14:paraId="12FAF925">
            <w:pPr>
              <w:pStyle w:val="44"/>
              <w:spacing w:line="360" w:lineRule="auto"/>
              <w:jc w:val="center"/>
              <w:rPr>
                <w:rFonts w:ascii="宋体" w:hAnsi="宋体" w:cs="宋体"/>
                <w:color w:val="auto"/>
                <w:szCs w:val="21"/>
                <w:highlight w:val="none"/>
              </w:rPr>
            </w:pPr>
          </w:p>
        </w:tc>
        <w:tc>
          <w:tcPr>
            <w:tcW w:w="2260" w:type="dxa"/>
          </w:tcPr>
          <w:p w14:paraId="7EF0C36A">
            <w:pPr>
              <w:pStyle w:val="44"/>
              <w:spacing w:line="360" w:lineRule="auto"/>
              <w:jc w:val="center"/>
              <w:rPr>
                <w:rFonts w:ascii="宋体" w:hAnsi="宋体" w:cs="宋体"/>
                <w:color w:val="auto"/>
                <w:szCs w:val="21"/>
                <w:highlight w:val="none"/>
              </w:rPr>
            </w:pPr>
          </w:p>
        </w:tc>
        <w:tc>
          <w:tcPr>
            <w:tcW w:w="2047" w:type="dxa"/>
          </w:tcPr>
          <w:p w14:paraId="29CC6356">
            <w:pPr>
              <w:pStyle w:val="44"/>
              <w:spacing w:line="360" w:lineRule="auto"/>
              <w:jc w:val="center"/>
              <w:rPr>
                <w:rFonts w:ascii="宋体" w:hAnsi="宋体" w:cs="宋体"/>
                <w:color w:val="auto"/>
                <w:szCs w:val="21"/>
                <w:highlight w:val="none"/>
              </w:rPr>
            </w:pPr>
          </w:p>
        </w:tc>
      </w:tr>
      <w:tr w14:paraId="5915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2E9810CC">
            <w:pPr>
              <w:pStyle w:val="44"/>
              <w:spacing w:line="360" w:lineRule="auto"/>
              <w:jc w:val="center"/>
              <w:rPr>
                <w:rFonts w:ascii="宋体" w:hAnsi="宋体" w:cs="宋体"/>
                <w:color w:val="auto"/>
                <w:szCs w:val="21"/>
                <w:highlight w:val="none"/>
              </w:rPr>
            </w:pPr>
          </w:p>
        </w:tc>
        <w:tc>
          <w:tcPr>
            <w:tcW w:w="2258" w:type="dxa"/>
          </w:tcPr>
          <w:p w14:paraId="4995A1AA">
            <w:pPr>
              <w:pStyle w:val="44"/>
              <w:spacing w:line="360" w:lineRule="auto"/>
              <w:jc w:val="center"/>
              <w:rPr>
                <w:rFonts w:ascii="宋体" w:hAnsi="宋体" w:cs="宋体"/>
                <w:color w:val="auto"/>
                <w:szCs w:val="21"/>
                <w:highlight w:val="none"/>
              </w:rPr>
            </w:pPr>
          </w:p>
        </w:tc>
        <w:tc>
          <w:tcPr>
            <w:tcW w:w="2260" w:type="dxa"/>
          </w:tcPr>
          <w:p w14:paraId="45E21802">
            <w:pPr>
              <w:pStyle w:val="44"/>
              <w:spacing w:line="360" w:lineRule="auto"/>
              <w:jc w:val="center"/>
              <w:rPr>
                <w:rFonts w:ascii="宋体" w:hAnsi="宋体" w:cs="宋体"/>
                <w:color w:val="auto"/>
                <w:szCs w:val="21"/>
                <w:highlight w:val="none"/>
              </w:rPr>
            </w:pPr>
          </w:p>
        </w:tc>
        <w:tc>
          <w:tcPr>
            <w:tcW w:w="2047" w:type="dxa"/>
          </w:tcPr>
          <w:p w14:paraId="0255A8D1">
            <w:pPr>
              <w:pStyle w:val="44"/>
              <w:spacing w:line="360" w:lineRule="auto"/>
              <w:jc w:val="center"/>
              <w:rPr>
                <w:rFonts w:ascii="宋体" w:hAnsi="宋体" w:cs="宋体"/>
                <w:color w:val="auto"/>
                <w:szCs w:val="21"/>
                <w:highlight w:val="none"/>
              </w:rPr>
            </w:pPr>
          </w:p>
        </w:tc>
      </w:tr>
      <w:tr w14:paraId="1D70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62FD0E4D">
            <w:pPr>
              <w:pStyle w:val="44"/>
              <w:spacing w:line="360" w:lineRule="auto"/>
              <w:jc w:val="center"/>
              <w:rPr>
                <w:rFonts w:ascii="宋体" w:hAnsi="宋体" w:cs="宋体"/>
                <w:color w:val="auto"/>
                <w:szCs w:val="21"/>
                <w:highlight w:val="none"/>
              </w:rPr>
            </w:pPr>
          </w:p>
        </w:tc>
        <w:tc>
          <w:tcPr>
            <w:tcW w:w="2258" w:type="dxa"/>
          </w:tcPr>
          <w:p w14:paraId="1FDC232D">
            <w:pPr>
              <w:pStyle w:val="44"/>
              <w:spacing w:line="360" w:lineRule="auto"/>
              <w:jc w:val="center"/>
              <w:rPr>
                <w:rFonts w:ascii="宋体" w:hAnsi="宋体" w:cs="宋体"/>
                <w:color w:val="auto"/>
                <w:szCs w:val="21"/>
                <w:highlight w:val="none"/>
              </w:rPr>
            </w:pPr>
          </w:p>
        </w:tc>
        <w:tc>
          <w:tcPr>
            <w:tcW w:w="2260" w:type="dxa"/>
          </w:tcPr>
          <w:p w14:paraId="759BB056">
            <w:pPr>
              <w:pStyle w:val="44"/>
              <w:spacing w:line="360" w:lineRule="auto"/>
              <w:jc w:val="center"/>
              <w:rPr>
                <w:rFonts w:ascii="宋体" w:hAnsi="宋体" w:cs="宋体"/>
                <w:color w:val="auto"/>
                <w:szCs w:val="21"/>
                <w:highlight w:val="none"/>
              </w:rPr>
            </w:pPr>
          </w:p>
        </w:tc>
        <w:tc>
          <w:tcPr>
            <w:tcW w:w="2047" w:type="dxa"/>
          </w:tcPr>
          <w:p w14:paraId="3498A568">
            <w:pPr>
              <w:pStyle w:val="44"/>
              <w:spacing w:line="360" w:lineRule="auto"/>
              <w:jc w:val="center"/>
              <w:rPr>
                <w:rFonts w:ascii="宋体" w:hAnsi="宋体" w:cs="宋体"/>
                <w:color w:val="auto"/>
                <w:szCs w:val="21"/>
                <w:highlight w:val="none"/>
              </w:rPr>
            </w:pPr>
          </w:p>
        </w:tc>
      </w:tr>
    </w:tbl>
    <w:p w14:paraId="22401E5E">
      <w:pPr>
        <w:pStyle w:val="44"/>
        <w:tabs>
          <w:tab w:val="left" w:pos="1050"/>
        </w:tabs>
        <w:spacing w:line="360" w:lineRule="auto"/>
        <w:rPr>
          <w:rFonts w:ascii="宋体" w:hAnsi="宋体" w:cs="宋体"/>
          <w:color w:val="auto"/>
          <w:sz w:val="24"/>
          <w:highlight w:val="none"/>
        </w:rPr>
      </w:pPr>
    </w:p>
    <w:p w14:paraId="4A763F57">
      <w:pPr>
        <w:pStyle w:val="44"/>
        <w:tabs>
          <w:tab w:val="left" w:pos="1050"/>
        </w:tabs>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要求：</w:t>
      </w:r>
    </w:p>
    <w:p w14:paraId="37FB691E">
      <w:pPr>
        <w:pStyle w:val="44"/>
        <w:tabs>
          <w:tab w:val="left" w:pos="105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1、填写投标人获得资质、认证或企业信誉证书；</w:t>
      </w:r>
    </w:p>
    <w:p w14:paraId="2143E29C">
      <w:pPr>
        <w:pStyle w:val="44"/>
        <w:tabs>
          <w:tab w:val="left" w:pos="105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2、附所列证书复印件或其他证明材料。</w:t>
      </w:r>
    </w:p>
    <w:p w14:paraId="39B2F7AA">
      <w:pPr>
        <w:pStyle w:val="44"/>
        <w:tabs>
          <w:tab w:val="left" w:pos="1050"/>
        </w:tabs>
        <w:spacing w:line="360" w:lineRule="auto"/>
        <w:ind w:firstLine="630" w:firstLineChars="300"/>
        <w:rPr>
          <w:rFonts w:ascii="宋体" w:hAnsi="宋体" w:cs="宋体"/>
          <w:color w:val="auto"/>
          <w:szCs w:val="21"/>
          <w:highlight w:val="none"/>
        </w:rPr>
      </w:pPr>
    </w:p>
    <w:p w14:paraId="22537B6F">
      <w:pPr>
        <w:pStyle w:val="44"/>
        <w:tabs>
          <w:tab w:val="left" w:pos="1050"/>
        </w:tabs>
        <w:spacing w:line="360" w:lineRule="auto"/>
        <w:ind w:firstLine="630" w:firstLineChars="300"/>
        <w:rPr>
          <w:rFonts w:ascii="宋体" w:hAnsi="宋体" w:cs="宋体"/>
          <w:color w:val="auto"/>
          <w:szCs w:val="21"/>
          <w:highlight w:val="none"/>
        </w:rPr>
      </w:pPr>
    </w:p>
    <w:p w14:paraId="4DCCFD4D">
      <w:pPr>
        <w:pStyle w:val="44"/>
        <w:tabs>
          <w:tab w:val="left" w:pos="1050"/>
        </w:tabs>
        <w:spacing w:line="360" w:lineRule="auto"/>
        <w:ind w:firstLine="630" w:firstLineChars="300"/>
        <w:rPr>
          <w:rFonts w:ascii="宋体" w:hAnsi="宋体" w:cs="宋体"/>
          <w:color w:val="auto"/>
          <w:szCs w:val="21"/>
          <w:highlight w:val="none"/>
        </w:rPr>
      </w:pPr>
    </w:p>
    <w:p w14:paraId="79B3DB88">
      <w:pPr>
        <w:spacing w:line="360" w:lineRule="auto"/>
        <w:ind w:firstLine="371" w:firstLineChars="177"/>
        <w:rPr>
          <w:rFonts w:ascii="宋体" w:hAnsi="宋体" w:cs="宋体"/>
          <w:color w:val="auto"/>
          <w:szCs w:val="21"/>
          <w:highlight w:val="none"/>
          <w:u w:val="single"/>
        </w:rPr>
      </w:pPr>
      <w:r>
        <w:rPr>
          <w:rFonts w:hint="eastAsia" w:ascii="宋体" w:hAnsi="宋体" w:cs="宋体"/>
          <w:color w:val="auto"/>
          <w:szCs w:val="21"/>
          <w:highlight w:val="none"/>
        </w:rPr>
        <w:t>投标人名称（盖章）：</w:t>
      </w:r>
    </w:p>
    <w:p w14:paraId="3CB3DD56">
      <w:pPr>
        <w:spacing w:line="360" w:lineRule="auto"/>
        <w:ind w:left="420"/>
        <w:rPr>
          <w:rFonts w:ascii="宋体" w:hAnsi="宋体" w:cs="宋体"/>
          <w:color w:val="auto"/>
          <w:szCs w:val="21"/>
          <w:highlight w:val="none"/>
        </w:rPr>
      </w:pPr>
    </w:p>
    <w:p w14:paraId="4AA51D0D">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p>
    <w:p w14:paraId="7F83BB41">
      <w:pPr>
        <w:spacing w:line="360" w:lineRule="auto"/>
        <w:rPr>
          <w:rFonts w:ascii="宋体" w:hAnsi="宋体" w:cs="宋体"/>
          <w:color w:val="auto"/>
          <w:szCs w:val="21"/>
          <w:highlight w:val="none"/>
        </w:rPr>
      </w:pPr>
    </w:p>
    <w:p w14:paraId="19DAD7EF">
      <w:pPr>
        <w:pStyle w:val="40"/>
        <w:shd w:val="clear" w:color="auto" w:fill="FFFFFF"/>
        <w:spacing w:before="0" w:beforeAutospacing="0" w:after="0" w:afterAutospacing="0" w:line="360" w:lineRule="auto"/>
        <w:ind w:firstLine="371" w:firstLineChars="177"/>
        <w:rPr>
          <w:b/>
          <w:bCs/>
          <w:color w:val="auto"/>
          <w:spacing w:val="11"/>
          <w:sz w:val="21"/>
          <w:szCs w:val="21"/>
          <w:highlight w:val="none"/>
        </w:rPr>
      </w:pPr>
      <w:r>
        <w:rPr>
          <w:rFonts w:hint="eastAsia"/>
          <w:color w:val="auto"/>
          <w:sz w:val="21"/>
          <w:szCs w:val="21"/>
          <w:highlight w:val="none"/>
        </w:rPr>
        <w:t>日期：：</w:t>
      </w:r>
    </w:p>
    <w:p w14:paraId="09FDC9AA">
      <w:pPr>
        <w:spacing w:line="360" w:lineRule="auto"/>
        <w:rPr>
          <w:rFonts w:ascii="宋体" w:hAnsi="宋体" w:cs="宋体"/>
          <w:b/>
          <w:color w:val="auto"/>
          <w:sz w:val="24"/>
          <w:highlight w:val="none"/>
        </w:rPr>
      </w:pPr>
    </w:p>
    <w:p w14:paraId="52C6EBE8">
      <w:pPr>
        <w:spacing w:line="360" w:lineRule="auto"/>
        <w:rPr>
          <w:rFonts w:ascii="宋体" w:hAnsi="宋体" w:cs="宋体"/>
          <w:b/>
          <w:color w:val="auto"/>
          <w:sz w:val="28"/>
          <w:highlight w:val="none"/>
        </w:rPr>
      </w:pPr>
    </w:p>
    <w:p w14:paraId="7E40C540">
      <w:pPr>
        <w:pStyle w:val="9"/>
        <w:rPr>
          <w:rFonts w:ascii="宋体" w:hAnsi="宋体" w:cs="宋体"/>
          <w:b/>
          <w:color w:val="auto"/>
          <w:sz w:val="28"/>
          <w:highlight w:val="none"/>
        </w:rPr>
      </w:pPr>
    </w:p>
    <w:p w14:paraId="344F370C">
      <w:pPr>
        <w:pStyle w:val="9"/>
        <w:rPr>
          <w:rFonts w:ascii="宋体" w:hAnsi="宋体" w:cs="宋体"/>
          <w:b/>
          <w:color w:val="auto"/>
          <w:sz w:val="28"/>
          <w:highlight w:val="none"/>
        </w:rPr>
      </w:pPr>
    </w:p>
    <w:p w14:paraId="754CFEB2">
      <w:pPr>
        <w:spacing w:line="360" w:lineRule="auto"/>
        <w:rPr>
          <w:rFonts w:ascii="宋体" w:hAnsi="宋体" w:cs="宋体"/>
          <w:b/>
          <w:color w:val="auto"/>
          <w:sz w:val="28"/>
          <w:highlight w:val="none"/>
        </w:rPr>
      </w:pPr>
      <w:r>
        <w:rPr>
          <w:rFonts w:hint="eastAsia" w:ascii="宋体" w:hAnsi="宋体" w:cs="宋体"/>
          <w:b/>
          <w:color w:val="auto"/>
          <w:sz w:val="28"/>
          <w:highlight w:val="none"/>
        </w:rPr>
        <w:t>附件11</w:t>
      </w:r>
    </w:p>
    <w:p w14:paraId="62624E13">
      <w:pPr>
        <w:pStyle w:val="43"/>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投标人类似项目实施情况一览表</w:t>
      </w:r>
    </w:p>
    <w:p w14:paraId="46DA3902">
      <w:pPr>
        <w:pStyle w:val="43"/>
        <w:spacing w:line="360" w:lineRule="auto"/>
        <w:jc w:val="center"/>
        <w:rPr>
          <w:rFonts w:ascii="宋体" w:hAnsi="宋体" w:cs="宋体"/>
          <w:b/>
          <w:color w:val="auto"/>
          <w:sz w:val="24"/>
          <w:highlight w:val="none"/>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133EE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7E8252D">
            <w:pPr>
              <w:pStyle w:val="43"/>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45FC1F66">
            <w:pPr>
              <w:pStyle w:val="43"/>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6B90D1B7">
            <w:pPr>
              <w:pStyle w:val="43"/>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02772BAD">
            <w:pPr>
              <w:pStyle w:val="43"/>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5C189553">
            <w:pPr>
              <w:pStyle w:val="43"/>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38AD298E">
            <w:pPr>
              <w:pStyle w:val="43"/>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14DB38A3">
            <w:pPr>
              <w:pStyle w:val="43"/>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项目单位名称及其联系人电话</w:t>
            </w:r>
          </w:p>
        </w:tc>
      </w:tr>
      <w:tr w14:paraId="1B934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5F1393D5">
            <w:pPr>
              <w:pStyle w:val="43"/>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6B453E0B">
            <w:pPr>
              <w:pStyle w:val="43"/>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856E2FB">
            <w:pPr>
              <w:pStyle w:val="43"/>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7764571">
            <w:pPr>
              <w:pStyle w:val="43"/>
              <w:spacing w:line="360" w:lineRule="auto"/>
              <w:rPr>
                <w:rFonts w:ascii="宋体" w:hAns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8D8BA1D">
            <w:pPr>
              <w:pStyle w:val="43"/>
              <w:spacing w:line="360" w:lineRule="auto"/>
              <w:rPr>
                <w:rFonts w:ascii="宋体" w:hAns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A2ED9BD">
            <w:pPr>
              <w:pStyle w:val="43"/>
              <w:spacing w:line="360" w:lineRule="auto"/>
              <w:rPr>
                <w:rFonts w:ascii="宋体" w:hAns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77322E7">
            <w:pPr>
              <w:pStyle w:val="43"/>
              <w:spacing w:line="360" w:lineRule="auto"/>
              <w:rPr>
                <w:rFonts w:ascii="宋体" w:hAnsi="宋体" w:cs="宋体"/>
                <w:color w:val="auto"/>
                <w:szCs w:val="21"/>
                <w:highlight w:val="none"/>
              </w:rPr>
            </w:pPr>
          </w:p>
        </w:tc>
      </w:tr>
      <w:tr w14:paraId="40F34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8A28509">
            <w:pPr>
              <w:pStyle w:val="43"/>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15D25983">
            <w:pPr>
              <w:pStyle w:val="43"/>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4079658">
            <w:pPr>
              <w:pStyle w:val="43"/>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960BBCC">
            <w:pPr>
              <w:pStyle w:val="43"/>
              <w:spacing w:line="360" w:lineRule="auto"/>
              <w:rPr>
                <w:rFonts w:ascii="宋体" w:hAns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211FB46">
            <w:pPr>
              <w:pStyle w:val="43"/>
              <w:spacing w:line="360" w:lineRule="auto"/>
              <w:rPr>
                <w:rFonts w:ascii="宋体" w:hAns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942AFFB">
            <w:pPr>
              <w:pStyle w:val="43"/>
              <w:spacing w:line="360" w:lineRule="auto"/>
              <w:rPr>
                <w:rFonts w:ascii="宋体" w:hAns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EBA09F5">
            <w:pPr>
              <w:pStyle w:val="43"/>
              <w:spacing w:line="360" w:lineRule="auto"/>
              <w:rPr>
                <w:rFonts w:ascii="宋体" w:hAnsi="宋体" w:cs="宋体"/>
                <w:color w:val="auto"/>
                <w:szCs w:val="21"/>
                <w:highlight w:val="none"/>
              </w:rPr>
            </w:pPr>
          </w:p>
        </w:tc>
      </w:tr>
      <w:tr w14:paraId="44420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74208795">
            <w:pPr>
              <w:pStyle w:val="43"/>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6BCFEC31">
            <w:pPr>
              <w:pStyle w:val="43"/>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B51C1AA">
            <w:pPr>
              <w:pStyle w:val="43"/>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516843E4">
            <w:pPr>
              <w:pStyle w:val="43"/>
              <w:spacing w:line="360" w:lineRule="auto"/>
              <w:rPr>
                <w:rFonts w:ascii="宋体" w:hAns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CBA4145">
            <w:pPr>
              <w:pStyle w:val="43"/>
              <w:spacing w:line="360" w:lineRule="auto"/>
              <w:rPr>
                <w:rFonts w:ascii="宋体" w:hAns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E11EB33">
            <w:pPr>
              <w:pStyle w:val="43"/>
              <w:spacing w:line="360" w:lineRule="auto"/>
              <w:rPr>
                <w:rFonts w:ascii="宋体" w:hAns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FE0AF86">
            <w:pPr>
              <w:pStyle w:val="43"/>
              <w:spacing w:line="360" w:lineRule="auto"/>
              <w:rPr>
                <w:rFonts w:ascii="宋体" w:hAnsi="宋体" w:cs="宋体"/>
                <w:color w:val="auto"/>
                <w:szCs w:val="21"/>
                <w:highlight w:val="none"/>
              </w:rPr>
            </w:pPr>
          </w:p>
        </w:tc>
      </w:tr>
      <w:tr w14:paraId="708A5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D2212C0">
            <w:pPr>
              <w:pStyle w:val="43"/>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29FD6EA6">
            <w:pPr>
              <w:pStyle w:val="43"/>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6125560">
            <w:pPr>
              <w:pStyle w:val="43"/>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4928FB1">
            <w:pPr>
              <w:pStyle w:val="43"/>
              <w:spacing w:line="360" w:lineRule="auto"/>
              <w:rPr>
                <w:rFonts w:ascii="宋体" w:hAns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642AD8D9">
            <w:pPr>
              <w:pStyle w:val="43"/>
              <w:spacing w:line="360" w:lineRule="auto"/>
              <w:rPr>
                <w:rFonts w:ascii="宋体" w:hAns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0600A8A">
            <w:pPr>
              <w:pStyle w:val="43"/>
              <w:spacing w:line="360" w:lineRule="auto"/>
              <w:rPr>
                <w:rFonts w:ascii="宋体" w:hAns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248899A7">
            <w:pPr>
              <w:pStyle w:val="43"/>
              <w:spacing w:line="360" w:lineRule="auto"/>
              <w:rPr>
                <w:rFonts w:ascii="宋体" w:hAnsi="宋体" w:cs="宋体"/>
                <w:color w:val="auto"/>
                <w:szCs w:val="21"/>
                <w:highlight w:val="none"/>
              </w:rPr>
            </w:pPr>
          </w:p>
        </w:tc>
      </w:tr>
      <w:tr w14:paraId="79931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A15ECBC">
            <w:pPr>
              <w:pStyle w:val="43"/>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78B7F7D5">
            <w:pPr>
              <w:pStyle w:val="43"/>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064EABE">
            <w:pPr>
              <w:pStyle w:val="43"/>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E5DA1DB">
            <w:pPr>
              <w:pStyle w:val="43"/>
              <w:spacing w:line="360" w:lineRule="auto"/>
              <w:rPr>
                <w:rFonts w:ascii="宋体" w:hAns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6DF156A7">
            <w:pPr>
              <w:pStyle w:val="43"/>
              <w:spacing w:line="360" w:lineRule="auto"/>
              <w:rPr>
                <w:rFonts w:ascii="宋体" w:hAns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F0A8C4F">
            <w:pPr>
              <w:pStyle w:val="43"/>
              <w:spacing w:line="360" w:lineRule="auto"/>
              <w:rPr>
                <w:rFonts w:ascii="宋体" w:hAns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705CC720">
            <w:pPr>
              <w:pStyle w:val="43"/>
              <w:spacing w:line="360" w:lineRule="auto"/>
              <w:rPr>
                <w:rFonts w:ascii="宋体" w:hAnsi="宋体" w:cs="宋体"/>
                <w:color w:val="auto"/>
                <w:szCs w:val="21"/>
                <w:highlight w:val="none"/>
              </w:rPr>
            </w:pPr>
          </w:p>
        </w:tc>
      </w:tr>
      <w:tr w14:paraId="5C90D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731EB9E">
            <w:pPr>
              <w:pStyle w:val="43"/>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0FEAD949">
            <w:pPr>
              <w:pStyle w:val="43"/>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2D6608D">
            <w:pPr>
              <w:pStyle w:val="43"/>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1CD05CBF">
            <w:pPr>
              <w:pStyle w:val="43"/>
              <w:spacing w:line="360" w:lineRule="auto"/>
              <w:rPr>
                <w:rFonts w:ascii="宋体" w:hAns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3D20A12">
            <w:pPr>
              <w:pStyle w:val="43"/>
              <w:spacing w:line="360" w:lineRule="auto"/>
              <w:rPr>
                <w:rFonts w:ascii="宋体" w:hAns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F5911FB">
            <w:pPr>
              <w:pStyle w:val="43"/>
              <w:spacing w:line="360" w:lineRule="auto"/>
              <w:rPr>
                <w:rFonts w:ascii="宋体" w:hAns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41E70B68">
            <w:pPr>
              <w:pStyle w:val="43"/>
              <w:spacing w:line="360" w:lineRule="auto"/>
              <w:rPr>
                <w:rFonts w:ascii="宋体" w:hAnsi="宋体" w:cs="宋体"/>
                <w:color w:val="auto"/>
                <w:szCs w:val="21"/>
                <w:highlight w:val="none"/>
              </w:rPr>
            </w:pPr>
          </w:p>
        </w:tc>
      </w:tr>
      <w:tr w14:paraId="4512B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859D95C">
            <w:pPr>
              <w:pStyle w:val="43"/>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19C14E88">
            <w:pPr>
              <w:pStyle w:val="43"/>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61BFE48">
            <w:pPr>
              <w:pStyle w:val="43"/>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55E7B87">
            <w:pPr>
              <w:pStyle w:val="43"/>
              <w:spacing w:line="360" w:lineRule="auto"/>
              <w:rPr>
                <w:rFonts w:ascii="宋体" w:hAns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BCEFEFC">
            <w:pPr>
              <w:pStyle w:val="43"/>
              <w:spacing w:line="360" w:lineRule="auto"/>
              <w:rPr>
                <w:rFonts w:ascii="宋体" w:hAns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5AA46E7">
            <w:pPr>
              <w:pStyle w:val="43"/>
              <w:spacing w:line="360" w:lineRule="auto"/>
              <w:rPr>
                <w:rFonts w:ascii="宋体" w:hAns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7ACB4A4">
            <w:pPr>
              <w:pStyle w:val="43"/>
              <w:spacing w:line="360" w:lineRule="auto"/>
              <w:rPr>
                <w:rFonts w:ascii="宋体" w:hAnsi="宋体" w:cs="宋体"/>
                <w:color w:val="auto"/>
                <w:szCs w:val="21"/>
                <w:highlight w:val="none"/>
              </w:rPr>
            </w:pPr>
          </w:p>
        </w:tc>
      </w:tr>
    </w:tbl>
    <w:p w14:paraId="031C1F6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要求：</w:t>
      </w:r>
    </w:p>
    <w:p w14:paraId="67BF1D7F">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1、业绩证明应提供证明材料（合同复印件可只提供首页、含金额页、盖章页并加盖投标人公章）；</w:t>
      </w:r>
    </w:p>
    <w:p w14:paraId="61ABE32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2、报价供应商可按此表格式复制。</w:t>
      </w:r>
    </w:p>
    <w:p w14:paraId="4E7FF43F">
      <w:pPr>
        <w:spacing w:line="360" w:lineRule="auto"/>
        <w:rPr>
          <w:rFonts w:ascii="宋体" w:hAnsi="宋体" w:cs="宋体"/>
          <w:color w:val="auto"/>
          <w:szCs w:val="21"/>
          <w:highlight w:val="none"/>
        </w:rPr>
      </w:pPr>
    </w:p>
    <w:p w14:paraId="0F996D1B">
      <w:pPr>
        <w:spacing w:line="360" w:lineRule="auto"/>
        <w:rPr>
          <w:rFonts w:ascii="宋体" w:hAnsi="宋体" w:cs="宋体"/>
          <w:color w:val="auto"/>
          <w:szCs w:val="21"/>
          <w:highlight w:val="none"/>
        </w:rPr>
      </w:pPr>
    </w:p>
    <w:p w14:paraId="124EB8D3">
      <w:pPr>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投标人名称（盖章）：</w:t>
      </w:r>
    </w:p>
    <w:p w14:paraId="339E7BCD">
      <w:pPr>
        <w:spacing w:line="360" w:lineRule="auto"/>
        <w:ind w:left="420"/>
        <w:rPr>
          <w:rFonts w:ascii="宋体" w:hAnsi="宋体" w:cs="宋体"/>
          <w:color w:val="auto"/>
          <w:szCs w:val="21"/>
          <w:highlight w:val="none"/>
        </w:rPr>
      </w:pPr>
    </w:p>
    <w:p w14:paraId="495E5FE7">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p>
    <w:p w14:paraId="18C474E9">
      <w:pPr>
        <w:spacing w:line="360" w:lineRule="auto"/>
        <w:rPr>
          <w:rFonts w:ascii="宋体" w:hAnsi="宋体" w:cs="宋体"/>
          <w:color w:val="auto"/>
          <w:szCs w:val="21"/>
          <w:highlight w:val="none"/>
        </w:rPr>
      </w:pPr>
    </w:p>
    <w:p w14:paraId="65D5764A">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日期：</w:t>
      </w:r>
    </w:p>
    <w:p w14:paraId="186F95B2">
      <w:pPr>
        <w:spacing w:line="360" w:lineRule="auto"/>
        <w:jc w:val="center"/>
        <w:rPr>
          <w:rFonts w:ascii="宋体" w:hAnsi="宋体" w:cs="宋体"/>
          <w:snapToGrid w:val="0"/>
          <w:color w:val="auto"/>
          <w:kern w:val="0"/>
          <w:szCs w:val="21"/>
          <w:highlight w:val="none"/>
        </w:rPr>
      </w:pPr>
    </w:p>
    <w:p w14:paraId="17D58708">
      <w:pPr>
        <w:pStyle w:val="44"/>
        <w:tabs>
          <w:tab w:val="left" w:pos="1050"/>
        </w:tabs>
        <w:spacing w:line="360" w:lineRule="auto"/>
        <w:rPr>
          <w:rFonts w:ascii="宋体" w:hAnsi="宋体" w:cs="宋体"/>
          <w:b/>
          <w:color w:val="auto"/>
          <w:sz w:val="28"/>
          <w:highlight w:val="none"/>
        </w:rPr>
      </w:pPr>
    </w:p>
    <w:p w14:paraId="793CA7BA">
      <w:pPr>
        <w:pStyle w:val="44"/>
        <w:tabs>
          <w:tab w:val="left" w:pos="1050"/>
        </w:tabs>
        <w:spacing w:line="360" w:lineRule="auto"/>
        <w:rPr>
          <w:rFonts w:ascii="宋体" w:hAnsi="宋体" w:cs="宋体"/>
          <w:b/>
          <w:color w:val="auto"/>
          <w:sz w:val="28"/>
          <w:highlight w:val="none"/>
        </w:rPr>
      </w:pPr>
    </w:p>
    <w:p w14:paraId="53A13EE9">
      <w:pPr>
        <w:pStyle w:val="44"/>
        <w:tabs>
          <w:tab w:val="left" w:pos="1050"/>
        </w:tabs>
        <w:spacing w:line="360" w:lineRule="auto"/>
        <w:rPr>
          <w:rFonts w:ascii="宋体" w:hAnsi="宋体" w:cs="宋体"/>
          <w:color w:val="auto"/>
          <w:sz w:val="24"/>
          <w:highlight w:val="none"/>
        </w:rPr>
      </w:pPr>
      <w:r>
        <w:rPr>
          <w:rFonts w:hint="eastAsia" w:ascii="宋体" w:hAnsi="宋体" w:cs="宋体"/>
          <w:b/>
          <w:color w:val="auto"/>
          <w:sz w:val="28"/>
          <w:highlight w:val="none"/>
        </w:rPr>
        <w:t>附件12</w:t>
      </w:r>
    </w:p>
    <w:p w14:paraId="0E4075B0">
      <w:pPr>
        <w:spacing w:line="360" w:lineRule="auto"/>
        <w:ind w:left="549" w:hanging="549" w:hangingChars="171"/>
        <w:jc w:val="center"/>
        <w:rPr>
          <w:rFonts w:ascii="宋体" w:hAnsi="宋体" w:cs="宋体"/>
          <w:b/>
          <w:color w:val="auto"/>
          <w:sz w:val="32"/>
          <w:szCs w:val="32"/>
          <w:highlight w:val="none"/>
        </w:rPr>
      </w:pPr>
      <w:r>
        <w:rPr>
          <w:rFonts w:hint="eastAsia" w:ascii="宋体" w:hAnsi="宋体" w:cs="宋体"/>
          <w:b/>
          <w:color w:val="auto"/>
          <w:sz w:val="32"/>
          <w:szCs w:val="32"/>
          <w:highlight w:val="none"/>
        </w:rPr>
        <w:t>资信及商务需求响应表</w:t>
      </w:r>
    </w:p>
    <w:p w14:paraId="19C61941">
      <w:pPr>
        <w:spacing w:line="360" w:lineRule="auto"/>
        <w:ind w:left="481" w:leftChars="229" w:firstLine="949" w:firstLineChars="450"/>
        <w:rPr>
          <w:rFonts w:ascii="宋体" w:hAnsi="宋体" w:cs="宋体"/>
          <w:b/>
          <w:color w:val="auto"/>
          <w:szCs w:val="21"/>
          <w:highlight w:val="none"/>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247"/>
        <w:gridCol w:w="1323"/>
        <w:gridCol w:w="1365"/>
        <w:gridCol w:w="2625"/>
      </w:tblGrid>
      <w:tr w14:paraId="2B54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017C8C13">
            <w:pPr>
              <w:spacing w:line="360" w:lineRule="auto"/>
              <w:rPr>
                <w:rFonts w:ascii="宋体" w:hAnsi="宋体" w:cs="宋体"/>
                <w:b/>
                <w:color w:val="auto"/>
                <w:szCs w:val="21"/>
                <w:highlight w:val="none"/>
              </w:rPr>
            </w:pPr>
            <w:r>
              <w:rPr>
                <w:rFonts w:hint="eastAsia" w:ascii="宋体" w:hAnsi="宋体" w:cs="宋体"/>
                <w:b/>
                <w:color w:val="auto"/>
                <w:szCs w:val="21"/>
                <w:highlight w:val="none"/>
              </w:rPr>
              <w:t>序号</w:t>
            </w:r>
          </w:p>
        </w:tc>
        <w:tc>
          <w:tcPr>
            <w:tcW w:w="2247" w:type="dxa"/>
            <w:vAlign w:val="center"/>
          </w:tcPr>
          <w:p w14:paraId="4C0CF15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w:t>
            </w:r>
          </w:p>
        </w:tc>
        <w:tc>
          <w:tcPr>
            <w:tcW w:w="1323" w:type="dxa"/>
            <w:vAlign w:val="center"/>
          </w:tcPr>
          <w:p w14:paraId="5544834C">
            <w:pPr>
              <w:spacing w:line="360" w:lineRule="auto"/>
              <w:ind w:left="53" w:leftChars="25" w:firstLine="211" w:firstLineChars="100"/>
              <w:rPr>
                <w:rFonts w:ascii="宋体" w:hAnsi="宋体" w:cs="宋体"/>
                <w:b/>
                <w:color w:val="auto"/>
                <w:szCs w:val="21"/>
                <w:highlight w:val="none"/>
              </w:rPr>
            </w:pPr>
            <w:r>
              <w:rPr>
                <w:rFonts w:hint="eastAsia" w:ascii="宋体" w:hAnsi="宋体" w:cs="宋体"/>
                <w:b/>
                <w:color w:val="auto"/>
                <w:szCs w:val="21"/>
                <w:highlight w:val="none"/>
              </w:rPr>
              <w:t>招标需求</w:t>
            </w:r>
          </w:p>
        </w:tc>
        <w:tc>
          <w:tcPr>
            <w:tcW w:w="1365" w:type="dxa"/>
            <w:vAlign w:val="center"/>
          </w:tcPr>
          <w:p w14:paraId="7F0C4845">
            <w:pPr>
              <w:spacing w:line="360" w:lineRule="auto"/>
              <w:ind w:left="152"/>
              <w:rPr>
                <w:rFonts w:ascii="宋体" w:hAnsi="宋体" w:cs="宋体"/>
                <w:b/>
                <w:color w:val="auto"/>
                <w:szCs w:val="21"/>
                <w:highlight w:val="none"/>
              </w:rPr>
            </w:pPr>
            <w:r>
              <w:rPr>
                <w:rFonts w:hint="eastAsia" w:ascii="宋体" w:hAnsi="宋体" w:cs="宋体"/>
                <w:b/>
                <w:color w:val="auto"/>
                <w:szCs w:val="21"/>
                <w:highlight w:val="none"/>
              </w:rPr>
              <w:t>是否响应</w:t>
            </w:r>
          </w:p>
        </w:tc>
        <w:tc>
          <w:tcPr>
            <w:tcW w:w="2625" w:type="dxa"/>
            <w:vAlign w:val="center"/>
          </w:tcPr>
          <w:p w14:paraId="337C22D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投标人的承诺或说明</w:t>
            </w:r>
          </w:p>
        </w:tc>
      </w:tr>
      <w:tr w14:paraId="3C46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5E711B55">
            <w:pPr>
              <w:spacing w:line="360" w:lineRule="auto"/>
              <w:rPr>
                <w:rFonts w:ascii="宋体" w:hAnsi="宋体" w:cs="宋体"/>
                <w:color w:val="auto"/>
                <w:szCs w:val="21"/>
                <w:highlight w:val="none"/>
              </w:rPr>
            </w:pPr>
          </w:p>
        </w:tc>
        <w:tc>
          <w:tcPr>
            <w:tcW w:w="2247" w:type="dxa"/>
            <w:vAlign w:val="center"/>
          </w:tcPr>
          <w:p w14:paraId="416B176C">
            <w:pPr>
              <w:jc w:val="center"/>
              <w:rPr>
                <w:rFonts w:ascii="宋体" w:hAnsi="宋体" w:cs="宋体"/>
                <w:color w:val="auto"/>
                <w:szCs w:val="21"/>
                <w:highlight w:val="none"/>
              </w:rPr>
            </w:pPr>
            <w:r>
              <w:rPr>
                <w:rFonts w:hint="eastAsia" w:ascii="宋体" w:hAnsi="宋体" w:cs="宋体"/>
                <w:color w:val="auto"/>
                <w:szCs w:val="21"/>
                <w:highlight w:val="none"/>
              </w:rPr>
              <w:t>交货时间及地点</w:t>
            </w:r>
          </w:p>
        </w:tc>
        <w:tc>
          <w:tcPr>
            <w:tcW w:w="1323" w:type="dxa"/>
            <w:vAlign w:val="center"/>
          </w:tcPr>
          <w:p w14:paraId="30D9E29E">
            <w:pPr>
              <w:spacing w:line="360" w:lineRule="auto"/>
              <w:rPr>
                <w:rFonts w:ascii="宋体" w:hAnsi="宋体" w:cs="宋体"/>
                <w:color w:val="auto"/>
                <w:szCs w:val="21"/>
                <w:highlight w:val="none"/>
              </w:rPr>
            </w:pPr>
          </w:p>
        </w:tc>
        <w:tc>
          <w:tcPr>
            <w:tcW w:w="1365" w:type="dxa"/>
            <w:vAlign w:val="center"/>
          </w:tcPr>
          <w:p w14:paraId="1F2BBA80">
            <w:pPr>
              <w:spacing w:line="360" w:lineRule="auto"/>
              <w:rPr>
                <w:rFonts w:ascii="宋体" w:hAnsi="宋体" w:cs="宋体"/>
                <w:color w:val="auto"/>
                <w:szCs w:val="21"/>
                <w:highlight w:val="none"/>
              </w:rPr>
            </w:pPr>
          </w:p>
        </w:tc>
        <w:tc>
          <w:tcPr>
            <w:tcW w:w="2625" w:type="dxa"/>
            <w:vAlign w:val="center"/>
          </w:tcPr>
          <w:p w14:paraId="6B646085">
            <w:pPr>
              <w:spacing w:line="360" w:lineRule="auto"/>
              <w:rPr>
                <w:rFonts w:ascii="宋体" w:hAnsi="宋体" w:cs="宋体"/>
                <w:color w:val="auto"/>
                <w:szCs w:val="21"/>
                <w:highlight w:val="none"/>
              </w:rPr>
            </w:pPr>
          </w:p>
        </w:tc>
      </w:tr>
      <w:tr w14:paraId="4B0B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94C5227">
            <w:pPr>
              <w:spacing w:line="360" w:lineRule="auto"/>
              <w:rPr>
                <w:rFonts w:ascii="宋体" w:hAnsi="宋体" w:cs="宋体"/>
                <w:color w:val="auto"/>
                <w:szCs w:val="21"/>
                <w:highlight w:val="none"/>
              </w:rPr>
            </w:pPr>
          </w:p>
        </w:tc>
        <w:tc>
          <w:tcPr>
            <w:tcW w:w="2247" w:type="dxa"/>
            <w:vAlign w:val="center"/>
          </w:tcPr>
          <w:p w14:paraId="44189347">
            <w:pPr>
              <w:jc w:val="center"/>
              <w:rPr>
                <w:rFonts w:ascii="宋体" w:hAnsi="宋体" w:cs="宋体"/>
                <w:color w:val="auto"/>
                <w:szCs w:val="21"/>
                <w:highlight w:val="none"/>
              </w:rPr>
            </w:pPr>
            <w:r>
              <w:rPr>
                <w:rFonts w:hint="eastAsia" w:ascii="宋体" w:hAnsi="宋体" w:cs="宋体"/>
                <w:color w:val="auto"/>
                <w:szCs w:val="21"/>
                <w:highlight w:val="none"/>
              </w:rPr>
              <w:t>质保期（免费维修期）</w:t>
            </w:r>
          </w:p>
        </w:tc>
        <w:tc>
          <w:tcPr>
            <w:tcW w:w="1323" w:type="dxa"/>
            <w:vAlign w:val="center"/>
          </w:tcPr>
          <w:p w14:paraId="01873537">
            <w:pPr>
              <w:spacing w:line="360" w:lineRule="auto"/>
              <w:rPr>
                <w:rFonts w:ascii="宋体" w:hAnsi="宋体" w:cs="宋体"/>
                <w:color w:val="auto"/>
                <w:szCs w:val="21"/>
                <w:highlight w:val="none"/>
              </w:rPr>
            </w:pPr>
          </w:p>
        </w:tc>
        <w:tc>
          <w:tcPr>
            <w:tcW w:w="1365" w:type="dxa"/>
            <w:vAlign w:val="center"/>
          </w:tcPr>
          <w:p w14:paraId="52968883">
            <w:pPr>
              <w:spacing w:line="360" w:lineRule="auto"/>
              <w:rPr>
                <w:rFonts w:ascii="宋体" w:hAnsi="宋体" w:cs="宋体"/>
                <w:color w:val="auto"/>
                <w:szCs w:val="21"/>
                <w:highlight w:val="none"/>
              </w:rPr>
            </w:pPr>
          </w:p>
        </w:tc>
        <w:tc>
          <w:tcPr>
            <w:tcW w:w="2625" w:type="dxa"/>
            <w:vAlign w:val="center"/>
          </w:tcPr>
          <w:p w14:paraId="171350EA">
            <w:pPr>
              <w:spacing w:line="360" w:lineRule="auto"/>
              <w:rPr>
                <w:rFonts w:ascii="宋体" w:hAnsi="宋体" w:cs="宋体"/>
                <w:color w:val="auto"/>
                <w:szCs w:val="21"/>
                <w:highlight w:val="none"/>
              </w:rPr>
            </w:pPr>
          </w:p>
        </w:tc>
      </w:tr>
      <w:tr w14:paraId="0221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07D5832">
            <w:pPr>
              <w:spacing w:line="360" w:lineRule="auto"/>
              <w:rPr>
                <w:rFonts w:ascii="宋体" w:hAnsi="宋体" w:cs="宋体"/>
                <w:color w:val="auto"/>
                <w:szCs w:val="21"/>
                <w:highlight w:val="none"/>
              </w:rPr>
            </w:pPr>
          </w:p>
        </w:tc>
        <w:tc>
          <w:tcPr>
            <w:tcW w:w="2247" w:type="dxa"/>
            <w:vAlign w:val="center"/>
          </w:tcPr>
          <w:p w14:paraId="5CA877EC">
            <w:pPr>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1323" w:type="dxa"/>
            <w:vAlign w:val="center"/>
          </w:tcPr>
          <w:p w14:paraId="50E98444">
            <w:pPr>
              <w:spacing w:line="360" w:lineRule="auto"/>
              <w:rPr>
                <w:rFonts w:ascii="宋体" w:hAnsi="宋体" w:cs="宋体"/>
                <w:color w:val="auto"/>
                <w:szCs w:val="21"/>
                <w:highlight w:val="none"/>
              </w:rPr>
            </w:pPr>
          </w:p>
        </w:tc>
        <w:tc>
          <w:tcPr>
            <w:tcW w:w="1365" w:type="dxa"/>
            <w:vAlign w:val="center"/>
          </w:tcPr>
          <w:p w14:paraId="76D9DA33">
            <w:pPr>
              <w:spacing w:line="360" w:lineRule="auto"/>
              <w:rPr>
                <w:rFonts w:ascii="宋体" w:hAnsi="宋体" w:cs="宋体"/>
                <w:color w:val="auto"/>
                <w:szCs w:val="21"/>
                <w:highlight w:val="none"/>
              </w:rPr>
            </w:pPr>
          </w:p>
        </w:tc>
        <w:tc>
          <w:tcPr>
            <w:tcW w:w="2625" w:type="dxa"/>
            <w:vAlign w:val="center"/>
          </w:tcPr>
          <w:p w14:paraId="1848BD2D">
            <w:pPr>
              <w:spacing w:line="360" w:lineRule="auto"/>
              <w:rPr>
                <w:rFonts w:ascii="宋体" w:hAnsi="宋体" w:cs="宋体"/>
                <w:color w:val="auto"/>
                <w:szCs w:val="21"/>
                <w:highlight w:val="none"/>
              </w:rPr>
            </w:pPr>
          </w:p>
        </w:tc>
      </w:tr>
      <w:tr w14:paraId="522C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2DAF7ED">
            <w:pPr>
              <w:spacing w:line="360" w:lineRule="auto"/>
              <w:rPr>
                <w:rFonts w:ascii="宋体" w:hAnsi="宋体" w:cs="宋体"/>
                <w:color w:val="auto"/>
                <w:szCs w:val="21"/>
                <w:highlight w:val="none"/>
              </w:rPr>
            </w:pPr>
          </w:p>
        </w:tc>
        <w:tc>
          <w:tcPr>
            <w:tcW w:w="2247" w:type="dxa"/>
            <w:vAlign w:val="center"/>
          </w:tcPr>
          <w:p w14:paraId="3FD7B314">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323" w:type="dxa"/>
            <w:vAlign w:val="center"/>
          </w:tcPr>
          <w:p w14:paraId="411CEFE8">
            <w:pPr>
              <w:spacing w:line="360" w:lineRule="auto"/>
              <w:rPr>
                <w:rFonts w:ascii="宋体" w:hAnsi="宋体" w:cs="宋体"/>
                <w:color w:val="auto"/>
                <w:szCs w:val="21"/>
                <w:highlight w:val="none"/>
              </w:rPr>
            </w:pPr>
          </w:p>
        </w:tc>
        <w:tc>
          <w:tcPr>
            <w:tcW w:w="1365" w:type="dxa"/>
            <w:vAlign w:val="center"/>
          </w:tcPr>
          <w:p w14:paraId="684267E1">
            <w:pPr>
              <w:spacing w:line="360" w:lineRule="auto"/>
              <w:rPr>
                <w:rFonts w:ascii="宋体" w:hAnsi="宋体" w:cs="宋体"/>
                <w:color w:val="auto"/>
                <w:szCs w:val="21"/>
                <w:highlight w:val="none"/>
              </w:rPr>
            </w:pPr>
          </w:p>
        </w:tc>
        <w:tc>
          <w:tcPr>
            <w:tcW w:w="2625" w:type="dxa"/>
            <w:vAlign w:val="center"/>
          </w:tcPr>
          <w:p w14:paraId="1E8DBDBD">
            <w:pPr>
              <w:spacing w:line="360" w:lineRule="auto"/>
              <w:rPr>
                <w:rFonts w:ascii="宋体" w:hAnsi="宋体" w:cs="宋体"/>
                <w:color w:val="auto"/>
                <w:szCs w:val="21"/>
                <w:highlight w:val="none"/>
              </w:rPr>
            </w:pPr>
          </w:p>
        </w:tc>
      </w:tr>
      <w:tr w14:paraId="655E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4376C5D0">
            <w:pPr>
              <w:spacing w:line="360" w:lineRule="auto"/>
              <w:rPr>
                <w:rFonts w:ascii="宋体" w:hAnsi="宋体" w:cs="宋体"/>
                <w:color w:val="auto"/>
                <w:szCs w:val="21"/>
                <w:highlight w:val="none"/>
              </w:rPr>
            </w:pPr>
          </w:p>
        </w:tc>
        <w:tc>
          <w:tcPr>
            <w:tcW w:w="2247" w:type="dxa"/>
          </w:tcPr>
          <w:p w14:paraId="38DC1421">
            <w:pPr>
              <w:snapToGrid w:val="0"/>
              <w:rPr>
                <w:rFonts w:ascii="宋体" w:hAnsi="宋体" w:cs="宋体"/>
                <w:color w:val="auto"/>
                <w:szCs w:val="21"/>
                <w:highlight w:val="none"/>
              </w:rPr>
            </w:pPr>
          </w:p>
        </w:tc>
        <w:tc>
          <w:tcPr>
            <w:tcW w:w="1323" w:type="dxa"/>
            <w:vAlign w:val="center"/>
          </w:tcPr>
          <w:p w14:paraId="0BC12E51">
            <w:pPr>
              <w:spacing w:line="360" w:lineRule="auto"/>
              <w:rPr>
                <w:rFonts w:ascii="宋体" w:hAnsi="宋体" w:cs="宋体"/>
                <w:color w:val="auto"/>
                <w:szCs w:val="21"/>
                <w:highlight w:val="none"/>
              </w:rPr>
            </w:pPr>
          </w:p>
        </w:tc>
        <w:tc>
          <w:tcPr>
            <w:tcW w:w="1365" w:type="dxa"/>
            <w:vAlign w:val="center"/>
          </w:tcPr>
          <w:p w14:paraId="720635A7">
            <w:pPr>
              <w:spacing w:line="360" w:lineRule="auto"/>
              <w:rPr>
                <w:rFonts w:ascii="宋体" w:hAnsi="宋体" w:cs="宋体"/>
                <w:color w:val="auto"/>
                <w:szCs w:val="21"/>
                <w:highlight w:val="none"/>
              </w:rPr>
            </w:pPr>
          </w:p>
        </w:tc>
        <w:tc>
          <w:tcPr>
            <w:tcW w:w="2625" w:type="dxa"/>
            <w:vAlign w:val="center"/>
          </w:tcPr>
          <w:p w14:paraId="715BE13D">
            <w:pPr>
              <w:spacing w:line="360" w:lineRule="auto"/>
              <w:rPr>
                <w:rFonts w:ascii="宋体" w:hAnsi="宋体" w:cs="宋体"/>
                <w:color w:val="auto"/>
                <w:szCs w:val="21"/>
                <w:highlight w:val="none"/>
              </w:rPr>
            </w:pPr>
          </w:p>
        </w:tc>
      </w:tr>
      <w:tr w14:paraId="59BA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010CA2C3">
            <w:pPr>
              <w:spacing w:line="360" w:lineRule="auto"/>
              <w:rPr>
                <w:rFonts w:ascii="宋体" w:hAnsi="宋体" w:cs="宋体"/>
                <w:color w:val="auto"/>
                <w:szCs w:val="21"/>
                <w:highlight w:val="none"/>
              </w:rPr>
            </w:pPr>
          </w:p>
        </w:tc>
        <w:tc>
          <w:tcPr>
            <w:tcW w:w="2247" w:type="dxa"/>
          </w:tcPr>
          <w:p w14:paraId="4B1ECAA9">
            <w:pPr>
              <w:snapToGrid w:val="0"/>
              <w:spacing w:line="360" w:lineRule="auto"/>
              <w:rPr>
                <w:rFonts w:ascii="宋体" w:hAnsi="宋体" w:cs="宋体"/>
                <w:color w:val="auto"/>
                <w:szCs w:val="21"/>
                <w:highlight w:val="none"/>
              </w:rPr>
            </w:pPr>
          </w:p>
        </w:tc>
        <w:tc>
          <w:tcPr>
            <w:tcW w:w="1323" w:type="dxa"/>
            <w:vAlign w:val="center"/>
          </w:tcPr>
          <w:p w14:paraId="559FF722">
            <w:pPr>
              <w:spacing w:line="360" w:lineRule="auto"/>
              <w:rPr>
                <w:rFonts w:ascii="宋体" w:hAnsi="宋体" w:cs="宋体"/>
                <w:color w:val="auto"/>
                <w:szCs w:val="21"/>
                <w:highlight w:val="none"/>
              </w:rPr>
            </w:pPr>
          </w:p>
        </w:tc>
        <w:tc>
          <w:tcPr>
            <w:tcW w:w="1365" w:type="dxa"/>
            <w:vAlign w:val="center"/>
          </w:tcPr>
          <w:p w14:paraId="6779BD05">
            <w:pPr>
              <w:spacing w:line="360" w:lineRule="auto"/>
              <w:rPr>
                <w:rFonts w:ascii="宋体" w:hAnsi="宋体" w:cs="宋体"/>
                <w:color w:val="auto"/>
                <w:szCs w:val="21"/>
                <w:highlight w:val="none"/>
              </w:rPr>
            </w:pPr>
          </w:p>
        </w:tc>
        <w:tc>
          <w:tcPr>
            <w:tcW w:w="2625" w:type="dxa"/>
            <w:vAlign w:val="center"/>
          </w:tcPr>
          <w:p w14:paraId="6300A190">
            <w:pPr>
              <w:spacing w:line="360" w:lineRule="auto"/>
              <w:rPr>
                <w:rFonts w:ascii="宋体" w:hAnsi="宋体" w:cs="宋体"/>
                <w:color w:val="auto"/>
                <w:szCs w:val="21"/>
                <w:highlight w:val="none"/>
              </w:rPr>
            </w:pPr>
          </w:p>
        </w:tc>
      </w:tr>
    </w:tbl>
    <w:p w14:paraId="23D0CAC7">
      <w:pPr>
        <w:spacing w:line="360" w:lineRule="auto"/>
        <w:ind w:left="420"/>
        <w:rPr>
          <w:rFonts w:ascii="宋体" w:hAnsi="宋体" w:cs="宋体"/>
          <w:color w:val="auto"/>
          <w:szCs w:val="21"/>
          <w:highlight w:val="none"/>
        </w:rPr>
      </w:pPr>
    </w:p>
    <w:p w14:paraId="222038F3">
      <w:pPr>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投标人名称（盖章）：</w:t>
      </w:r>
    </w:p>
    <w:p w14:paraId="3D95F18A">
      <w:pPr>
        <w:spacing w:line="360" w:lineRule="auto"/>
        <w:ind w:left="420"/>
        <w:rPr>
          <w:rFonts w:ascii="宋体" w:hAnsi="宋体" w:cs="宋体"/>
          <w:color w:val="auto"/>
          <w:szCs w:val="21"/>
          <w:highlight w:val="none"/>
        </w:rPr>
      </w:pPr>
    </w:p>
    <w:p w14:paraId="380D62F0">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p>
    <w:p w14:paraId="6455A43B">
      <w:pPr>
        <w:spacing w:line="360" w:lineRule="auto"/>
        <w:ind w:firstLine="435"/>
        <w:rPr>
          <w:rFonts w:ascii="宋体" w:hAnsi="宋体" w:cs="宋体"/>
          <w:color w:val="auto"/>
          <w:szCs w:val="21"/>
          <w:highlight w:val="none"/>
        </w:rPr>
      </w:pPr>
    </w:p>
    <w:p w14:paraId="22253933">
      <w:pPr>
        <w:spacing w:line="360" w:lineRule="auto"/>
        <w:ind w:firstLine="435"/>
        <w:rPr>
          <w:rFonts w:ascii="宋体" w:hAnsi="宋体" w:cs="宋体"/>
          <w:color w:val="auto"/>
          <w:szCs w:val="21"/>
          <w:highlight w:val="none"/>
          <w:u w:val="single"/>
        </w:rPr>
      </w:pPr>
      <w:r>
        <w:rPr>
          <w:rFonts w:hint="eastAsia" w:ascii="宋体" w:hAnsi="宋体" w:cs="宋体"/>
          <w:color w:val="auto"/>
          <w:szCs w:val="21"/>
          <w:highlight w:val="none"/>
        </w:rPr>
        <w:t>日期：</w:t>
      </w:r>
    </w:p>
    <w:p w14:paraId="212AC747">
      <w:pPr>
        <w:tabs>
          <w:tab w:val="left" w:pos="2460"/>
        </w:tabs>
        <w:spacing w:line="360" w:lineRule="auto"/>
        <w:ind w:firstLine="435"/>
        <w:rPr>
          <w:rFonts w:ascii="宋体" w:hAnsi="宋体" w:cs="宋体"/>
          <w:b/>
          <w:color w:val="auto"/>
          <w:sz w:val="28"/>
          <w:highlight w:val="none"/>
        </w:rPr>
      </w:pPr>
    </w:p>
    <w:p w14:paraId="3626D798">
      <w:pPr>
        <w:tabs>
          <w:tab w:val="left" w:pos="2460"/>
        </w:tabs>
        <w:spacing w:line="360" w:lineRule="auto"/>
        <w:ind w:firstLine="435"/>
        <w:rPr>
          <w:rFonts w:ascii="宋体" w:hAnsi="宋体" w:cs="宋体"/>
          <w:b/>
          <w:color w:val="auto"/>
          <w:sz w:val="28"/>
          <w:highlight w:val="none"/>
        </w:rPr>
      </w:pPr>
    </w:p>
    <w:p w14:paraId="36E8DB21">
      <w:pPr>
        <w:tabs>
          <w:tab w:val="left" w:pos="2460"/>
        </w:tabs>
        <w:spacing w:line="360" w:lineRule="auto"/>
        <w:ind w:firstLine="435"/>
        <w:rPr>
          <w:rFonts w:ascii="宋体" w:hAnsi="宋体" w:cs="宋体"/>
          <w:b/>
          <w:color w:val="auto"/>
          <w:sz w:val="28"/>
          <w:highlight w:val="none"/>
        </w:rPr>
      </w:pPr>
    </w:p>
    <w:p w14:paraId="525CFEF7">
      <w:pPr>
        <w:pStyle w:val="9"/>
        <w:rPr>
          <w:rFonts w:ascii="宋体" w:hAnsi="宋体" w:cs="宋体"/>
          <w:b/>
          <w:color w:val="auto"/>
          <w:sz w:val="28"/>
          <w:highlight w:val="none"/>
        </w:rPr>
      </w:pPr>
    </w:p>
    <w:p w14:paraId="2A404CB1">
      <w:pPr>
        <w:pStyle w:val="9"/>
        <w:rPr>
          <w:rFonts w:ascii="宋体" w:hAnsi="宋体" w:cs="宋体"/>
          <w:b/>
          <w:color w:val="auto"/>
          <w:sz w:val="28"/>
          <w:highlight w:val="none"/>
        </w:rPr>
      </w:pPr>
    </w:p>
    <w:p w14:paraId="369D0000">
      <w:pPr>
        <w:tabs>
          <w:tab w:val="left" w:pos="2460"/>
        </w:tabs>
        <w:spacing w:line="360" w:lineRule="auto"/>
        <w:rPr>
          <w:rFonts w:ascii="宋体" w:hAnsi="宋体" w:cs="宋体"/>
          <w:b/>
          <w:color w:val="auto"/>
          <w:sz w:val="28"/>
          <w:highlight w:val="none"/>
        </w:rPr>
      </w:pPr>
    </w:p>
    <w:p w14:paraId="33E22632">
      <w:pPr>
        <w:pStyle w:val="52"/>
        <w:rPr>
          <w:rFonts w:hAnsi="宋体" w:cs="宋体"/>
          <w:color w:val="auto"/>
          <w:highlight w:val="none"/>
        </w:rPr>
      </w:pPr>
    </w:p>
    <w:p w14:paraId="28349F2C">
      <w:pPr>
        <w:rPr>
          <w:rFonts w:ascii="宋体" w:hAnsi="宋体" w:cs="宋体"/>
          <w:color w:val="auto"/>
          <w:highlight w:val="none"/>
        </w:rPr>
      </w:pPr>
    </w:p>
    <w:p w14:paraId="3338C87A">
      <w:pPr>
        <w:tabs>
          <w:tab w:val="left" w:pos="2460"/>
        </w:tabs>
        <w:spacing w:line="360" w:lineRule="auto"/>
        <w:rPr>
          <w:rFonts w:ascii="宋体" w:hAnsi="宋体" w:cs="宋体"/>
          <w:b/>
          <w:color w:val="auto"/>
          <w:sz w:val="28"/>
          <w:highlight w:val="none"/>
        </w:rPr>
      </w:pPr>
      <w:r>
        <w:rPr>
          <w:rFonts w:hint="eastAsia" w:ascii="宋体" w:hAnsi="宋体" w:cs="宋体"/>
          <w:b/>
          <w:color w:val="auto"/>
          <w:sz w:val="28"/>
          <w:highlight w:val="none"/>
        </w:rPr>
        <w:t>附件13</w:t>
      </w:r>
      <w:r>
        <w:rPr>
          <w:rFonts w:hint="eastAsia" w:ascii="宋体" w:hAnsi="宋体" w:cs="宋体"/>
          <w:b/>
          <w:color w:val="auto"/>
          <w:sz w:val="28"/>
          <w:highlight w:val="none"/>
        </w:rPr>
        <w:tab/>
      </w:r>
    </w:p>
    <w:p w14:paraId="5EDBCAA4">
      <w:pPr>
        <w:spacing w:line="360" w:lineRule="auto"/>
        <w:ind w:firstLine="435"/>
        <w:jc w:val="center"/>
        <w:rPr>
          <w:rFonts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14:paraId="22530FA8">
      <w:pPr>
        <w:spacing w:line="360" w:lineRule="auto"/>
        <w:ind w:firstLine="435"/>
        <w:jc w:val="center"/>
        <w:rPr>
          <w:rFonts w:ascii="宋体" w:hAnsi="宋体" w:cs="宋体"/>
          <w:b/>
          <w:color w:val="auto"/>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A5B03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3EE523EB">
            <w:pPr>
              <w:pStyle w:val="45"/>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355" w:type="dxa"/>
            <w:tcBorders>
              <w:top w:val="single" w:color="auto" w:sz="4" w:space="0"/>
            </w:tcBorders>
            <w:vAlign w:val="center"/>
          </w:tcPr>
          <w:p w14:paraId="669F1D39">
            <w:pPr>
              <w:pStyle w:val="45"/>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4061" w:type="dxa"/>
            <w:tcBorders>
              <w:top w:val="single" w:color="auto" w:sz="4" w:space="0"/>
            </w:tcBorders>
            <w:vAlign w:val="center"/>
          </w:tcPr>
          <w:p w14:paraId="19CCCFFD">
            <w:pPr>
              <w:pStyle w:val="45"/>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投标人情况</w:t>
            </w:r>
          </w:p>
        </w:tc>
        <w:tc>
          <w:tcPr>
            <w:tcW w:w="1373" w:type="dxa"/>
            <w:tcBorders>
              <w:top w:val="single" w:color="auto" w:sz="4" w:space="0"/>
            </w:tcBorders>
            <w:vAlign w:val="center"/>
          </w:tcPr>
          <w:p w14:paraId="49B153ED">
            <w:pPr>
              <w:pStyle w:val="45"/>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3D8B98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18855466">
            <w:pPr>
              <w:pStyle w:val="45"/>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2355" w:type="dxa"/>
            <w:vAlign w:val="center"/>
          </w:tcPr>
          <w:p w14:paraId="345D09C1">
            <w:pPr>
              <w:pStyle w:val="45"/>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质保期内售后服务情况(服务方式、服务网点、售后服务的内容和措施等等，可用附页和宣传材料)</w:t>
            </w:r>
          </w:p>
        </w:tc>
        <w:tc>
          <w:tcPr>
            <w:tcW w:w="4061" w:type="dxa"/>
          </w:tcPr>
          <w:p w14:paraId="0B40E1B2">
            <w:pPr>
              <w:pStyle w:val="45"/>
              <w:spacing w:line="360" w:lineRule="auto"/>
              <w:rPr>
                <w:rFonts w:ascii="宋体" w:hAnsi="宋体" w:cs="宋体"/>
                <w:bCs/>
                <w:color w:val="auto"/>
                <w:szCs w:val="21"/>
                <w:highlight w:val="none"/>
              </w:rPr>
            </w:pPr>
          </w:p>
        </w:tc>
        <w:tc>
          <w:tcPr>
            <w:tcW w:w="1373" w:type="dxa"/>
          </w:tcPr>
          <w:p w14:paraId="380252ED">
            <w:pPr>
              <w:pStyle w:val="45"/>
              <w:spacing w:line="360" w:lineRule="auto"/>
              <w:rPr>
                <w:rFonts w:ascii="宋体" w:hAnsi="宋体" w:cs="宋体"/>
                <w:bCs/>
                <w:color w:val="auto"/>
                <w:szCs w:val="21"/>
                <w:highlight w:val="none"/>
              </w:rPr>
            </w:pPr>
          </w:p>
        </w:tc>
      </w:tr>
      <w:tr w14:paraId="0589C6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9" w:hRule="exact"/>
          <w:jc w:val="center"/>
        </w:trPr>
        <w:tc>
          <w:tcPr>
            <w:tcW w:w="739" w:type="dxa"/>
            <w:vAlign w:val="center"/>
          </w:tcPr>
          <w:p w14:paraId="45803130">
            <w:pPr>
              <w:pStyle w:val="45"/>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2355" w:type="dxa"/>
            <w:vAlign w:val="center"/>
          </w:tcPr>
          <w:p w14:paraId="46F1DE76">
            <w:pPr>
              <w:pStyle w:val="45"/>
              <w:spacing w:line="360" w:lineRule="auto"/>
              <w:rPr>
                <w:rFonts w:ascii="宋体" w:hAnsi="宋体" w:cs="宋体"/>
                <w:bCs/>
                <w:color w:val="auto"/>
                <w:szCs w:val="21"/>
                <w:highlight w:val="none"/>
              </w:rPr>
            </w:pPr>
            <w:r>
              <w:rPr>
                <w:rFonts w:hint="eastAsia" w:ascii="宋体" w:hAnsi="宋体" w:cs="宋体"/>
                <w:bCs/>
                <w:color w:val="auto"/>
                <w:szCs w:val="21"/>
                <w:highlight w:val="none"/>
              </w:rPr>
              <w:t>质保期满后售后服务</w:t>
            </w:r>
          </w:p>
        </w:tc>
        <w:tc>
          <w:tcPr>
            <w:tcW w:w="4061" w:type="dxa"/>
          </w:tcPr>
          <w:p w14:paraId="0FD39E7C">
            <w:pPr>
              <w:pStyle w:val="45"/>
              <w:widowControl/>
              <w:spacing w:line="360" w:lineRule="auto"/>
              <w:jc w:val="left"/>
              <w:rPr>
                <w:rFonts w:ascii="宋体" w:hAnsi="宋体" w:cs="宋体"/>
                <w:bCs/>
                <w:color w:val="auto"/>
                <w:szCs w:val="21"/>
                <w:highlight w:val="none"/>
              </w:rPr>
            </w:pPr>
          </w:p>
          <w:p w14:paraId="5A634A89">
            <w:pPr>
              <w:pStyle w:val="45"/>
              <w:widowControl/>
              <w:spacing w:line="360" w:lineRule="auto"/>
              <w:jc w:val="left"/>
              <w:rPr>
                <w:rFonts w:ascii="宋体" w:hAnsi="宋体" w:cs="宋体"/>
                <w:bCs/>
                <w:color w:val="auto"/>
                <w:szCs w:val="21"/>
                <w:highlight w:val="none"/>
              </w:rPr>
            </w:pPr>
          </w:p>
          <w:p w14:paraId="60C5B58E">
            <w:pPr>
              <w:pStyle w:val="45"/>
              <w:spacing w:line="360" w:lineRule="auto"/>
              <w:rPr>
                <w:rFonts w:ascii="宋体" w:hAnsi="宋体" w:cs="宋体"/>
                <w:bCs/>
                <w:color w:val="auto"/>
                <w:szCs w:val="21"/>
                <w:highlight w:val="none"/>
              </w:rPr>
            </w:pPr>
          </w:p>
        </w:tc>
        <w:tc>
          <w:tcPr>
            <w:tcW w:w="1373" w:type="dxa"/>
          </w:tcPr>
          <w:p w14:paraId="79815193">
            <w:pPr>
              <w:pStyle w:val="45"/>
              <w:widowControl/>
              <w:spacing w:line="360" w:lineRule="auto"/>
              <w:jc w:val="left"/>
              <w:rPr>
                <w:rFonts w:ascii="宋体" w:hAnsi="宋体" w:cs="宋体"/>
                <w:bCs/>
                <w:color w:val="auto"/>
                <w:szCs w:val="21"/>
                <w:highlight w:val="none"/>
              </w:rPr>
            </w:pPr>
          </w:p>
          <w:p w14:paraId="3593B4C2">
            <w:pPr>
              <w:pStyle w:val="45"/>
              <w:widowControl/>
              <w:spacing w:line="360" w:lineRule="auto"/>
              <w:jc w:val="left"/>
              <w:rPr>
                <w:rFonts w:ascii="宋体" w:hAnsi="宋体" w:cs="宋体"/>
                <w:bCs/>
                <w:color w:val="auto"/>
                <w:szCs w:val="21"/>
                <w:highlight w:val="none"/>
              </w:rPr>
            </w:pPr>
          </w:p>
          <w:p w14:paraId="1A11ACDF">
            <w:pPr>
              <w:pStyle w:val="45"/>
              <w:spacing w:line="360" w:lineRule="auto"/>
              <w:rPr>
                <w:rFonts w:ascii="宋体" w:hAnsi="宋体" w:cs="宋体"/>
                <w:bCs/>
                <w:color w:val="auto"/>
                <w:szCs w:val="21"/>
                <w:highlight w:val="none"/>
              </w:rPr>
            </w:pPr>
          </w:p>
        </w:tc>
      </w:tr>
      <w:tr w14:paraId="5CE35E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673BA85">
            <w:pPr>
              <w:pStyle w:val="45"/>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xml:space="preserve"> 3</w:t>
            </w:r>
          </w:p>
        </w:tc>
        <w:tc>
          <w:tcPr>
            <w:tcW w:w="2355" w:type="dxa"/>
            <w:vAlign w:val="center"/>
          </w:tcPr>
          <w:p w14:paraId="34D4BA45">
            <w:pPr>
              <w:pStyle w:val="45"/>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培训方案（可用附页）</w:t>
            </w:r>
          </w:p>
        </w:tc>
        <w:tc>
          <w:tcPr>
            <w:tcW w:w="4061" w:type="dxa"/>
          </w:tcPr>
          <w:p w14:paraId="3691667B">
            <w:pPr>
              <w:pStyle w:val="45"/>
              <w:widowControl/>
              <w:spacing w:line="360" w:lineRule="auto"/>
              <w:jc w:val="left"/>
              <w:rPr>
                <w:rFonts w:ascii="宋体" w:hAnsi="宋体" w:cs="宋体"/>
                <w:bCs/>
                <w:i/>
                <w:color w:val="auto"/>
                <w:szCs w:val="21"/>
                <w:highlight w:val="none"/>
              </w:rPr>
            </w:pPr>
          </w:p>
          <w:p w14:paraId="2B30F0AB">
            <w:pPr>
              <w:pStyle w:val="45"/>
              <w:widowControl/>
              <w:spacing w:line="360" w:lineRule="auto"/>
              <w:jc w:val="left"/>
              <w:rPr>
                <w:rFonts w:ascii="宋体" w:hAnsi="宋体" w:cs="宋体"/>
                <w:bCs/>
                <w:i/>
                <w:color w:val="auto"/>
                <w:szCs w:val="21"/>
                <w:highlight w:val="none"/>
              </w:rPr>
            </w:pPr>
          </w:p>
        </w:tc>
        <w:tc>
          <w:tcPr>
            <w:tcW w:w="1373" w:type="dxa"/>
          </w:tcPr>
          <w:p w14:paraId="5CC035D2">
            <w:pPr>
              <w:pStyle w:val="45"/>
              <w:widowControl/>
              <w:spacing w:line="360" w:lineRule="auto"/>
              <w:jc w:val="left"/>
              <w:rPr>
                <w:rFonts w:ascii="宋体" w:hAnsi="宋体" w:cs="宋体"/>
                <w:bCs/>
                <w:i/>
                <w:color w:val="auto"/>
                <w:szCs w:val="21"/>
                <w:highlight w:val="none"/>
              </w:rPr>
            </w:pPr>
          </w:p>
          <w:p w14:paraId="55D69CDC">
            <w:pPr>
              <w:pStyle w:val="45"/>
              <w:widowControl/>
              <w:spacing w:line="360" w:lineRule="auto"/>
              <w:jc w:val="left"/>
              <w:rPr>
                <w:rFonts w:ascii="宋体" w:hAnsi="宋体" w:cs="宋体"/>
                <w:bCs/>
                <w:i/>
                <w:color w:val="auto"/>
                <w:szCs w:val="21"/>
                <w:highlight w:val="none"/>
              </w:rPr>
            </w:pPr>
          </w:p>
          <w:p w14:paraId="175FC14C">
            <w:pPr>
              <w:pStyle w:val="45"/>
              <w:widowControl/>
              <w:spacing w:line="360" w:lineRule="auto"/>
              <w:jc w:val="left"/>
              <w:rPr>
                <w:rFonts w:ascii="宋体" w:hAnsi="宋体" w:cs="宋体"/>
                <w:bCs/>
                <w:i/>
                <w:color w:val="auto"/>
                <w:szCs w:val="21"/>
                <w:highlight w:val="none"/>
              </w:rPr>
            </w:pPr>
          </w:p>
        </w:tc>
      </w:tr>
      <w:tr w14:paraId="4ECC2D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4F593D05">
            <w:pPr>
              <w:pStyle w:val="45"/>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w:t>
            </w:r>
          </w:p>
        </w:tc>
        <w:tc>
          <w:tcPr>
            <w:tcW w:w="2355" w:type="dxa"/>
            <w:tcBorders>
              <w:bottom w:val="single" w:color="auto" w:sz="4" w:space="0"/>
            </w:tcBorders>
            <w:vAlign w:val="center"/>
          </w:tcPr>
          <w:p w14:paraId="6F38B1A6">
            <w:pPr>
              <w:pStyle w:val="45"/>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w:t>
            </w:r>
          </w:p>
        </w:tc>
        <w:tc>
          <w:tcPr>
            <w:tcW w:w="4061" w:type="dxa"/>
            <w:tcBorders>
              <w:bottom w:val="single" w:color="auto" w:sz="4" w:space="0"/>
            </w:tcBorders>
          </w:tcPr>
          <w:p w14:paraId="3DC5664F">
            <w:pPr>
              <w:pStyle w:val="45"/>
              <w:widowControl/>
              <w:spacing w:line="360" w:lineRule="auto"/>
              <w:jc w:val="left"/>
              <w:rPr>
                <w:rFonts w:ascii="宋体" w:hAnsi="宋体" w:cs="宋体"/>
                <w:bCs/>
                <w:color w:val="auto"/>
                <w:szCs w:val="21"/>
                <w:highlight w:val="none"/>
              </w:rPr>
            </w:pPr>
          </w:p>
        </w:tc>
        <w:tc>
          <w:tcPr>
            <w:tcW w:w="1373" w:type="dxa"/>
            <w:tcBorders>
              <w:bottom w:val="single" w:color="auto" w:sz="4" w:space="0"/>
            </w:tcBorders>
          </w:tcPr>
          <w:p w14:paraId="2D8D8EBC">
            <w:pPr>
              <w:pStyle w:val="45"/>
              <w:widowControl/>
              <w:spacing w:line="360" w:lineRule="auto"/>
              <w:jc w:val="left"/>
              <w:rPr>
                <w:rFonts w:ascii="宋体" w:hAnsi="宋体" w:cs="宋体"/>
                <w:bCs/>
                <w:color w:val="auto"/>
                <w:szCs w:val="21"/>
                <w:highlight w:val="none"/>
              </w:rPr>
            </w:pPr>
          </w:p>
        </w:tc>
      </w:tr>
    </w:tbl>
    <w:p w14:paraId="0DABF96E">
      <w:pPr>
        <w:spacing w:line="360" w:lineRule="auto"/>
        <w:ind w:left="420"/>
        <w:rPr>
          <w:rFonts w:ascii="宋体" w:hAnsi="宋体" w:cs="宋体"/>
          <w:color w:val="auto"/>
          <w:szCs w:val="21"/>
          <w:highlight w:val="none"/>
        </w:rPr>
      </w:pPr>
    </w:p>
    <w:p w14:paraId="114FF03A">
      <w:pPr>
        <w:spacing w:line="360" w:lineRule="auto"/>
        <w:ind w:left="420"/>
        <w:rPr>
          <w:rFonts w:ascii="宋体" w:hAnsi="宋体" w:cs="宋体"/>
          <w:color w:val="auto"/>
          <w:szCs w:val="21"/>
          <w:highlight w:val="none"/>
        </w:rPr>
      </w:pPr>
    </w:p>
    <w:p w14:paraId="1D20824D">
      <w:pPr>
        <w:spacing w:line="360" w:lineRule="auto"/>
        <w:rPr>
          <w:rFonts w:ascii="宋体" w:hAnsi="宋体" w:cs="宋体"/>
          <w:color w:val="auto"/>
          <w:szCs w:val="21"/>
          <w:highlight w:val="none"/>
        </w:rPr>
      </w:pPr>
    </w:p>
    <w:p w14:paraId="67984D39">
      <w:pPr>
        <w:spacing w:line="360" w:lineRule="auto"/>
        <w:ind w:left="420"/>
        <w:rPr>
          <w:rFonts w:ascii="宋体" w:hAnsi="宋体" w:cs="宋体"/>
          <w:color w:val="auto"/>
          <w:szCs w:val="21"/>
          <w:highlight w:val="none"/>
        </w:rPr>
      </w:pPr>
    </w:p>
    <w:p w14:paraId="7DD1ADBC">
      <w:pPr>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投标人名称（盖章）：</w:t>
      </w:r>
    </w:p>
    <w:p w14:paraId="6DF8AB4E">
      <w:pPr>
        <w:spacing w:line="360" w:lineRule="auto"/>
        <w:ind w:left="420"/>
        <w:rPr>
          <w:rFonts w:ascii="宋体" w:hAnsi="宋体" w:cs="宋体"/>
          <w:color w:val="auto"/>
          <w:szCs w:val="21"/>
          <w:highlight w:val="none"/>
        </w:rPr>
      </w:pPr>
    </w:p>
    <w:p w14:paraId="331D742F">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p>
    <w:p w14:paraId="04C0932A">
      <w:pPr>
        <w:spacing w:line="360" w:lineRule="auto"/>
        <w:rPr>
          <w:rFonts w:ascii="宋体" w:hAnsi="宋体" w:cs="宋体"/>
          <w:color w:val="auto"/>
          <w:szCs w:val="21"/>
          <w:highlight w:val="none"/>
        </w:rPr>
      </w:pPr>
    </w:p>
    <w:p w14:paraId="4AE38535">
      <w:pPr>
        <w:spacing w:line="360" w:lineRule="auto"/>
        <w:ind w:firstLine="435"/>
        <w:rPr>
          <w:rFonts w:ascii="宋体" w:hAnsi="宋体" w:cs="宋体"/>
          <w:color w:val="auto"/>
          <w:sz w:val="24"/>
          <w:highlight w:val="none"/>
          <w:u w:val="single"/>
        </w:rPr>
      </w:pPr>
      <w:r>
        <w:rPr>
          <w:rFonts w:hint="eastAsia" w:ascii="宋体" w:hAnsi="宋体" w:cs="宋体"/>
          <w:color w:val="auto"/>
          <w:szCs w:val="21"/>
          <w:highlight w:val="none"/>
        </w:rPr>
        <w:t>日期：</w:t>
      </w:r>
    </w:p>
    <w:p w14:paraId="74415A95">
      <w:pPr>
        <w:spacing w:line="360" w:lineRule="auto"/>
        <w:ind w:firstLine="435"/>
        <w:rPr>
          <w:rFonts w:ascii="宋体" w:hAnsi="宋体" w:cs="宋体"/>
          <w:color w:val="auto"/>
          <w:sz w:val="24"/>
          <w:highlight w:val="none"/>
          <w:u w:val="single"/>
        </w:rPr>
      </w:pPr>
    </w:p>
    <w:p w14:paraId="31C38A02">
      <w:pPr>
        <w:pStyle w:val="46"/>
        <w:spacing w:line="360" w:lineRule="auto"/>
        <w:rPr>
          <w:rFonts w:hAnsi="宋体" w:cs="宋体"/>
          <w:b/>
          <w:color w:val="auto"/>
          <w:sz w:val="28"/>
          <w:szCs w:val="28"/>
          <w:highlight w:val="none"/>
        </w:rPr>
      </w:pPr>
    </w:p>
    <w:p w14:paraId="661D052F">
      <w:pPr>
        <w:spacing w:line="360" w:lineRule="auto"/>
        <w:ind w:right="-110"/>
        <w:jc w:val="left"/>
        <w:rPr>
          <w:rFonts w:ascii="宋体" w:hAnsi="宋体" w:cs="宋体"/>
          <w:b/>
          <w:color w:val="auto"/>
          <w:sz w:val="28"/>
          <w:highlight w:val="none"/>
        </w:rPr>
      </w:pPr>
    </w:p>
    <w:p w14:paraId="629EB0B8">
      <w:pPr>
        <w:spacing w:line="360" w:lineRule="auto"/>
        <w:ind w:right="-110"/>
        <w:jc w:val="left"/>
        <w:rPr>
          <w:rFonts w:ascii="宋体" w:hAnsi="宋体" w:cs="宋体"/>
          <w:b/>
          <w:color w:val="auto"/>
          <w:sz w:val="28"/>
          <w:highlight w:val="none"/>
        </w:rPr>
        <w:sectPr>
          <w:pgSz w:w="11906" w:h="16838"/>
          <w:pgMar w:top="1440" w:right="1800" w:bottom="1440" w:left="1800" w:header="851" w:footer="992" w:gutter="0"/>
          <w:cols w:space="425" w:num="1"/>
          <w:docGrid w:type="lines" w:linePitch="312" w:charSpace="0"/>
        </w:sectPr>
      </w:pPr>
    </w:p>
    <w:p w14:paraId="5AFB38FC">
      <w:pPr>
        <w:spacing w:line="360" w:lineRule="auto"/>
        <w:ind w:right="-110"/>
        <w:jc w:val="left"/>
        <w:rPr>
          <w:rFonts w:ascii="宋体" w:hAnsi="宋体" w:cs="宋体"/>
          <w:color w:val="auto"/>
          <w:spacing w:val="40"/>
          <w:sz w:val="52"/>
          <w:szCs w:val="52"/>
          <w:highlight w:val="none"/>
        </w:rPr>
      </w:pPr>
      <w:r>
        <w:rPr>
          <w:rFonts w:hint="eastAsia" w:ascii="宋体" w:hAnsi="宋体" w:cs="宋体"/>
          <w:b/>
          <w:color w:val="auto"/>
          <w:sz w:val="28"/>
          <w:highlight w:val="none"/>
        </w:rPr>
        <w:t xml:space="preserve">附件14                                        </w:t>
      </w:r>
      <w:r>
        <w:rPr>
          <w:rFonts w:hint="eastAsia" w:ascii="宋体" w:hAnsi="宋体" w:cs="宋体"/>
          <w:b/>
          <w:color w:val="auto"/>
          <w:sz w:val="28"/>
          <w:highlight w:val="none"/>
          <w:u w:val="single"/>
        </w:rPr>
        <w:t xml:space="preserve">     </w:t>
      </w:r>
      <w:r>
        <w:rPr>
          <w:rFonts w:hint="eastAsia" w:ascii="宋体" w:hAnsi="宋体" w:cs="宋体"/>
          <w:bCs/>
          <w:color w:val="auto"/>
          <w:sz w:val="24"/>
          <w:highlight w:val="none"/>
        </w:rPr>
        <w:t>本</w:t>
      </w:r>
    </w:p>
    <w:p w14:paraId="49510134">
      <w:pPr>
        <w:spacing w:line="360" w:lineRule="auto"/>
        <w:ind w:right="-110"/>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1DD3EBEE">
      <w:pPr>
        <w:spacing w:beforeLines="100" w:line="360" w:lineRule="auto"/>
        <w:ind w:right="-108"/>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14:paraId="36720CE2">
      <w:pPr>
        <w:spacing w:after="100" w:afterAutospacing="1" w:line="360" w:lineRule="auto"/>
        <w:ind w:right="-108"/>
        <w:jc w:val="center"/>
        <w:rPr>
          <w:rFonts w:ascii="宋体" w:hAnsi="宋体" w:cs="宋体"/>
          <w:b/>
          <w:color w:val="auto"/>
          <w:spacing w:val="40"/>
          <w:sz w:val="84"/>
          <w:szCs w:val="84"/>
          <w:highlight w:val="none"/>
        </w:rPr>
      </w:pPr>
    </w:p>
    <w:p w14:paraId="6A6ECD82">
      <w:pP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0135E03A">
      <w:pP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2614B91D">
      <w:pP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68349DEA">
      <w:pP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3BA0D299">
      <w:pPr>
        <w:spacing w:line="360" w:lineRule="auto"/>
        <w:ind w:right="532"/>
        <w:jc w:val="center"/>
        <w:rPr>
          <w:rFonts w:ascii="宋体" w:hAnsi="宋体" w:cs="宋体"/>
          <w:color w:val="auto"/>
          <w:sz w:val="36"/>
          <w:szCs w:val="36"/>
          <w:highlight w:val="none"/>
        </w:rPr>
      </w:pPr>
    </w:p>
    <w:p w14:paraId="4DFF261A">
      <w:pPr>
        <w:spacing w:line="360" w:lineRule="auto"/>
        <w:ind w:right="532"/>
        <w:rPr>
          <w:rFonts w:ascii="宋体" w:hAnsi="宋体" w:cs="宋体"/>
          <w:color w:val="auto"/>
          <w:sz w:val="36"/>
          <w:szCs w:val="36"/>
          <w:highlight w:val="none"/>
        </w:rPr>
      </w:pPr>
    </w:p>
    <w:p w14:paraId="423E49D7">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14:paraId="3A163AC2">
      <w:pPr>
        <w:spacing w:line="360" w:lineRule="auto"/>
        <w:ind w:right="-108"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219ED6F9">
      <w:pPr>
        <w:spacing w:line="360" w:lineRule="auto"/>
        <w:ind w:right="-108"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5711A28D">
      <w:pPr>
        <w:spacing w:line="360" w:lineRule="auto"/>
        <w:ind w:right="-108"/>
        <w:jc w:val="center"/>
        <w:rPr>
          <w:rFonts w:ascii="宋体" w:hAnsi="宋体" w:cs="宋体"/>
          <w:b/>
          <w:color w:val="auto"/>
          <w:sz w:val="36"/>
          <w:szCs w:val="32"/>
          <w:highlight w:val="none"/>
        </w:rPr>
      </w:pPr>
    </w:p>
    <w:p w14:paraId="2C290235">
      <w:pPr>
        <w:spacing w:line="360" w:lineRule="auto"/>
        <w:ind w:right="-108"/>
        <w:jc w:val="center"/>
        <w:outlineLvl w:val="1"/>
        <w:rPr>
          <w:rFonts w:ascii="宋体" w:hAnsi="宋体" w:cs="宋体"/>
          <w:b/>
          <w:color w:val="auto"/>
          <w:sz w:val="36"/>
          <w:szCs w:val="32"/>
          <w:highlight w:val="none"/>
        </w:rPr>
      </w:pPr>
      <w:r>
        <w:rPr>
          <w:rFonts w:hint="eastAsia" w:ascii="宋体" w:hAnsi="宋体" w:cs="宋体"/>
          <w:b/>
          <w:color w:val="auto"/>
          <w:sz w:val="36"/>
          <w:szCs w:val="32"/>
          <w:highlight w:val="none"/>
        </w:rPr>
        <w:t>报价文件目录</w:t>
      </w:r>
    </w:p>
    <w:p w14:paraId="5C36DE6D">
      <w:pPr>
        <w:snapToGrid w:val="0"/>
        <w:spacing w:line="360" w:lineRule="auto"/>
        <w:rPr>
          <w:rFonts w:ascii="宋体" w:hAnsi="宋体" w:cs="宋体"/>
          <w:color w:val="auto"/>
          <w:sz w:val="24"/>
          <w:highlight w:val="none"/>
        </w:rPr>
      </w:pPr>
    </w:p>
    <w:p w14:paraId="53F3160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1、开标一览表（附件15）；</w:t>
      </w:r>
    </w:p>
    <w:p w14:paraId="5B9AC51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2、报价明细表（附件16）；</w:t>
      </w:r>
    </w:p>
    <w:p w14:paraId="291C80E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3、针对报价投标人认为其他需要说明的；</w:t>
      </w:r>
    </w:p>
    <w:p w14:paraId="08E936D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4、中小企业等声明函（附件17）；（如有需提供）</w:t>
      </w:r>
    </w:p>
    <w:p w14:paraId="5849D9DA">
      <w:pPr>
        <w:snapToGrid w:val="0"/>
        <w:spacing w:line="360" w:lineRule="auto"/>
        <w:rPr>
          <w:rFonts w:ascii="宋体" w:hAnsi="宋体" w:cs="宋体"/>
          <w:color w:val="auto"/>
          <w:szCs w:val="21"/>
          <w:highlight w:val="none"/>
        </w:rPr>
      </w:pPr>
    </w:p>
    <w:p w14:paraId="6EDBEE31">
      <w:pPr>
        <w:snapToGrid w:val="0"/>
        <w:spacing w:line="360" w:lineRule="auto"/>
        <w:rPr>
          <w:rFonts w:ascii="宋体" w:hAnsi="宋体" w:cs="宋体"/>
          <w:color w:val="auto"/>
          <w:szCs w:val="21"/>
          <w:highlight w:val="none"/>
        </w:rPr>
      </w:pPr>
    </w:p>
    <w:p w14:paraId="76FC9849">
      <w:pPr>
        <w:spacing w:line="360" w:lineRule="auto"/>
        <w:ind w:left="480"/>
        <w:rPr>
          <w:rFonts w:ascii="宋体" w:hAnsi="宋体" w:cs="宋体"/>
          <w:b/>
          <w:color w:val="auto"/>
          <w:sz w:val="28"/>
          <w:highlight w:val="none"/>
        </w:rPr>
      </w:pPr>
    </w:p>
    <w:p w14:paraId="01AC4E6E">
      <w:pPr>
        <w:spacing w:line="360" w:lineRule="auto"/>
        <w:ind w:left="480"/>
        <w:rPr>
          <w:rFonts w:ascii="宋体" w:hAnsi="宋体" w:cs="宋体"/>
          <w:b/>
          <w:color w:val="auto"/>
          <w:sz w:val="28"/>
          <w:highlight w:val="none"/>
        </w:rPr>
      </w:pPr>
    </w:p>
    <w:p w14:paraId="3282E5D8">
      <w:pPr>
        <w:spacing w:line="360" w:lineRule="auto"/>
        <w:ind w:left="480"/>
        <w:rPr>
          <w:rFonts w:ascii="宋体" w:hAnsi="宋体" w:cs="宋体"/>
          <w:b/>
          <w:color w:val="auto"/>
          <w:sz w:val="28"/>
          <w:highlight w:val="none"/>
        </w:rPr>
      </w:pPr>
    </w:p>
    <w:p w14:paraId="49587066">
      <w:pPr>
        <w:spacing w:line="360" w:lineRule="auto"/>
        <w:ind w:left="480"/>
        <w:rPr>
          <w:rFonts w:ascii="宋体" w:hAnsi="宋体" w:cs="宋体"/>
          <w:b/>
          <w:color w:val="auto"/>
          <w:sz w:val="28"/>
          <w:highlight w:val="none"/>
        </w:rPr>
      </w:pPr>
    </w:p>
    <w:p w14:paraId="4F6E666F">
      <w:pPr>
        <w:spacing w:line="360" w:lineRule="auto"/>
        <w:ind w:left="480"/>
        <w:rPr>
          <w:rFonts w:ascii="宋体" w:hAnsi="宋体" w:cs="宋体"/>
          <w:b/>
          <w:color w:val="auto"/>
          <w:sz w:val="28"/>
          <w:highlight w:val="none"/>
        </w:rPr>
      </w:pPr>
    </w:p>
    <w:p w14:paraId="6ED8B11C">
      <w:pPr>
        <w:spacing w:line="360" w:lineRule="auto"/>
        <w:ind w:left="480"/>
        <w:rPr>
          <w:rFonts w:ascii="宋体" w:hAnsi="宋体" w:cs="宋体"/>
          <w:b/>
          <w:color w:val="auto"/>
          <w:sz w:val="28"/>
          <w:highlight w:val="none"/>
        </w:rPr>
      </w:pPr>
    </w:p>
    <w:p w14:paraId="4D87E244">
      <w:pPr>
        <w:spacing w:line="360" w:lineRule="auto"/>
        <w:ind w:left="480"/>
        <w:rPr>
          <w:rFonts w:ascii="宋体" w:hAnsi="宋体" w:cs="宋体"/>
          <w:b/>
          <w:color w:val="auto"/>
          <w:sz w:val="28"/>
          <w:highlight w:val="none"/>
        </w:rPr>
      </w:pPr>
    </w:p>
    <w:p w14:paraId="1F83D086">
      <w:pPr>
        <w:spacing w:line="360" w:lineRule="auto"/>
        <w:ind w:left="480"/>
        <w:rPr>
          <w:rFonts w:ascii="宋体" w:hAnsi="宋体" w:cs="宋体"/>
          <w:b/>
          <w:color w:val="auto"/>
          <w:sz w:val="28"/>
          <w:highlight w:val="none"/>
        </w:rPr>
      </w:pPr>
    </w:p>
    <w:p w14:paraId="6A8F2B56">
      <w:pPr>
        <w:spacing w:line="360" w:lineRule="auto"/>
        <w:ind w:left="480"/>
        <w:rPr>
          <w:rFonts w:ascii="宋体" w:hAnsi="宋体" w:cs="宋体"/>
          <w:b/>
          <w:color w:val="auto"/>
          <w:sz w:val="28"/>
          <w:highlight w:val="none"/>
        </w:rPr>
      </w:pPr>
    </w:p>
    <w:p w14:paraId="360ECD55">
      <w:pPr>
        <w:spacing w:line="360" w:lineRule="auto"/>
        <w:ind w:left="480"/>
        <w:rPr>
          <w:rFonts w:ascii="宋体" w:hAnsi="宋体" w:cs="宋体"/>
          <w:b/>
          <w:color w:val="auto"/>
          <w:sz w:val="28"/>
          <w:highlight w:val="none"/>
        </w:rPr>
      </w:pPr>
    </w:p>
    <w:p w14:paraId="7C675FE9">
      <w:pPr>
        <w:spacing w:line="360" w:lineRule="auto"/>
        <w:ind w:left="480"/>
        <w:rPr>
          <w:rFonts w:ascii="宋体" w:hAnsi="宋体" w:cs="宋体"/>
          <w:b/>
          <w:color w:val="auto"/>
          <w:sz w:val="28"/>
          <w:highlight w:val="none"/>
        </w:rPr>
      </w:pPr>
    </w:p>
    <w:p w14:paraId="28CDDF7E">
      <w:pPr>
        <w:spacing w:line="360" w:lineRule="auto"/>
        <w:ind w:left="480"/>
        <w:rPr>
          <w:rFonts w:ascii="宋体" w:hAnsi="宋体" w:cs="宋体"/>
          <w:b/>
          <w:color w:val="auto"/>
          <w:sz w:val="28"/>
          <w:highlight w:val="none"/>
        </w:rPr>
      </w:pPr>
    </w:p>
    <w:p w14:paraId="57C9E7CC">
      <w:pPr>
        <w:pStyle w:val="9"/>
        <w:rPr>
          <w:rFonts w:ascii="宋体" w:hAnsi="宋体" w:cs="宋体"/>
          <w:color w:val="auto"/>
          <w:highlight w:val="none"/>
        </w:rPr>
      </w:pPr>
    </w:p>
    <w:p w14:paraId="6704AB49">
      <w:pPr>
        <w:spacing w:line="360" w:lineRule="auto"/>
        <w:ind w:left="480"/>
        <w:rPr>
          <w:rFonts w:ascii="宋体" w:hAnsi="宋体" w:cs="宋体"/>
          <w:b/>
          <w:color w:val="auto"/>
          <w:sz w:val="28"/>
          <w:highlight w:val="none"/>
        </w:rPr>
      </w:pPr>
    </w:p>
    <w:p w14:paraId="1563BE35">
      <w:pPr>
        <w:spacing w:line="360" w:lineRule="auto"/>
        <w:ind w:left="480"/>
        <w:rPr>
          <w:rFonts w:ascii="宋体" w:hAnsi="宋体" w:cs="宋体"/>
          <w:b/>
          <w:color w:val="auto"/>
          <w:sz w:val="28"/>
          <w:highlight w:val="none"/>
        </w:rPr>
      </w:pPr>
    </w:p>
    <w:p w14:paraId="71754457">
      <w:pPr>
        <w:pStyle w:val="9"/>
        <w:rPr>
          <w:rFonts w:ascii="宋体" w:hAnsi="宋体" w:cs="宋体"/>
          <w:color w:val="auto"/>
          <w:highlight w:val="none"/>
        </w:rPr>
      </w:pPr>
    </w:p>
    <w:p w14:paraId="7FD55A48">
      <w:pPr>
        <w:rPr>
          <w:rFonts w:ascii="宋体" w:hAnsi="宋体" w:cs="宋体"/>
          <w:b/>
          <w:color w:val="auto"/>
          <w:sz w:val="28"/>
          <w:highlight w:val="none"/>
        </w:rPr>
      </w:pPr>
      <w:r>
        <w:rPr>
          <w:rFonts w:hint="eastAsia" w:ascii="宋体" w:hAnsi="宋体" w:cs="宋体"/>
          <w:b/>
          <w:color w:val="auto"/>
          <w:sz w:val="28"/>
          <w:highlight w:val="none"/>
        </w:rPr>
        <w:br w:type="page"/>
      </w:r>
    </w:p>
    <w:p w14:paraId="53C79983">
      <w:pPr>
        <w:spacing w:line="360" w:lineRule="auto"/>
        <w:rPr>
          <w:rFonts w:ascii="宋体" w:hAnsi="宋体" w:cs="宋体"/>
          <w:b/>
          <w:color w:val="auto"/>
          <w:sz w:val="28"/>
          <w:highlight w:val="none"/>
        </w:rPr>
      </w:pPr>
      <w:r>
        <w:rPr>
          <w:rFonts w:hint="eastAsia" w:ascii="宋体" w:hAnsi="宋体" w:cs="宋体"/>
          <w:b/>
          <w:color w:val="auto"/>
          <w:sz w:val="28"/>
          <w:highlight w:val="none"/>
        </w:rPr>
        <w:t>附件15</w:t>
      </w:r>
    </w:p>
    <w:p w14:paraId="0B1FD4EF">
      <w:pP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771E8075">
      <w:pPr>
        <w:pStyle w:val="13"/>
        <w:spacing w:line="360" w:lineRule="auto"/>
        <w:rPr>
          <w:rFonts w:hAnsi="宋体" w:cs="宋体"/>
          <w:b/>
          <w:color w:val="auto"/>
          <w:szCs w:val="21"/>
          <w:highlight w:val="none"/>
        </w:rPr>
      </w:pPr>
      <w:r>
        <w:rPr>
          <w:rFonts w:hint="eastAsia" w:hAnsi="宋体" w:cs="宋体"/>
          <w:b/>
          <w:color w:val="auto"/>
          <w:szCs w:val="21"/>
          <w:highlight w:val="none"/>
        </w:rPr>
        <w:t>项目编号：</w:t>
      </w:r>
    </w:p>
    <w:p w14:paraId="2AEB632B">
      <w:pPr>
        <w:pStyle w:val="49"/>
        <w:spacing w:line="360" w:lineRule="auto"/>
        <w:ind w:right="480"/>
        <w:jc w:val="left"/>
        <w:rPr>
          <w:rFonts w:ascii="宋体" w:hAnsi="宋体" w:cs="宋体"/>
          <w:color w:val="auto"/>
          <w:szCs w:val="21"/>
          <w:highlight w:val="none"/>
        </w:rPr>
      </w:pPr>
      <w:r>
        <w:rPr>
          <w:rFonts w:hint="eastAsia" w:ascii="宋体" w:hAnsi="宋体" w:cs="宋体"/>
          <w:b/>
          <w:color w:val="auto"/>
          <w:szCs w:val="21"/>
          <w:highlight w:val="none"/>
        </w:rPr>
        <w:t>项目名称：</w:t>
      </w:r>
      <w:r>
        <w:rPr>
          <w:rFonts w:hint="eastAsia" w:ascii="宋体" w:hAnsi="宋体" w:cs="宋体"/>
          <w:color w:val="auto"/>
          <w:szCs w:val="21"/>
          <w:highlight w:val="none"/>
        </w:rPr>
        <w:t xml:space="preserve">                                     [货币单位：人民币元]</w:t>
      </w:r>
    </w:p>
    <w:tbl>
      <w:tblPr>
        <w:tblStyle w:val="23"/>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0687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694" w:type="dxa"/>
            <w:vMerge w:val="restart"/>
            <w:vAlign w:val="center"/>
          </w:tcPr>
          <w:p w14:paraId="3DAC6343">
            <w:pPr>
              <w:autoSpaceDE w:val="0"/>
              <w:autoSpaceDN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投标总报价(元)</w:t>
            </w:r>
          </w:p>
        </w:tc>
        <w:tc>
          <w:tcPr>
            <w:tcW w:w="1349" w:type="dxa"/>
            <w:vAlign w:val="center"/>
          </w:tcPr>
          <w:p w14:paraId="6E9C3B72">
            <w:pPr>
              <w:autoSpaceDE w:val="0"/>
              <w:autoSpaceDN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大写</w:t>
            </w:r>
          </w:p>
        </w:tc>
        <w:tc>
          <w:tcPr>
            <w:tcW w:w="4629" w:type="dxa"/>
            <w:vAlign w:val="center"/>
          </w:tcPr>
          <w:p w14:paraId="3CEC74F1">
            <w:pPr>
              <w:autoSpaceDE w:val="0"/>
              <w:autoSpaceDN w:val="0"/>
              <w:spacing w:line="360" w:lineRule="auto"/>
              <w:jc w:val="center"/>
              <w:textAlignment w:val="bottom"/>
              <w:rPr>
                <w:rFonts w:ascii="宋体" w:hAnsi="宋体" w:cs="宋体"/>
                <w:color w:val="auto"/>
                <w:szCs w:val="21"/>
                <w:highlight w:val="none"/>
              </w:rPr>
            </w:pPr>
          </w:p>
        </w:tc>
      </w:tr>
      <w:tr w14:paraId="428D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vAlign w:val="center"/>
          </w:tcPr>
          <w:p w14:paraId="2582D4B4">
            <w:pPr>
              <w:spacing w:line="360" w:lineRule="auto"/>
              <w:rPr>
                <w:rFonts w:ascii="宋体" w:hAnsi="宋体" w:cs="宋体"/>
                <w:color w:val="auto"/>
                <w:szCs w:val="21"/>
                <w:highlight w:val="none"/>
              </w:rPr>
            </w:pPr>
          </w:p>
        </w:tc>
        <w:tc>
          <w:tcPr>
            <w:tcW w:w="1349" w:type="dxa"/>
            <w:vAlign w:val="center"/>
          </w:tcPr>
          <w:p w14:paraId="10009686">
            <w:pPr>
              <w:autoSpaceDE w:val="0"/>
              <w:autoSpaceDN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小写</w:t>
            </w:r>
          </w:p>
        </w:tc>
        <w:tc>
          <w:tcPr>
            <w:tcW w:w="4629" w:type="dxa"/>
            <w:vAlign w:val="center"/>
          </w:tcPr>
          <w:p w14:paraId="2246A135">
            <w:pPr>
              <w:autoSpaceDE w:val="0"/>
              <w:autoSpaceDN w:val="0"/>
              <w:spacing w:line="360" w:lineRule="auto"/>
              <w:jc w:val="center"/>
              <w:textAlignment w:val="bottom"/>
              <w:rPr>
                <w:rFonts w:ascii="宋体" w:hAnsi="宋体" w:cs="宋体"/>
                <w:color w:val="auto"/>
                <w:szCs w:val="21"/>
                <w:highlight w:val="none"/>
              </w:rPr>
            </w:pPr>
          </w:p>
        </w:tc>
      </w:tr>
    </w:tbl>
    <w:p w14:paraId="79018CB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填报要求：</w:t>
      </w:r>
    </w:p>
    <w:p w14:paraId="68CCBD2E">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投标总报价包括设计费、软件费、设备价款（必备的附件，如配件、备品备件、专用工具和预埋件等）、运输安装调试费、安装人员住宿费、安装所需工具费、验收检测费（含质保期内）、质保期内的维护保养费、技术支持与培训费、税费、采购代理费及不可预见费等所需的一切费用。</w:t>
      </w:r>
    </w:p>
    <w:p w14:paraId="7E1CCDE4">
      <w:pPr>
        <w:spacing w:line="360" w:lineRule="auto"/>
        <w:ind w:firstLine="420" w:firstLineChars="200"/>
        <w:rPr>
          <w:rFonts w:ascii="宋体" w:hAnsi="宋体" w:cs="宋体"/>
          <w:b/>
          <w:i/>
          <w:color w:val="auto"/>
          <w:szCs w:val="21"/>
          <w:highlight w:val="none"/>
          <w:u w:val="single"/>
        </w:rPr>
      </w:pPr>
      <w:r>
        <w:rPr>
          <w:rFonts w:hint="eastAsia" w:ascii="宋体" w:hAnsi="宋体" w:cs="宋体"/>
          <w:color w:val="auto"/>
          <w:szCs w:val="21"/>
          <w:highlight w:val="none"/>
        </w:rPr>
        <w:t>▲</w:t>
      </w:r>
      <w:r>
        <w:rPr>
          <w:rFonts w:hint="eastAsia" w:ascii="宋体" w:hAnsi="宋体" w:cs="宋体"/>
          <w:color w:val="auto"/>
          <w:kern w:val="0"/>
          <w:szCs w:val="21"/>
          <w:highlight w:val="none"/>
        </w:rPr>
        <w:t>2、报价一经涂改，应在涂改处加盖单位公章，或者由法定代表人或全权代表签字或盖章，否则其投标作无效标处理。</w:t>
      </w:r>
    </w:p>
    <w:p w14:paraId="3DD993C7">
      <w:pPr>
        <w:spacing w:line="360" w:lineRule="auto"/>
        <w:ind w:left="420"/>
        <w:rPr>
          <w:rFonts w:ascii="宋体" w:hAnsi="宋体" w:cs="宋体"/>
          <w:color w:val="auto"/>
          <w:szCs w:val="21"/>
          <w:highlight w:val="none"/>
        </w:rPr>
      </w:pPr>
    </w:p>
    <w:p w14:paraId="734DBE8F">
      <w:pPr>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投标人名称（盖章）：</w:t>
      </w:r>
    </w:p>
    <w:p w14:paraId="6BAFCA92">
      <w:pPr>
        <w:spacing w:line="360" w:lineRule="auto"/>
        <w:ind w:left="420"/>
        <w:rPr>
          <w:rFonts w:ascii="宋体" w:hAnsi="宋体" w:cs="宋体"/>
          <w:color w:val="auto"/>
          <w:szCs w:val="21"/>
          <w:highlight w:val="none"/>
        </w:rPr>
      </w:pPr>
    </w:p>
    <w:p w14:paraId="5F0A57EA">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p>
    <w:p w14:paraId="0CE7CDD8">
      <w:pPr>
        <w:spacing w:line="360" w:lineRule="auto"/>
        <w:rPr>
          <w:rFonts w:ascii="宋体" w:hAnsi="宋体" w:cs="宋体"/>
          <w:color w:val="auto"/>
          <w:szCs w:val="21"/>
          <w:highlight w:val="none"/>
        </w:rPr>
      </w:pPr>
    </w:p>
    <w:p w14:paraId="181A10D5">
      <w:pPr>
        <w:spacing w:line="360" w:lineRule="auto"/>
        <w:ind w:firstLine="435"/>
        <w:rPr>
          <w:rFonts w:ascii="宋体" w:hAnsi="宋体" w:cs="宋体"/>
          <w:b/>
          <w:color w:val="auto"/>
          <w:sz w:val="28"/>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highlight w:val="none"/>
        </w:rPr>
        <w:t>日期：</w:t>
      </w:r>
    </w:p>
    <w:p w14:paraId="019E86F7">
      <w:pPr>
        <w:spacing w:line="400" w:lineRule="exact"/>
        <w:rPr>
          <w:rFonts w:ascii="宋体" w:hAnsi="宋体" w:cs="宋体"/>
          <w:bCs/>
          <w:color w:val="auto"/>
          <w:sz w:val="30"/>
          <w:szCs w:val="30"/>
          <w:highlight w:val="none"/>
        </w:rPr>
      </w:pPr>
      <w:r>
        <w:rPr>
          <w:rFonts w:hint="eastAsia" w:ascii="宋体" w:hAnsi="宋体" w:cs="宋体"/>
          <w:b/>
          <w:color w:val="auto"/>
          <w:sz w:val="28"/>
          <w:highlight w:val="none"/>
        </w:rPr>
        <w:t>附件16</w:t>
      </w:r>
    </w:p>
    <w:p w14:paraId="7A43DD7D">
      <w:pPr>
        <w:spacing w:line="360" w:lineRule="auto"/>
        <w:ind w:left="480"/>
        <w:jc w:val="center"/>
        <w:rPr>
          <w:rFonts w:ascii="宋体" w:hAnsi="宋体" w:cs="宋体"/>
          <w:color w:val="auto"/>
          <w:sz w:val="24"/>
          <w:highlight w:val="none"/>
        </w:rPr>
      </w:pPr>
      <w:r>
        <w:rPr>
          <w:rFonts w:hint="eastAsia" w:ascii="宋体" w:hAnsi="宋体" w:cs="宋体"/>
          <w:b/>
          <w:color w:val="auto"/>
          <w:sz w:val="32"/>
          <w:szCs w:val="32"/>
          <w:highlight w:val="none"/>
        </w:rPr>
        <w:t>报价明细表</w:t>
      </w:r>
    </w:p>
    <w:p w14:paraId="39B3270A">
      <w:pPr>
        <w:pStyle w:val="13"/>
        <w:spacing w:line="360" w:lineRule="auto"/>
        <w:rPr>
          <w:rFonts w:hAnsi="宋体" w:cs="宋体"/>
          <w:b/>
          <w:color w:val="auto"/>
          <w:szCs w:val="21"/>
          <w:highlight w:val="none"/>
        </w:rPr>
      </w:pPr>
      <w:r>
        <w:rPr>
          <w:rFonts w:hint="eastAsia" w:hAnsi="宋体" w:cs="宋体"/>
          <w:b/>
          <w:color w:val="auto"/>
          <w:szCs w:val="21"/>
          <w:highlight w:val="none"/>
        </w:rPr>
        <w:t>项目编号：</w:t>
      </w:r>
    </w:p>
    <w:p w14:paraId="780311A7">
      <w:pPr>
        <w:pStyle w:val="49"/>
        <w:spacing w:line="360" w:lineRule="auto"/>
        <w:ind w:right="480"/>
        <w:jc w:val="left"/>
        <w:rPr>
          <w:rFonts w:ascii="宋体" w:hAnsi="宋体" w:cs="宋体"/>
          <w:b/>
          <w:color w:val="auto"/>
          <w:szCs w:val="21"/>
          <w:highlight w:val="none"/>
        </w:rPr>
      </w:pPr>
      <w:r>
        <w:rPr>
          <w:rFonts w:hint="eastAsia" w:ascii="宋体" w:hAnsi="宋体" w:cs="宋体"/>
          <w:b/>
          <w:color w:val="auto"/>
          <w:szCs w:val="21"/>
          <w:highlight w:val="none"/>
        </w:rPr>
        <w:t>项目名称：</w:t>
      </w:r>
      <w:r>
        <w:rPr>
          <w:rFonts w:hint="eastAsia" w:ascii="宋体" w:hAnsi="宋体" w:cs="宋体"/>
          <w:color w:val="auto"/>
          <w:szCs w:val="21"/>
          <w:highlight w:val="none"/>
        </w:rPr>
        <w:t xml:space="preserve">                                     [货币单位：人民币元]</w:t>
      </w:r>
      <w:r>
        <w:rPr>
          <w:rFonts w:hint="eastAsia" w:ascii="宋体" w:hAnsi="宋体" w:cs="宋体"/>
          <w:color w:val="auto"/>
          <w:sz w:val="24"/>
          <w:highlight w:val="none"/>
        </w:rPr>
        <w:t xml:space="preserve">                             </w:t>
      </w:r>
    </w:p>
    <w:tbl>
      <w:tblPr>
        <w:tblStyle w:val="23"/>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07"/>
        <w:gridCol w:w="1369"/>
        <w:gridCol w:w="1485"/>
        <w:gridCol w:w="811"/>
        <w:gridCol w:w="945"/>
        <w:gridCol w:w="945"/>
        <w:gridCol w:w="675"/>
      </w:tblGrid>
      <w:tr w14:paraId="57C7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59" w:type="dxa"/>
            <w:vAlign w:val="center"/>
          </w:tcPr>
          <w:p w14:paraId="3A22EB0B">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507" w:type="dxa"/>
            <w:vAlign w:val="center"/>
          </w:tcPr>
          <w:p w14:paraId="288C6082">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产品名称</w:t>
            </w:r>
          </w:p>
        </w:tc>
        <w:tc>
          <w:tcPr>
            <w:tcW w:w="1369" w:type="dxa"/>
            <w:vAlign w:val="center"/>
          </w:tcPr>
          <w:p w14:paraId="6B26B9AD">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品牌、产地</w:t>
            </w:r>
          </w:p>
        </w:tc>
        <w:tc>
          <w:tcPr>
            <w:tcW w:w="1485" w:type="dxa"/>
            <w:vAlign w:val="center"/>
          </w:tcPr>
          <w:p w14:paraId="43DA217E">
            <w:pPr>
              <w:ind w:left="52"/>
              <w:jc w:val="center"/>
              <w:rPr>
                <w:rFonts w:ascii="宋体" w:hAnsi="宋体" w:cs="宋体"/>
                <w:b/>
                <w:color w:val="auto"/>
                <w:szCs w:val="21"/>
                <w:highlight w:val="none"/>
              </w:rPr>
            </w:pPr>
            <w:r>
              <w:rPr>
                <w:rFonts w:hint="eastAsia" w:ascii="宋体" w:hAnsi="宋体" w:cs="宋体"/>
                <w:b/>
                <w:color w:val="auto"/>
                <w:szCs w:val="21"/>
                <w:highlight w:val="none"/>
              </w:rPr>
              <w:t>型号规格</w:t>
            </w:r>
          </w:p>
        </w:tc>
        <w:tc>
          <w:tcPr>
            <w:tcW w:w="811" w:type="dxa"/>
            <w:vAlign w:val="center"/>
          </w:tcPr>
          <w:p w14:paraId="5438F582">
            <w:pPr>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945" w:type="dxa"/>
            <w:vAlign w:val="center"/>
          </w:tcPr>
          <w:p w14:paraId="1BE6F36E">
            <w:pPr>
              <w:jc w:val="center"/>
              <w:rPr>
                <w:rFonts w:ascii="宋体" w:hAnsi="宋体" w:cs="宋体"/>
                <w:b/>
                <w:color w:val="auto"/>
                <w:szCs w:val="21"/>
                <w:highlight w:val="none"/>
              </w:rPr>
            </w:pPr>
            <w:r>
              <w:rPr>
                <w:rFonts w:hint="eastAsia" w:ascii="宋体" w:hAnsi="宋体" w:cs="宋体"/>
                <w:b/>
                <w:color w:val="auto"/>
                <w:szCs w:val="21"/>
                <w:highlight w:val="none"/>
              </w:rPr>
              <w:t>单价</w:t>
            </w:r>
          </w:p>
        </w:tc>
        <w:tc>
          <w:tcPr>
            <w:tcW w:w="945" w:type="dxa"/>
            <w:vAlign w:val="center"/>
          </w:tcPr>
          <w:p w14:paraId="76A5C9EE">
            <w:pPr>
              <w:jc w:val="center"/>
              <w:rPr>
                <w:rFonts w:ascii="宋体" w:hAnsi="宋体" w:cs="宋体"/>
                <w:b/>
                <w:color w:val="auto"/>
                <w:szCs w:val="21"/>
                <w:highlight w:val="none"/>
              </w:rPr>
            </w:pPr>
            <w:r>
              <w:rPr>
                <w:rFonts w:hint="eastAsia" w:ascii="宋体" w:hAnsi="宋体" w:cs="宋体"/>
                <w:b/>
                <w:color w:val="auto"/>
                <w:szCs w:val="21"/>
                <w:highlight w:val="none"/>
              </w:rPr>
              <w:t>小计</w:t>
            </w:r>
          </w:p>
        </w:tc>
        <w:tc>
          <w:tcPr>
            <w:tcW w:w="675" w:type="dxa"/>
            <w:vAlign w:val="center"/>
          </w:tcPr>
          <w:p w14:paraId="5AF17D28">
            <w:pPr>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425A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59" w:type="dxa"/>
            <w:vAlign w:val="center"/>
          </w:tcPr>
          <w:p w14:paraId="0D31DF92">
            <w:pPr>
              <w:jc w:val="center"/>
              <w:rPr>
                <w:rFonts w:ascii="宋体" w:hAnsi="宋体" w:cs="宋体"/>
                <w:color w:val="auto"/>
                <w:szCs w:val="21"/>
                <w:highlight w:val="none"/>
              </w:rPr>
            </w:pPr>
          </w:p>
        </w:tc>
        <w:tc>
          <w:tcPr>
            <w:tcW w:w="1507" w:type="dxa"/>
            <w:vAlign w:val="center"/>
          </w:tcPr>
          <w:p w14:paraId="4DBDAC87">
            <w:pPr>
              <w:jc w:val="center"/>
              <w:rPr>
                <w:rFonts w:ascii="宋体" w:hAnsi="宋体" w:cs="宋体"/>
                <w:color w:val="auto"/>
                <w:szCs w:val="21"/>
                <w:highlight w:val="none"/>
              </w:rPr>
            </w:pPr>
          </w:p>
        </w:tc>
        <w:tc>
          <w:tcPr>
            <w:tcW w:w="1369" w:type="dxa"/>
            <w:vAlign w:val="center"/>
          </w:tcPr>
          <w:p w14:paraId="4454AB85">
            <w:pPr>
              <w:jc w:val="center"/>
              <w:rPr>
                <w:rFonts w:ascii="宋体" w:hAnsi="宋体" w:cs="宋体"/>
                <w:color w:val="auto"/>
                <w:szCs w:val="21"/>
                <w:highlight w:val="none"/>
              </w:rPr>
            </w:pPr>
          </w:p>
        </w:tc>
        <w:tc>
          <w:tcPr>
            <w:tcW w:w="1485" w:type="dxa"/>
            <w:vAlign w:val="center"/>
          </w:tcPr>
          <w:p w14:paraId="4C5A101E">
            <w:pPr>
              <w:jc w:val="center"/>
              <w:rPr>
                <w:rFonts w:ascii="宋体" w:hAnsi="宋体" w:cs="宋体"/>
                <w:color w:val="auto"/>
                <w:szCs w:val="21"/>
                <w:highlight w:val="none"/>
              </w:rPr>
            </w:pPr>
          </w:p>
        </w:tc>
        <w:tc>
          <w:tcPr>
            <w:tcW w:w="811" w:type="dxa"/>
            <w:vAlign w:val="center"/>
          </w:tcPr>
          <w:p w14:paraId="7A41E182">
            <w:pPr>
              <w:jc w:val="center"/>
              <w:rPr>
                <w:rFonts w:ascii="宋体" w:hAnsi="宋体" w:cs="宋体"/>
                <w:color w:val="auto"/>
                <w:szCs w:val="21"/>
                <w:highlight w:val="none"/>
              </w:rPr>
            </w:pPr>
          </w:p>
        </w:tc>
        <w:tc>
          <w:tcPr>
            <w:tcW w:w="945" w:type="dxa"/>
            <w:vAlign w:val="center"/>
          </w:tcPr>
          <w:p w14:paraId="57F12F5E">
            <w:pPr>
              <w:jc w:val="center"/>
              <w:rPr>
                <w:rFonts w:ascii="宋体" w:hAnsi="宋体" w:cs="宋体"/>
                <w:color w:val="auto"/>
                <w:szCs w:val="21"/>
                <w:highlight w:val="none"/>
              </w:rPr>
            </w:pPr>
          </w:p>
        </w:tc>
        <w:tc>
          <w:tcPr>
            <w:tcW w:w="945" w:type="dxa"/>
            <w:vAlign w:val="center"/>
          </w:tcPr>
          <w:p w14:paraId="6AE3AB24">
            <w:pPr>
              <w:jc w:val="center"/>
              <w:rPr>
                <w:rFonts w:ascii="宋体" w:hAnsi="宋体" w:cs="宋体"/>
                <w:color w:val="auto"/>
                <w:szCs w:val="21"/>
                <w:highlight w:val="none"/>
              </w:rPr>
            </w:pPr>
          </w:p>
        </w:tc>
        <w:tc>
          <w:tcPr>
            <w:tcW w:w="675" w:type="dxa"/>
            <w:vAlign w:val="center"/>
          </w:tcPr>
          <w:p w14:paraId="5AEE3BBC">
            <w:pPr>
              <w:jc w:val="center"/>
              <w:rPr>
                <w:rFonts w:ascii="宋体" w:hAnsi="宋体" w:cs="宋体"/>
                <w:color w:val="auto"/>
                <w:szCs w:val="21"/>
                <w:highlight w:val="none"/>
              </w:rPr>
            </w:pPr>
          </w:p>
        </w:tc>
      </w:tr>
      <w:tr w14:paraId="3DCD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59" w:type="dxa"/>
            <w:vAlign w:val="center"/>
          </w:tcPr>
          <w:p w14:paraId="64C88412">
            <w:pPr>
              <w:jc w:val="center"/>
              <w:rPr>
                <w:rFonts w:ascii="宋体" w:hAnsi="宋体" w:cs="宋体"/>
                <w:color w:val="auto"/>
                <w:szCs w:val="21"/>
                <w:highlight w:val="none"/>
              </w:rPr>
            </w:pPr>
          </w:p>
        </w:tc>
        <w:tc>
          <w:tcPr>
            <w:tcW w:w="1507" w:type="dxa"/>
            <w:vAlign w:val="center"/>
          </w:tcPr>
          <w:p w14:paraId="30CC24E0">
            <w:pPr>
              <w:jc w:val="center"/>
              <w:rPr>
                <w:rFonts w:ascii="宋体" w:hAnsi="宋体" w:cs="宋体"/>
                <w:color w:val="auto"/>
                <w:szCs w:val="21"/>
                <w:highlight w:val="none"/>
              </w:rPr>
            </w:pPr>
          </w:p>
        </w:tc>
        <w:tc>
          <w:tcPr>
            <w:tcW w:w="1369" w:type="dxa"/>
            <w:vAlign w:val="center"/>
          </w:tcPr>
          <w:p w14:paraId="40BAB2D4">
            <w:pPr>
              <w:jc w:val="center"/>
              <w:rPr>
                <w:rFonts w:ascii="宋体" w:hAnsi="宋体" w:cs="宋体"/>
                <w:color w:val="auto"/>
                <w:szCs w:val="21"/>
                <w:highlight w:val="none"/>
              </w:rPr>
            </w:pPr>
          </w:p>
        </w:tc>
        <w:tc>
          <w:tcPr>
            <w:tcW w:w="1485" w:type="dxa"/>
            <w:vAlign w:val="center"/>
          </w:tcPr>
          <w:p w14:paraId="30E4DBED">
            <w:pPr>
              <w:jc w:val="center"/>
              <w:rPr>
                <w:rFonts w:ascii="宋体" w:hAnsi="宋体" w:cs="宋体"/>
                <w:color w:val="auto"/>
                <w:szCs w:val="21"/>
                <w:highlight w:val="none"/>
              </w:rPr>
            </w:pPr>
          </w:p>
        </w:tc>
        <w:tc>
          <w:tcPr>
            <w:tcW w:w="811" w:type="dxa"/>
            <w:vAlign w:val="center"/>
          </w:tcPr>
          <w:p w14:paraId="7984272D">
            <w:pPr>
              <w:jc w:val="center"/>
              <w:rPr>
                <w:rFonts w:ascii="宋体" w:hAnsi="宋体" w:cs="宋体"/>
                <w:color w:val="auto"/>
                <w:szCs w:val="21"/>
                <w:highlight w:val="none"/>
              </w:rPr>
            </w:pPr>
          </w:p>
        </w:tc>
        <w:tc>
          <w:tcPr>
            <w:tcW w:w="945" w:type="dxa"/>
            <w:vAlign w:val="center"/>
          </w:tcPr>
          <w:p w14:paraId="0D49CD4D">
            <w:pPr>
              <w:jc w:val="center"/>
              <w:rPr>
                <w:rFonts w:ascii="宋体" w:hAnsi="宋体" w:cs="宋体"/>
                <w:color w:val="auto"/>
                <w:szCs w:val="21"/>
                <w:highlight w:val="none"/>
              </w:rPr>
            </w:pPr>
          </w:p>
        </w:tc>
        <w:tc>
          <w:tcPr>
            <w:tcW w:w="945" w:type="dxa"/>
            <w:vAlign w:val="center"/>
          </w:tcPr>
          <w:p w14:paraId="731AA8A7">
            <w:pPr>
              <w:jc w:val="center"/>
              <w:rPr>
                <w:rFonts w:ascii="宋体" w:hAnsi="宋体" w:cs="宋体"/>
                <w:color w:val="auto"/>
                <w:szCs w:val="21"/>
                <w:highlight w:val="none"/>
              </w:rPr>
            </w:pPr>
          </w:p>
        </w:tc>
        <w:tc>
          <w:tcPr>
            <w:tcW w:w="675" w:type="dxa"/>
            <w:vAlign w:val="center"/>
          </w:tcPr>
          <w:p w14:paraId="11B18476">
            <w:pPr>
              <w:jc w:val="center"/>
              <w:rPr>
                <w:rFonts w:ascii="宋体" w:hAnsi="宋体" w:cs="宋体"/>
                <w:color w:val="auto"/>
                <w:szCs w:val="21"/>
                <w:highlight w:val="none"/>
              </w:rPr>
            </w:pPr>
          </w:p>
        </w:tc>
      </w:tr>
      <w:tr w14:paraId="6FB1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59" w:type="dxa"/>
            <w:vAlign w:val="center"/>
          </w:tcPr>
          <w:p w14:paraId="3D61E590">
            <w:pPr>
              <w:jc w:val="center"/>
              <w:rPr>
                <w:rFonts w:ascii="宋体" w:hAnsi="宋体" w:cs="宋体"/>
                <w:color w:val="auto"/>
                <w:szCs w:val="21"/>
                <w:highlight w:val="none"/>
              </w:rPr>
            </w:pPr>
          </w:p>
        </w:tc>
        <w:tc>
          <w:tcPr>
            <w:tcW w:w="1507" w:type="dxa"/>
            <w:vAlign w:val="center"/>
          </w:tcPr>
          <w:p w14:paraId="79DAA242">
            <w:pPr>
              <w:jc w:val="center"/>
              <w:rPr>
                <w:rFonts w:ascii="宋体" w:hAnsi="宋体" w:cs="宋体"/>
                <w:color w:val="auto"/>
                <w:szCs w:val="21"/>
                <w:highlight w:val="none"/>
              </w:rPr>
            </w:pPr>
          </w:p>
        </w:tc>
        <w:tc>
          <w:tcPr>
            <w:tcW w:w="1369" w:type="dxa"/>
            <w:vAlign w:val="center"/>
          </w:tcPr>
          <w:p w14:paraId="533301D6">
            <w:pPr>
              <w:jc w:val="center"/>
              <w:rPr>
                <w:rFonts w:ascii="宋体" w:hAnsi="宋体" w:cs="宋体"/>
                <w:color w:val="auto"/>
                <w:szCs w:val="21"/>
                <w:highlight w:val="none"/>
              </w:rPr>
            </w:pPr>
          </w:p>
        </w:tc>
        <w:tc>
          <w:tcPr>
            <w:tcW w:w="1485" w:type="dxa"/>
            <w:vAlign w:val="center"/>
          </w:tcPr>
          <w:p w14:paraId="6A59E9DD">
            <w:pPr>
              <w:jc w:val="center"/>
              <w:rPr>
                <w:rFonts w:ascii="宋体" w:hAnsi="宋体" w:cs="宋体"/>
                <w:color w:val="auto"/>
                <w:szCs w:val="21"/>
                <w:highlight w:val="none"/>
              </w:rPr>
            </w:pPr>
          </w:p>
        </w:tc>
        <w:tc>
          <w:tcPr>
            <w:tcW w:w="811" w:type="dxa"/>
            <w:vAlign w:val="center"/>
          </w:tcPr>
          <w:p w14:paraId="03E2BF03">
            <w:pPr>
              <w:jc w:val="center"/>
              <w:rPr>
                <w:rFonts w:ascii="宋体" w:hAnsi="宋体" w:cs="宋体"/>
                <w:color w:val="auto"/>
                <w:szCs w:val="21"/>
                <w:highlight w:val="none"/>
              </w:rPr>
            </w:pPr>
          </w:p>
        </w:tc>
        <w:tc>
          <w:tcPr>
            <w:tcW w:w="945" w:type="dxa"/>
            <w:vAlign w:val="center"/>
          </w:tcPr>
          <w:p w14:paraId="644B50B9">
            <w:pPr>
              <w:jc w:val="center"/>
              <w:rPr>
                <w:rFonts w:ascii="宋体" w:hAnsi="宋体" w:cs="宋体"/>
                <w:color w:val="auto"/>
                <w:szCs w:val="21"/>
                <w:highlight w:val="none"/>
              </w:rPr>
            </w:pPr>
          </w:p>
        </w:tc>
        <w:tc>
          <w:tcPr>
            <w:tcW w:w="945" w:type="dxa"/>
            <w:vAlign w:val="center"/>
          </w:tcPr>
          <w:p w14:paraId="26CD3129">
            <w:pPr>
              <w:jc w:val="center"/>
              <w:rPr>
                <w:rFonts w:ascii="宋体" w:hAnsi="宋体" w:cs="宋体"/>
                <w:color w:val="auto"/>
                <w:szCs w:val="21"/>
                <w:highlight w:val="none"/>
              </w:rPr>
            </w:pPr>
          </w:p>
        </w:tc>
        <w:tc>
          <w:tcPr>
            <w:tcW w:w="675" w:type="dxa"/>
            <w:vAlign w:val="center"/>
          </w:tcPr>
          <w:p w14:paraId="01D8DB31">
            <w:pPr>
              <w:jc w:val="center"/>
              <w:rPr>
                <w:rFonts w:ascii="宋体" w:hAnsi="宋体" w:cs="宋体"/>
                <w:color w:val="auto"/>
                <w:szCs w:val="21"/>
                <w:highlight w:val="none"/>
              </w:rPr>
            </w:pPr>
          </w:p>
        </w:tc>
      </w:tr>
      <w:tr w14:paraId="7F0F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59" w:type="dxa"/>
            <w:vAlign w:val="center"/>
          </w:tcPr>
          <w:p w14:paraId="14718043">
            <w:pPr>
              <w:jc w:val="center"/>
              <w:rPr>
                <w:rFonts w:ascii="宋体" w:hAnsi="宋体" w:cs="宋体"/>
                <w:color w:val="auto"/>
                <w:szCs w:val="21"/>
                <w:highlight w:val="none"/>
              </w:rPr>
            </w:pPr>
          </w:p>
        </w:tc>
        <w:tc>
          <w:tcPr>
            <w:tcW w:w="1507" w:type="dxa"/>
            <w:vAlign w:val="center"/>
          </w:tcPr>
          <w:p w14:paraId="39DF6396">
            <w:pPr>
              <w:jc w:val="center"/>
              <w:rPr>
                <w:rFonts w:ascii="宋体" w:hAnsi="宋体" w:cs="宋体"/>
                <w:color w:val="auto"/>
                <w:szCs w:val="21"/>
                <w:highlight w:val="none"/>
              </w:rPr>
            </w:pPr>
          </w:p>
        </w:tc>
        <w:tc>
          <w:tcPr>
            <w:tcW w:w="1369" w:type="dxa"/>
            <w:vAlign w:val="center"/>
          </w:tcPr>
          <w:p w14:paraId="7A1BF44E">
            <w:pPr>
              <w:jc w:val="center"/>
              <w:rPr>
                <w:rFonts w:ascii="宋体" w:hAnsi="宋体" w:cs="宋体"/>
                <w:color w:val="auto"/>
                <w:szCs w:val="21"/>
                <w:highlight w:val="none"/>
              </w:rPr>
            </w:pPr>
          </w:p>
        </w:tc>
        <w:tc>
          <w:tcPr>
            <w:tcW w:w="1485" w:type="dxa"/>
            <w:vAlign w:val="center"/>
          </w:tcPr>
          <w:p w14:paraId="0501D139">
            <w:pPr>
              <w:jc w:val="center"/>
              <w:rPr>
                <w:rFonts w:ascii="宋体" w:hAnsi="宋体" w:cs="宋体"/>
                <w:color w:val="auto"/>
                <w:szCs w:val="21"/>
                <w:highlight w:val="none"/>
              </w:rPr>
            </w:pPr>
          </w:p>
        </w:tc>
        <w:tc>
          <w:tcPr>
            <w:tcW w:w="811" w:type="dxa"/>
            <w:vAlign w:val="center"/>
          </w:tcPr>
          <w:p w14:paraId="4D54F3C1">
            <w:pPr>
              <w:jc w:val="center"/>
              <w:rPr>
                <w:rFonts w:ascii="宋体" w:hAnsi="宋体" w:cs="宋体"/>
                <w:color w:val="auto"/>
                <w:szCs w:val="21"/>
                <w:highlight w:val="none"/>
              </w:rPr>
            </w:pPr>
          </w:p>
        </w:tc>
        <w:tc>
          <w:tcPr>
            <w:tcW w:w="945" w:type="dxa"/>
            <w:vAlign w:val="center"/>
          </w:tcPr>
          <w:p w14:paraId="0715FFAF">
            <w:pPr>
              <w:jc w:val="center"/>
              <w:rPr>
                <w:rFonts w:ascii="宋体" w:hAnsi="宋体" w:cs="宋体"/>
                <w:color w:val="auto"/>
                <w:szCs w:val="21"/>
                <w:highlight w:val="none"/>
              </w:rPr>
            </w:pPr>
          </w:p>
        </w:tc>
        <w:tc>
          <w:tcPr>
            <w:tcW w:w="945" w:type="dxa"/>
            <w:vAlign w:val="center"/>
          </w:tcPr>
          <w:p w14:paraId="76631DD1">
            <w:pPr>
              <w:jc w:val="center"/>
              <w:rPr>
                <w:rFonts w:ascii="宋体" w:hAnsi="宋体" w:cs="宋体"/>
                <w:color w:val="auto"/>
                <w:szCs w:val="21"/>
                <w:highlight w:val="none"/>
              </w:rPr>
            </w:pPr>
          </w:p>
        </w:tc>
        <w:tc>
          <w:tcPr>
            <w:tcW w:w="675" w:type="dxa"/>
            <w:vAlign w:val="center"/>
          </w:tcPr>
          <w:p w14:paraId="43CB7F83">
            <w:pPr>
              <w:jc w:val="center"/>
              <w:rPr>
                <w:rFonts w:ascii="宋体" w:hAnsi="宋体" w:cs="宋体"/>
                <w:color w:val="auto"/>
                <w:szCs w:val="21"/>
                <w:highlight w:val="none"/>
              </w:rPr>
            </w:pPr>
          </w:p>
        </w:tc>
      </w:tr>
      <w:tr w14:paraId="560C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59" w:type="dxa"/>
            <w:vAlign w:val="center"/>
          </w:tcPr>
          <w:p w14:paraId="5CF0CE67">
            <w:pPr>
              <w:jc w:val="center"/>
              <w:rPr>
                <w:rFonts w:ascii="宋体" w:hAnsi="宋体" w:cs="宋体"/>
                <w:color w:val="auto"/>
                <w:szCs w:val="21"/>
                <w:highlight w:val="none"/>
              </w:rPr>
            </w:pPr>
          </w:p>
        </w:tc>
        <w:tc>
          <w:tcPr>
            <w:tcW w:w="1507" w:type="dxa"/>
            <w:vAlign w:val="center"/>
          </w:tcPr>
          <w:p w14:paraId="0ABE9544">
            <w:pPr>
              <w:jc w:val="center"/>
              <w:rPr>
                <w:rFonts w:ascii="宋体" w:hAnsi="宋体" w:cs="宋体"/>
                <w:color w:val="auto"/>
                <w:szCs w:val="21"/>
                <w:highlight w:val="none"/>
              </w:rPr>
            </w:pPr>
          </w:p>
        </w:tc>
        <w:tc>
          <w:tcPr>
            <w:tcW w:w="1369" w:type="dxa"/>
            <w:vAlign w:val="center"/>
          </w:tcPr>
          <w:p w14:paraId="068A759C">
            <w:pPr>
              <w:jc w:val="center"/>
              <w:rPr>
                <w:rFonts w:ascii="宋体" w:hAnsi="宋体" w:cs="宋体"/>
                <w:color w:val="auto"/>
                <w:szCs w:val="21"/>
                <w:highlight w:val="none"/>
              </w:rPr>
            </w:pPr>
          </w:p>
        </w:tc>
        <w:tc>
          <w:tcPr>
            <w:tcW w:w="1485" w:type="dxa"/>
            <w:vAlign w:val="center"/>
          </w:tcPr>
          <w:p w14:paraId="354646D8">
            <w:pPr>
              <w:jc w:val="center"/>
              <w:rPr>
                <w:rFonts w:ascii="宋体" w:hAnsi="宋体" w:cs="宋体"/>
                <w:color w:val="auto"/>
                <w:szCs w:val="21"/>
                <w:highlight w:val="none"/>
              </w:rPr>
            </w:pPr>
          </w:p>
        </w:tc>
        <w:tc>
          <w:tcPr>
            <w:tcW w:w="811" w:type="dxa"/>
            <w:vAlign w:val="center"/>
          </w:tcPr>
          <w:p w14:paraId="5F94BC57">
            <w:pPr>
              <w:jc w:val="center"/>
              <w:rPr>
                <w:rFonts w:ascii="宋体" w:hAnsi="宋体" w:cs="宋体"/>
                <w:color w:val="auto"/>
                <w:szCs w:val="21"/>
                <w:highlight w:val="none"/>
              </w:rPr>
            </w:pPr>
          </w:p>
        </w:tc>
        <w:tc>
          <w:tcPr>
            <w:tcW w:w="945" w:type="dxa"/>
            <w:vAlign w:val="center"/>
          </w:tcPr>
          <w:p w14:paraId="38B1D526">
            <w:pPr>
              <w:jc w:val="center"/>
              <w:rPr>
                <w:rFonts w:ascii="宋体" w:hAnsi="宋体" w:cs="宋体"/>
                <w:color w:val="auto"/>
                <w:szCs w:val="21"/>
                <w:highlight w:val="none"/>
              </w:rPr>
            </w:pPr>
          </w:p>
        </w:tc>
        <w:tc>
          <w:tcPr>
            <w:tcW w:w="945" w:type="dxa"/>
            <w:vAlign w:val="center"/>
          </w:tcPr>
          <w:p w14:paraId="329E6E07">
            <w:pPr>
              <w:jc w:val="center"/>
              <w:rPr>
                <w:rFonts w:ascii="宋体" w:hAnsi="宋体" w:cs="宋体"/>
                <w:color w:val="auto"/>
                <w:szCs w:val="21"/>
                <w:highlight w:val="none"/>
              </w:rPr>
            </w:pPr>
          </w:p>
        </w:tc>
        <w:tc>
          <w:tcPr>
            <w:tcW w:w="675" w:type="dxa"/>
            <w:vAlign w:val="center"/>
          </w:tcPr>
          <w:p w14:paraId="122766D8">
            <w:pPr>
              <w:jc w:val="center"/>
              <w:rPr>
                <w:rFonts w:ascii="宋体" w:hAnsi="宋体" w:cs="宋体"/>
                <w:color w:val="auto"/>
                <w:szCs w:val="21"/>
                <w:highlight w:val="none"/>
              </w:rPr>
            </w:pPr>
          </w:p>
        </w:tc>
      </w:tr>
      <w:tr w14:paraId="1E53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8496" w:type="dxa"/>
            <w:gridSpan w:val="8"/>
            <w:tcBorders>
              <w:bottom w:val="single" w:color="auto" w:sz="4" w:space="0"/>
            </w:tcBorders>
            <w:vAlign w:val="center"/>
          </w:tcPr>
          <w:p w14:paraId="7D541700">
            <w:pPr>
              <w:rPr>
                <w:rFonts w:ascii="宋体" w:hAnsi="宋体" w:cs="宋体"/>
                <w:b/>
                <w:color w:val="auto"/>
                <w:szCs w:val="21"/>
                <w:highlight w:val="none"/>
              </w:rPr>
            </w:pPr>
            <w:r>
              <w:rPr>
                <w:rFonts w:hint="eastAsia" w:ascii="宋体" w:hAnsi="宋体" w:cs="宋体"/>
                <w:b/>
                <w:color w:val="auto"/>
                <w:szCs w:val="21"/>
                <w:highlight w:val="none"/>
              </w:rPr>
              <w:t>报价合计人民币：</w:t>
            </w:r>
          </w:p>
          <w:p w14:paraId="71E44A0F">
            <w:pPr>
              <w:rPr>
                <w:rFonts w:ascii="宋体" w:hAnsi="宋体" w:cs="宋体"/>
                <w:b/>
                <w:color w:val="auto"/>
                <w:szCs w:val="21"/>
                <w:highlight w:val="none"/>
              </w:rPr>
            </w:pPr>
            <w:r>
              <w:rPr>
                <w:rFonts w:hint="eastAsia" w:ascii="宋体" w:hAnsi="宋体" w:cs="宋体"/>
                <w:b/>
                <w:color w:val="auto"/>
                <w:szCs w:val="21"/>
                <w:highlight w:val="none"/>
              </w:rPr>
              <w:t>大写：</w:t>
            </w:r>
          </w:p>
          <w:p w14:paraId="57C649A7">
            <w:pPr>
              <w:rPr>
                <w:rFonts w:ascii="宋体" w:hAnsi="宋体" w:cs="宋体"/>
                <w:b/>
                <w:color w:val="auto"/>
                <w:szCs w:val="21"/>
                <w:highlight w:val="none"/>
              </w:rPr>
            </w:pPr>
            <w:r>
              <w:rPr>
                <w:rFonts w:hint="eastAsia" w:ascii="宋体" w:hAnsi="宋体" w:cs="宋体"/>
                <w:b/>
                <w:color w:val="auto"/>
                <w:szCs w:val="21"/>
                <w:highlight w:val="none"/>
              </w:rPr>
              <w:t>小写：</w:t>
            </w:r>
          </w:p>
        </w:tc>
      </w:tr>
    </w:tbl>
    <w:p w14:paraId="092EDF2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要求：</w:t>
      </w:r>
    </w:p>
    <w:p w14:paraId="6533D9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1.本表为《开标一览表》的报价明细表，如有缺项、漏项，视为投标报价中已包含相关费用，采购人无需另外支付任何费用。</w:t>
      </w:r>
    </w:p>
    <w:p w14:paraId="556BA9EC">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“报价明细表”中的报价合计应与“开标一览表”中的投标总报价相一致，不一致时，以开标一览表为准。</w:t>
      </w:r>
    </w:p>
    <w:p w14:paraId="042AC5AF">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zh-CN"/>
        </w:rPr>
        <w:t>投标报价明细表所填内容按招标文件采购设备清单要求为准。如有漏报的，视同已包含在投标总价内或已作优惠处理。有重大缺项的将作无效标处理。</w:t>
      </w:r>
    </w:p>
    <w:p w14:paraId="39060ADC">
      <w:pPr>
        <w:spacing w:line="360" w:lineRule="auto"/>
        <w:ind w:firstLine="420" w:firstLineChars="200"/>
        <w:rPr>
          <w:rFonts w:ascii="宋体" w:hAnsi="宋体" w:cs="宋体"/>
          <w:color w:val="auto"/>
          <w:szCs w:val="21"/>
          <w:highlight w:val="none"/>
        </w:rPr>
      </w:pPr>
    </w:p>
    <w:p w14:paraId="535830DC">
      <w:pPr>
        <w:spacing w:line="360" w:lineRule="auto"/>
        <w:ind w:firstLine="420" w:firstLineChars="200"/>
        <w:rPr>
          <w:rFonts w:ascii="宋体" w:hAnsi="宋体" w:cs="宋体"/>
          <w:color w:val="auto"/>
          <w:szCs w:val="21"/>
          <w:highlight w:val="none"/>
        </w:rPr>
      </w:pPr>
    </w:p>
    <w:p w14:paraId="0C2493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14:paraId="168BA4F7">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p>
    <w:p w14:paraId="30F5D60B">
      <w:pPr>
        <w:spacing w:line="360" w:lineRule="auto"/>
        <w:ind w:firstLine="435"/>
        <w:rPr>
          <w:color w:val="auto"/>
          <w:highlight w:val="none"/>
        </w:rPr>
      </w:pPr>
      <w:r>
        <w:rPr>
          <w:rFonts w:hint="eastAsia" w:ascii="宋体" w:hAnsi="宋体" w:cs="宋体"/>
          <w:color w:val="auto"/>
          <w:szCs w:val="21"/>
          <w:highlight w:val="none"/>
        </w:rPr>
        <w:t>日期：</w:t>
      </w:r>
    </w:p>
    <w:p w14:paraId="05075BE2">
      <w:pPr>
        <w:spacing w:line="400" w:lineRule="exact"/>
        <w:rPr>
          <w:rFonts w:ascii="宋体" w:hAnsi="宋体" w:cs="宋体"/>
          <w:b/>
          <w:color w:val="auto"/>
          <w:sz w:val="28"/>
          <w:highlight w:val="none"/>
        </w:rPr>
        <w:sectPr>
          <w:pgSz w:w="11906" w:h="16838"/>
          <w:pgMar w:top="1440" w:right="1800" w:bottom="1440" w:left="1800" w:header="851" w:footer="992" w:gutter="0"/>
          <w:cols w:space="425" w:num="1"/>
          <w:docGrid w:type="lines" w:linePitch="312" w:charSpace="0"/>
        </w:sectPr>
      </w:pPr>
    </w:p>
    <w:p w14:paraId="37BE4187">
      <w:pPr>
        <w:spacing w:line="400" w:lineRule="exact"/>
        <w:rPr>
          <w:rFonts w:ascii="宋体" w:hAnsi="宋体" w:cs="宋体"/>
          <w:bCs/>
          <w:color w:val="auto"/>
          <w:sz w:val="30"/>
          <w:szCs w:val="30"/>
          <w:highlight w:val="none"/>
        </w:rPr>
      </w:pPr>
      <w:r>
        <w:rPr>
          <w:rFonts w:hint="eastAsia" w:ascii="宋体" w:hAnsi="宋体" w:cs="宋体"/>
          <w:b/>
          <w:color w:val="auto"/>
          <w:sz w:val="28"/>
          <w:highlight w:val="none"/>
        </w:rPr>
        <w:t>附件17</w:t>
      </w:r>
    </w:p>
    <w:p w14:paraId="04BF7CA3">
      <w:pPr>
        <w:snapToGrid w:val="0"/>
        <w:spacing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w:t>
      </w:r>
    </w:p>
    <w:p w14:paraId="14830DA5">
      <w:pPr>
        <w:pStyle w:val="9"/>
        <w:spacing w:before="5"/>
        <w:rPr>
          <w:rFonts w:ascii="宋体" w:hAnsi="宋体" w:cs="宋体"/>
          <w:b/>
          <w:color w:val="auto"/>
          <w:sz w:val="18"/>
          <w:szCs w:val="18"/>
          <w:highlight w:val="none"/>
        </w:rPr>
      </w:pPr>
    </w:p>
    <w:p w14:paraId="5DC35D93">
      <w:pPr>
        <w:pStyle w:val="9"/>
        <w:spacing w:after="0"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本公司（联合体）郑重声明，根据《政府采购促进中小企业发展管理办法》（财库﹝2020﹞46号）的规定，本公司（联合体）参加</w:t>
      </w:r>
      <w:r>
        <w:rPr>
          <w:rFonts w:hint="eastAsia" w:ascii="宋体" w:hAnsi="宋体" w:cs="宋体"/>
          <w:iCs/>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iCs/>
          <w:color w:val="auto"/>
          <w:szCs w:val="21"/>
          <w:highlight w:val="none"/>
          <w:u w:val="single"/>
        </w:rPr>
        <w:t>（项目名称）</w:t>
      </w:r>
      <w:r>
        <w:rPr>
          <w:rFonts w:hint="eastAsia" w:ascii="宋体" w:hAnsi="宋体" w:cs="宋体"/>
          <w:color w:val="auto"/>
          <w:szCs w:val="21"/>
          <w:highlight w:val="none"/>
        </w:rPr>
        <w:t>采购活动，</w:t>
      </w:r>
      <w:r>
        <w:rPr>
          <w:rFonts w:hint="eastAsia" w:ascii="宋体" w:hAnsi="宋体" w:cs="宋体"/>
          <w:bCs/>
          <w:color w:val="auto"/>
          <w:szCs w:val="21"/>
          <w:highlight w:val="none"/>
        </w:rPr>
        <w:t>提供的货物全部由符合政策要求的中小企业制造</w:t>
      </w:r>
      <w:r>
        <w:rPr>
          <w:rFonts w:hint="eastAsia" w:ascii="宋体" w:hAnsi="宋体" w:cs="宋体"/>
          <w:color w:val="auto"/>
          <w:szCs w:val="21"/>
          <w:highlight w:val="none"/>
          <w:lang w:val="zh-CN"/>
        </w:rPr>
        <w:t>。相关企业（含联合体中的中小企业、签订分包意向协议的中小企业）的具体情况如下：</w:t>
      </w:r>
      <w:bookmarkStart w:id="2" w:name="_GoBack"/>
      <w:bookmarkEnd w:id="2"/>
    </w:p>
    <w:p w14:paraId="1BE9B6E9">
      <w:pPr>
        <w:pStyle w:val="9"/>
        <w:spacing w:after="0" w:line="360" w:lineRule="auto"/>
        <w:ind w:firstLine="402" w:firstLineChars="200"/>
        <w:rPr>
          <w:rFonts w:ascii="宋体" w:hAnsi="宋体" w:cs="宋体"/>
          <w:iCs/>
          <w:color w:val="auto"/>
          <w:w w:val="99"/>
          <w:szCs w:val="21"/>
          <w:highlight w:val="none"/>
        </w:rPr>
      </w:pPr>
      <w:r>
        <w:rPr>
          <w:rFonts w:hint="eastAsia" w:ascii="宋体" w:hAnsi="宋体" w:cs="宋体"/>
          <w:iCs/>
          <w:color w:val="auto"/>
          <w:w w:val="96"/>
          <w:szCs w:val="21"/>
          <w:highlight w:val="none"/>
        </w:rPr>
        <w:t>一、</w:t>
      </w:r>
      <w:r>
        <w:rPr>
          <w:rFonts w:hint="eastAsia" w:ascii="宋体" w:hAnsi="宋体" w:cs="宋体"/>
          <w:iCs/>
          <w:color w:val="auto"/>
          <w:w w:val="96"/>
          <w:szCs w:val="21"/>
          <w:highlight w:val="none"/>
          <w:u w:val="single"/>
        </w:rPr>
        <w:t>（标的名称）</w:t>
      </w:r>
      <w:r>
        <w:rPr>
          <w:rFonts w:hint="eastAsia" w:ascii="宋体" w:hAnsi="宋体" w:cs="宋体"/>
          <w:color w:val="auto"/>
          <w:w w:val="99"/>
          <w:szCs w:val="21"/>
          <w:highlight w:val="none"/>
        </w:rPr>
        <w:t>，属于</w:t>
      </w:r>
      <w:r>
        <w:rPr>
          <w:rFonts w:hint="eastAsia" w:ascii="宋体" w:hAnsi="宋体" w:cs="宋体"/>
          <w:iCs/>
          <w:color w:val="auto"/>
          <w:w w:val="96"/>
          <w:szCs w:val="21"/>
          <w:highlight w:val="none"/>
        </w:rPr>
        <w:t>（</w:t>
      </w:r>
      <w:r>
        <w:rPr>
          <w:rFonts w:hint="eastAsia" w:ascii="宋体" w:hAnsi="宋体" w:cs="宋体"/>
          <w:iCs/>
          <w:color w:val="auto"/>
          <w:w w:val="96"/>
          <w:szCs w:val="21"/>
          <w:highlight w:val="none"/>
          <w:u w:val="single"/>
        </w:rPr>
        <w:t>采购文件中明确的所属行业）</w:t>
      </w:r>
      <w:r>
        <w:rPr>
          <w:rFonts w:hint="eastAsia" w:ascii="宋体" w:hAnsi="宋体" w:cs="宋体"/>
          <w:color w:val="auto"/>
          <w:w w:val="99"/>
          <w:szCs w:val="21"/>
          <w:highlight w:val="none"/>
        </w:rPr>
        <w:t>；制造商为</w:t>
      </w:r>
      <w:r>
        <w:rPr>
          <w:rFonts w:hint="eastAsia" w:ascii="宋体" w:hAnsi="宋体" w:cs="宋体"/>
          <w:iCs/>
          <w:color w:val="auto"/>
          <w:w w:val="96"/>
          <w:szCs w:val="21"/>
          <w:highlight w:val="none"/>
          <w:u w:val="single"/>
        </w:rPr>
        <w:t>（企业名称）</w:t>
      </w:r>
      <w:r>
        <w:rPr>
          <w:rFonts w:hint="eastAsia" w:ascii="宋体" w:hAnsi="宋体" w:cs="宋体"/>
          <w:color w:val="auto"/>
          <w:w w:val="99"/>
          <w:szCs w:val="21"/>
          <w:highlight w:val="none"/>
        </w:rPr>
        <w:t>，从业人员</w:t>
      </w:r>
      <w:r>
        <w:rPr>
          <w:rFonts w:hint="eastAsia" w:ascii="宋体" w:hAnsi="宋体" w:cs="宋体"/>
          <w:color w:val="auto"/>
          <w:w w:val="99"/>
          <w:szCs w:val="21"/>
          <w:highlight w:val="none"/>
          <w:u w:val="single"/>
        </w:rPr>
        <w:t xml:space="preserve">  </w:t>
      </w:r>
      <w:r>
        <w:rPr>
          <w:rFonts w:hint="eastAsia" w:ascii="宋体" w:hAnsi="宋体" w:cs="宋体"/>
          <w:color w:val="auto"/>
          <w:w w:val="99"/>
          <w:szCs w:val="21"/>
          <w:highlight w:val="none"/>
        </w:rPr>
        <w:t>人，营业</w:t>
      </w:r>
      <w:r>
        <w:rPr>
          <w:rFonts w:hint="eastAsia" w:ascii="宋体" w:hAnsi="宋体" w:cs="宋体"/>
          <w:color w:val="auto"/>
          <w:szCs w:val="21"/>
          <w:highlight w:val="none"/>
        </w:rPr>
        <w:t>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万元</w:t>
      </w:r>
      <w:r>
        <w:rPr>
          <w:rFonts w:hint="eastAsia" w:ascii="宋体" w:hAnsi="宋体" w:cs="宋体"/>
          <w:color w:val="auto"/>
          <w:szCs w:val="21"/>
          <w:highlight w:val="none"/>
          <w:vertAlign w:val="superscript"/>
        </w:rPr>
        <w:t>1</w:t>
      </w:r>
      <w:r>
        <w:rPr>
          <w:rFonts w:hint="eastAsia" w:ascii="宋体" w:hAnsi="宋体" w:cs="宋体"/>
          <w:color w:val="auto"/>
          <w:szCs w:val="21"/>
          <w:highlight w:val="none"/>
        </w:rPr>
        <w:t>，属于</w:t>
      </w:r>
      <w:r>
        <w:rPr>
          <w:rFonts w:hint="eastAsia" w:ascii="宋体" w:hAnsi="宋体" w:cs="宋体"/>
          <w:iCs/>
          <w:color w:val="auto"/>
          <w:szCs w:val="21"/>
          <w:highlight w:val="none"/>
          <w:u w:val="single"/>
        </w:rPr>
        <w:t>（中型企业、</w:t>
      </w:r>
      <w:r>
        <w:rPr>
          <w:rFonts w:hint="eastAsia" w:ascii="宋体" w:hAnsi="宋体" w:cs="宋体"/>
          <w:iCs/>
          <w:color w:val="auto"/>
          <w:w w:val="96"/>
          <w:szCs w:val="21"/>
          <w:highlight w:val="none"/>
          <w:u w:val="single"/>
        </w:rPr>
        <w:t>小型企业、微型企业）</w:t>
      </w:r>
      <w:r>
        <w:rPr>
          <w:rFonts w:hint="eastAsia" w:ascii="宋体" w:hAnsi="宋体" w:cs="宋体"/>
          <w:iCs/>
          <w:color w:val="auto"/>
          <w:w w:val="99"/>
          <w:szCs w:val="21"/>
          <w:highlight w:val="none"/>
        </w:rPr>
        <w:t>；</w:t>
      </w:r>
    </w:p>
    <w:p w14:paraId="1A8F39BB">
      <w:pPr>
        <w:pStyle w:val="9"/>
        <w:spacing w:after="0" w:line="360" w:lineRule="auto"/>
        <w:ind w:firstLine="402" w:firstLineChars="200"/>
        <w:rPr>
          <w:rFonts w:ascii="宋体" w:hAnsi="宋体" w:cs="宋体"/>
          <w:iCs/>
          <w:color w:val="auto"/>
          <w:w w:val="99"/>
          <w:szCs w:val="21"/>
          <w:highlight w:val="none"/>
        </w:rPr>
      </w:pPr>
      <w:r>
        <w:rPr>
          <w:rFonts w:hint="eastAsia" w:ascii="宋体" w:hAnsi="宋体" w:cs="宋体"/>
          <w:iCs/>
          <w:color w:val="auto"/>
          <w:w w:val="96"/>
          <w:szCs w:val="21"/>
          <w:highlight w:val="none"/>
        </w:rPr>
        <w:t>二、</w:t>
      </w:r>
      <w:r>
        <w:rPr>
          <w:rFonts w:hint="eastAsia" w:ascii="宋体" w:hAnsi="宋体" w:cs="宋体"/>
          <w:iCs/>
          <w:color w:val="auto"/>
          <w:w w:val="96"/>
          <w:szCs w:val="21"/>
          <w:highlight w:val="none"/>
          <w:u w:val="single"/>
        </w:rPr>
        <w:t>（标的名称）</w:t>
      </w:r>
      <w:r>
        <w:rPr>
          <w:rFonts w:hint="eastAsia" w:ascii="宋体" w:hAnsi="宋体" w:cs="宋体"/>
          <w:color w:val="auto"/>
          <w:w w:val="99"/>
          <w:szCs w:val="21"/>
          <w:highlight w:val="none"/>
        </w:rPr>
        <w:t>，属于</w:t>
      </w:r>
      <w:r>
        <w:rPr>
          <w:rFonts w:hint="eastAsia" w:ascii="宋体" w:hAnsi="宋体" w:cs="宋体"/>
          <w:iCs/>
          <w:color w:val="auto"/>
          <w:w w:val="96"/>
          <w:szCs w:val="21"/>
          <w:highlight w:val="none"/>
        </w:rPr>
        <w:t>（</w:t>
      </w:r>
      <w:r>
        <w:rPr>
          <w:rFonts w:hint="eastAsia" w:ascii="宋体" w:hAnsi="宋体" w:cs="宋体"/>
          <w:iCs/>
          <w:color w:val="auto"/>
          <w:w w:val="96"/>
          <w:szCs w:val="21"/>
          <w:highlight w:val="none"/>
          <w:u w:val="single"/>
        </w:rPr>
        <w:t>采购文件中明确的所属行业）</w:t>
      </w:r>
      <w:r>
        <w:rPr>
          <w:rFonts w:hint="eastAsia" w:ascii="宋体" w:hAnsi="宋体" w:cs="宋体"/>
          <w:color w:val="auto"/>
          <w:w w:val="99"/>
          <w:szCs w:val="21"/>
          <w:highlight w:val="none"/>
        </w:rPr>
        <w:t>；制造商为</w:t>
      </w:r>
      <w:r>
        <w:rPr>
          <w:rFonts w:hint="eastAsia" w:ascii="宋体" w:hAnsi="宋体" w:cs="宋体"/>
          <w:iCs/>
          <w:color w:val="auto"/>
          <w:w w:val="96"/>
          <w:szCs w:val="21"/>
          <w:highlight w:val="none"/>
          <w:u w:val="single"/>
        </w:rPr>
        <w:t>（企业名称）</w:t>
      </w:r>
      <w:r>
        <w:rPr>
          <w:rFonts w:hint="eastAsia" w:ascii="宋体" w:hAnsi="宋体" w:cs="宋体"/>
          <w:color w:val="auto"/>
          <w:w w:val="99"/>
          <w:szCs w:val="21"/>
          <w:highlight w:val="none"/>
        </w:rPr>
        <w:t>，从业人员</w:t>
      </w:r>
      <w:r>
        <w:rPr>
          <w:rFonts w:hint="eastAsia" w:ascii="宋体" w:hAnsi="宋体" w:cs="宋体"/>
          <w:color w:val="auto"/>
          <w:w w:val="99"/>
          <w:szCs w:val="21"/>
          <w:highlight w:val="none"/>
          <w:u w:val="single"/>
        </w:rPr>
        <w:t xml:space="preserve">  </w:t>
      </w:r>
      <w:r>
        <w:rPr>
          <w:rFonts w:hint="eastAsia" w:ascii="宋体" w:hAnsi="宋体" w:cs="宋体"/>
          <w:color w:val="auto"/>
          <w:w w:val="99"/>
          <w:szCs w:val="21"/>
          <w:highlight w:val="none"/>
        </w:rPr>
        <w:t>人，营业</w:t>
      </w:r>
      <w:r>
        <w:rPr>
          <w:rFonts w:hint="eastAsia" w:ascii="宋体" w:hAnsi="宋体" w:cs="宋体"/>
          <w:color w:val="auto"/>
          <w:szCs w:val="21"/>
          <w:highlight w:val="none"/>
        </w:rPr>
        <w:t>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iCs/>
          <w:color w:val="auto"/>
          <w:szCs w:val="21"/>
          <w:highlight w:val="none"/>
          <w:u w:val="single"/>
        </w:rPr>
        <w:t>（中型企业、</w:t>
      </w:r>
      <w:r>
        <w:rPr>
          <w:rFonts w:hint="eastAsia" w:ascii="宋体" w:hAnsi="宋体" w:cs="宋体"/>
          <w:iCs/>
          <w:color w:val="auto"/>
          <w:w w:val="96"/>
          <w:szCs w:val="21"/>
          <w:highlight w:val="none"/>
          <w:u w:val="single"/>
        </w:rPr>
        <w:t>小型企业、微型企业）</w:t>
      </w:r>
      <w:r>
        <w:rPr>
          <w:rFonts w:hint="eastAsia" w:ascii="宋体" w:hAnsi="宋体" w:cs="宋体"/>
          <w:iCs/>
          <w:color w:val="auto"/>
          <w:w w:val="99"/>
          <w:szCs w:val="21"/>
          <w:highlight w:val="none"/>
        </w:rPr>
        <w:t>；</w:t>
      </w:r>
    </w:p>
    <w:p w14:paraId="661D60D4">
      <w:pPr>
        <w:pStyle w:val="9"/>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p>
    <w:p w14:paraId="5E9D8C9E">
      <w:pPr>
        <w:pStyle w:val="9"/>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30679560">
      <w:pPr>
        <w:pStyle w:val="9"/>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2C955AA0">
      <w:pPr>
        <w:pStyle w:val="9"/>
        <w:autoSpaceDE w:val="0"/>
        <w:autoSpaceDN w:val="0"/>
        <w:spacing w:before="29" w:line="360" w:lineRule="auto"/>
        <w:ind w:right="-54"/>
        <w:rPr>
          <w:rFonts w:ascii="宋体" w:hAnsi="宋体" w:cs="宋体"/>
          <w:color w:val="auto"/>
          <w:w w:val="99"/>
          <w:szCs w:val="21"/>
          <w:highlight w:val="none"/>
        </w:rPr>
      </w:pPr>
    </w:p>
    <w:p w14:paraId="67411DF3">
      <w:pPr>
        <w:pStyle w:val="9"/>
        <w:autoSpaceDE w:val="0"/>
        <w:autoSpaceDN w:val="0"/>
        <w:spacing w:before="29" w:line="360" w:lineRule="auto"/>
        <w:ind w:right="-54" w:firstLine="3990" w:firstLineChars="1900"/>
        <w:rPr>
          <w:rFonts w:ascii="宋体" w:hAnsi="宋体" w:cs="宋体"/>
          <w:color w:val="auto"/>
          <w:szCs w:val="21"/>
          <w:highlight w:val="none"/>
        </w:rPr>
      </w:pPr>
      <w:r>
        <w:rPr>
          <w:rFonts w:hint="eastAsia" w:ascii="宋体" w:hAnsi="宋体" w:cs="宋体"/>
          <w:color w:val="auto"/>
          <w:szCs w:val="21"/>
          <w:highlight w:val="none"/>
        </w:rPr>
        <w:t>企业名称（盖章）：</w:t>
      </w:r>
    </w:p>
    <w:p w14:paraId="3EC8BA71">
      <w:pPr>
        <w:pStyle w:val="9"/>
        <w:autoSpaceDE w:val="0"/>
        <w:autoSpaceDN w:val="0"/>
        <w:spacing w:before="29" w:line="360" w:lineRule="auto"/>
        <w:ind w:right="-54" w:firstLine="3990" w:firstLineChars="1900"/>
        <w:rPr>
          <w:rFonts w:ascii="宋体" w:hAnsi="宋体" w:cs="宋体"/>
          <w:color w:val="auto"/>
          <w:kern w:val="0"/>
          <w:szCs w:val="21"/>
          <w:highlight w:val="none"/>
        </w:rPr>
      </w:pPr>
      <w:r>
        <w:rPr>
          <w:rFonts w:hint="eastAsia" w:ascii="宋体" w:hAnsi="宋体" w:cs="宋体"/>
          <w:color w:val="auto"/>
          <w:szCs w:val="21"/>
          <w:highlight w:val="none"/>
        </w:rPr>
        <w:t>日期：</w:t>
      </w:r>
    </w:p>
    <w:p w14:paraId="2AF8C259">
      <w:pPr>
        <w:pStyle w:val="13"/>
        <w:spacing w:line="360" w:lineRule="auto"/>
        <w:rPr>
          <w:rFonts w:hAnsi="宋体" w:cs="宋体"/>
          <w:color w:val="auto"/>
          <w:szCs w:val="21"/>
          <w:highlight w:val="none"/>
        </w:rPr>
      </w:pPr>
    </w:p>
    <w:p w14:paraId="1915A54C">
      <w:pPr>
        <w:pStyle w:val="13"/>
        <w:spacing w:line="360" w:lineRule="auto"/>
        <w:rPr>
          <w:rFonts w:hAnsi="宋体" w:cs="宋体"/>
          <w:b/>
          <w:color w:val="auto"/>
          <w:highlight w:val="none"/>
        </w:rPr>
      </w:pPr>
      <w:r>
        <w:rPr>
          <w:rFonts w:hint="eastAsia" w:hAnsi="宋体" w:cs="宋体"/>
          <w:color w:val="auto"/>
          <w:szCs w:val="21"/>
          <w:highlight w:val="none"/>
        </w:rPr>
        <w:t>注：1、从业人员、营业收入、资产总额填报上一年度数据，无上一年度数据的新成立企业可不填报。</w:t>
      </w:r>
    </w:p>
    <w:p w14:paraId="6422431B">
      <w:pPr>
        <w:pStyle w:val="50"/>
        <w:spacing w:line="360" w:lineRule="auto"/>
        <w:ind w:left="403"/>
        <w:rPr>
          <w:rFonts w:ascii="宋体" w:hAnsi="宋体" w:cs="宋体"/>
          <w:color w:val="auto"/>
          <w:spacing w:val="20"/>
          <w:kern w:val="0"/>
          <w:szCs w:val="21"/>
          <w:highlight w:val="none"/>
        </w:rPr>
      </w:pPr>
      <w:r>
        <w:rPr>
          <w:rFonts w:hint="eastAsia" w:ascii="宋体" w:hAnsi="宋体" w:cs="宋体"/>
          <w:color w:val="auto"/>
          <w:szCs w:val="21"/>
          <w:highlight w:val="none"/>
        </w:rPr>
        <w:t>2、</w:t>
      </w:r>
      <w:r>
        <w:rPr>
          <w:rFonts w:hint="eastAsia" w:ascii="宋体" w:hAnsi="宋体" w:cs="宋体"/>
          <w:color w:val="auto"/>
          <w:spacing w:val="20"/>
          <w:kern w:val="0"/>
          <w:szCs w:val="21"/>
          <w:highlight w:val="none"/>
        </w:rPr>
        <w:t>投标人按各自参加投标的对应标包分别编制、分别成册、分别提交。</w:t>
      </w:r>
    </w:p>
    <w:p w14:paraId="4566173A">
      <w:pPr>
        <w:pStyle w:val="13"/>
        <w:spacing w:line="360" w:lineRule="auto"/>
        <w:jc w:val="center"/>
        <w:rPr>
          <w:rFonts w:hAnsi="宋体" w:cs="宋体"/>
          <w:b/>
          <w:color w:val="auto"/>
          <w:sz w:val="32"/>
          <w:szCs w:val="32"/>
          <w:highlight w:val="none"/>
          <w:lang w:val="en-GB"/>
        </w:rPr>
      </w:pPr>
    </w:p>
    <w:p w14:paraId="25B7DB12">
      <w:pPr>
        <w:pStyle w:val="13"/>
        <w:spacing w:line="360" w:lineRule="auto"/>
        <w:jc w:val="center"/>
        <w:rPr>
          <w:rFonts w:hAnsi="宋体" w:cs="宋体"/>
          <w:b/>
          <w:color w:val="auto"/>
          <w:sz w:val="32"/>
          <w:szCs w:val="32"/>
          <w:highlight w:val="none"/>
          <w:lang w:val="en-GB"/>
        </w:rPr>
        <w:sectPr>
          <w:pgSz w:w="11906" w:h="16838"/>
          <w:pgMar w:top="1440" w:right="1800" w:bottom="1440" w:left="1800" w:header="851" w:footer="992" w:gutter="0"/>
          <w:cols w:space="425" w:num="1"/>
          <w:docGrid w:type="lines" w:linePitch="312" w:charSpace="0"/>
        </w:sectPr>
      </w:pPr>
    </w:p>
    <w:p w14:paraId="264D32A4">
      <w:pPr>
        <w:pStyle w:val="13"/>
        <w:spacing w:line="360" w:lineRule="auto"/>
        <w:jc w:val="center"/>
        <w:rPr>
          <w:rFonts w:hAnsi="宋体" w:cs="宋体"/>
          <w:b/>
          <w:color w:val="auto"/>
          <w:sz w:val="32"/>
          <w:szCs w:val="32"/>
          <w:highlight w:val="none"/>
          <w:lang w:val="en-GB"/>
        </w:rPr>
      </w:pPr>
      <w:r>
        <w:rPr>
          <w:rFonts w:hint="eastAsia" w:hAnsi="宋体" w:cs="宋体"/>
          <w:b/>
          <w:color w:val="auto"/>
          <w:sz w:val="32"/>
          <w:szCs w:val="32"/>
          <w:highlight w:val="none"/>
          <w:lang w:val="en-GB"/>
        </w:rPr>
        <w:t>残疾人福利性单位声明函</w:t>
      </w:r>
    </w:p>
    <w:p w14:paraId="2D3DB960">
      <w:pPr>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AAF219B">
      <w:pPr>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14:paraId="7ED01260">
      <w:pPr>
        <w:tabs>
          <w:tab w:val="left" w:pos="4860"/>
        </w:tabs>
        <w:spacing w:line="360" w:lineRule="auto"/>
        <w:ind w:right="1560" w:firstLine="444" w:firstLineChars="200"/>
        <w:jc w:val="center"/>
        <w:rPr>
          <w:rFonts w:ascii="宋体" w:hAnsi="宋体" w:cs="宋体"/>
          <w:color w:val="auto"/>
          <w:spacing w:val="6"/>
          <w:szCs w:val="21"/>
          <w:highlight w:val="none"/>
        </w:rPr>
      </w:pPr>
    </w:p>
    <w:p w14:paraId="008F5BA0">
      <w:pPr>
        <w:tabs>
          <w:tab w:val="left" w:pos="4860"/>
        </w:tabs>
        <w:spacing w:line="360" w:lineRule="auto"/>
        <w:ind w:right="1560" w:firstLine="444" w:firstLineChars="200"/>
        <w:jc w:val="center"/>
        <w:rPr>
          <w:rFonts w:ascii="宋体" w:hAnsi="宋体" w:cs="宋体"/>
          <w:color w:val="auto"/>
          <w:spacing w:val="6"/>
          <w:szCs w:val="21"/>
          <w:highlight w:val="none"/>
        </w:rPr>
      </w:pPr>
      <w:r>
        <w:rPr>
          <w:rFonts w:hint="eastAsia" w:ascii="宋体" w:hAnsi="宋体" w:cs="宋体"/>
          <w:color w:val="auto"/>
          <w:spacing w:val="6"/>
          <w:szCs w:val="21"/>
          <w:highlight w:val="none"/>
        </w:rPr>
        <w:t>单位名称（盖章）：</w:t>
      </w:r>
    </w:p>
    <w:p w14:paraId="5128586C">
      <w:pPr>
        <w:tabs>
          <w:tab w:val="left" w:pos="4860"/>
        </w:tabs>
        <w:spacing w:line="360" w:lineRule="auto"/>
        <w:ind w:right="1560" w:firstLine="1890" w:firstLineChars="900"/>
        <w:rPr>
          <w:rFonts w:ascii="宋体" w:hAnsi="宋体" w:cs="宋体"/>
          <w:color w:val="auto"/>
          <w:szCs w:val="21"/>
          <w:highlight w:val="none"/>
        </w:rPr>
      </w:pPr>
      <w:r>
        <w:rPr>
          <w:rFonts w:hint="eastAsia" w:ascii="宋体" w:hAnsi="宋体" w:cs="宋体"/>
          <w:color w:val="auto"/>
          <w:szCs w:val="21"/>
          <w:highlight w:val="none"/>
        </w:rPr>
        <w:t>法定代表人（签字或盖章）：</w:t>
      </w:r>
    </w:p>
    <w:p w14:paraId="5805720B">
      <w:pPr>
        <w:pStyle w:val="50"/>
        <w:spacing w:line="360" w:lineRule="auto"/>
        <w:ind w:left="403"/>
        <w:rPr>
          <w:rFonts w:ascii="宋体" w:hAnsi="宋体" w:cs="宋体"/>
          <w:color w:val="auto"/>
          <w:spacing w:val="20"/>
          <w:kern w:val="0"/>
          <w:szCs w:val="21"/>
          <w:highlight w:val="none"/>
        </w:rPr>
      </w:pPr>
      <w:r>
        <w:rPr>
          <w:rFonts w:hint="eastAsia" w:ascii="宋体" w:hAnsi="宋体" w:cs="宋体"/>
          <w:color w:val="auto"/>
          <w:spacing w:val="6"/>
          <w:szCs w:val="21"/>
          <w:highlight w:val="none"/>
        </w:rPr>
        <w:t>日期：</w:t>
      </w:r>
    </w:p>
    <w:p w14:paraId="2401E451">
      <w:pPr>
        <w:pStyle w:val="50"/>
        <w:spacing w:line="360" w:lineRule="auto"/>
        <w:rPr>
          <w:rFonts w:ascii="宋体" w:hAnsi="宋体" w:cs="宋体"/>
          <w:b/>
          <w:color w:val="auto"/>
          <w:sz w:val="28"/>
          <w:szCs w:val="28"/>
          <w:highlight w:val="none"/>
        </w:rPr>
      </w:pPr>
    </w:p>
    <w:p w14:paraId="32671121">
      <w:pPr>
        <w:pStyle w:val="50"/>
        <w:spacing w:line="360" w:lineRule="auto"/>
        <w:rPr>
          <w:rFonts w:ascii="宋体" w:hAnsi="宋体" w:cs="宋体"/>
          <w:b/>
          <w:color w:val="000000" w:themeColor="text1"/>
          <w:sz w:val="28"/>
          <w:szCs w:val="28"/>
        </w:rPr>
      </w:pPr>
    </w:p>
    <w:p w14:paraId="19127B84">
      <w:pPr>
        <w:pStyle w:val="50"/>
        <w:spacing w:line="360" w:lineRule="auto"/>
        <w:rPr>
          <w:rFonts w:ascii="宋体" w:hAnsi="宋体" w:cs="宋体"/>
          <w:b/>
          <w:color w:val="000000" w:themeColor="text1"/>
          <w:sz w:val="28"/>
          <w:szCs w:val="28"/>
        </w:rPr>
      </w:pPr>
    </w:p>
    <w:p w14:paraId="4780FCD8">
      <w:pPr>
        <w:pStyle w:val="50"/>
        <w:spacing w:line="360" w:lineRule="auto"/>
        <w:rPr>
          <w:rFonts w:ascii="宋体" w:hAnsi="宋体" w:cs="宋体"/>
          <w:b/>
          <w:color w:val="000000" w:themeColor="text1"/>
          <w:sz w:val="28"/>
          <w:szCs w:val="28"/>
        </w:rPr>
      </w:pPr>
    </w:p>
    <w:p w14:paraId="50450877">
      <w:pPr>
        <w:pStyle w:val="9"/>
        <w:rPr>
          <w:rFonts w:ascii="宋体" w:hAnsi="宋体" w:cs="宋体"/>
          <w:color w:val="000000" w:themeColor="text1"/>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750A8">
    <w:pPr>
      <w:pStyle w:val="16"/>
    </w:pPr>
    <w:r>
      <w:pict>
        <v:shape id="_x0000_s2051" o:spid="_x0000_s2051"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A7eU9DICAABj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MHmW&#10;hY1+sDxCR3m8Xe4D5EwqR1F6JdCdeMDspT6d9yQO95/nFPX43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DF8ZnSAAAABAEAAA8AAAAAAAAAAQAgAAAAIgAAAGRycy9kb3ducmV2LnhtbFBLAQIU&#10;ABQAAAAIAIdO4kADt5T0MgIAAGMEAAAOAAAAAAAAAAEAIAAAACEBAABkcnMvZTJvRG9jLnhtbFBL&#10;BQYAAAAABgAGAFkBAADFBQAAAAA=&#10;">
          <v:path/>
          <v:fill on="f" focussize="0,0"/>
          <v:stroke on="f" weight="0.5pt" joinstyle="miter"/>
          <v:imagedata o:title=""/>
          <o:lock v:ext="edit"/>
          <v:textbox inset="0mm,0mm,0mm,0mm" style="mso-fit-shape-to-text:t;">
            <w:txbxContent>
              <w:p w14:paraId="55C09EDE">
                <w:pPr>
                  <w:pStyle w:val="1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878F0">
    <w:pPr>
      <w:pStyle w:val="16"/>
    </w:pPr>
    <w:r>
      <w:pict>
        <v:shape id="文本框 4"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0p704MQIAAGMEAAAOAAAAAAAAAAEAIAAAAB8BAABkcnMvZTJvRG9jLnhtbFBLBQYA&#10;AAAABgAGAFkBAADCBQAAAAA=&#10;">
          <v:path/>
          <v:fill on="f" focussize="0,0"/>
          <v:stroke on="f" weight="0.5pt" joinstyle="miter"/>
          <v:imagedata o:title=""/>
          <o:lock v:ext="edit"/>
          <v:textbox inset="0mm,0mm,0mm,0mm" style="mso-fit-shape-to-text:t;">
            <w:txbxContent>
              <w:p w14:paraId="5D0784CF">
                <w:pPr>
                  <w:pStyle w:val="16"/>
                  <w:rPr>
                    <w:rFonts w:eastAsia="宋体"/>
                  </w:rP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F9B26">
    <w:pPr>
      <w:pStyle w:val="16"/>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joinstyle="miter"/>
          <v:imagedata o:title=""/>
          <o:lock v:ext="edit"/>
          <v:textbox inset="0mm,0mm,0mm,0mm" style="mso-fit-shape-to-text:t;">
            <w:txbxContent>
              <w:p w14:paraId="43D0E6C0">
                <w:pPr>
                  <w:pStyle w:val="16"/>
                  <w:rPr>
                    <w:rFonts w:eastAsia="宋体"/>
                  </w:rP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B55D9">
    <w:pPr>
      <w:rPr>
        <w:iCs/>
      </w:rPr>
    </w:pPr>
    <w:r>
      <w:rPr>
        <w:rFonts w:hint="eastAsia"/>
        <w:b/>
        <w:iCs/>
        <w:color w:val="000000"/>
        <w:kern w:val="0"/>
        <w:sz w:val="18"/>
        <w:u w:val="single"/>
      </w:rPr>
      <w:t>政府采购招标文件</w:t>
    </w:r>
    <w:r>
      <w:rPr>
        <w:b/>
        <w:iCs/>
        <w:color w:val="000000"/>
        <w:kern w:val="0"/>
        <w:sz w:val="18"/>
        <w:u w:val="single"/>
      </w:rPr>
      <w:t>--</w:t>
    </w:r>
    <w:r>
      <w:rPr>
        <w:rFonts w:hint="eastAsia"/>
        <w:b/>
        <w:iCs/>
        <w:color w:val="000000"/>
        <w:kern w:val="0"/>
        <w:sz w:val="18"/>
        <w:u w:val="single"/>
      </w:rPr>
      <w:t>黄岩区中考标准化考点建设项目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BDD9C">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A4D85">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1DCDC"/>
    <w:multiLevelType w:val="singleLevel"/>
    <w:tmpl w:val="98A1DCDC"/>
    <w:lvl w:ilvl="0" w:tentative="0">
      <w:start w:val="1"/>
      <w:numFmt w:val="decimal"/>
      <w:suff w:val="nothing"/>
      <w:lvlText w:val="%1、"/>
      <w:lvlJc w:val="left"/>
    </w:lvl>
  </w:abstractNum>
  <w:abstractNum w:abstractNumId="1">
    <w:nsid w:val="461E5E94"/>
    <w:multiLevelType w:val="singleLevel"/>
    <w:tmpl w:val="461E5E94"/>
    <w:lvl w:ilvl="0" w:tentative="0">
      <w:start w:val="2"/>
      <w:numFmt w:val="chineseCounting"/>
      <w:suff w:val="space"/>
      <w:lvlText w:val="第%1章"/>
      <w:lvlJc w:val="left"/>
      <w:rPr>
        <w:rFonts w:hint="eastAsia" w:cs="Times New Roman"/>
      </w:r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3">
    <w:nsid w:val="58CA50F0"/>
    <w:multiLevelType w:val="multilevel"/>
    <w:tmpl w:val="58CA50F0"/>
    <w:lvl w:ilvl="0" w:tentative="0">
      <w:start w:val="1"/>
      <w:numFmt w:val="chineseCounting"/>
      <w:pStyle w:val="3"/>
      <w:lvlText w:val="第%1章 "/>
      <w:lvlJc w:val="left"/>
      <w:pPr>
        <w:tabs>
          <w:tab w:val="left" w:pos="432"/>
        </w:tabs>
        <w:ind w:left="432" w:hanging="432"/>
      </w:pPr>
      <w:rPr>
        <w:rFonts w:hint="eastAsia" w:ascii="Times New Roman" w:hAnsi="Times New Roman" w:eastAsia="仿宋_GB2312" w:cs="宋体"/>
      </w:rPr>
    </w:lvl>
    <w:lvl w:ilvl="1" w:tentative="0">
      <w:start w:val="1"/>
      <w:numFmt w:val="decimal"/>
      <w:isLgl/>
      <w:lvlText w:val="%1.%2."/>
      <w:lvlJc w:val="left"/>
      <w:pPr>
        <w:tabs>
          <w:tab w:val="left" w:pos="210"/>
        </w:tabs>
        <w:ind w:left="0" w:firstLine="0"/>
      </w:pPr>
      <w:rPr>
        <w:rFonts w:hint="eastAsia" w:ascii="宋体" w:hAnsi="宋体" w:eastAsia="宋体" w:cs="宋体"/>
      </w:rPr>
    </w:lvl>
    <w:lvl w:ilvl="2" w:tentative="0">
      <w:start w:val="1"/>
      <w:numFmt w:val="decimal"/>
      <w:isLgl/>
      <w:lvlText w:val="%1.%2.%3."/>
      <w:lvlJc w:val="left"/>
      <w:pPr>
        <w:tabs>
          <w:tab w:val="left" w:pos="210"/>
        </w:tabs>
        <w:ind w:left="0" w:firstLine="0"/>
      </w:pPr>
      <w:rPr>
        <w:rFonts w:hint="eastAsia" w:ascii="宋体" w:hAnsi="宋体" w:eastAsia="宋体" w:cs="宋体"/>
      </w:rPr>
    </w:lvl>
    <w:lvl w:ilvl="3" w:tentative="0">
      <w:start w:val="1"/>
      <w:numFmt w:val="decimal"/>
      <w:isLgl/>
      <w:lvlText w:val="%1.%2.%3.%4."/>
      <w:lvlJc w:val="left"/>
      <w:pPr>
        <w:tabs>
          <w:tab w:val="left" w:pos="210"/>
        </w:tabs>
        <w:ind w:left="0" w:firstLine="0"/>
      </w:pPr>
      <w:rPr>
        <w:rFonts w:hint="eastAsia" w:ascii="宋体" w:hAnsi="宋体" w:eastAsia="宋体" w:cs="宋体"/>
      </w:rPr>
    </w:lvl>
    <w:lvl w:ilvl="4" w:tentative="0">
      <w:start w:val="1"/>
      <w:numFmt w:val="decimal"/>
      <w:isLgl/>
      <w:lvlText w:val="%1.%2.%3.%4.%5."/>
      <w:lvlJc w:val="left"/>
      <w:pPr>
        <w:tabs>
          <w:tab w:val="left" w:pos="210"/>
        </w:tabs>
        <w:ind w:left="0" w:firstLine="0"/>
      </w:pPr>
      <w:rPr>
        <w:rFonts w:hint="eastAsia" w:ascii="宋体" w:hAnsi="宋体" w:eastAsia="宋体" w:cs="宋体"/>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ດц卆䵇ϗ栀Å剦쌳Å༤ц卆䵇ϗ栀Å剦쌳Å剦쌳Åྴц卆䵇ϗÅ剦伳Å剦伳Å၄ц卆䵇ϗ栀Å剦쌳Å剦쌳Åეц卆䵇ϗ栀Å剦쌳Å卆䵇ϗ栀Å剦쌳Å"/>
  </w:docVars>
  <w:rsids>
    <w:rsidRoot w:val="00BE3149"/>
    <w:rsid w:val="000321B6"/>
    <w:rsid w:val="0003476A"/>
    <w:rsid w:val="00055C56"/>
    <w:rsid w:val="0008396C"/>
    <w:rsid w:val="000E0D3F"/>
    <w:rsid w:val="001241E8"/>
    <w:rsid w:val="00215442"/>
    <w:rsid w:val="0028159A"/>
    <w:rsid w:val="002C6DDC"/>
    <w:rsid w:val="003929D9"/>
    <w:rsid w:val="003C6577"/>
    <w:rsid w:val="0043417D"/>
    <w:rsid w:val="00446A93"/>
    <w:rsid w:val="004C3D04"/>
    <w:rsid w:val="005079B9"/>
    <w:rsid w:val="00532108"/>
    <w:rsid w:val="005C68A9"/>
    <w:rsid w:val="006052DD"/>
    <w:rsid w:val="00641C5C"/>
    <w:rsid w:val="00650A79"/>
    <w:rsid w:val="006E681F"/>
    <w:rsid w:val="00703AFD"/>
    <w:rsid w:val="007C0A85"/>
    <w:rsid w:val="00842483"/>
    <w:rsid w:val="00931723"/>
    <w:rsid w:val="009412B3"/>
    <w:rsid w:val="009C6908"/>
    <w:rsid w:val="009E7B9B"/>
    <w:rsid w:val="00A76558"/>
    <w:rsid w:val="00AC6088"/>
    <w:rsid w:val="00B7243C"/>
    <w:rsid w:val="00B8754F"/>
    <w:rsid w:val="00BE3149"/>
    <w:rsid w:val="00CA31A0"/>
    <w:rsid w:val="00D04FC2"/>
    <w:rsid w:val="00D27694"/>
    <w:rsid w:val="00DD40BE"/>
    <w:rsid w:val="00E04ED8"/>
    <w:rsid w:val="00E873B3"/>
    <w:rsid w:val="00EB0E14"/>
    <w:rsid w:val="00F05701"/>
    <w:rsid w:val="00F3299C"/>
    <w:rsid w:val="00F4609D"/>
    <w:rsid w:val="00FF74E6"/>
    <w:rsid w:val="014D4625"/>
    <w:rsid w:val="0170542D"/>
    <w:rsid w:val="01DC112F"/>
    <w:rsid w:val="01F86678"/>
    <w:rsid w:val="022D15A4"/>
    <w:rsid w:val="02380D19"/>
    <w:rsid w:val="032047EC"/>
    <w:rsid w:val="03EF0F68"/>
    <w:rsid w:val="043F7FC4"/>
    <w:rsid w:val="051F6421"/>
    <w:rsid w:val="05470381"/>
    <w:rsid w:val="06C90101"/>
    <w:rsid w:val="08390248"/>
    <w:rsid w:val="084A3762"/>
    <w:rsid w:val="086E0240"/>
    <w:rsid w:val="087F5981"/>
    <w:rsid w:val="09107AD0"/>
    <w:rsid w:val="091240AB"/>
    <w:rsid w:val="094B2DCA"/>
    <w:rsid w:val="09E03F7D"/>
    <w:rsid w:val="09F33DD0"/>
    <w:rsid w:val="0A026C9D"/>
    <w:rsid w:val="0AD0034B"/>
    <w:rsid w:val="0AF64F0D"/>
    <w:rsid w:val="0D1F4CD0"/>
    <w:rsid w:val="0D9A128E"/>
    <w:rsid w:val="0F7812F7"/>
    <w:rsid w:val="0F7E6199"/>
    <w:rsid w:val="0FE74D1C"/>
    <w:rsid w:val="10063514"/>
    <w:rsid w:val="10452B67"/>
    <w:rsid w:val="10860B6D"/>
    <w:rsid w:val="1181632B"/>
    <w:rsid w:val="118B7249"/>
    <w:rsid w:val="11D07E07"/>
    <w:rsid w:val="121665CB"/>
    <w:rsid w:val="12EC03CE"/>
    <w:rsid w:val="13125246"/>
    <w:rsid w:val="13F45D5A"/>
    <w:rsid w:val="153867FF"/>
    <w:rsid w:val="155B6DDB"/>
    <w:rsid w:val="15BA7E68"/>
    <w:rsid w:val="15D17152"/>
    <w:rsid w:val="1653052A"/>
    <w:rsid w:val="167269F6"/>
    <w:rsid w:val="168339D9"/>
    <w:rsid w:val="17192D6B"/>
    <w:rsid w:val="171D6CDD"/>
    <w:rsid w:val="17461D47"/>
    <w:rsid w:val="176F1112"/>
    <w:rsid w:val="177873A9"/>
    <w:rsid w:val="17B91B1C"/>
    <w:rsid w:val="17D2330C"/>
    <w:rsid w:val="188A32B9"/>
    <w:rsid w:val="19CE3838"/>
    <w:rsid w:val="1A076244"/>
    <w:rsid w:val="1ABA4201"/>
    <w:rsid w:val="1C6D212E"/>
    <w:rsid w:val="1C7E5C21"/>
    <w:rsid w:val="1C8769FD"/>
    <w:rsid w:val="1CC61F19"/>
    <w:rsid w:val="1D1B615D"/>
    <w:rsid w:val="1D465475"/>
    <w:rsid w:val="1D5E7E5F"/>
    <w:rsid w:val="1D6A3BB0"/>
    <w:rsid w:val="1D6E6C2F"/>
    <w:rsid w:val="1DB05BC4"/>
    <w:rsid w:val="1E91399D"/>
    <w:rsid w:val="1F162724"/>
    <w:rsid w:val="1F3C25C1"/>
    <w:rsid w:val="201C7B31"/>
    <w:rsid w:val="208C7C94"/>
    <w:rsid w:val="20ED3C16"/>
    <w:rsid w:val="224700DF"/>
    <w:rsid w:val="226D1098"/>
    <w:rsid w:val="22946A87"/>
    <w:rsid w:val="22F6774D"/>
    <w:rsid w:val="231F022B"/>
    <w:rsid w:val="24973CB0"/>
    <w:rsid w:val="24EA2708"/>
    <w:rsid w:val="25836610"/>
    <w:rsid w:val="259A2034"/>
    <w:rsid w:val="25C5310A"/>
    <w:rsid w:val="262D145C"/>
    <w:rsid w:val="26353EFB"/>
    <w:rsid w:val="27012F51"/>
    <w:rsid w:val="27216271"/>
    <w:rsid w:val="28FA6455"/>
    <w:rsid w:val="29367CF7"/>
    <w:rsid w:val="29861651"/>
    <w:rsid w:val="29B55529"/>
    <w:rsid w:val="2A1E1287"/>
    <w:rsid w:val="2B050160"/>
    <w:rsid w:val="2B7A6F83"/>
    <w:rsid w:val="2BF15C4A"/>
    <w:rsid w:val="2BFD44C9"/>
    <w:rsid w:val="2C4C727A"/>
    <w:rsid w:val="2E1924DD"/>
    <w:rsid w:val="2E280D6C"/>
    <w:rsid w:val="2F7B1BB4"/>
    <w:rsid w:val="30355402"/>
    <w:rsid w:val="30EB3632"/>
    <w:rsid w:val="3122031C"/>
    <w:rsid w:val="323740AF"/>
    <w:rsid w:val="33413EC8"/>
    <w:rsid w:val="33554436"/>
    <w:rsid w:val="33922C06"/>
    <w:rsid w:val="34392FB8"/>
    <w:rsid w:val="34772ADD"/>
    <w:rsid w:val="351A4B95"/>
    <w:rsid w:val="355B2A13"/>
    <w:rsid w:val="35B21912"/>
    <w:rsid w:val="35F8117C"/>
    <w:rsid w:val="36D706BD"/>
    <w:rsid w:val="37584051"/>
    <w:rsid w:val="37757208"/>
    <w:rsid w:val="37E4758B"/>
    <w:rsid w:val="385413D3"/>
    <w:rsid w:val="385F7EDF"/>
    <w:rsid w:val="39ED1AAF"/>
    <w:rsid w:val="3A316D41"/>
    <w:rsid w:val="3A7A6F1E"/>
    <w:rsid w:val="3B194DD7"/>
    <w:rsid w:val="3B4D2A31"/>
    <w:rsid w:val="3B64677C"/>
    <w:rsid w:val="3C042224"/>
    <w:rsid w:val="3C3B37D6"/>
    <w:rsid w:val="3C3E61C6"/>
    <w:rsid w:val="3C49136C"/>
    <w:rsid w:val="3CFB0192"/>
    <w:rsid w:val="3E086240"/>
    <w:rsid w:val="3E41042A"/>
    <w:rsid w:val="3E642B43"/>
    <w:rsid w:val="3E682C63"/>
    <w:rsid w:val="3F1D6D60"/>
    <w:rsid w:val="3F654DFF"/>
    <w:rsid w:val="3F680126"/>
    <w:rsid w:val="3F95513E"/>
    <w:rsid w:val="4066556A"/>
    <w:rsid w:val="40A436F8"/>
    <w:rsid w:val="40FD5BC9"/>
    <w:rsid w:val="41217750"/>
    <w:rsid w:val="41BA58A9"/>
    <w:rsid w:val="41ED1EFE"/>
    <w:rsid w:val="42A16F0F"/>
    <w:rsid w:val="434118E3"/>
    <w:rsid w:val="4364349F"/>
    <w:rsid w:val="43AD217F"/>
    <w:rsid w:val="458B72B5"/>
    <w:rsid w:val="46D0725A"/>
    <w:rsid w:val="47911A42"/>
    <w:rsid w:val="47925F0D"/>
    <w:rsid w:val="4797223C"/>
    <w:rsid w:val="47C11F07"/>
    <w:rsid w:val="48AE2974"/>
    <w:rsid w:val="48D11615"/>
    <w:rsid w:val="4A2B74AF"/>
    <w:rsid w:val="4A45552A"/>
    <w:rsid w:val="4BD6102D"/>
    <w:rsid w:val="4C445EE1"/>
    <w:rsid w:val="4C9C6B0B"/>
    <w:rsid w:val="4CF72E0A"/>
    <w:rsid w:val="4D0D668F"/>
    <w:rsid w:val="4DD20634"/>
    <w:rsid w:val="4DFA74A7"/>
    <w:rsid w:val="4E007FCD"/>
    <w:rsid w:val="4E0A1174"/>
    <w:rsid w:val="4E3623E0"/>
    <w:rsid w:val="4F632809"/>
    <w:rsid w:val="4F9A7897"/>
    <w:rsid w:val="4F9F2966"/>
    <w:rsid w:val="507706BC"/>
    <w:rsid w:val="50D628CB"/>
    <w:rsid w:val="513C6119"/>
    <w:rsid w:val="51CE3145"/>
    <w:rsid w:val="51EB6DCF"/>
    <w:rsid w:val="51F43DFB"/>
    <w:rsid w:val="5214040A"/>
    <w:rsid w:val="5215308E"/>
    <w:rsid w:val="544F00CF"/>
    <w:rsid w:val="547C2EEE"/>
    <w:rsid w:val="54893142"/>
    <w:rsid w:val="54B20087"/>
    <w:rsid w:val="54B30803"/>
    <w:rsid w:val="54CF56D2"/>
    <w:rsid w:val="553E5FE2"/>
    <w:rsid w:val="557C0E2E"/>
    <w:rsid w:val="55AE418F"/>
    <w:rsid w:val="55D352BB"/>
    <w:rsid w:val="57AE5C45"/>
    <w:rsid w:val="5801790F"/>
    <w:rsid w:val="585D74AD"/>
    <w:rsid w:val="58A6161D"/>
    <w:rsid w:val="58D35C9F"/>
    <w:rsid w:val="5A717E39"/>
    <w:rsid w:val="5BFD7927"/>
    <w:rsid w:val="5D004137"/>
    <w:rsid w:val="5D191106"/>
    <w:rsid w:val="5D683466"/>
    <w:rsid w:val="5E07046A"/>
    <w:rsid w:val="5ECD0CBA"/>
    <w:rsid w:val="5EEE1974"/>
    <w:rsid w:val="60CA0DE4"/>
    <w:rsid w:val="616B6A69"/>
    <w:rsid w:val="618A50EB"/>
    <w:rsid w:val="61CD4084"/>
    <w:rsid w:val="61EE3878"/>
    <w:rsid w:val="622136D2"/>
    <w:rsid w:val="62227EFF"/>
    <w:rsid w:val="62821D6C"/>
    <w:rsid w:val="62F63414"/>
    <w:rsid w:val="6406501C"/>
    <w:rsid w:val="64826984"/>
    <w:rsid w:val="650F02D7"/>
    <w:rsid w:val="66123FF3"/>
    <w:rsid w:val="66947BB5"/>
    <w:rsid w:val="66950943"/>
    <w:rsid w:val="66F72652"/>
    <w:rsid w:val="673E235F"/>
    <w:rsid w:val="673F0D45"/>
    <w:rsid w:val="678705FA"/>
    <w:rsid w:val="68182AFD"/>
    <w:rsid w:val="692D12BE"/>
    <w:rsid w:val="6A516961"/>
    <w:rsid w:val="6ACC152B"/>
    <w:rsid w:val="6AD211AF"/>
    <w:rsid w:val="6B0242A5"/>
    <w:rsid w:val="6B23122A"/>
    <w:rsid w:val="6D521646"/>
    <w:rsid w:val="6D643BB1"/>
    <w:rsid w:val="6E08381B"/>
    <w:rsid w:val="6E1149F8"/>
    <w:rsid w:val="6EFF1686"/>
    <w:rsid w:val="6F52577A"/>
    <w:rsid w:val="6FB47993"/>
    <w:rsid w:val="704F29F9"/>
    <w:rsid w:val="720C7DC2"/>
    <w:rsid w:val="73830D52"/>
    <w:rsid w:val="73843B20"/>
    <w:rsid w:val="743D357C"/>
    <w:rsid w:val="745647DF"/>
    <w:rsid w:val="748266FC"/>
    <w:rsid w:val="74BB1228"/>
    <w:rsid w:val="750023EF"/>
    <w:rsid w:val="7513740C"/>
    <w:rsid w:val="75514582"/>
    <w:rsid w:val="759A4515"/>
    <w:rsid w:val="75A81617"/>
    <w:rsid w:val="76092670"/>
    <w:rsid w:val="76680F03"/>
    <w:rsid w:val="767D593D"/>
    <w:rsid w:val="768F6E40"/>
    <w:rsid w:val="769E59C5"/>
    <w:rsid w:val="76CF1DF7"/>
    <w:rsid w:val="770171A7"/>
    <w:rsid w:val="770A7D21"/>
    <w:rsid w:val="777C5946"/>
    <w:rsid w:val="78867147"/>
    <w:rsid w:val="78B73442"/>
    <w:rsid w:val="78CA0045"/>
    <w:rsid w:val="78D775D8"/>
    <w:rsid w:val="78DC3E7D"/>
    <w:rsid w:val="78E41C51"/>
    <w:rsid w:val="7929784F"/>
    <w:rsid w:val="795F3624"/>
    <w:rsid w:val="79BA2398"/>
    <w:rsid w:val="7B1B3E90"/>
    <w:rsid w:val="7B376CA9"/>
    <w:rsid w:val="7BEB0099"/>
    <w:rsid w:val="7C710949"/>
    <w:rsid w:val="7E4E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ind w:left="0" w:firstLine="0"/>
      <w:jc w:val="center"/>
      <w:outlineLvl w:val="0"/>
    </w:pPr>
    <w:rPr>
      <w:rFonts w:ascii="Calibri" w:hAnsi="Calibri"/>
      <w:b/>
      <w:kern w:val="44"/>
      <w:sz w:val="44"/>
      <w:szCs w:val="20"/>
    </w:rPr>
  </w:style>
  <w:style w:type="paragraph" w:styleId="4">
    <w:name w:val="heading 2"/>
    <w:basedOn w:val="1"/>
    <w:next w:val="1"/>
    <w:autoRedefine/>
    <w:qFormat/>
    <w:uiPriority w:val="99"/>
    <w:pPr>
      <w:keepNext/>
      <w:keepLines/>
      <w:snapToGrid w:val="0"/>
      <w:spacing w:beforeLines="50" w:line="300" w:lineRule="auto"/>
      <w:ind w:firstLine="200" w:firstLineChars="200"/>
      <w:outlineLvl w:val="1"/>
    </w:pPr>
    <w:rPr>
      <w:rFonts w:ascii="Arial" w:hAnsi="Arial"/>
      <w:b/>
      <w:bCs/>
      <w:szCs w:val="32"/>
    </w:rPr>
  </w:style>
  <w:style w:type="paragraph" w:styleId="5">
    <w:name w:val="heading 3"/>
    <w:basedOn w:val="1"/>
    <w:next w:val="1"/>
    <w:autoRedefine/>
    <w:qFormat/>
    <w:uiPriority w:val="99"/>
    <w:pPr>
      <w:widowControl/>
      <w:autoSpaceDE w:val="0"/>
      <w:autoSpaceDN w:val="0"/>
      <w:snapToGrid w:val="0"/>
      <w:spacing w:line="300" w:lineRule="auto"/>
      <w:ind w:firstLine="200" w:firstLineChars="200"/>
      <w:outlineLvl w:val="2"/>
    </w:pPr>
    <w:rPr>
      <w:rFonts w:ascii="Arial" w:hAnsi="Arial"/>
      <w:b/>
      <w:szCs w:val="20"/>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6">
    <w:name w:val="Normal Indent"/>
    <w:basedOn w:val="1"/>
    <w:next w:val="7"/>
    <w:autoRedefine/>
    <w:qFormat/>
    <w:uiPriority w:val="0"/>
    <w:pPr>
      <w:ind w:firstLine="420"/>
    </w:pPr>
    <w:rPr>
      <w:szCs w:val="20"/>
    </w:rPr>
  </w:style>
  <w:style w:type="paragraph" w:styleId="7">
    <w:name w:val="toc 2"/>
    <w:basedOn w:val="1"/>
    <w:next w:val="1"/>
    <w:autoRedefine/>
    <w:qFormat/>
    <w:uiPriority w:val="0"/>
    <w:pPr>
      <w:tabs>
        <w:tab w:val="right" w:leader="dot" w:pos="10070"/>
      </w:tabs>
      <w:spacing w:line="480" w:lineRule="auto"/>
      <w:ind w:left="200" w:leftChars="200"/>
    </w:pPr>
  </w:style>
  <w:style w:type="paragraph" w:styleId="8">
    <w:name w:val="annotation text"/>
    <w:basedOn w:val="1"/>
    <w:link w:val="62"/>
    <w:autoRedefine/>
    <w:qFormat/>
    <w:uiPriority w:val="0"/>
    <w:pPr>
      <w:jc w:val="left"/>
    </w:pPr>
  </w:style>
  <w:style w:type="paragraph" w:styleId="9">
    <w:name w:val="Body Text"/>
    <w:basedOn w:val="1"/>
    <w:next w:val="10"/>
    <w:link w:val="33"/>
    <w:autoRedefine/>
    <w:semiHidden/>
    <w:unhideWhenUsed/>
    <w:qFormat/>
    <w:uiPriority w:val="99"/>
    <w:pPr>
      <w:spacing w:after="120"/>
    </w:pPr>
  </w:style>
  <w:style w:type="paragraph" w:styleId="10">
    <w:name w:val="Body Text First Indent"/>
    <w:basedOn w:val="9"/>
    <w:next w:val="1"/>
    <w:autoRedefine/>
    <w:qFormat/>
    <w:uiPriority w:val="0"/>
    <w:pPr>
      <w:ind w:firstLine="420" w:firstLineChars="100"/>
    </w:pPr>
  </w:style>
  <w:style w:type="paragraph" w:styleId="11">
    <w:name w:val="Body Text Indent"/>
    <w:basedOn w:val="1"/>
    <w:next w:val="1"/>
    <w:link w:val="34"/>
    <w:autoRedefine/>
    <w:qFormat/>
    <w:uiPriority w:val="99"/>
    <w:pPr>
      <w:spacing w:after="120"/>
      <w:ind w:left="420" w:leftChars="200"/>
    </w:pPr>
  </w:style>
  <w:style w:type="paragraph" w:styleId="12">
    <w:name w:val="Block Text"/>
    <w:basedOn w:val="1"/>
    <w:autoRedefine/>
    <w:qFormat/>
    <w:uiPriority w:val="0"/>
    <w:pPr>
      <w:adjustRightInd w:val="0"/>
      <w:snapToGrid w:val="0"/>
      <w:spacing w:line="360" w:lineRule="auto"/>
      <w:ind w:right="-315" w:rightChars="-150"/>
    </w:pPr>
    <w:rPr>
      <w:rFonts w:ascii="宋体" w:hAnsi="宋体"/>
      <w:color w:val="0070C0"/>
      <w:kern w:val="0"/>
      <w:szCs w:val="21"/>
    </w:rPr>
  </w:style>
  <w:style w:type="paragraph" w:styleId="13">
    <w:name w:val="Plain Text"/>
    <w:basedOn w:val="1"/>
    <w:next w:val="14"/>
    <w:autoRedefine/>
    <w:qFormat/>
    <w:uiPriority w:val="0"/>
    <w:rPr>
      <w:rFonts w:ascii="宋体" w:hAnsi="Courier New" w:cstheme="minorBidi"/>
    </w:rPr>
  </w:style>
  <w:style w:type="paragraph" w:styleId="14">
    <w:name w:val="Date"/>
    <w:basedOn w:val="1"/>
    <w:next w:val="1"/>
    <w:autoRedefine/>
    <w:qFormat/>
    <w:uiPriority w:val="99"/>
    <w:pPr>
      <w:ind w:left="2500" w:leftChars="2500"/>
    </w:pPr>
    <w:rPr>
      <w:rFonts w:ascii="Calibri" w:hAnsi="Calibri" w:eastAsia="楷体_GB2312"/>
      <w:sz w:val="32"/>
      <w:szCs w:val="22"/>
    </w:rPr>
  </w:style>
  <w:style w:type="paragraph" w:styleId="15">
    <w:name w:val="Balloon Text"/>
    <w:basedOn w:val="1"/>
    <w:link w:val="35"/>
    <w:autoRedefine/>
    <w:semiHidden/>
    <w:unhideWhenUsed/>
    <w:qFormat/>
    <w:uiPriority w:val="99"/>
    <w:rPr>
      <w:sz w:val="18"/>
      <w:szCs w:val="18"/>
    </w:rPr>
  </w:style>
  <w:style w:type="paragraph" w:styleId="16">
    <w:name w:val="footer"/>
    <w:basedOn w:val="1"/>
    <w:link w:val="3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3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paragraph" w:styleId="21">
    <w:name w:val="annotation subject"/>
    <w:basedOn w:val="8"/>
    <w:next w:val="8"/>
    <w:link w:val="63"/>
    <w:autoRedefine/>
    <w:semiHidden/>
    <w:unhideWhenUsed/>
    <w:qFormat/>
    <w:uiPriority w:val="99"/>
    <w:rPr>
      <w:b/>
      <w:bCs/>
    </w:rPr>
  </w:style>
  <w:style w:type="paragraph" w:styleId="22">
    <w:name w:val="Body Text First Indent 2"/>
    <w:basedOn w:val="11"/>
    <w:next w:val="1"/>
    <w:autoRedefine/>
    <w:qFormat/>
    <w:uiPriority w:val="99"/>
    <w:pPr>
      <w:ind w:firstLine="42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rFonts w:ascii="Tahoma" w:hAnsi="Tahoma" w:cs="Tahoma"/>
      <w:b/>
      <w:sz w:val="24"/>
    </w:rPr>
  </w:style>
  <w:style w:type="character" w:styleId="27">
    <w:name w:val="page number"/>
    <w:basedOn w:val="25"/>
    <w:autoRedefine/>
    <w:qFormat/>
    <w:uiPriority w:val="0"/>
  </w:style>
  <w:style w:type="character" w:styleId="28">
    <w:name w:val="Hyperlink"/>
    <w:autoRedefine/>
    <w:unhideWhenUsed/>
    <w:qFormat/>
    <w:uiPriority w:val="0"/>
    <w:rPr>
      <w:color w:val="0000FF"/>
      <w:u w:val="single"/>
    </w:rPr>
  </w:style>
  <w:style w:type="character" w:styleId="29">
    <w:name w:val="annotation reference"/>
    <w:basedOn w:val="25"/>
    <w:autoRedefine/>
    <w:semiHidden/>
    <w:unhideWhenUsed/>
    <w:qFormat/>
    <w:uiPriority w:val="99"/>
    <w:rPr>
      <w:sz w:val="21"/>
      <w:szCs w:val="21"/>
    </w:rPr>
  </w:style>
  <w:style w:type="paragraph" w:customStyle="1" w:styleId="30">
    <w:name w:val="Normal Indent1"/>
    <w:basedOn w:val="1"/>
    <w:autoRedefine/>
    <w:qFormat/>
    <w:uiPriority w:val="0"/>
    <w:pPr>
      <w:ind w:firstLine="420" w:firstLineChars="200"/>
    </w:pPr>
  </w:style>
  <w:style w:type="character" w:customStyle="1" w:styleId="31">
    <w:name w:val="页眉 Char"/>
    <w:basedOn w:val="25"/>
    <w:link w:val="17"/>
    <w:autoRedefine/>
    <w:qFormat/>
    <w:uiPriority w:val="99"/>
    <w:rPr>
      <w:sz w:val="18"/>
      <w:szCs w:val="18"/>
    </w:rPr>
  </w:style>
  <w:style w:type="character" w:customStyle="1" w:styleId="32">
    <w:name w:val="页脚 Char"/>
    <w:basedOn w:val="25"/>
    <w:link w:val="16"/>
    <w:autoRedefine/>
    <w:qFormat/>
    <w:uiPriority w:val="99"/>
    <w:rPr>
      <w:sz w:val="18"/>
      <w:szCs w:val="18"/>
    </w:rPr>
  </w:style>
  <w:style w:type="character" w:customStyle="1" w:styleId="33">
    <w:name w:val="正文文本 Char"/>
    <w:basedOn w:val="25"/>
    <w:link w:val="9"/>
    <w:autoRedefine/>
    <w:semiHidden/>
    <w:qFormat/>
    <w:uiPriority w:val="99"/>
    <w:rPr>
      <w:rFonts w:ascii="Times New Roman" w:hAnsi="Times New Roman" w:eastAsia="宋体" w:cs="Times New Roman"/>
      <w:szCs w:val="24"/>
    </w:rPr>
  </w:style>
  <w:style w:type="character" w:customStyle="1" w:styleId="34">
    <w:name w:val="正文文本缩进 Char"/>
    <w:basedOn w:val="25"/>
    <w:link w:val="11"/>
    <w:autoRedefine/>
    <w:qFormat/>
    <w:uiPriority w:val="99"/>
    <w:rPr>
      <w:rFonts w:ascii="Times New Roman" w:hAnsi="Times New Roman" w:eastAsia="宋体" w:cs="Times New Roman"/>
      <w:szCs w:val="24"/>
    </w:rPr>
  </w:style>
  <w:style w:type="character" w:customStyle="1" w:styleId="35">
    <w:name w:val="批注框文本 Char"/>
    <w:basedOn w:val="25"/>
    <w:link w:val="15"/>
    <w:autoRedefine/>
    <w:semiHidden/>
    <w:qFormat/>
    <w:uiPriority w:val="99"/>
    <w:rPr>
      <w:rFonts w:ascii="Times New Roman" w:hAnsi="Times New Roman" w:eastAsia="宋体" w:cs="Times New Roman"/>
      <w:sz w:val="18"/>
      <w:szCs w:val="18"/>
    </w:rPr>
  </w:style>
  <w:style w:type="character" w:customStyle="1" w:styleId="36">
    <w:name w:val="无"/>
    <w:autoRedefine/>
    <w:qFormat/>
    <w:uiPriority w:val="99"/>
  </w:style>
  <w:style w:type="paragraph" w:customStyle="1" w:styleId="37">
    <w:name w:val="表格文字"/>
    <w:basedOn w:val="1"/>
    <w:next w:val="9"/>
    <w:autoRedefine/>
    <w:qFormat/>
    <w:uiPriority w:val="99"/>
    <w:pPr>
      <w:adjustRightInd w:val="0"/>
      <w:spacing w:line="420" w:lineRule="atLeast"/>
      <w:jc w:val="left"/>
      <w:textAlignment w:val="baseline"/>
    </w:pPr>
    <w:rPr>
      <w:kern w:val="0"/>
    </w:rPr>
  </w:style>
  <w:style w:type="paragraph" w:customStyle="1" w:styleId="38">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99"/>
    <w:rPr>
      <w:rFonts w:ascii="Times New Roman" w:hAnsi="Times New Roman" w:eastAsia="宋体" w:cs="Times New Roman"/>
      <w:sz w:val="21"/>
      <w:szCs w:val="22"/>
      <w:lang w:val="en-US" w:eastAsia="zh-CN" w:bidi="ar-SA"/>
    </w:rPr>
  </w:style>
  <w:style w:type="paragraph" w:customStyle="1" w:styleId="43">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99"/>
    <w:pPr>
      <w:widowControl/>
      <w:jc w:val="left"/>
    </w:pPr>
    <w:rPr>
      <w:rFonts w:ascii="宋体" w:hAnsi="Courier New"/>
      <w:szCs w:val="21"/>
    </w:rPr>
  </w:style>
  <w:style w:type="paragraph" w:customStyle="1" w:styleId="47">
    <w:name w:val="纯文本_0_1"/>
    <w:basedOn w:val="1"/>
    <w:autoRedefine/>
    <w:qFormat/>
    <w:uiPriority w:val="99"/>
    <w:pPr>
      <w:widowControl/>
      <w:jc w:val="left"/>
    </w:pPr>
    <w:rPr>
      <w:rFonts w:ascii="宋体" w:hAnsi="Courier New"/>
      <w:szCs w:val="21"/>
    </w:rPr>
  </w:style>
  <w:style w:type="paragraph" w:customStyle="1" w:styleId="48">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3">
    <w:name w:val="p0"/>
    <w:basedOn w:val="1"/>
    <w:autoRedefine/>
    <w:qFormat/>
    <w:uiPriority w:val="0"/>
    <w:pPr>
      <w:widowControl/>
    </w:pPr>
    <w:rPr>
      <w:rFonts w:ascii="Calibri" w:hAnsi="Calibri" w:cs="宋体"/>
      <w:kern w:val="0"/>
      <w:szCs w:val="21"/>
    </w:rPr>
  </w:style>
  <w:style w:type="paragraph" w:styleId="54">
    <w:name w:val="List Paragraph"/>
    <w:basedOn w:val="1"/>
    <w:autoRedefine/>
    <w:qFormat/>
    <w:uiPriority w:val="0"/>
    <w:pPr>
      <w:ind w:firstLine="420" w:firstLineChars="200"/>
    </w:pPr>
  </w:style>
  <w:style w:type="paragraph" w:customStyle="1" w:styleId="55">
    <w:name w:val="正文（首行缩进2字符）"/>
    <w:basedOn w:val="1"/>
    <w:autoRedefine/>
    <w:qFormat/>
    <w:uiPriority w:val="0"/>
    <w:pPr>
      <w:ind w:firstLine="480" w:firstLineChars="200"/>
    </w:pPr>
    <w:rPr>
      <w:sz w:val="24"/>
      <w:szCs w:val="20"/>
    </w:rPr>
  </w:style>
  <w:style w:type="paragraph" w:customStyle="1" w:styleId="56">
    <w:name w:val="ssfa 正文"/>
    <w:basedOn w:val="1"/>
    <w:autoRedefine/>
    <w:qFormat/>
    <w:uiPriority w:val="0"/>
    <w:pPr>
      <w:spacing w:line="360" w:lineRule="auto"/>
      <w:ind w:firstLine="200" w:firstLineChars="200"/>
    </w:pPr>
    <w:rPr>
      <w:kern w:val="0"/>
      <w:sz w:val="24"/>
      <w:szCs w:val="28"/>
      <w:lang w:val="zh-CN"/>
    </w:rPr>
  </w:style>
  <w:style w:type="character" w:customStyle="1" w:styleId="57">
    <w:name w:val="NormalCharacter"/>
    <w:autoRedefine/>
    <w:semiHidden/>
    <w:qFormat/>
    <w:uiPriority w:val="0"/>
  </w:style>
  <w:style w:type="paragraph" w:customStyle="1" w:styleId="58">
    <w:name w:val="Body Text First Indent Char Char"/>
    <w:basedOn w:val="1"/>
    <w:autoRedefine/>
    <w:qFormat/>
    <w:uiPriority w:val="0"/>
    <w:pPr>
      <w:spacing w:after="120"/>
      <w:ind w:firstLine="100" w:firstLineChars="100"/>
    </w:pPr>
    <w:rPr>
      <w:rFonts w:cs="宋体"/>
      <w:szCs w:val="21"/>
    </w:rPr>
  </w:style>
  <w:style w:type="paragraph" w:customStyle="1" w:styleId="59">
    <w:name w:val="列出段落1"/>
    <w:basedOn w:val="1"/>
    <w:autoRedefine/>
    <w:qFormat/>
    <w:uiPriority w:val="34"/>
    <w:pPr>
      <w:ind w:firstLine="420" w:firstLineChars="200"/>
    </w:pPr>
  </w:style>
  <w:style w:type="paragraph" w:customStyle="1" w:styleId="60">
    <w:name w:val="表格内容"/>
    <w:basedOn w:val="1"/>
    <w:next w:val="1"/>
    <w:autoRedefine/>
    <w:qFormat/>
    <w:uiPriority w:val="0"/>
    <w:pPr>
      <w:adjustRightInd w:val="0"/>
      <w:snapToGrid w:val="0"/>
      <w:jc w:val="center"/>
      <w:textAlignment w:val="baseline"/>
    </w:pPr>
    <w:rPr>
      <w:rFonts w:ascii="Calibri" w:hAnsi="Calibri" w:cs="黑体"/>
      <w:color w:val="000000"/>
      <w:szCs w:val="22"/>
    </w:rPr>
  </w:style>
  <w:style w:type="paragraph" w:customStyle="1" w:styleId="61">
    <w:name w:val="Table Paragraph"/>
    <w:basedOn w:val="1"/>
    <w:autoRedefine/>
    <w:qFormat/>
    <w:uiPriority w:val="1"/>
    <w:pPr>
      <w:jc w:val="left"/>
    </w:pPr>
    <w:rPr>
      <w:kern w:val="0"/>
      <w:sz w:val="22"/>
      <w:lang w:eastAsia="en-US"/>
    </w:rPr>
  </w:style>
  <w:style w:type="character" w:customStyle="1" w:styleId="62">
    <w:name w:val="批注文字 Char"/>
    <w:basedOn w:val="25"/>
    <w:link w:val="8"/>
    <w:autoRedefine/>
    <w:qFormat/>
    <w:uiPriority w:val="0"/>
    <w:rPr>
      <w:kern w:val="2"/>
      <w:sz w:val="21"/>
      <w:szCs w:val="24"/>
    </w:rPr>
  </w:style>
  <w:style w:type="character" w:customStyle="1" w:styleId="63">
    <w:name w:val="批注主题 Char"/>
    <w:basedOn w:val="62"/>
    <w:link w:val="21"/>
    <w:autoRedefine/>
    <w:semiHidden/>
    <w:qFormat/>
    <w:uiPriority w:val="99"/>
    <w:rPr>
      <w:b/>
      <w:bCs/>
      <w:kern w:val="2"/>
      <w:sz w:val="21"/>
      <w:szCs w:val="24"/>
    </w:rPr>
  </w:style>
  <w:style w:type="paragraph" w:customStyle="1" w:styleId="64">
    <w:name w:val="正文首行缩进1"/>
    <w:basedOn w:val="9"/>
    <w:autoRedefine/>
    <w:qFormat/>
    <w:uiPriority w:val="0"/>
    <w:pPr>
      <w:ind w:firstLine="420" w:firstLineChars="100"/>
    </w:pPr>
  </w:style>
  <w:style w:type="paragraph" w:customStyle="1" w:styleId="65">
    <w:name w:val="纯文本1"/>
    <w:basedOn w:val="52"/>
    <w:autoRedefine/>
    <w:qFormat/>
    <w:uiPriority w:val="0"/>
    <w:pPr>
      <w:widowControl/>
      <w:jc w:val="left"/>
    </w:pPr>
    <w:rPr>
      <w:rFonts w:hAnsi="Courier New"/>
    </w:rPr>
  </w:style>
  <w:style w:type="paragraph" w:customStyle="1" w:styleId="66">
    <w:name w:val="正文2"/>
    <w:basedOn w:val="1"/>
    <w:autoRedefine/>
    <w:qFormat/>
    <w:uiPriority w:val="0"/>
    <w:pPr>
      <w:spacing w:before="156" w:line="360" w:lineRule="auto"/>
      <w:ind w:firstLine="510" w:firstLineChars="200"/>
    </w:pPr>
    <w:rPr>
      <w:sz w:val="24"/>
      <w:szCs w:val="20"/>
    </w:rPr>
  </w:style>
  <w:style w:type="paragraph" w:customStyle="1" w:styleId="67">
    <w:name w:val="_Style 15"/>
    <w:basedOn w:val="1"/>
    <w:next w:val="54"/>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1"/>
    <customShpInfo spid="_x0000_s2050"/>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17992</Words>
  <Characters>19510</Characters>
  <Lines>346</Lines>
  <Paragraphs>97</Paragraphs>
  <TotalTime>129</TotalTime>
  <ScaleCrop>false</ScaleCrop>
  <LinksUpToDate>false</LinksUpToDate>
  <CharactersWithSpaces>19603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cp:lastPrinted>2020-11-27T08:28:00Z</cp:lastPrinted>
  <dcterms:modified xsi:type="dcterms:W3CDTF">2025-03-03T03:14:36Z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55E178D15D2D4DF18B0988F9AA8744E4</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