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2D9C4">
      <w:pPr>
        <w:adjustRightInd/>
        <w:spacing w:line="360" w:lineRule="auto"/>
        <w:ind w:firstLine="941"/>
        <w:jc w:val="center"/>
        <w:rPr>
          <w:rFonts w:hint="eastAsia" w:ascii="宋体" w:hAnsi="宋体" w:eastAsia="宋体" w:cs="宋体"/>
          <w:sz w:val="48"/>
          <w:szCs w:val="48"/>
          <w:lang w:val="en-US" w:eastAsia="zh-CN"/>
        </w:rPr>
      </w:pPr>
      <w:r>
        <w:rPr>
          <w:rFonts w:hint="eastAsia" w:ascii="宋体" w:hAnsi="宋体" w:cs="宋体"/>
          <w:sz w:val="48"/>
          <w:szCs w:val="48"/>
          <w:lang w:val="en-US" w:eastAsia="zh-CN"/>
        </w:rPr>
        <w:t xml:space="preserve"> </w:t>
      </w:r>
    </w:p>
    <w:p w14:paraId="489F57ED">
      <w:pPr>
        <w:adjustRightInd/>
        <w:spacing w:line="360" w:lineRule="auto"/>
        <w:ind w:firstLine="941"/>
        <w:jc w:val="center"/>
        <w:rPr>
          <w:rFonts w:ascii="宋体" w:hAnsi="宋体" w:cs="宋体"/>
          <w:sz w:val="48"/>
          <w:szCs w:val="48"/>
        </w:rPr>
      </w:pPr>
    </w:p>
    <w:p w14:paraId="4BE90235">
      <w:pPr>
        <w:spacing w:before="120" w:beforeLines="50"/>
        <w:ind w:firstLine="2168" w:firstLineChars="300"/>
        <w:jc w:val="both"/>
        <w:rPr>
          <w:rFonts w:hint="eastAsia"/>
          <w:b/>
          <w:sz w:val="72"/>
          <w:szCs w:val="72"/>
        </w:rPr>
      </w:pPr>
    </w:p>
    <w:p w14:paraId="20818609">
      <w:pPr>
        <w:spacing w:before="120" w:beforeLines="50"/>
        <w:ind w:firstLine="2168" w:firstLineChars="300"/>
        <w:jc w:val="both"/>
        <w:rPr>
          <w:rFonts w:ascii="宋体" w:hAnsi="宋体"/>
          <w:b/>
          <w:sz w:val="52"/>
          <w:szCs w:val="52"/>
        </w:rPr>
      </w:pPr>
      <w:r>
        <w:rPr>
          <w:rFonts w:hint="eastAsia"/>
          <w:b/>
          <w:sz w:val="72"/>
          <w:szCs w:val="72"/>
        </w:rPr>
        <w:t>竞争性磋商文件</w:t>
      </w:r>
    </w:p>
    <w:p w14:paraId="38191264">
      <w:pPr>
        <w:snapToGrid w:val="0"/>
        <w:spacing w:line="360" w:lineRule="auto"/>
        <w:ind w:firstLine="627"/>
        <w:jc w:val="center"/>
        <w:rPr>
          <w:rFonts w:cs="仿宋_GB2312" w:asciiTheme="minorEastAsia" w:hAnsiTheme="minorEastAsia" w:eastAsiaTheme="minorEastAsia"/>
          <w:sz w:val="32"/>
          <w:szCs w:val="32"/>
        </w:rPr>
      </w:pPr>
    </w:p>
    <w:p w14:paraId="56AB0DAC">
      <w:pPr>
        <w:snapToGrid w:val="0"/>
        <w:spacing w:line="360" w:lineRule="auto"/>
        <w:ind w:firstLine="627"/>
        <w:jc w:val="center"/>
        <w:rPr>
          <w:rFonts w:cs="仿宋_GB2312" w:asciiTheme="minorEastAsia" w:hAnsiTheme="minorEastAsia" w:eastAsiaTheme="minorEastAsia"/>
          <w:sz w:val="32"/>
          <w:szCs w:val="32"/>
        </w:rPr>
      </w:pPr>
    </w:p>
    <w:p w14:paraId="6CA36283">
      <w:pPr>
        <w:snapToGrid w:val="0"/>
        <w:spacing w:line="360" w:lineRule="auto"/>
        <w:jc w:val="both"/>
        <w:rPr>
          <w:rFonts w:cs="仿宋_GB2312" w:asciiTheme="minorEastAsia" w:hAnsiTheme="minorEastAsia" w:eastAsiaTheme="minorEastAsia"/>
          <w:sz w:val="32"/>
          <w:szCs w:val="32"/>
        </w:rPr>
      </w:pPr>
    </w:p>
    <w:p w14:paraId="0FE85F33">
      <w:pPr>
        <w:snapToGrid w:val="0"/>
        <w:spacing w:line="360" w:lineRule="auto"/>
        <w:jc w:val="both"/>
        <w:rPr>
          <w:rFonts w:cs="仿宋_GB2312" w:asciiTheme="minorEastAsia" w:hAnsiTheme="minorEastAsia" w:eastAsiaTheme="minorEastAsia"/>
          <w:sz w:val="32"/>
          <w:szCs w:val="32"/>
        </w:rPr>
      </w:pPr>
    </w:p>
    <w:p w14:paraId="712DF879">
      <w:pPr>
        <w:pStyle w:val="23"/>
        <w:rPr>
          <w:rFonts w:cs="仿宋_GB2312" w:asciiTheme="minorEastAsia" w:hAnsiTheme="minorEastAsia" w:eastAsiaTheme="minorEastAsia"/>
          <w:sz w:val="32"/>
          <w:szCs w:val="32"/>
        </w:rPr>
      </w:pPr>
    </w:p>
    <w:p w14:paraId="5824B048">
      <w:pPr>
        <w:rPr>
          <w:rFonts w:cs="仿宋_GB2312" w:asciiTheme="minorEastAsia" w:hAnsiTheme="minorEastAsia" w:eastAsiaTheme="minorEastAsia"/>
          <w:sz w:val="32"/>
          <w:szCs w:val="32"/>
        </w:rPr>
      </w:pPr>
    </w:p>
    <w:p w14:paraId="5437A0B4">
      <w:pPr>
        <w:pStyle w:val="23"/>
      </w:pPr>
    </w:p>
    <w:p w14:paraId="163F4178">
      <w:pPr>
        <w:snapToGrid w:val="0"/>
        <w:spacing w:line="480" w:lineRule="auto"/>
        <w:ind w:firstLine="321" w:firstLineChars="100"/>
        <w:rPr>
          <w:rFonts w:hint="default" w:cs="仿宋_GB2312" w:asciiTheme="minorEastAsia" w:hAnsiTheme="minorEastAsia" w:eastAsiaTheme="minorEastAsia"/>
          <w:b/>
          <w:bCs/>
          <w:sz w:val="32"/>
          <w:szCs w:val="32"/>
          <w:lang w:val="en-US" w:eastAsia="zh-CN"/>
        </w:rPr>
      </w:pPr>
      <w:r>
        <w:rPr>
          <w:rFonts w:hint="eastAsia" w:cs="仿宋_GB2312" w:asciiTheme="minorEastAsia" w:hAnsiTheme="minorEastAsia" w:eastAsiaTheme="minorEastAsia"/>
          <w:b/>
          <w:bCs/>
          <w:sz w:val="32"/>
          <w:szCs w:val="32"/>
        </w:rPr>
        <w:t>采购编号：JJNHCG-</w:t>
      </w:r>
      <w:r>
        <w:rPr>
          <w:rFonts w:hint="eastAsia" w:cs="仿宋_GB2312" w:asciiTheme="minorEastAsia" w:hAnsiTheme="minorEastAsia" w:eastAsiaTheme="minorEastAsia"/>
          <w:b/>
          <w:bCs/>
          <w:sz w:val="32"/>
          <w:szCs w:val="32"/>
          <w:lang w:val="en-US" w:eastAsia="zh-CN"/>
        </w:rPr>
        <w:t>2025</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bCs/>
          <w:sz w:val="32"/>
          <w:szCs w:val="32"/>
          <w:lang w:val="en-US" w:eastAsia="zh-CN"/>
        </w:rPr>
        <w:t>001</w:t>
      </w:r>
    </w:p>
    <w:p w14:paraId="3A866A8C">
      <w:pPr>
        <w:adjustRightInd/>
        <w:spacing w:line="360" w:lineRule="auto"/>
        <w:ind w:firstLine="321" w:firstLineChars="100"/>
        <w:jc w:val="both"/>
        <w:rPr>
          <w:rFonts w:ascii="宋体" w:hAnsi="宋体" w:cs="宋体"/>
          <w:sz w:val="48"/>
          <w:szCs w:val="48"/>
        </w:rPr>
      </w:pPr>
      <w:r>
        <w:rPr>
          <w:rFonts w:cs="仿宋_GB2312" w:asciiTheme="minorEastAsia" w:hAnsiTheme="minorEastAsia" w:eastAsiaTheme="minorEastAsia"/>
          <w:b/>
          <w:bCs/>
          <w:sz w:val="32"/>
          <w:szCs w:val="32"/>
        </w:rPr>
        <w:t>采购名称</w:t>
      </w:r>
      <w:r>
        <w:rPr>
          <w:rFonts w:hint="eastAsia" w:cs="仿宋_GB2312" w:asciiTheme="minorEastAsia" w:hAnsiTheme="minorEastAsia" w:eastAsiaTheme="minorEastAsia"/>
          <w:b/>
          <w:bCs/>
          <w:sz w:val="32"/>
          <w:szCs w:val="32"/>
        </w:rPr>
        <w:t>:西店镇中心小学新建连廊、外立面提升等维修工程</w:t>
      </w:r>
    </w:p>
    <w:p w14:paraId="17C1F6B2">
      <w:pPr>
        <w:pStyle w:val="32"/>
        <w:snapToGrid w:val="0"/>
        <w:spacing w:line="360" w:lineRule="auto"/>
        <w:rPr>
          <w:rFonts w:hAnsi="宋体"/>
          <w:b/>
          <w:bCs/>
          <w:w w:val="95"/>
          <w:sz w:val="30"/>
          <w:szCs w:val="30"/>
        </w:rPr>
      </w:pPr>
    </w:p>
    <w:p w14:paraId="361234C1">
      <w:pPr>
        <w:pStyle w:val="32"/>
        <w:snapToGrid w:val="0"/>
        <w:spacing w:line="480" w:lineRule="auto"/>
        <w:ind w:firstLine="321" w:firstLineChars="100"/>
        <w:outlineLvl w:val="0"/>
        <w:rPr>
          <w:rFonts w:ascii="Times New Roman" w:hAnsi="Times New Roman" w:cs="Times New Roman"/>
          <w:b/>
          <w:bCs/>
          <w:snapToGrid/>
          <w:kern w:val="44"/>
          <w:sz w:val="32"/>
          <w:szCs w:val="32"/>
        </w:rPr>
      </w:pPr>
      <w:bookmarkStart w:id="0" w:name="_Toc7323"/>
      <w:r>
        <w:rPr>
          <w:rFonts w:hint="eastAsia" w:ascii="Times New Roman" w:hAnsi="Times New Roman" w:cs="Times New Roman"/>
          <w:b/>
          <w:bCs/>
          <w:snapToGrid/>
          <w:kern w:val="44"/>
          <w:sz w:val="32"/>
          <w:szCs w:val="32"/>
        </w:rPr>
        <w:t>采购单位：</w:t>
      </w:r>
      <w:bookmarkEnd w:id="0"/>
      <w:r>
        <w:rPr>
          <w:rFonts w:hint="eastAsia" w:ascii="Times New Roman" w:hAnsi="Times New Roman" w:cs="Times New Roman"/>
          <w:b/>
          <w:bCs/>
          <w:snapToGrid/>
          <w:kern w:val="44"/>
          <w:sz w:val="32"/>
          <w:szCs w:val="32"/>
        </w:rPr>
        <w:t>宁海县西店镇中心小学</w:t>
      </w:r>
    </w:p>
    <w:p w14:paraId="5C0DA72B">
      <w:pPr>
        <w:pStyle w:val="32"/>
        <w:snapToGrid w:val="0"/>
        <w:spacing w:line="480" w:lineRule="auto"/>
        <w:ind w:firstLine="321" w:firstLineChars="100"/>
        <w:outlineLvl w:val="0"/>
        <w:rPr>
          <w:rFonts w:hAnsi="宋体"/>
          <w:b/>
          <w:bCs/>
          <w:w w:val="95"/>
          <w:sz w:val="32"/>
          <w:szCs w:val="32"/>
        </w:rPr>
      </w:pPr>
      <w:bookmarkStart w:id="1" w:name="_Toc18545"/>
      <w:r>
        <w:rPr>
          <w:rFonts w:hint="eastAsia" w:ascii="Times New Roman" w:hAnsi="Times New Roman" w:cs="Times New Roman"/>
          <w:b/>
          <w:bCs/>
          <w:snapToGrid/>
          <w:kern w:val="44"/>
          <w:sz w:val="32"/>
          <w:szCs w:val="32"/>
        </w:rPr>
        <w:t>采购代理机构：</w:t>
      </w:r>
      <w:bookmarkEnd w:id="1"/>
      <w:r>
        <w:rPr>
          <w:rFonts w:hint="eastAsia" w:ascii="Times New Roman" w:hAnsi="Times New Roman" w:cs="Times New Roman"/>
          <w:b/>
          <w:bCs/>
          <w:snapToGrid/>
          <w:kern w:val="44"/>
          <w:sz w:val="32"/>
          <w:szCs w:val="32"/>
        </w:rPr>
        <w:t>建经投资咨询有限公司</w:t>
      </w:r>
    </w:p>
    <w:p w14:paraId="1E76CBAD">
      <w:pPr>
        <w:pStyle w:val="32"/>
        <w:snapToGrid w:val="0"/>
        <w:spacing w:line="480" w:lineRule="auto"/>
        <w:ind w:firstLine="595"/>
        <w:jc w:val="center"/>
        <w:rPr>
          <w:rFonts w:hint="eastAsia" w:hAnsi="宋体"/>
          <w:b/>
          <w:bCs/>
          <w:w w:val="95"/>
          <w:sz w:val="32"/>
          <w:szCs w:val="32"/>
        </w:rPr>
      </w:pPr>
    </w:p>
    <w:p w14:paraId="27CC3220">
      <w:pPr>
        <w:pStyle w:val="32"/>
        <w:snapToGrid w:val="0"/>
        <w:spacing w:line="480" w:lineRule="auto"/>
        <w:ind w:firstLine="3300" w:firstLineChars="1081"/>
        <w:jc w:val="both"/>
        <w:rPr>
          <w:rFonts w:hAnsi="宋体" w:cs="宋体"/>
          <w:sz w:val="24"/>
        </w:rPr>
        <w:sectPr>
          <w:footerReference r:id="rId3" w:type="even"/>
          <w:pgSz w:w="11905" w:h="16838"/>
          <w:pgMar w:top="1134" w:right="1304" w:bottom="1134" w:left="1304" w:header="850" w:footer="850" w:gutter="283"/>
          <w:cols w:space="0" w:num="1"/>
          <w:titlePg/>
          <w:docGrid w:linePitch="312" w:charSpace="0"/>
        </w:sectPr>
      </w:pPr>
      <w:r>
        <w:rPr>
          <w:rFonts w:hint="eastAsia" w:hAnsi="宋体"/>
          <w:b/>
          <w:bCs/>
          <w:w w:val="95"/>
          <w:sz w:val="32"/>
          <w:szCs w:val="32"/>
        </w:rPr>
        <w:t>二〇二</w:t>
      </w:r>
      <w:r>
        <w:rPr>
          <w:rFonts w:hint="eastAsia" w:hAnsi="宋体"/>
          <w:b/>
          <w:bCs/>
          <w:w w:val="95"/>
          <w:sz w:val="32"/>
          <w:szCs w:val="32"/>
          <w:lang w:val="en-US" w:eastAsia="zh-CN"/>
        </w:rPr>
        <w:t>五</w:t>
      </w:r>
      <w:r>
        <w:rPr>
          <w:rFonts w:hint="eastAsia" w:hAnsi="宋体"/>
          <w:b/>
          <w:bCs/>
          <w:w w:val="95"/>
          <w:sz w:val="32"/>
          <w:szCs w:val="32"/>
        </w:rPr>
        <w:t>年</w:t>
      </w:r>
      <w:r>
        <w:rPr>
          <w:rFonts w:hint="eastAsia" w:hAnsi="宋体"/>
          <w:b/>
          <w:bCs/>
          <w:w w:val="95"/>
          <w:sz w:val="32"/>
          <w:szCs w:val="32"/>
          <w:lang w:val="en-US" w:eastAsia="zh-CN"/>
        </w:rPr>
        <w:t>四</w:t>
      </w:r>
      <w:r>
        <w:rPr>
          <w:rFonts w:hint="eastAsia" w:hAnsi="宋体"/>
          <w:b/>
          <w:bCs/>
          <w:w w:val="95"/>
          <w:sz w:val="32"/>
          <w:szCs w:val="32"/>
        </w:rPr>
        <w:t>月</w:t>
      </w:r>
      <w:bookmarkStart w:id="2" w:name="_Hlt67893495"/>
      <w:bookmarkEnd w:id="2"/>
    </w:p>
    <w:p w14:paraId="03DCA978">
      <w:pPr>
        <w:spacing w:line="360" w:lineRule="auto"/>
        <w:rPr>
          <w:rFonts w:ascii="宋体" w:hAnsi="宋体" w:cs="宋体"/>
          <w:sz w:val="24"/>
        </w:rPr>
      </w:pPr>
    </w:p>
    <w:p w14:paraId="6AFCC51B">
      <w:pPr>
        <w:spacing w:line="360" w:lineRule="auto"/>
        <w:ind w:firstLine="944"/>
        <w:jc w:val="center"/>
        <w:rPr>
          <w:rFonts w:ascii="宋体" w:hAnsi="宋体" w:cs="宋体"/>
          <w:b/>
          <w:sz w:val="48"/>
          <w:szCs w:val="48"/>
        </w:rPr>
      </w:pPr>
      <w:r>
        <w:rPr>
          <w:rFonts w:hint="eastAsia" w:ascii="宋体" w:hAnsi="宋体" w:cs="宋体"/>
          <w:b/>
          <w:sz w:val="48"/>
          <w:szCs w:val="48"/>
        </w:rPr>
        <w:t>目  录</w:t>
      </w:r>
    </w:p>
    <w:sdt>
      <w:sdtPr>
        <w:rPr>
          <w:rFonts w:ascii="宋体" w:hAnsi="宋体"/>
        </w:rPr>
        <w:id w:val="147456322"/>
        <w15:color w:val="DBDBDB"/>
        <w:docPartObj>
          <w:docPartGallery w:val="Table of Contents"/>
          <w:docPartUnique/>
        </w:docPartObj>
      </w:sdtPr>
      <w:sdtEndPr>
        <w:rPr>
          <w:rFonts w:ascii="宋体" w:hAnsi="宋体"/>
        </w:rPr>
      </w:sdtEndPr>
      <w:sdtContent>
        <w:p w14:paraId="66F9D45E">
          <w:pPr>
            <w:jc w:val="center"/>
            <w:outlineLvl w:val="0"/>
          </w:pPr>
        </w:p>
        <w:p w14:paraId="02D61C62">
          <w:pPr>
            <w:pStyle w:val="42"/>
            <w:tabs>
              <w:tab w:val="right" w:leader="dot" w:pos="9014"/>
            </w:tabs>
          </w:pPr>
          <w:r>
            <w:fldChar w:fldCharType="begin"/>
          </w:r>
          <w:r>
            <w:instrText xml:space="preserve">TOC \o "1-1" \h \u </w:instrText>
          </w:r>
          <w:r>
            <w:fldChar w:fldCharType="separate"/>
          </w:r>
        </w:p>
        <w:p w14:paraId="3D1B54CC">
          <w:pPr>
            <w:pStyle w:val="42"/>
            <w:tabs>
              <w:tab w:val="right" w:leader="dot" w:pos="9014"/>
            </w:tabs>
            <w:spacing w:line="360" w:lineRule="auto"/>
            <w:ind w:firstLine="420" w:firstLineChars="200"/>
            <w:rPr>
              <w:rFonts w:ascii="宋体" w:hAnsi="宋体" w:cs="宋体"/>
              <w:sz w:val="32"/>
              <w:szCs w:val="32"/>
            </w:rPr>
          </w:pPr>
          <w:r>
            <w:fldChar w:fldCharType="begin"/>
          </w:r>
          <w:r>
            <w:instrText xml:space="preserve"> HYPERLINK \l "_Toc12254" </w:instrText>
          </w:r>
          <w:r>
            <w:fldChar w:fldCharType="separate"/>
          </w:r>
          <w:r>
            <w:rPr>
              <w:rFonts w:hint="eastAsia" w:ascii="宋体" w:hAnsi="宋体" w:cs="宋体"/>
              <w:sz w:val="32"/>
              <w:szCs w:val="32"/>
            </w:rPr>
            <w:t>第一部分  竞争性磋商公告</w:t>
          </w:r>
          <w:r>
            <w:rPr>
              <w:rFonts w:hint="eastAsia" w:ascii="宋体" w:hAnsi="宋体" w:cs="宋体"/>
              <w:sz w:val="32"/>
              <w:szCs w:val="32"/>
            </w:rPr>
            <w:fldChar w:fldCharType="end"/>
          </w:r>
        </w:p>
        <w:p w14:paraId="6428B8DE">
          <w:pPr>
            <w:pStyle w:val="42"/>
            <w:tabs>
              <w:tab w:val="right" w:leader="dot" w:pos="9014"/>
            </w:tabs>
            <w:spacing w:line="360" w:lineRule="auto"/>
            <w:ind w:firstLine="420" w:firstLineChars="200"/>
            <w:rPr>
              <w:rFonts w:ascii="宋体" w:hAnsi="宋体" w:cs="宋体"/>
              <w:sz w:val="32"/>
              <w:szCs w:val="32"/>
            </w:rPr>
          </w:pPr>
          <w:r>
            <w:fldChar w:fldCharType="begin"/>
          </w:r>
          <w:r>
            <w:instrText xml:space="preserve"> HYPERLINK \l "_Toc13281" </w:instrText>
          </w:r>
          <w:r>
            <w:fldChar w:fldCharType="separate"/>
          </w:r>
          <w:r>
            <w:rPr>
              <w:rFonts w:hint="eastAsia" w:ascii="宋体" w:hAnsi="宋体" w:cs="宋体"/>
              <w:sz w:val="32"/>
              <w:szCs w:val="32"/>
            </w:rPr>
            <w:t>第二部分  供应商须知</w:t>
          </w:r>
          <w:r>
            <w:rPr>
              <w:rFonts w:hint="eastAsia" w:ascii="宋体" w:hAnsi="宋体" w:cs="宋体"/>
              <w:sz w:val="32"/>
              <w:szCs w:val="32"/>
            </w:rPr>
            <w:fldChar w:fldCharType="end"/>
          </w:r>
        </w:p>
        <w:p w14:paraId="225DE83F">
          <w:pPr>
            <w:pStyle w:val="42"/>
            <w:tabs>
              <w:tab w:val="right" w:leader="dot" w:pos="9014"/>
            </w:tabs>
            <w:spacing w:line="360" w:lineRule="auto"/>
            <w:ind w:firstLine="420" w:firstLineChars="200"/>
            <w:rPr>
              <w:rFonts w:ascii="宋体" w:hAnsi="宋体" w:cs="宋体"/>
              <w:sz w:val="32"/>
              <w:szCs w:val="32"/>
            </w:rPr>
          </w:pPr>
          <w:r>
            <w:fldChar w:fldCharType="begin"/>
          </w:r>
          <w:r>
            <w:instrText xml:space="preserve"> HYPERLINK \l "_Toc26987" </w:instrText>
          </w:r>
          <w:r>
            <w:fldChar w:fldCharType="separate"/>
          </w:r>
          <w:r>
            <w:rPr>
              <w:rFonts w:hint="eastAsia" w:ascii="宋体" w:hAnsi="宋体" w:cs="宋体"/>
              <w:sz w:val="32"/>
              <w:szCs w:val="32"/>
            </w:rPr>
            <w:t>第三部分  采购需求</w:t>
          </w:r>
          <w:r>
            <w:rPr>
              <w:rFonts w:hint="eastAsia" w:ascii="宋体" w:hAnsi="宋体" w:cs="宋体"/>
              <w:sz w:val="32"/>
              <w:szCs w:val="32"/>
            </w:rPr>
            <w:fldChar w:fldCharType="end"/>
          </w:r>
        </w:p>
        <w:p w14:paraId="36CF88DA">
          <w:pPr>
            <w:pStyle w:val="42"/>
            <w:tabs>
              <w:tab w:val="right" w:leader="dot" w:pos="9014"/>
            </w:tabs>
            <w:spacing w:line="360" w:lineRule="auto"/>
            <w:ind w:firstLine="420" w:firstLineChars="200"/>
            <w:rPr>
              <w:rFonts w:ascii="宋体" w:hAnsi="宋体" w:cs="宋体"/>
              <w:sz w:val="32"/>
              <w:szCs w:val="32"/>
            </w:rPr>
          </w:pPr>
          <w:r>
            <w:fldChar w:fldCharType="begin"/>
          </w:r>
          <w:r>
            <w:instrText xml:space="preserve"> HYPERLINK \l "_Toc5724" </w:instrText>
          </w:r>
          <w:r>
            <w:fldChar w:fldCharType="separate"/>
          </w:r>
          <w:r>
            <w:rPr>
              <w:rFonts w:hint="eastAsia" w:ascii="宋体" w:hAnsi="宋体" w:cs="宋体"/>
              <w:sz w:val="32"/>
              <w:szCs w:val="32"/>
            </w:rPr>
            <w:t>第四部分  评审办法</w:t>
          </w:r>
          <w:r>
            <w:rPr>
              <w:rFonts w:hint="eastAsia" w:ascii="宋体" w:hAnsi="宋体" w:cs="宋体"/>
              <w:sz w:val="32"/>
              <w:szCs w:val="32"/>
            </w:rPr>
            <w:fldChar w:fldCharType="end"/>
          </w:r>
        </w:p>
        <w:p w14:paraId="6E9697A8">
          <w:pPr>
            <w:pStyle w:val="42"/>
            <w:tabs>
              <w:tab w:val="right" w:leader="dot" w:pos="9014"/>
            </w:tabs>
            <w:spacing w:line="360" w:lineRule="auto"/>
            <w:ind w:firstLine="420" w:firstLineChars="200"/>
            <w:rPr>
              <w:rFonts w:ascii="宋体" w:hAnsi="宋体" w:cs="宋体"/>
              <w:sz w:val="32"/>
              <w:szCs w:val="32"/>
            </w:rPr>
          </w:pPr>
          <w:r>
            <w:fldChar w:fldCharType="begin"/>
          </w:r>
          <w:r>
            <w:instrText xml:space="preserve"> HYPERLINK \l "_Toc26894"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fldChar w:fldCharType="end"/>
          </w:r>
        </w:p>
        <w:p w14:paraId="6712FD18">
          <w:pPr>
            <w:pStyle w:val="42"/>
            <w:tabs>
              <w:tab w:val="right" w:leader="dot" w:pos="9014"/>
            </w:tabs>
            <w:spacing w:line="360" w:lineRule="auto"/>
            <w:ind w:firstLine="420" w:firstLineChars="200"/>
            <w:rPr>
              <w:rFonts w:ascii="宋体" w:hAnsi="宋体" w:cs="宋体"/>
              <w:sz w:val="32"/>
              <w:szCs w:val="32"/>
            </w:rPr>
          </w:pPr>
          <w:r>
            <w:fldChar w:fldCharType="begin"/>
          </w:r>
          <w:r>
            <w:instrText xml:space="preserve"> HYPERLINK \l "_Toc16395"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fldChar w:fldCharType="end"/>
          </w:r>
        </w:p>
        <w:p w14:paraId="38AA6236">
          <w:r>
            <w:fldChar w:fldCharType="end"/>
          </w:r>
        </w:p>
      </w:sdtContent>
    </w:sdt>
    <w:p w14:paraId="1ACCAF0C">
      <w:pPr>
        <w:spacing w:line="360" w:lineRule="auto"/>
        <w:ind w:firstLine="1280" w:firstLineChars="400"/>
        <w:outlineLvl w:val="0"/>
        <w:rPr>
          <w:rFonts w:ascii="宋体" w:hAnsi="宋体" w:cs="宋体"/>
          <w:sz w:val="32"/>
          <w:szCs w:val="32"/>
        </w:rPr>
      </w:pPr>
    </w:p>
    <w:p w14:paraId="5315A04D">
      <w:pPr>
        <w:spacing w:line="360" w:lineRule="auto"/>
        <w:ind w:firstLine="1280" w:firstLineChars="400"/>
        <w:rPr>
          <w:rFonts w:ascii="宋体" w:hAnsi="宋体" w:cs="宋体"/>
          <w:sz w:val="32"/>
          <w:szCs w:val="32"/>
        </w:rPr>
      </w:pPr>
    </w:p>
    <w:p w14:paraId="4280F73D">
      <w:pPr>
        <w:spacing w:line="360" w:lineRule="auto"/>
        <w:ind w:firstLine="549" w:firstLineChars="229"/>
        <w:rPr>
          <w:rFonts w:ascii="宋体" w:hAnsi="宋体" w:cs="宋体"/>
          <w:sz w:val="24"/>
        </w:rPr>
      </w:pPr>
      <w:bookmarkStart w:id="3" w:name="_Hlt91233176"/>
      <w:bookmarkEnd w:id="3"/>
      <w:bookmarkStart w:id="4" w:name="_Toc91899869"/>
    </w:p>
    <w:p w14:paraId="37568BFC">
      <w:pPr>
        <w:spacing w:line="360" w:lineRule="auto"/>
        <w:ind w:firstLine="549" w:firstLineChars="229"/>
        <w:rPr>
          <w:rFonts w:ascii="宋体" w:hAnsi="宋体" w:cs="宋体"/>
          <w:sz w:val="24"/>
        </w:rPr>
      </w:pPr>
    </w:p>
    <w:p w14:paraId="67E5A71C">
      <w:pPr>
        <w:spacing w:line="360" w:lineRule="auto"/>
        <w:ind w:firstLine="549" w:firstLineChars="229"/>
        <w:rPr>
          <w:rFonts w:ascii="宋体" w:hAnsi="宋体" w:cs="宋体"/>
          <w:sz w:val="24"/>
        </w:rPr>
      </w:pPr>
    </w:p>
    <w:p w14:paraId="57B761BF">
      <w:pPr>
        <w:spacing w:line="360" w:lineRule="auto"/>
        <w:ind w:firstLine="549" w:firstLineChars="229"/>
        <w:rPr>
          <w:rFonts w:ascii="宋体" w:hAnsi="宋体" w:cs="宋体"/>
          <w:sz w:val="24"/>
        </w:rPr>
      </w:pPr>
    </w:p>
    <w:p w14:paraId="61D750D6">
      <w:pPr>
        <w:spacing w:line="360" w:lineRule="auto"/>
        <w:ind w:firstLine="549" w:firstLineChars="229"/>
        <w:rPr>
          <w:rFonts w:ascii="宋体" w:hAnsi="宋体" w:cs="宋体"/>
          <w:sz w:val="24"/>
        </w:rPr>
      </w:pPr>
    </w:p>
    <w:p w14:paraId="74321E2C">
      <w:pPr>
        <w:spacing w:line="360" w:lineRule="auto"/>
        <w:ind w:firstLine="549" w:firstLineChars="229"/>
        <w:rPr>
          <w:rFonts w:ascii="宋体" w:hAnsi="宋体" w:cs="宋体"/>
          <w:sz w:val="24"/>
        </w:rPr>
      </w:pPr>
    </w:p>
    <w:p w14:paraId="42F6091B">
      <w:pPr>
        <w:spacing w:line="360" w:lineRule="auto"/>
        <w:ind w:firstLine="549" w:firstLineChars="229"/>
        <w:rPr>
          <w:rFonts w:ascii="宋体" w:hAnsi="宋体" w:cs="宋体"/>
          <w:sz w:val="24"/>
        </w:rPr>
      </w:pPr>
    </w:p>
    <w:p w14:paraId="692C2649">
      <w:pPr>
        <w:spacing w:line="360" w:lineRule="auto"/>
        <w:ind w:firstLine="549" w:firstLineChars="229"/>
        <w:rPr>
          <w:rFonts w:ascii="宋体" w:hAnsi="宋体" w:cs="宋体"/>
          <w:sz w:val="24"/>
        </w:rPr>
      </w:pPr>
    </w:p>
    <w:p w14:paraId="296CBCA6">
      <w:pPr>
        <w:spacing w:line="360" w:lineRule="auto"/>
        <w:ind w:firstLine="549" w:firstLineChars="229"/>
        <w:rPr>
          <w:rFonts w:ascii="宋体" w:hAnsi="宋体" w:cs="宋体"/>
          <w:sz w:val="24"/>
        </w:rPr>
      </w:pPr>
    </w:p>
    <w:p w14:paraId="459EC116">
      <w:pPr>
        <w:spacing w:line="360" w:lineRule="auto"/>
        <w:ind w:firstLine="549" w:firstLineChars="229"/>
        <w:rPr>
          <w:rFonts w:ascii="宋体" w:hAnsi="宋体" w:cs="宋体"/>
          <w:sz w:val="24"/>
        </w:rPr>
      </w:pPr>
    </w:p>
    <w:p w14:paraId="5270E6C1">
      <w:pPr>
        <w:spacing w:line="360" w:lineRule="auto"/>
        <w:rPr>
          <w:rFonts w:ascii="宋体" w:hAnsi="宋体" w:cs="宋体"/>
          <w:sz w:val="24"/>
        </w:rPr>
      </w:pPr>
    </w:p>
    <w:bookmarkEnd w:id="4"/>
    <w:p w14:paraId="5B0E42A6">
      <w:pPr>
        <w:adjustRightInd/>
        <w:spacing w:line="360" w:lineRule="auto"/>
        <w:ind w:firstLine="708"/>
        <w:jc w:val="center"/>
        <w:outlineLvl w:val="0"/>
        <w:rPr>
          <w:rFonts w:ascii="宋体" w:hAnsi="宋体" w:cs="宋体"/>
          <w:b/>
          <w:sz w:val="36"/>
          <w:szCs w:val="20"/>
        </w:rPr>
        <w:sectPr>
          <w:pgSz w:w="11905" w:h="16838"/>
          <w:pgMar w:top="1134" w:right="1304" w:bottom="1134" w:left="1304" w:header="850" w:footer="850" w:gutter="283"/>
          <w:cols w:space="0" w:num="1"/>
          <w:titlePg/>
          <w:docGrid w:linePitch="312" w:charSpace="0"/>
        </w:sectPr>
      </w:pPr>
      <w:bookmarkStart w:id="5" w:name="_Hlt74707423"/>
      <w:bookmarkEnd w:id="5"/>
      <w:bookmarkStart w:id="6" w:name="_Hlt74728647"/>
      <w:bookmarkEnd w:id="6"/>
      <w:bookmarkStart w:id="7" w:name="_Hlt74649545"/>
      <w:bookmarkEnd w:id="7"/>
      <w:bookmarkStart w:id="8" w:name="_Hlt74729822"/>
      <w:bookmarkEnd w:id="8"/>
      <w:bookmarkStart w:id="9" w:name="_Toc12254"/>
      <w:bookmarkStart w:id="10" w:name="第二部分"/>
      <w:bookmarkStart w:id="11" w:name="_Toc91899870"/>
      <w:bookmarkStart w:id="12" w:name="_Toc91899871"/>
    </w:p>
    <w:p w14:paraId="462FD8EB">
      <w:pPr>
        <w:adjustRightInd/>
        <w:spacing w:line="360" w:lineRule="auto"/>
        <w:ind w:firstLine="708"/>
        <w:jc w:val="center"/>
        <w:outlineLvl w:val="0"/>
        <w:rPr>
          <w:rFonts w:ascii="宋体" w:hAnsi="宋体" w:cs="宋体"/>
          <w:b/>
          <w:sz w:val="36"/>
          <w:szCs w:val="20"/>
        </w:rPr>
      </w:pPr>
      <w:r>
        <w:rPr>
          <w:rFonts w:hint="eastAsia" w:ascii="宋体" w:hAnsi="宋体" w:cs="宋体"/>
          <w:b/>
          <w:sz w:val="36"/>
          <w:szCs w:val="20"/>
        </w:rPr>
        <w:t>第一部分 竞争性磋商公告</w:t>
      </w:r>
      <w:bookmarkEnd w:id="9"/>
    </w:p>
    <w:p w14:paraId="2DBC04FC">
      <w:pPr>
        <w:pBdr>
          <w:top w:val="single" w:color="auto" w:sz="4" w:space="1"/>
          <w:left w:val="single" w:color="auto" w:sz="4" w:space="4"/>
          <w:bottom w:val="single" w:color="auto" w:sz="4" w:space="1"/>
          <w:right w:val="single" w:color="auto" w:sz="4" w:space="4"/>
        </w:pBdr>
        <w:spacing w:line="360" w:lineRule="auto"/>
        <w:rPr>
          <w:rFonts w:ascii="宋体" w:hAnsi="宋体" w:cs="宋体"/>
          <w:sz w:val="24"/>
        </w:rPr>
      </w:pPr>
      <w:r>
        <w:rPr>
          <w:rFonts w:hint="eastAsia" w:ascii="宋体" w:hAnsi="宋体" w:cs="宋体"/>
          <w:sz w:val="24"/>
        </w:rPr>
        <w:t>项目概况</w:t>
      </w:r>
    </w:p>
    <w:p w14:paraId="4B078EB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lang w:eastAsia="zh-CN"/>
        </w:rPr>
        <w:t>西店镇中心小学新建连廊、外立面提升等维修工程</w:t>
      </w:r>
      <w:r>
        <w:rPr>
          <w:rFonts w:hint="eastAsia" w:ascii="宋体" w:hAnsi="宋体" w:cs="宋体"/>
          <w:sz w:val="24"/>
        </w:rPr>
        <w:t>的潜在供应商应在政采云平台（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https://www.zcygov.cn/）获取（下载）采购文件，并于</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 xml:space="preserve"> 月 </w:t>
      </w:r>
      <w:r>
        <w:rPr>
          <w:rFonts w:hint="eastAsia" w:ascii="宋体" w:hAnsi="宋体" w:cs="宋体"/>
          <w:sz w:val="24"/>
          <w:u w:val="single"/>
          <w:lang w:val="en-US" w:eastAsia="zh-CN"/>
        </w:rPr>
        <w:t xml:space="preserve"> </w:t>
      </w:r>
      <w:r>
        <w:rPr>
          <w:rFonts w:hint="eastAsia" w:ascii="宋体" w:hAnsi="宋体" w:cs="宋体"/>
          <w:sz w:val="24"/>
          <w:u w:val="single"/>
        </w:rPr>
        <w:t xml:space="preserve"> 日13点30分</w:t>
      </w:r>
      <w:r>
        <w:rPr>
          <w:rFonts w:hint="eastAsia" w:ascii="宋体" w:hAnsi="宋体" w:cs="宋体"/>
          <w:bCs/>
          <w:sz w:val="24"/>
          <w:u w:val="single"/>
        </w:rPr>
        <w:t>00秒</w:t>
      </w:r>
      <w:r>
        <w:rPr>
          <w:rFonts w:hint="eastAsia" w:ascii="宋体" w:hAnsi="宋体" w:cs="宋体"/>
          <w:bCs/>
          <w:sz w:val="24"/>
          <w:u w:val="single"/>
        </w:rPr>
        <w:fldChar w:fldCharType="end"/>
      </w:r>
      <w:r>
        <w:rPr>
          <w:rFonts w:hint="eastAsia" w:ascii="宋体" w:hAnsi="宋体" w:cs="宋体"/>
          <w:bCs/>
          <w:sz w:val="24"/>
        </w:rPr>
        <w:t>（北京时间）前</w:t>
      </w:r>
      <w:r>
        <w:rPr>
          <w:rFonts w:hint="eastAsia" w:ascii="宋体" w:hAnsi="宋体" w:cs="宋体"/>
          <w:sz w:val="24"/>
        </w:rPr>
        <w:t>提交（上传）响应文件。</w:t>
      </w:r>
    </w:p>
    <w:p w14:paraId="5D9E1604">
      <w:pPr>
        <w:spacing w:line="360" w:lineRule="auto"/>
        <w:ind w:firstLine="472"/>
        <w:rPr>
          <w:rFonts w:ascii="宋体" w:hAnsi="宋体" w:cs="宋体"/>
          <w:b/>
          <w:sz w:val="24"/>
        </w:rPr>
      </w:pPr>
      <w:r>
        <w:rPr>
          <w:rFonts w:hint="eastAsia" w:ascii="宋体" w:hAnsi="宋体" w:cs="宋体"/>
          <w:b/>
          <w:sz w:val="24"/>
        </w:rPr>
        <w:t>一、项目基本情况</w:t>
      </w:r>
    </w:p>
    <w:p w14:paraId="0E272340">
      <w:pPr>
        <w:snapToGrid w:val="0"/>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项目编号：</w:t>
      </w:r>
      <w:r>
        <w:rPr>
          <w:rFonts w:hint="eastAsia" w:ascii="宋体" w:hAnsi="宋体" w:cs="宋体"/>
          <w:b w:val="0"/>
          <w:bCs/>
          <w:sz w:val="24"/>
        </w:rPr>
        <w:t>JJNHCG-2025-001</w:t>
      </w:r>
    </w:p>
    <w:p w14:paraId="3A5C576D">
      <w:pPr>
        <w:snapToGrid w:val="0"/>
        <w:spacing w:line="360" w:lineRule="auto"/>
        <w:ind w:firstLine="482" w:firstLineChars="200"/>
        <w:rPr>
          <w:rFonts w:hint="eastAsia" w:ascii="宋体" w:hAnsi="宋体" w:eastAsia="宋体" w:cs="宋体"/>
          <w:sz w:val="24"/>
          <w:lang w:eastAsia="zh-CN"/>
        </w:rPr>
      </w:pPr>
      <w:r>
        <w:rPr>
          <w:rFonts w:hint="eastAsia" w:ascii="宋体" w:hAnsi="宋体" w:cs="宋体"/>
          <w:b/>
          <w:sz w:val="24"/>
        </w:rPr>
        <w:t>项目名称：</w:t>
      </w:r>
      <w:r>
        <w:rPr>
          <w:rFonts w:hint="eastAsia" w:ascii="宋体" w:hAnsi="宋体" w:cs="宋体"/>
          <w:bCs/>
          <w:sz w:val="24"/>
          <w:lang w:eastAsia="zh-CN"/>
        </w:rPr>
        <w:t>西店镇中心小学新建连廊、外立面提升等维修工程</w:t>
      </w:r>
    </w:p>
    <w:p w14:paraId="61CA65D3">
      <w:pPr>
        <w:snapToGrid w:val="0"/>
        <w:spacing w:line="360" w:lineRule="auto"/>
        <w:ind w:firstLine="482" w:firstLineChars="200"/>
        <w:rPr>
          <w:rFonts w:hint="default" w:ascii="宋体" w:hAnsi="宋体" w:eastAsia="宋体" w:cs="宋体"/>
          <w:b/>
          <w:sz w:val="24"/>
          <w:lang w:val="en-US" w:eastAsia="zh-CN"/>
        </w:rPr>
      </w:pPr>
      <w:r>
        <w:rPr>
          <w:rFonts w:hint="eastAsia" w:ascii="宋体" w:hAnsi="宋体" w:cs="宋体"/>
          <w:b/>
          <w:sz w:val="24"/>
        </w:rPr>
        <w:t>预算金额（元）：</w:t>
      </w:r>
      <w:r>
        <w:rPr>
          <w:rFonts w:hint="eastAsia" w:ascii="宋体" w:hAnsi="宋体" w:cs="宋体"/>
          <w:b w:val="0"/>
          <w:bCs/>
          <w:sz w:val="24"/>
        </w:rPr>
        <w:t>239</w:t>
      </w:r>
      <w:r>
        <w:rPr>
          <w:rFonts w:hint="eastAsia" w:ascii="宋体" w:hAnsi="宋体" w:cs="宋体"/>
          <w:b w:val="0"/>
          <w:bCs/>
          <w:sz w:val="24"/>
          <w:lang w:val="en-US" w:eastAsia="zh-CN"/>
        </w:rPr>
        <w:t>3409</w:t>
      </w:r>
    </w:p>
    <w:p w14:paraId="2D303F4D">
      <w:pPr>
        <w:snapToGrid w:val="0"/>
        <w:spacing w:line="360" w:lineRule="auto"/>
        <w:ind w:firstLine="482" w:firstLineChars="200"/>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eastAsia="宋体" w:cs="宋体"/>
          <w:bCs/>
          <w:sz w:val="24"/>
          <w:lang w:val="en-US" w:eastAsia="zh-CN"/>
        </w:rPr>
        <w:t>2181168</w:t>
      </w:r>
    </w:p>
    <w:p w14:paraId="13CC92FE">
      <w:pPr>
        <w:spacing w:line="360" w:lineRule="auto"/>
        <w:ind w:firstLine="482" w:firstLineChars="200"/>
        <w:rPr>
          <w:rFonts w:hint="default" w:hAnsi="宋体" w:eastAsia="宋体" w:cs="宋体"/>
          <w:b w:val="0"/>
          <w:bCs/>
          <w:color w:val="auto"/>
          <w:sz w:val="24"/>
          <w:lang w:val="en-US" w:eastAsia="zh-CN"/>
        </w:rPr>
      </w:pPr>
      <w:r>
        <w:rPr>
          <w:rFonts w:hint="eastAsia" w:hAnsi="宋体" w:cs="宋体"/>
          <w:b/>
          <w:color w:val="auto"/>
          <w:sz w:val="24"/>
        </w:rPr>
        <w:t>采购需求：</w:t>
      </w:r>
      <w:r>
        <w:rPr>
          <w:rFonts w:hint="eastAsia" w:ascii="宋体" w:hAnsi="宋体" w:eastAsia="宋体" w:cs="宋体"/>
          <w:bCs/>
          <w:sz w:val="24"/>
        </w:rPr>
        <w:t>简要规格描述或项目基本概况介绍、用途：主要包括实验楼、1#教学楼、食宿楼、综合楼外立面翻新，1#教学楼屋面防水、保温拆除翻新，实验楼卫生间地面、墙面、吊顶、铝合金门窗、卫生洁具拆除更换，1#连廊内墙面新做瓷砖墙裙、涂料翻新，食宿楼空调百叶拆除更换及新建2#连廊等</w:t>
      </w:r>
      <w:r>
        <w:rPr>
          <w:rFonts w:hint="eastAsia" w:ascii="宋体" w:hAnsi="宋体" w:eastAsia="宋体" w:cs="宋体"/>
          <w:bCs/>
          <w:sz w:val="24"/>
          <w:lang w:val="en-US" w:eastAsia="zh-CN"/>
        </w:rPr>
        <w:t>内容，详见第三部分采购需求。</w:t>
      </w:r>
    </w:p>
    <w:p w14:paraId="315097D1">
      <w:pPr>
        <w:pStyle w:val="5"/>
        <w:spacing w:line="360" w:lineRule="auto"/>
        <w:ind w:firstLine="480" w:firstLineChars="200"/>
        <w:rPr>
          <w:rFonts w:hAnsi="宋体" w:cs="宋体"/>
          <w:snapToGrid/>
          <w:color w:val="auto"/>
          <w:kern w:val="2"/>
          <w:sz w:val="24"/>
          <w:szCs w:val="24"/>
        </w:rPr>
      </w:pPr>
      <w:r>
        <w:rPr>
          <w:rFonts w:hint="eastAsia" w:hAnsi="宋体" w:cs="宋体"/>
          <w:snapToGrid/>
          <w:color w:val="auto"/>
          <w:kern w:val="2"/>
          <w:sz w:val="24"/>
          <w:szCs w:val="24"/>
        </w:rPr>
        <w:t>数量：1</w:t>
      </w:r>
    </w:p>
    <w:p w14:paraId="60940714">
      <w:pPr>
        <w:pStyle w:val="5"/>
        <w:spacing w:line="360" w:lineRule="auto"/>
        <w:ind w:firstLine="480" w:firstLineChars="200"/>
        <w:rPr>
          <w:rFonts w:hAnsi="宋体" w:cs="宋体"/>
          <w:snapToGrid/>
          <w:color w:val="auto"/>
          <w:kern w:val="2"/>
          <w:sz w:val="24"/>
          <w:szCs w:val="24"/>
        </w:rPr>
      </w:pPr>
      <w:r>
        <w:rPr>
          <w:rFonts w:hint="eastAsia" w:hAnsi="宋体" w:cs="宋体"/>
          <w:snapToGrid/>
          <w:color w:val="auto"/>
          <w:kern w:val="2"/>
          <w:sz w:val="24"/>
          <w:szCs w:val="24"/>
        </w:rPr>
        <w:t>单位：项</w:t>
      </w:r>
    </w:p>
    <w:p w14:paraId="5C80D070">
      <w:pPr>
        <w:pStyle w:val="131"/>
        <w:snapToGrid w:val="0"/>
        <w:spacing w:before="0"/>
        <w:ind w:firstLine="482"/>
        <w:outlineLvl w:val="2"/>
        <w:rPr>
          <w:rFonts w:ascii="宋体" w:hAnsi="宋体" w:cs="宋体"/>
          <w:szCs w:val="24"/>
        </w:rPr>
      </w:pPr>
      <w:r>
        <w:rPr>
          <w:rFonts w:hint="eastAsia" w:ascii="宋体" w:hAnsi="宋体" w:cs="宋体"/>
          <w:b/>
        </w:rPr>
        <w:t>合同履约期限：自开工令发出之日起</w:t>
      </w:r>
      <w:r>
        <w:rPr>
          <w:rFonts w:hint="eastAsia" w:ascii="宋体" w:hAnsi="宋体" w:cs="宋体"/>
          <w:b/>
          <w:lang w:val="en-US" w:eastAsia="zh-CN"/>
        </w:rPr>
        <w:t>60</w:t>
      </w:r>
      <w:r>
        <w:rPr>
          <w:rFonts w:hint="eastAsia" w:ascii="宋体" w:hAnsi="宋体" w:cs="宋体"/>
          <w:b/>
        </w:rPr>
        <w:t>日历天内完成</w:t>
      </w:r>
      <w:r>
        <w:rPr>
          <w:rFonts w:hint="eastAsia" w:ascii="宋体" w:hAnsi="宋体" w:cs="宋体"/>
          <w:color w:val="000000" w:themeColor="text1"/>
          <w:szCs w:val="24"/>
          <w14:textFill>
            <w14:solidFill>
              <w14:schemeClr w14:val="tx1"/>
            </w14:solidFill>
          </w14:textFill>
        </w:rPr>
        <w:t>。</w:t>
      </w:r>
    </w:p>
    <w:p w14:paraId="1322A5F1">
      <w:pPr>
        <w:pStyle w:val="5"/>
        <w:spacing w:line="360" w:lineRule="auto"/>
        <w:ind w:firstLine="482" w:firstLineChars="200"/>
        <w:rPr>
          <w:rFonts w:hAnsi="宋体" w:cs="宋体"/>
          <w:b/>
          <w:color w:val="auto"/>
          <w:sz w:val="24"/>
        </w:rPr>
      </w:pPr>
      <w:r>
        <w:rPr>
          <w:rFonts w:hint="eastAsia" w:hAnsi="宋体" w:cs="宋体"/>
          <w:b/>
          <w:color w:val="auto"/>
          <w:sz w:val="24"/>
        </w:rPr>
        <w:t>本项目接受联合体：</w:t>
      </w:r>
    </w:p>
    <w:p w14:paraId="486DC853">
      <w:pPr>
        <w:pStyle w:val="5"/>
        <w:spacing w:line="360" w:lineRule="auto"/>
        <w:ind w:firstLine="480" w:firstLineChars="200"/>
        <w:rPr>
          <w:rFonts w:hAnsi="宋体" w:cs="宋体"/>
          <w:color w:val="auto"/>
          <w:sz w:val="24"/>
        </w:rPr>
      </w:pP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ascii="MS Gothic" w:hAnsi="MS Gothic" w:cs="宋体"/>
              <w:color w:val="auto"/>
              <w:kern w:val="0"/>
              <w:sz w:val="24"/>
            </w:rPr>
            <w:t>☐</w:t>
          </w:r>
        </w:sdtContent>
      </w:sdt>
      <w:r>
        <w:rPr>
          <w:rFonts w:hint="eastAsia" w:hAnsi="宋体" w:cs="宋体"/>
          <w:color w:val="auto"/>
          <w:sz w:val="24"/>
        </w:rPr>
        <w:t>是；</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ascii="Wingdings" w:hAnsi="Wingdings" w:cs="宋体"/>
              <w:color w:val="auto"/>
              <w:kern w:val="0"/>
              <w:sz w:val="24"/>
            </w:rPr>
            <w:t>þ</w:t>
          </w:r>
        </w:sdtContent>
      </w:sdt>
      <w:r>
        <w:rPr>
          <w:rFonts w:hint="eastAsia" w:hAnsi="宋体" w:cs="宋体"/>
          <w:color w:val="auto"/>
          <w:sz w:val="24"/>
        </w:rPr>
        <w:t>否</w:t>
      </w:r>
      <w:r>
        <w:rPr>
          <w:rFonts w:hint="eastAsia" w:hAnsi="宋体" w:cs="宋体"/>
          <w:color w:val="auto"/>
          <w:kern w:val="0"/>
          <w:sz w:val="24"/>
        </w:rPr>
        <w:t>。</w:t>
      </w:r>
    </w:p>
    <w:p w14:paraId="44341A92">
      <w:pPr>
        <w:spacing w:line="360" w:lineRule="auto"/>
        <w:ind w:firstLine="472"/>
        <w:rPr>
          <w:rFonts w:ascii="宋体" w:hAnsi="宋体" w:cs="宋体"/>
          <w:b/>
          <w:sz w:val="24"/>
        </w:rPr>
      </w:pPr>
      <w:r>
        <w:rPr>
          <w:rFonts w:hint="eastAsia" w:ascii="宋体" w:hAnsi="宋体" w:cs="宋体"/>
          <w:b/>
          <w:sz w:val="24"/>
        </w:rPr>
        <w:t>二、</w:t>
      </w:r>
      <w:bookmarkStart w:id="13" w:name="_Hlk101132948"/>
      <w:r>
        <w:rPr>
          <w:rFonts w:hint="eastAsia" w:ascii="宋体" w:hAnsi="宋体" w:cs="宋体"/>
          <w:b/>
          <w:sz w:val="24"/>
        </w:rPr>
        <w:t>申请人的资格要求</w:t>
      </w:r>
      <w:bookmarkEnd w:id="13"/>
      <w:r>
        <w:rPr>
          <w:rFonts w:hint="eastAsia" w:ascii="宋体" w:hAnsi="宋体" w:cs="宋体"/>
          <w:b/>
          <w:sz w:val="24"/>
        </w:rPr>
        <w:t>：</w:t>
      </w:r>
    </w:p>
    <w:p w14:paraId="0D68A70F">
      <w:pPr>
        <w:spacing w:line="360" w:lineRule="auto"/>
        <w:ind w:firstLine="47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F9A5A7E">
      <w:pPr>
        <w:spacing w:line="360" w:lineRule="auto"/>
        <w:ind w:firstLine="480" w:firstLineChars="200"/>
        <w:rPr>
          <w:rFonts w:ascii="宋体" w:hAnsi="宋体" w:cs="宋体"/>
          <w:snapToGrid w:val="0"/>
          <w:kern w:val="28"/>
          <w:sz w:val="24"/>
          <w:szCs w:val="20"/>
        </w:rPr>
      </w:pPr>
      <w:r>
        <w:rPr>
          <w:rFonts w:hint="eastAsia" w:ascii="宋体" w:hAnsi="宋体" w:cs="宋体"/>
          <w:snapToGrid w:val="0"/>
          <w:kern w:val="28"/>
          <w:sz w:val="24"/>
          <w:szCs w:val="20"/>
        </w:rPr>
        <w:t>2. 落实政府采购政策需满足的资格要求：</w:t>
      </w:r>
    </w:p>
    <w:p w14:paraId="6F5AF061">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00798DF0">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2534E1EC">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4D847F47">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sz w:val="24"/>
        </w:rPr>
        <w:t>工程全部由符合政策要求的小微企业承建，提供中小企业声明函；</w:t>
      </w:r>
    </w:p>
    <w:p w14:paraId="1C0B9853">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4"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4"/>
    <w:p w14:paraId="6E9E0D75">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59B5D156">
      <w:pPr>
        <w:spacing w:line="360" w:lineRule="auto"/>
        <w:ind w:firstLine="514" w:firstLineChars="200"/>
        <w:rPr>
          <w:rFonts w:ascii="宋体" w:hAnsi="宋体" w:cs="宋体"/>
          <w:b/>
          <w:bCs/>
          <w:spacing w:val="8"/>
          <w:kern w:val="0"/>
          <w:sz w:val="24"/>
        </w:rPr>
      </w:pPr>
      <w:r>
        <w:rPr>
          <w:rFonts w:hint="eastAsia" w:ascii="宋体" w:hAnsi="宋体" w:cs="宋体"/>
          <w:b/>
          <w:bCs/>
          <w:spacing w:val="8"/>
          <w:kern w:val="0"/>
          <w:sz w:val="24"/>
        </w:rPr>
        <w:t>3.本项目的特定资格要求：供应商须具备建筑工程施工总承包叁级及以上资质</w:t>
      </w:r>
      <w:r>
        <w:rPr>
          <w:rFonts w:hint="eastAsia" w:ascii="宋体" w:hAnsi="宋体" w:eastAsia="宋体" w:cs="宋体"/>
          <w:b/>
          <w:bCs/>
          <w:sz w:val="24"/>
        </w:rPr>
        <w:t>（对应资质应在“浙江省建筑市场监管公共服务系统”上资质动态核查结果处于“合格”状态）并具备有效的建筑施工企业安全生产许可证</w:t>
      </w:r>
      <w:r>
        <w:rPr>
          <w:rFonts w:hint="eastAsia" w:ascii="宋体" w:hAnsi="宋体" w:eastAsia="宋体" w:cs="宋体"/>
          <w:sz w:val="24"/>
        </w:rPr>
        <w:t>；</w:t>
      </w:r>
    </w:p>
    <w:p w14:paraId="7A67F5A8">
      <w:pPr>
        <w:snapToGrid w:val="0"/>
        <w:spacing w:line="360" w:lineRule="auto"/>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19F5A8">
      <w:pPr>
        <w:snapToGrid w:val="0"/>
        <w:spacing w:line="360" w:lineRule="auto"/>
        <w:ind w:firstLine="480" w:firstLineChars="200"/>
        <w:rPr>
          <w:rFonts w:ascii="宋体" w:hAnsi="宋体" w:cs="宋体"/>
          <w:sz w:val="24"/>
        </w:rPr>
      </w:pPr>
      <w:r>
        <w:rPr>
          <w:rFonts w:hint="eastAsia" w:ascii="宋体" w:hAnsi="宋体" w:cs="宋体"/>
          <w:sz w:val="24"/>
        </w:rPr>
        <w:t>5.</w:t>
      </w:r>
      <w:r>
        <w:rPr>
          <w:rFonts w:hint="eastAsia" w:cs="宋体" w:asciiTheme="minorEastAsia" w:hAnsiTheme="minorEastAsia" w:eastAsiaTheme="minorEastAsia"/>
          <w:sz w:val="24"/>
        </w:rPr>
        <w:t>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6F4A4DDD">
      <w:pPr>
        <w:spacing w:line="360" w:lineRule="auto"/>
        <w:ind w:firstLine="472"/>
        <w:rPr>
          <w:rFonts w:ascii="宋体" w:hAnsi="宋体" w:cs="宋体"/>
          <w:b/>
          <w:sz w:val="24"/>
        </w:rPr>
      </w:pPr>
      <w:r>
        <w:rPr>
          <w:rFonts w:hint="eastAsia" w:ascii="宋体" w:hAnsi="宋体" w:cs="宋体"/>
          <w:b/>
          <w:sz w:val="24"/>
        </w:rPr>
        <w:t>三、获取采购文件</w:t>
      </w:r>
    </w:p>
    <w:p w14:paraId="09E61210">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 xml:space="preserve">年 </w:t>
      </w:r>
      <w:r>
        <w:rPr>
          <w:rFonts w:hint="eastAsia" w:ascii="宋体" w:hAnsi="宋体" w:cs="宋体"/>
          <w:sz w:val="24"/>
          <w:u w:val="single"/>
          <w:lang w:val="en-US" w:eastAsia="zh-CN"/>
        </w:rPr>
        <w:t xml:space="preserve"> </w:t>
      </w:r>
      <w:r>
        <w:rPr>
          <w:rFonts w:hint="eastAsia" w:ascii="宋体" w:hAnsi="宋体" w:cs="宋体"/>
          <w:sz w:val="24"/>
          <w:u w:val="single"/>
        </w:rPr>
        <w:t xml:space="preserve"> 月 </w:t>
      </w:r>
      <w:r>
        <w:rPr>
          <w:rFonts w:hint="eastAsia" w:ascii="宋体" w:hAnsi="宋体" w:cs="宋体"/>
          <w:sz w:val="24"/>
          <w:u w:val="single"/>
          <w:lang w:val="en-US" w:eastAsia="zh-CN"/>
        </w:rPr>
        <w:t xml:space="preserve"> </w:t>
      </w:r>
      <w:r>
        <w:rPr>
          <w:rFonts w:hint="eastAsia" w:ascii="宋体" w:hAnsi="宋体" w:cs="宋体"/>
          <w:sz w:val="24"/>
          <w:u w:val="single"/>
        </w:rPr>
        <w:t xml:space="preserve"> 日</w:t>
      </w:r>
      <w:r>
        <w:rPr>
          <w:rFonts w:hint="eastAsia" w:ascii="宋体" w:hAnsi="宋体" w:cs="宋体"/>
          <w:sz w:val="24"/>
        </w:rPr>
        <w:t>至</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 xml:space="preserve">年 </w:t>
      </w:r>
      <w:r>
        <w:rPr>
          <w:rFonts w:hint="eastAsia" w:ascii="宋体" w:hAnsi="宋体" w:cs="宋体"/>
          <w:sz w:val="24"/>
          <w:u w:val="single"/>
          <w:lang w:val="en-US" w:eastAsia="zh-CN"/>
        </w:rPr>
        <w:t xml:space="preserve"> </w:t>
      </w:r>
      <w:r>
        <w:rPr>
          <w:rFonts w:hint="eastAsia" w:ascii="宋体" w:hAnsi="宋体" w:cs="宋体"/>
          <w:sz w:val="24"/>
          <w:u w:val="single"/>
        </w:rPr>
        <w:t xml:space="preserve"> 月 </w:t>
      </w:r>
      <w:r>
        <w:rPr>
          <w:rFonts w:hint="eastAsia" w:ascii="宋体" w:hAnsi="宋体" w:cs="宋体"/>
          <w:sz w:val="24"/>
          <w:u w:val="single"/>
          <w:lang w:val="en-US" w:eastAsia="zh-CN"/>
        </w:rPr>
        <w:t xml:space="preserve"> </w:t>
      </w:r>
      <w:r>
        <w:rPr>
          <w:rFonts w:hint="eastAsia" w:ascii="宋体" w:hAnsi="宋体" w:cs="宋体"/>
          <w:sz w:val="24"/>
          <w:u w:val="single"/>
        </w:rPr>
        <w:t xml:space="preserve"> 日</w:t>
      </w:r>
      <w:r>
        <w:rPr>
          <w:rFonts w:hint="eastAsia" w:ascii="宋体" w:hAnsi="宋体" w:cs="宋体"/>
          <w:sz w:val="24"/>
        </w:rPr>
        <w:t>，每天上午00:00至12:00，下午12:00至23:59（北京时间，线上获取法定节假日均可，线下获取文件法定节假日除外）。</w:t>
      </w:r>
    </w:p>
    <w:p w14:paraId="7A1B76FD">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政采云平台（https://www.zcygov.cn/）。</w:t>
      </w:r>
    </w:p>
    <w:p w14:paraId="46AFE6AB">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w:t>
      </w:r>
    </w:p>
    <w:p w14:paraId="61DBC6B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0</w:t>
      </w:r>
    </w:p>
    <w:p w14:paraId="07838F39">
      <w:pPr>
        <w:spacing w:line="360" w:lineRule="auto"/>
        <w:ind w:firstLine="472"/>
        <w:rPr>
          <w:rFonts w:ascii="宋体" w:hAnsi="宋体" w:cs="宋体"/>
          <w:b/>
          <w:sz w:val="24"/>
        </w:rPr>
      </w:pPr>
      <w:r>
        <w:rPr>
          <w:rFonts w:hint="eastAsia" w:ascii="宋体" w:hAnsi="宋体" w:cs="宋体"/>
          <w:b/>
          <w:sz w:val="24"/>
        </w:rPr>
        <w:t>四、响应文件提交（上传）</w:t>
      </w:r>
    </w:p>
    <w:p w14:paraId="4DDBF846">
      <w:pPr>
        <w:spacing w:line="360" w:lineRule="auto"/>
        <w:ind w:firstLine="482" w:firstLineChars="200"/>
        <w:rPr>
          <w:rFonts w:ascii="宋体" w:hAnsi="宋体" w:cs="宋体"/>
          <w:sz w:val="24"/>
        </w:rPr>
      </w:pPr>
      <w:r>
        <w:rPr>
          <w:rFonts w:hint="eastAsia" w:ascii="宋体" w:hAnsi="宋体" w:cs="宋体"/>
          <w:b/>
          <w:sz w:val="24"/>
        </w:rPr>
        <w:t>截止时间：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 xml:space="preserve"> 年</w:t>
      </w:r>
      <w:r>
        <w:rPr>
          <w:rFonts w:hint="eastAsia" w:ascii="宋体" w:hAnsi="宋体" w:cs="宋体"/>
          <w:sz w:val="24"/>
          <w:u w:val="single"/>
          <w:lang w:val="en-US" w:eastAsia="zh-CN"/>
        </w:rPr>
        <w:t xml:space="preserve"> </w:t>
      </w:r>
      <w:r>
        <w:rPr>
          <w:rFonts w:hint="eastAsia" w:ascii="宋体" w:hAnsi="宋体" w:cs="宋体"/>
          <w:sz w:val="24"/>
          <w:u w:val="single"/>
        </w:rPr>
        <w:t xml:space="preserve"> 月</w:t>
      </w:r>
      <w:r>
        <w:rPr>
          <w:rFonts w:hint="eastAsia" w:ascii="宋体" w:hAnsi="宋体" w:cs="宋体"/>
          <w:sz w:val="24"/>
          <w:u w:val="single"/>
          <w:lang w:val="en-US" w:eastAsia="zh-CN"/>
        </w:rPr>
        <w:t xml:space="preserve"> </w:t>
      </w:r>
      <w:r>
        <w:rPr>
          <w:rFonts w:hint="eastAsia" w:ascii="宋体" w:hAnsi="宋体" w:cs="宋体"/>
          <w:sz w:val="24"/>
          <w:u w:val="single"/>
        </w:rPr>
        <w:t xml:space="preserve"> 日13点30分</w:t>
      </w:r>
      <w:r>
        <w:rPr>
          <w:rFonts w:hint="eastAsia" w:ascii="宋体" w:hAnsi="宋体" w:cs="宋体"/>
          <w:bCs/>
          <w:sz w:val="24"/>
          <w:u w:val="single"/>
        </w:rPr>
        <w:t>00秒</w:t>
      </w:r>
      <w:r>
        <w:rPr>
          <w:rFonts w:hint="eastAsia" w:ascii="宋体" w:hAnsi="宋体" w:cs="宋体"/>
          <w:sz w:val="24"/>
        </w:rPr>
        <w:t>（北京时间）</w:t>
      </w:r>
    </w:p>
    <w:p w14:paraId="7CA9EC08">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政采云平台（https://www.zcygov.cn/）</w:t>
      </w:r>
    </w:p>
    <w:p w14:paraId="27E72B23">
      <w:pPr>
        <w:spacing w:line="360" w:lineRule="auto"/>
        <w:ind w:firstLine="472"/>
        <w:rPr>
          <w:rFonts w:ascii="宋体" w:hAnsi="宋体" w:cs="宋体"/>
          <w:sz w:val="24"/>
        </w:rPr>
      </w:pPr>
      <w:r>
        <w:rPr>
          <w:rFonts w:hint="eastAsia" w:ascii="宋体" w:hAnsi="宋体" w:cs="宋体"/>
          <w:b/>
          <w:sz w:val="24"/>
        </w:rPr>
        <w:t>五、响应文件开启</w:t>
      </w:r>
    </w:p>
    <w:p w14:paraId="0266FF4F">
      <w:pPr>
        <w:spacing w:line="360" w:lineRule="auto"/>
        <w:ind w:firstLine="482" w:firstLineChars="200"/>
        <w:rPr>
          <w:rFonts w:ascii="宋体" w:hAnsi="宋体" w:cs="宋体"/>
          <w:bCs/>
          <w:sz w:val="24"/>
          <w:u w:val="single"/>
        </w:rPr>
      </w:pPr>
      <w:r>
        <w:rPr>
          <w:rFonts w:hint="eastAsia" w:ascii="宋体" w:hAnsi="宋体" w:cs="宋体"/>
          <w:b/>
          <w:sz w:val="24"/>
        </w:rPr>
        <w:t>开启时间：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 xml:space="preserve">年 </w:t>
      </w:r>
      <w:r>
        <w:rPr>
          <w:rFonts w:hint="eastAsia" w:ascii="宋体" w:hAnsi="宋体" w:cs="宋体"/>
          <w:sz w:val="24"/>
          <w:u w:val="single"/>
          <w:lang w:val="en-US" w:eastAsia="zh-CN"/>
        </w:rPr>
        <w:t xml:space="preserve">  </w:t>
      </w:r>
      <w:r>
        <w:rPr>
          <w:rFonts w:hint="eastAsia" w:ascii="宋体" w:hAnsi="宋体" w:cs="宋体"/>
          <w:sz w:val="24"/>
          <w:u w:val="single"/>
        </w:rPr>
        <w:t xml:space="preserve">月 </w:t>
      </w:r>
      <w:r>
        <w:rPr>
          <w:rFonts w:hint="eastAsia" w:ascii="宋体" w:hAnsi="宋体" w:cs="宋体"/>
          <w:sz w:val="24"/>
          <w:u w:val="single"/>
          <w:lang w:val="en-US" w:eastAsia="zh-CN"/>
        </w:rPr>
        <w:t xml:space="preserve"> </w:t>
      </w:r>
      <w:r>
        <w:rPr>
          <w:rFonts w:hint="eastAsia" w:ascii="宋体" w:hAnsi="宋体" w:cs="宋体"/>
          <w:sz w:val="24"/>
          <w:u w:val="single"/>
        </w:rPr>
        <w:t xml:space="preserve"> 日13点30分</w:t>
      </w:r>
      <w:r>
        <w:rPr>
          <w:rFonts w:hint="eastAsia" w:ascii="宋体" w:hAnsi="宋体" w:cs="宋体"/>
          <w:bCs/>
          <w:sz w:val="24"/>
          <w:u w:val="single"/>
        </w:rPr>
        <w:t>00秒</w:t>
      </w:r>
      <w:r>
        <w:rPr>
          <w:rFonts w:hint="eastAsia" w:ascii="宋体" w:hAnsi="宋体" w:cs="宋体"/>
          <w:sz w:val="24"/>
        </w:rPr>
        <w:t>（北京时间）</w:t>
      </w:r>
    </w:p>
    <w:p w14:paraId="2D7C98A2">
      <w:pPr>
        <w:spacing w:line="360" w:lineRule="auto"/>
        <w:ind w:firstLine="482" w:firstLineChars="200"/>
        <w:rPr>
          <w:rFonts w:ascii="宋体" w:hAnsi="宋体" w:cs="宋体"/>
          <w:b/>
          <w:sz w:val="24"/>
        </w:rPr>
      </w:pPr>
      <w:r>
        <w:rPr>
          <w:rFonts w:hint="eastAsia" w:ascii="宋体" w:hAnsi="宋体" w:cs="宋体"/>
          <w:b/>
          <w:sz w:val="24"/>
        </w:rPr>
        <w:t>地点（网址）：</w:t>
      </w:r>
      <w:r>
        <w:rPr>
          <w:rFonts w:hint="eastAsia" w:ascii="宋体" w:hAnsi="宋体" w:cs="宋体"/>
          <w:sz w:val="24"/>
        </w:rPr>
        <w:t>政采云平台（https://www.zcygov.cn/）</w:t>
      </w:r>
    </w:p>
    <w:p w14:paraId="5C621B61">
      <w:pPr>
        <w:spacing w:line="360" w:lineRule="auto"/>
        <w:ind w:firstLine="472"/>
        <w:rPr>
          <w:rFonts w:ascii="宋体" w:hAnsi="宋体" w:cs="宋体"/>
          <w:sz w:val="24"/>
        </w:rPr>
      </w:pPr>
      <w:r>
        <w:rPr>
          <w:rFonts w:hint="eastAsia" w:ascii="宋体" w:hAnsi="宋体" w:cs="宋体"/>
          <w:b/>
          <w:sz w:val="24"/>
        </w:rPr>
        <w:t>六、公告期限</w:t>
      </w:r>
    </w:p>
    <w:p w14:paraId="023BC585">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461CFA9C">
      <w:pPr>
        <w:spacing w:line="360" w:lineRule="auto"/>
        <w:ind w:firstLine="472"/>
        <w:rPr>
          <w:rFonts w:ascii="宋体" w:hAnsi="宋体" w:cs="宋体"/>
          <w:sz w:val="24"/>
        </w:rPr>
      </w:pPr>
      <w:r>
        <w:rPr>
          <w:rFonts w:hint="eastAsia" w:ascii="宋体" w:hAnsi="宋体" w:cs="宋体"/>
          <w:b/>
          <w:sz w:val="24"/>
        </w:rPr>
        <w:t>七、其他补充事宜</w:t>
      </w:r>
    </w:p>
    <w:p w14:paraId="790AFA7B">
      <w:pPr>
        <w:snapToGrid w:val="0"/>
        <w:spacing w:line="360" w:lineRule="auto"/>
        <w:ind w:firstLine="480" w:firstLineChars="200"/>
        <w:rPr>
          <w:rFonts w:ascii="宋体" w:hAnsi="宋体" w:cs="宋体"/>
          <w:sz w:val="24"/>
        </w:rPr>
      </w:pPr>
      <w:r>
        <w:rPr>
          <w:rFonts w:hint="eastAsia" w:ascii="宋体" w:hAnsi="宋体" w:cs="宋体"/>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5A12E6">
      <w:pPr>
        <w:snapToGrid w:val="0"/>
        <w:spacing w:line="360" w:lineRule="auto"/>
        <w:ind w:firstLine="480" w:firstLineChars="200"/>
        <w:rPr>
          <w:rFonts w:ascii="宋体" w:hAnsi="宋体" w:cs="宋体"/>
          <w:sz w:val="24"/>
        </w:rPr>
      </w:pPr>
      <w:r>
        <w:rPr>
          <w:rFonts w:hint="eastAsia" w:ascii="宋体" w:hAnsi="宋体" w:cs="宋体"/>
          <w:sz w:val="24"/>
        </w:rPr>
        <w:t>2.其他事项：</w:t>
      </w:r>
    </w:p>
    <w:p w14:paraId="6466A64B">
      <w:pPr>
        <w:snapToGrid w:val="0"/>
        <w:spacing w:line="360" w:lineRule="auto"/>
        <w:ind w:firstLine="480" w:firstLineChars="200"/>
        <w:rPr>
          <w:rFonts w:ascii="宋体" w:hAnsi="宋体" w:cs="宋体"/>
          <w:sz w:val="24"/>
        </w:rPr>
      </w:pPr>
      <w:r>
        <w:rPr>
          <w:rFonts w:hint="eastAsia" w:ascii="宋体" w:hAnsi="宋体" w:cs="宋体"/>
          <w:sz w:val="24"/>
        </w:rPr>
        <w:t>（1）需要落实的政府采购政策：包括节约资源、保护环境、支持创新、促进中小企业发展等。详见采购文件的第二部分总则。</w:t>
      </w:r>
    </w:p>
    <w:p w14:paraId="4B1BEE4D">
      <w:pPr>
        <w:snapToGrid w:val="0"/>
        <w:spacing w:line="360" w:lineRule="auto"/>
        <w:ind w:firstLine="480" w:firstLineChars="200"/>
        <w:rPr>
          <w:rFonts w:ascii="宋体" w:hAnsi="宋体" w:cs="宋体"/>
          <w:sz w:val="24"/>
        </w:rPr>
      </w:pPr>
      <w:r>
        <w:rPr>
          <w:rFonts w:hint="eastAsia" w:ascii="宋体" w:hAnsi="宋体" w:cs="宋体"/>
          <w:sz w:val="24"/>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7E1500F5">
      <w:pPr>
        <w:snapToGrid w:val="0"/>
        <w:spacing w:line="360" w:lineRule="auto"/>
        <w:ind w:firstLine="480" w:firstLineChars="200"/>
        <w:rPr>
          <w:rFonts w:ascii="宋体" w:hAnsi="宋体" w:cs="宋体"/>
          <w:sz w:val="24"/>
        </w:rPr>
      </w:pPr>
      <w:r>
        <w:rPr>
          <w:rFonts w:hint="eastAsia" w:ascii="宋体" w:hAnsi="宋体" w:cs="宋体"/>
          <w:sz w:val="24"/>
        </w:rPr>
        <w:t>（3）采购文件公告期限与竞争性磋商公告的公告期限一致。</w:t>
      </w:r>
    </w:p>
    <w:p w14:paraId="4209D2DE">
      <w:pPr>
        <w:snapToGrid w:val="0"/>
        <w:spacing w:line="360" w:lineRule="auto"/>
        <w:ind w:firstLine="480" w:firstLineChars="200"/>
        <w:rPr>
          <w:rFonts w:ascii="宋体" w:hAnsi="宋体" w:cs="宋体"/>
          <w:sz w:val="24"/>
        </w:rPr>
      </w:pPr>
      <w:r>
        <w:rPr>
          <w:rFonts w:hint="eastAsia" w:ascii="宋体" w:hAnsi="宋体" w:cs="宋体"/>
          <w:sz w:val="24"/>
        </w:rPr>
        <w:t>（4）本招标公告中二、申请人的资格要求：第一条中的“重大税收违法案件当事人名单”即为“重大税收违法失信主体”。</w:t>
      </w:r>
    </w:p>
    <w:p w14:paraId="43D21922">
      <w:pPr>
        <w:snapToGrid w:val="0"/>
        <w:spacing w:line="360" w:lineRule="auto"/>
        <w:ind w:firstLine="480" w:firstLineChars="200"/>
        <w:rPr>
          <w:rFonts w:ascii="宋体" w:hAnsi="宋体" w:cs="宋体"/>
          <w:sz w:val="24"/>
        </w:rPr>
      </w:pPr>
      <w:r>
        <w:rPr>
          <w:rFonts w:hint="eastAsia" w:cs="宋体" w:asciiTheme="minorEastAsia" w:hAnsiTheme="minorEastAsia" w:eastAsiaTheme="minorEastAsia"/>
          <w:sz w:val="24"/>
        </w:rPr>
        <w:t>（5）本公告发布媒体：浙江政府采购网（www.zjzfcg.gov.cn）、宁波政府采购(www.nbzfcg.cn)、宁波公共资源交易电子服务系统。</w:t>
      </w:r>
    </w:p>
    <w:p w14:paraId="5A21E763">
      <w:pPr>
        <w:spacing w:line="360" w:lineRule="auto"/>
        <w:ind w:firstLine="472"/>
        <w:rPr>
          <w:rFonts w:ascii="宋体" w:hAnsi="宋体" w:cs="宋体"/>
          <w:b/>
          <w:sz w:val="24"/>
        </w:rPr>
      </w:pPr>
      <w:r>
        <w:rPr>
          <w:rFonts w:hint="eastAsia" w:ascii="宋体" w:hAnsi="宋体" w:cs="宋体"/>
          <w:b/>
          <w:sz w:val="24"/>
        </w:rPr>
        <w:t>八、对本次采购提出询问、质疑、投诉，请按以下方式联系</w:t>
      </w:r>
    </w:p>
    <w:p w14:paraId="1B7E4729">
      <w:pPr>
        <w:snapToGrid w:val="0"/>
        <w:spacing w:line="360" w:lineRule="auto"/>
        <w:ind w:firstLine="480" w:firstLineChars="200"/>
        <w:rPr>
          <w:rFonts w:ascii="宋体" w:hAnsi="宋体" w:cs="宋体"/>
          <w:sz w:val="24"/>
        </w:rPr>
      </w:pPr>
      <w:r>
        <w:rPr>
          <w:rFonts w:hint="eastAsia" w:ascii="宋体" w:hAnsi="宋体" w:cs="宋体"/>
          <w:sz w:val="24"/>
        </w:rPr>
        <w:t>1.采购人信息</w:t>
      </w:r>
    </w:p>
    <w:p w14:paraId="70347A6C">
      <w:pPr>
        <w:snapToGrid w:val="0"/>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eastAsia="宋体" w:cs="宋体"/>
          <w:sz w:val="24"/>
        </w:rPr>
        <w:t>宁海县西店镇中心小学</w:t>
      </w:r>
    </w:p>
    <w:p w14:paraId="226A4656">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宁海县西店镇南山路西店196号</w:t>
      </w:r>
    </w:p>
    <w:p w14:paraId="0B2516FE">
      <w:pPr>
        <w:snapToGrid w:val="0"/>
        <w:spacing w:line="360" w:lineRule="auto"/>
        <w:ind w:firstLine="480" w:firstLineChars="200"/>
        <w:rPr>
          <w:rFonts w:ascii="宋体" w:hAnsi="宋体" w:cs="宋体"/>
          <w:sz w:val="24"/>
        </w:rPr>
      </w:pPr>
      <w:r>
        <w:rPr>
          <w:rFonts w:hint="eastAsia" w:ascii="宋体" w:hAnsi="宋体" w:cs="宋体"/>
          <w:sz w:val="24"/>
        </w:rPr>
        <w:t xml:space="preserve">传    真： / </w:t>
      </w:r>
    </w:p>
    <w:p w14:paraId="373DEFEF">
      <w:pPr>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项目联系人（询问）：</w:t>
      </w:r>
      <w:r>
        <w:rPr>
          <w:rFonts w:hint="eastAsia" w:asciiTheme="minorEastAsia" w:hAnsiTheme="minorEastAsia" w:eastAsiaTheme="minorEastAsia"/>
          <w:sz w:val="24"/>
          <w:lang w:val="en-US" w:eastAsia="zh-CN"/>
        </w:rPr>
        <w:t>石老师</w:t>
      </w:r>
    </w:p>
    <w:p w14:paraId="6AB3784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项目联系方式（询问）：</w:t>
      </w:r>
      <w:r>
        <w:rPr>
          <w:rFonts w:hint="eastAsia" w:ascii="宋体" w:hAnsi="宋体" w:eastAsia="宋体" w:cs="宋体"/>
          <w:sz w:val="24"/>
        </w:rPr>
        <w:t>13858391095</w:t>
      </w:r>
    </w:p>
    <w:p w14:paraId="279AC433">
      <w:pPr>
        <w:snapToGrid w:val="0"/>
        <w:spacing w:line="360" w:lineRule="auto"/>
        <w:ind w:firstLine="480" w:firstLineChars="200"/>
        <w:rPr>
          <w:rFonts w:ascii="宋体" w:hAnsi="宋体" w:cs="宋体"/>
          <w:sz w:val="24"/>
        </w:rPr>
      </w:pPr>
      <w:r>
        <w:rPr>
          <w:rFonts w:hint="eastAsia" w:ascii="宋体" w:hAnsi="宋体" w:cs="宋体"/>
          <w:sz w:val="24"/>
        </w:rPr>
        <w:t>2.采购代理机构信息</w:t>
      </w:r>
    </w:p>
    <w:p w14:paraId="7A07BFDC">
      <w:pPr>
        <w:snapToGrid w:val="0"/>
        <w:spacing w:line="360" w:lineRule="auto"/>
        <w:ind w:firstLine="480" w:firstLineChars="200"/>
        <w:rPr>
          <w:rFonts w:ascii="宋体" w:hAnsi="宋体" w:cs="宋体"/>
          <w:sz w:val="24"/>
        </w:rPr>
      </w:pPr>
      <w:r>
        <w:rPr>
          <w:rFonts w:hint="eastAsia" w:ascii="宋体" w:hAnsi="宋体" w:cs="宋体"/>
          <w:sz w:val="24"/>
        </w:rPr>
        <w:t>名    称：建经投资咨询有限公司</w:t>
      </w:r>
    </w:p>
    <w:p w14:paraId="1DC4A9FC">
      <w:pPr>
        <w:snapToGrid w:val="0"/>
        <w:spacing w:line="360" w:lineRule="auto"/>
        <w:ind w:firstLine="480" w:firstLineChars="200"/>
        <w:rPr>
          <w:rFonts w:ascii="宋体" w:hAnsi="宋体" w:cs="宋体"/>
          <w:sz w:val="24"/>
        </w:rPr>
      </w:pPr>
      <w:r>
        <w:rPr>
          <w:rFonts w:hint="eastAsia" w:ascii="宋体" w:hAnsi="宋体" w:cs="宋体"/>
          <w:sz w:val="24"/>
        </w:rPr>
        <w:t>地    址：宁海县北斗北路357-2</w:t>
      </w:r>
    </w:p>
    <w:p w14:paraId="6093C954">
      <w:pPr>
        <w:spacing w:line="360" w:lineRule="auto"/>
        <w:ind w:firstLine="480" w:firstLineChars="200"/>
        <w:rPr>
          <w:rFonts w:asciiTheme="minorEastAsia" w:hAnsiTheme="minorEastAsia" w:eastAsiaTheme="minorEastAsia"/>
          <w:sz w:val="24"/>
        </w:rPr>
      </w:pPr>
      <w:r>
        <w:rPr>
          <w:rFonts w:hint="eastAsia" w:ascii="宋体" w:hAnsi="宋体" w:cs="宋体"/>
          <w:sz w:val="24"/>
        </w:rPr>
        <w:t xml:space="preserve">传    真： </w:t>
      </w:r>
      <w:r>
        <w:rPr>
          <w:rFonts w:hint="eastAsia" w:asciiTheme="minorEastAsia" w:hAnsiTheme="minorEastAsia" w:eastAsiaTheme="minorEastAsia"/>
          <w:sz w:val="24"/>
        </w:rPr>
        <w:t>0574-65586889</w:t>
      </w:r>
      <w:r>
        <w:rPr>
          <w:rFonts w:hint="eastAsia" w:ascii="宋体" w:hAnsi="宋体" w:cs="宋体"/>
          <w:sz w:val="24"/>
        </w:rPr>
        <w:t xml:space="preserve"> </w:t>
      </w:r>
    </w:p>
    <w:p w14:paraId="1B76D35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项目联系人（询问）：胡幸幸</w:t>
      </w:r>
    </w:p>
    <w:p w14:paraId="61F1FF3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项目联系方式（询问）：0574-65586889</w:t>
      </w:r>
    </w:p>
    <w:p w14:paraId="2C77CC2E">
      <w:pPr>
        <w:snapToGrid w:val="0"/>
        <w:spacing w:line="360" w:lineRule="auto"/>
        <w:ind w:firstLine="480" w:firstLineChars="200"/>
        <w:rPr>
          <w:rFonts w:ascii="宋体" w:hAnsi="宋体" w:cs="宋体"/>
          <w:sz w:val="24"/>
        </w:rPr>
      </w:pPr>
      <w:r>
        <w:rPr>
          <w:rFonts w:hint="eastAsia" w:ascii="宋体" w:hAnsi="宋体" w:cs="宋体"/>
          <w:sz w:val="24"/>
        </w:rPr>
        <w:t>3.同级政府采购监督管理部门</w:t>
      </w:r>
    </w:p>
    <w:p w14:paraId="30396415">
      <w:pPr>
        <w:spacing w:line="360" w:lineRule="auto"/>
        <w:ind w:firstLine="480" w:firstLineChars="200"/>
        <w:rPr>
          <w:rFonts w:ascii="宋体" w:hAnsi="宋体" w:cs="宋体"/>
          <w:sz w:val="24"/>
        </w:rPr>
      </w:pPr>
      <w:r>
        <w:rPr>
          <w:rFonts w:hint="eastAsia" w:ascii="宋体" w:hAnsi="宋体" w:cs="宋体"/>
          <w:sz w:val="24"/>
        </w:rPr>
        <w:t>名    称：宁海县政府采购管理办公室</w:t>
      </w:r>
    </w:p>
    <w:p w14:paraId="06FD8E19">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cs="宋体"/>
          <w:kern w:val="0"/>
          <w:sz w:val="24"/>
        </w:rPr>
        <w:t>宁海县跃龙街道桃源中路218号</w:t>
      </w:r>
    </w:p>
    <w:p w14:paraId="5F0566DC">
      <w:pPr>
        <w:spacing w:line="360" w:lineRule="auto"/>
        <w:ind w:firstLine="480" w:firstLineChars="200"/>
        <w:rPr>
          <w:rFonts w:ascii="宋体" w:hAnsi="宋体" w:cs="宋体"/>
          <w:sz w:val="24"/>
        </w:rPr>
      </w:pPr>
      <w:r>
        <w:rPr>
          <w:rFonts w:hint="eastAsia" w:ascii="宋体" w:hAnsi="宋体" w:cs="宋体"/>
          <w:sz w:val="24"/>
        </w:rPr>
        <w:t>传    真：</w:t>
      </w:r>
      <w:r>
        <w:rPr>
          <w:rFonts w:hint="eastAsia" w:ascii="宋体" w:hAnsi="宋体" w:cs="宋体"/>
          <w:kern w:val="0"/>
          <w:sz w:val="24"/>
        </w:rPr>
        <w:t>0574-65265612</w:t>
      </w:r>
    </w:p>
    <w:p w14:paraId="32C3C116">
      <w:pPr>
        <w:spacing w:line="360" w:lineRule="auto"/>
        <w:ind w:firstLine="480" w:firstLineChars="200"/>
        <w:rPr>
          <w:rFonts w:ascii="宋体" w:hAnsi="宋体" w:cs="宋体"/>
          <w:sz w:val="24"/>
        </w:rPr>
      </w:pPr>
      <w:r>
        <w:rPr>
          <w:rFonts w:hint="eastAsia" w:ascii="宋体" w:hAnsi="宋体" w:cs="宋体"/>
          <w:sz w:val="24"/>
        </w:rPr>
        <w:t>联系人：</w:t>
      </w:r>
      <w:r>
        <w:rPr>
          <w:rFonts w:hint="eastAsia" w:asciiTheme="minorEastAsia" w:hAnsiTheme="minorEastAsia" w:eastAsiaTheme="minorEastAsia"/>
          <w:sz w:val="24"/>
        </w:rPr>
        <w:t>王老师</w:t>
      </w:r>
    </w:p>
    <w:p w14:paraId="13C86442">
      <w:pPr>
        <w:spacing w:line="360" w:lineRule="auto"/>
        <w:ind w:firstLine="480" w:firstLineChars="200"/>
        <w:rPr>
          <w:rFonts w:ascii="宋体" w:hAnsi="宋体" w:cs="宋体"/>
          <w:sz w:val="24"/>
        </w:rPr>
      </w:pPr>
      <w:r>
        <w:rPr>
          <w:rFonts w:hint="eastAsia" w:ascii="宋体" w:hAnsi="宋体" w:cs="宋体"/>
          <w:sz w:val="24"/>
        </w:rPr>
        <w:t>监督投诉电话：</w:t>
      </w:r>
      <w:r>
        <w:rPr>
          <w:rFonts w:hint="eastAsia" w:asciiTheme="minorEastAsia" w:hAnsiTheme="minorEastAsia" w:eastAsiaTheme="minorEastAsia"/>
          <w:sz w:val="24"/>
        </w:rPr>
        <w:t>0574-65265668</w:t>
      </w:r>
    </w:p>
    <w:p w14:paraId="1C54FCB8">
      <w:pPr>
        <w:snapToGrid w:val="0"/>
        <w:spacing w:line="360" w:lineRule="auto"/>
        <w:rPr>
          <w:rFonts w:ascii="宋体" w:hAnsi="宋体" w:cs="宋体"/>
          <w:sz w:val="24"/>
        </w:rPr>
      </w:pPr>
    </w:p>
    <w:p w14:paraId="14D8BB37">
      <w:pPr>
        <w:snapToGrid w:val="0"/>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342907F9">
      <w:pPr>
        <w:snapToGrid w:val="0"/>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56E46490">
      <w:pPr>
        <w:pStyle w:val="32"/>
        <w:rPr>
          <w:rFonts w:hAnsi="宋体" w:cs="宋体"/>
          <w:sz w:val="24"/>
        </w:rPr>
        <w:sectPr>
          <w:footerReference r:id="rId6" w:type="first"/>
          <w:footerReference r:id="rId4" w:type="default"/>
          <w:footerReference r:id="rId5" w:type="even"/>
          <w:pgSz w:w="11905" w:h="16838"/>
          <w:pgMar w:top="1134" w:right="1304" w:bottom="1134" w:left="1304" w:header="850" w:footer="850" w:gutter="283"/>
          <w:pgNumType w:start="1"/>
          <w:cols w:space="0" w:num="1"/>
          <w:titlePg/>
          <w:docGrid w:linePitch="312" w:charSpace="0"/>
        </w:sectPr>
      </w:pPr>
    </w:p>
    <w:p w14:paraId="26B81863">
      <w:pPr>
        <w:pStyle w:val="32"/>
        <w:spacing w:line="360" w:lineRule="auto"/>
        <w:ind w:firstLine="708"/>
        <w:jc w:val="center"/>
        <w:outlineLvl w:val="0"/>
        <w:rPr>
          <w:rFonts w:hAnsi="宋体" w:cs="宋体"/>
          <w:b/>
          <w:snapToGrid/>
          <w:sz w:val="36"/>
          <w:szCs w:val="20"/>
        </w:rPr>
      </w:pPr>
      <w:bookmarkStart w:id="15" w:name="_Toc13281"/>
      <w:r>
        <w:rPr>
          <w:rFonts w:hint="eastAsia" w:hAnsi="宋体" w:cs="宋体"/>
          <w:b/>
          <w:snapToGrid/>
          <w:sz w:val="36"/>
          <w:szCs w:val="20"/>
        </w:rPr>
        <w:t>第二部分</w:t>
      </w:r>
      <w:bookmarkEnd w:id="10"/>
      <w:r>
        <w:rPr>
          <w:rFonts w:hint="eastAsia" w:hAnsi="宋体" w:cs="宋体"/>
          <w:b/>
          <w:snapToGrid/>
          <w:sz w:val="36"/>
          <w:szCs w:val="20"/>
        </w:rPr>
        <w:t xml:space="preserve"> 供应商须知</w:t>
      </w:r>
      <w:bookmarkEnd w:id="11"/>
      <w:bookmarkEnd w:id="15"/>
    </w:p>
    <w:p w14:paraId="0366229E">
      <w:pPr>
        <w:snapToGrid w:val="0"/>
        <w:spacing w:line="360" w:lineRule="auto"/>
        <w:ind w:firstLine="630"/>
        <w:jc w:val="center"/>
        <w:rPr>
          <w:rFonts w:ascii="宋体" w:hAnsi="宋体" w:cs="宋体"/>
          <w:b/>
          <w:sz w:val="32"/>
          <w:szCs w:val="20"/>
        </w:rPr>
      </w:pPr>
      <w:r>
        <w:rPr>
          <w:rFonts w:hint="eastAsia" w:ascii="宋体" w:hAnsi="宋体" w:cs="宋体"/>
          <w:b/>
          <w:sz w:val="32"/>
          <w:szCs w:val="20"/>
        </w:rPr>
        <w:t>前附表</w:t>
      </w:r>
    </w:p>
    <w:tbl>
      <w:tblPr>
        <w:tblStyle w:val="62"/>
        <w:tblW w:w="9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0DA7D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714" w:type="dxa"/>
            <w:vAlign w:val="center"/>
          </w:tcPr>
          <w:p w14:paraId="6336BDE5">
            <w:pPr>
              <w:snapToGrid w:val="0"/>
              <w:spacing w:line="360" w:lineRule="exact"/>
              <w:ind w:firstLine="472"/>
              <w:jc w:val="center"/>
              <w:rPr>
                <w:rFonts w:ascii="宋体" w:hAnsi="宋体" w:cs="宋体"/>
                <w:b/>
                <w:sz w:val="24"/>
              </w:rPr>
            </w:pPr>
            <w:r>
              <w:rPr>
                <w:rFonts w:hint="eastAsia" w:ascii="宋体" w:hAnsi="宋体" w:cs="宋体"/>
                <w:b/>
                <w:sz w:val="24"/>
              </w:rPr>
              <w:t>序号</w:t>
            </w:r>
          </w:p>
        </w:tc>
        <w:tc>
          <w:tcPr>
            <w:tcW w:w="2093" w:type="dxa"/>
            <w:vAlign w:val="center"/>
          </w:tcPr>
          <w:p w14:paraId="268EDB46">
            <w:pPr>
              <w:snapToGrid w:val="0"/>
              <w:spacing w:line="360" w:lineRule="exact"/>
              <w:ind w:firstLine="472"/>
              <w:jc w:val="center"/>
              <w:rPr>
                <w:rFonts w:ascii="宋体" w:hAnsi="宋体" w:cs="宋体"/>
                <w:b/>
                <w:sz w:val="24"/>
              </w:rPr>
            </w:pPr>
            <w:r>
              <w:rPr>
                <w:rFonts w:hint="eastAsia" w:ascii="宋体" w:hAnsi="宋体" w:cs="宋体"/>
                <w:b/>
                <w:sz w:val="24"/>
              </w:rPr>
              <w:t>事项</w:t>
            </w:r>
          </w:p>
        </w:tc>
        <w:tc>
          <w:tcPr>
            <w:tcW w:w="6927" w:type="dxa"/>
            <w:vAlign w:val="center"/>
          </w:tcPr>
          <w:p w14:paraId="7316DE8B">
            <w:pPr>
              <w:snapToGrid w:val="0"/>
              <w:spacing w:line="360" w:lineRule="exact"/>
              <w:ind w:firstLine="472"/>
              <w:jc w:val="center"/>
              <w:rPr>
                <w:rFonts w:ascii="宋体" w:hAnsi="宋体" w:cs="宋体"/>
                <w:b/>
                <w:sz w:val="24"/>
              </w:rPr>
            </w:pPr>
            <w:r>
              <w:rPr>
                <w:rFonts w:hint="eastAsia" w:ascii="宋体" w:hAnsi="宋体" w:cs="宋体"/>
                <w:b/>
                <w:sz w:val="24"/>
              </w:rPr>
              <w:t>本项目的特别规定</w:t>
            </w:r>
          </w:p>
        </w:tc>
      </w:tr>
      <w:tr w14:paraId="1FB1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0" w:hRule="atLeast"/>
          <w:jc w:val="center"/>
        </w:trPr>
        <w:tc>
          <w:tcPr>
            <w:tcW w:w="714" w:type="dxa"/>
            <w:vAlign w:val="center"/>
          </w:tcPr>
          <w:p w14:paraId="1EE2CE9C">
            <w:pPr>
              <w:snapToGrid w:val="0"/>
              <w:spacing w:line="360" w:lineRule="exact"/>
              <w:jc w:val="center"/>
              <w:rPr>
                <w:rFonts w:ascii="宋体" w:hAnsi="宋体" w:cs="宋体"/>
                <w:sz w:val="24"/>
              </w:rPr>
            </w:pPr>
            <w:r>
              <w:rPr>
                <w:rFonts w:hint="eastAsia" w:ascii="宋体" w:hAnsi="宋体" w:cs="宋体"/>
                <w:sz w:val="24"/>
              </w:rPr>
              <w:t>1</w:t>
            </w:r>
          </w:p>
        </w:tc>
        <w:tc>
          <w:tcPr>
            <w:tcW w:w="2093" w:type="dxa"/>
            <w:vAlign w:val="center"/>
          </w:tcPr>
          <w:p w14:paraId="0DA097A4">
            <w:pPr>
              <w:snapToGrid w:val="0"/>
              <w:spacing w:line="360" w:lineRule="exact"/>
              <w:ind w:firstLine="472"/>
              <w:jc w:val="center"/>
              <w:rPr>
                <w:rFonts w:ascii="宋体" w:hAnsi="宋体" w:cs="宋体"/>
                <w:b/>
                <w:sz w:val="24"/>
              </w:rPr>
            </w:pPr>
            <w:r>
              <w:rPr>
                <w:rFonts w:hint="eastAsia" w:ascii="宋体" w:hAnsi="宋体" w:cs="宋体"/>
                <w:b/>
                <w:sz w:val="24"/>
              </w:rPr>
              <w:t>项目属性</w:t>
            </w:r>
          </w:p>
        </w:tc>
        <w:tc>
          <w:tcPr>
            <w:tcW w:w="6927" w:type="dxa"/>
            <w:vAlign w:val="center"/>
          </w:tcPr>
          <w:p w14:paraId="02FEF300">
            <w:pPr>
              <w:spacing w:line="360" w:lineRule="exact"/>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6EC1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0" w:hRule="atLeast"/>
          <w:jc w:val="center"/>
        </w:trPr>
        <w:tc>
          <w:tcPr>
            <w:tcW w:w="714" w:type="dxa"/>
            <w:vAlign w:val="center"/>
          </w:tcPr>
          <w:p w14:paraId="420F1B34">
            <w:pPr>
              <w:snapToGrid w:val="0"/>
              <w:spacing w:line="360" w:lineRule="exact"/>
              <w:jc w:val="center"/>
              <w:rPr>
                <w:rFonts w:ascii="宋体" w:hAnsi="宋体" w:cs="宋体"/>
                <w:sz w:val="24"/>
              </w:rPr>
            </w:pPr>
            <w:r>
              <w:rPr>
                <w:rFonts w:hint="eastAsia" w:ascii="宋体" w:hAnsi="宋体" w:cs="宋体"/>
                <w:sz w:val="24"/>
              </w:rPr>
              <w:t>2</w:t>
            </w:r>
          </w:p>
        </w:tc>
        <w:tc>
          <w:tcPr>
            <w:tcW w:w="2093" w:type="dxa"/>
            <w:vAlign w:val="center"/>
          </w:tcPr>
          <w:p w14:paraId="25870003">
            <w:pPr>
              <w:snapToGrid w:val="0"/>
              <w:spacing w:line="360" w:lineRule="exact"/>
              <w:ind w:firstLine="472"/>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01C1AA1E">
            <w:pPr>
              <w:snapToGrid w:val="0"/>
              <w:spacing w:line="360" w:lineRule="exact"/>
              <w:rPr>
                <w:rFonts w:ascii="宋体" w:hAnsi="宋体" w:cs="宋体"/>
              </w:rPr>
            </w:pPr>
            <w:r>
              <w:rPr>
                <w:rFonts w:hint="eastAsia" w:ascii="宋体" w:hAnsi="宋体" w:cs="宋体"/>
                <w:kern w:val="0"/>
                <w:sz w:val="24"/>
              </w:rPr>
              <w:t>标的：</w:t>
            </w:r>
            <w:r>
              <w:rPr>
                <w:rFonts w:hint="eastAsia" w:ascii="宋体" w:hAnsi="宋体" w:cs="宋体"/>
                <w:kern w:val="0"/>
                <w:sz w:val="24"/>
                <w:u w:val="single"/>
                <w:lang w:eastAsia="zh-CN"/>
              </w:rPr>
              <w:t>西店镇中心小学新建连廊、外立面提升等维修工程</w:t>
            </w:r>
            <w:r>
              <w:rPr>
                <w:rFonts w:hint="eastAsia" w:ascii="宋体" w:hAnsi="宋体" w:cs="宋体"/>
                <w:kern w:val="0"/>
                <w:sz w:val="24"/>
              </w:rPr>
              <w:t>，属于</w:t>
            </w:r>
            <w:r>
              <w:rPr>
                <w:rFonts w:hint="eastAsia" w:ascii="宋体" w:hAnsi="宋体" w:cs="宋体"/>
                <w:kern w:val="0"/>
                <w:sz w:val="24"/>
                <w:u w:val="single"/>
              </w:rPr>
              <w:t xml:space="preserve"> 建筑业 </w:t>
            </w:r>
            <w:r>
              <w:rPr>
                <w:rFonts w:hint="eastAsia" w:ascii="宋体" w:hAnsi="宋体" w:cs="宋体"/>
                <w:kern w:val="0"/>
                <w:sz w:val="24"/>
              </w:rPr>
              <w:t>行业。</w:t>
            </w:r>
          </w:p>
        </w:tc>
      </w:tr>
      <w:tr w14:paraId="0523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0" w:hRule="atLeast"/>
          <w:jc w:val="center"/>
        </w:trPr>
        <w:tc>
          <w:tcPr>
            <w:tcW w:w="714" w:type="dxa"/>
            <w:vAlign w:val="center"/>
          </w:tcPr>
          <w:p w14:paraId="2F873C03">
            <w:pPr>
              <w:snapToGrid w:val="0"/>
              <w:spacing w:line="360" w:lineRule="exact"/>
              <w:jc w:val="center"/>
              <w:rPr>
                <w:rFonts w:ascii="宋体" w:hAnsi="宋体" w:cs="宋体"/>
                <w:sz w:val="24"/>
              </w:rPr>
            </w:pPr>
            <w:r>
              <w:rPr>
                <w:rFonts w:hint="eastAsia" w:ascii="宋体" w:hAnsi="宋体" w:cs="宋体"/>
                <w:sz w:val="24"/>
              </w:rPr>
              <w:t>3</w:t>
            </w:r>
          </w:p>
        </w:tc>
        <w:tc>
          <w:tcPr>
            <w:tcW w:w="2093" w:type="dxa"/>
            <w:vAlign w:val="center"/>
          </w:tcPr>
          <w:p w14:paraId="019BFFD6">
            <w:pPr>
              <w:snapToGrid w:val="0"/>
              <w:spacing w:line="360" w:lineRule="exact"/>
              <w:ind w:firstLine="472"/>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0F8C441C">
            <w:pPr>
              <w:spacing w:line="360" w:lineRule="exact"/>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A77A281">
            <w:pPr>
              <w:spacing w:line="360" w:lineRule="exact"/>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0ED2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0" w:hRule="atLeast"/>
          <w:jc w:val="center"/>
        </w:trPr>
        <w:tc>
          <w:tcPr>
            <w:tcW w:w="714" w:type="dxa"/>
            <w:vAlign w:val="center"/>
          </w:tcPr>
          <w:p w14:paraId="10342576">
            <w:pPr>
              <w:snapToGrid w:val="0"/>
              <w:spacing w:line="360" w:lineRule="exact"/>
              <w:jc w:val="center"/>
              <w:rPr>
                <w:rFonts w:ascii="宋体" w:hAnsi="宋体" w:cs="宋体"/>
                <w:sz w:val="24"/>
              </w:rPr>
            </w:pPr>
            <w:r>
              <w:rPr>
                <w:rFonts w:hint="eastAsia" w:ascii="宋体" w:hAnsi="宋体" w:cs="宋体"/>
                <w:sz w:val="24"/>
              </w:rPr>
              <w:t>4</w:t>
            </w:r>
          </w:p>
        </w:tc>
        <w:tc>
          <w:tcPr>
            <w:tcW w:w="2093" w:type="dxa"/>
            <w:vAlign w:val="center"/>
          </w:tcPr>
          <w:p w14:paraId="7FEBC847">
            <w:pPr>
              <w:snapToGrid w:val="0"/>
              <w:spacing w:line="360" w:lineRule="exact"/>
              <w:ind w:firstLine="472"/>
              <w:jc w:val="center"/>
              <w:rPr>
                <w:rFonts w:ascii="宋体" w:hAnsi="宋体" w:cs="宋体"/>
                <w:b/>
                <w:sz w:val="24"/>
              </w:rPr>
            </w:pPr>
            <w:r>
              <w:rPr>
                <w:rFonts w:hint="eastAsia" w:ascii="宋体" w:hAnsi="宋体" w:cs="宋体"/>
                <w:b/>
                <w:sz w:val="24"/>
              </w:rPr>
              <w:t>分包</w:t>
            </w:r>
          </w:p>
        </w:tc>
        <w:tc>
          <w:tcPr>
            <w:tcW w:w="6927" w:type="dxa"/>
            <w:vAlign w:val="center"/>
          </w:tcPr>
          <w:p w14:paraId="26C3325C">
            <w:pPr>
              <w:spacing w:line="360" w:lineRule="exact"/>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4076C6AA">
            <w:pPr>
              <w:spacing w:line="360" w:lineRule="exact"/>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14:paraId="7DC3B736">
            <w:pPr>
              <w:spacing w:line="360" w:lineRule="exact"/>
              <w:rPr>
                <w:rFonts w:ascii="宋体" w:hAnsi="宋体" w:cs="宋体"/>
                <w:sz w:val="24"/>
              </w:rPr>
            </w:pPr>
            <w:r>
              <w:rPr>
                <w:rFonts w:hint="eastAsia" w:ascii="宋体" w:hAnsi="宋体" w:cs="宋体"/>
                <w:sz w:val="24"/>
              </w:rPr>
              <w:t>注：不得限制大中型企业向小微企业合理分包。</w:t>
            </w:r>
          </w:p>
        </w:tc>
      </w:tr>
      <w:tr w14:paraId="726E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0" w:hRule="atLeast"/>
          <w:jc w:val="center"/>
        </w:trPr>
        <w:tc>
          <w:tcPr>
            <w:tcW w:w="714" w:type="dxa"/>
            <w:vAlign w:val="center"/>
          </w:tcPr>
          <w:p w14:paraId="3938FF80">
            <w:pPr>
              <w:snapToGrid w:val="0"/>
              <w:spacing w:line="360" w:lineRule="exact"/>
              <w:jc w:val="center"/>
              <w:rPr>
                <w:rFonts w:ascii="宋体" w:hAnsi="宋体" w:cs="宋体"/>
                <w:sz w:val="24"/>
              </w:rPr>
            </w:pPr>
            <w:r>
              <w:rPr>
                <w:rFonts w:hint="eastAsia" w:ascii="宋体" w:hAnsi="宋体" w:cs="宋体"/>
                <w:sz w:val="24"/>
              </w:rPr>
              <w:t>5</w:t>
            </w:r>
          </w:p>
        </w:tc>
        <w:tc>
          <w:tcPr>
            <w:tcW w:w="2093" w:type="dxa"/>
            <w:vAlign w:val="center"/>
          </w:tcPr>
          <w:p w14:paraId="2D23B8BD">
            <w:pPr>
              <w:snapToGrid w:val="0"/>
              <w:spacing w:line="360" w:lineRule="exact"/>
              <w:ind w:firstLine="472"/>
              <w:jc w:val="center"/>
              <w:rPr>
                <w:rFonts w:ascii="宋体" w:hAnsi="宋体" w:cs="宋体"/>
                <w:b/>
                <w:sz w:val="24"/>
              </w:rPr>
            </w:pPr>
            <w:r>
              <w:rPr>
                <w:rFonts w:hint="eastAsia" w:ascii="宋体" w:hAnsi="宋体" w:cs="宋体"/>
                <w:b/>
                <w:sz w:val="24"/>
              </w:rPr>
              <w:t>磋商前答疑会或现场考察</w:t>
            </w:r>
          </w:p>
        </w:tc>
        <w:tc>
          <w:tcPr>
            <w:tcW w:w="6927" w:type="dxa"/>
            <w:vAlign w:val="center"/>
          </w:tcPr>
          <w:p w14:paraId="1480AFE4">
            <w:pPr>
              <w:spacing w:line="360" w:lineRule="exact"/>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A</w:t>
            </w:r>
            <w:r>
              <w:rPr>
                <w:rFonts w:hint="eastAsia" w:ascii="宋体" w:hAnsi="宋体" w:cs="宋体"/>
                <w:sz w:val="24"/>
              </w:rPr>
              <w:t>不组织。</w:t>
            </w:r>
          </w:p>
          <w:p w14:paraId="7E8322C0">
            <w:pPr>
              <w:spacing w:line="360" w:lineRule="exact"/>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17C8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50" w:hRule="atLeast"/>
          <w:jc w:val="center"/>
        </w:trPr>
        <w:tc>
          <w:tcPr>
            <w:tcW w:w="714" w:type="dxa"/>
            <w:vAlign w:val="center"/>
          </w:tcPr>
          <w:p w14:paraId="7E4CFF43">
            <w:pPr>
              <w:snapToGrid w:val="0"/>
              <w:spacing w:line="360" w:lineRule="exact"/>
              <w:jc w:val="center"/>
              <w:rPr>
                <w:rFonts w:ascii="宋体" w:hAnsi="宋体" w:cs="宋体"/>
                <w:sz w:val="24"/>
              </w:rPr>
            </w:pPr>
            <w:r>
              <w:rPr>
                <w:rFonts w:hint="eastAsia" w:ascii="宋体" w:hAnsi="宋体" w:cs="宋体"/>
                <w:sz w:val="24"/>
              </w:rPr>
              <w:t>6</w:t>
            </w:r>
          </w:p>
        </w:tc>
        <w:tc>
          <w:tcPr>
            <w:tcW w:w="2093" w:type="dxa"/>
            <w:vAlign w:val="center"/>
          </w:tcPr>
          <w:p w14:paraId="2200739C">
            <w:pPr>
              <w:snapToGrid w:val="0"/>
              <w:spacing w:line="360" w:lineRule="exact"/>
              <w:ind w:firstLine="472"/>
              <w:jc w:val="center"/>
              <w:rPr>
                <w:rFonts w:ascii="宋体" w:hAnsi="宋体" w:cs="宋体"/>
                <w:b/>
                <w:sz w:val="24"/>
              </w:rPr>
            </w:pPr>
            <w:r>
              <w:rPr>
                <w:rFonts w:hint="eastAsia" w:ascii="宋体" w:hAnsi="宋体" w:cs="宋体"/>
                <w:b/>
                <w:sz w:val="24"/>
              </w:rPr>
              <w:t>样品提供</w:t>
            </w:r>
          </w:p>
        </w:tc>
        <w:tc>
          <w:tcPr>
            <w:tcW w:w="6927" w:type="dxa"/>
            <w:vAlign w:val="center"/>
          </w:tcPr>
          <w:p w14:paraId="1F8F36B2">
            <w:pPr>
              <w:spacing w:line="360" w:lineRule="exact"/>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09178188">
            <w:pPr>
              <w:spacing w:line="360" w:lineRule="exact"/>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14:paraId="0D07FD81">
            <w:pPr>
              <w:spacing w:line="360" w:lineRule="exact"/>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5FBAAF91">
            <w:pPr>
              <w:spacing w:line="360" w:lineRule="exact"/>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0F3F25EA">
            <w:pPr>
              <w:spacing w:line="360" w:lineRule="exact"/>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5B341AA3">
            <w:pPr>
              <w:spacing w:line="360" w:lineRule="exact"/>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5C7B9AC5">
            <w:pPr>
              <w:spacing w:line="360" w:lineRule="exact"/>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3D16C6B6">
            <w:pPr>
              <w:spacing w:line="360" w:lineRule="exact"/>
              <w:rPr>
                <w:rFonts w:ascii="宋体" w:hAnsi="宋体" w:cs="宋体"/>
                <w:sz w:val="24"/>
              </w:rPr>
            </w:pPr>
            <w:r>
              <w:rPr>
                <w:rFonts w:hint="eastAsia" w:ascii="宋体" w:hAnsi="宋体" w:cs="宋体"/>
                <w:sz w:val="24"/>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44FB0CE7">
            <w:pPr>
              <w:spacing w:line="360" w:lineRule="exact"/>
              <w:rPr>
                <w:rFonts w:ascii="宋体" w:hAnsi="宋体" w:cs="宋体"/>
                <w:b/>
                <w:sz w:val="24"/>
              </w:rPr>
            </w:pPr>
            <w:r>
              <w:rPr>
                <w:rFonts w:hint="eastAsia" w:ascii="宋体" w:hAnsi="宋体" w:cs="宋体"/>
                <w:sz w:val="24"/>
              </w:rPr>
              <w:t>（7）制作、运输、安装和保管样品所发生的一切费用由供应商自理。</w:t>
            </w:r>
          </w:p>
        </w:tc>
      </w:tr>
      <w:tr w14:paraId="6B43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0" w:hRule="atLeast"/>
          <w:jc w:val="center"/>
        </w:trPr>
        <w:tc>
          <w:tcPr>
            <w:tcW w:w="714" w:type="dxa"/>
            <w:vAlign w:val="center"/>
          </w:tcPr>
          <w:p w14:paraId="58C9E03A">
            <w:pPr>
              <w:snapToGrid w:val="0"/>
              <w:spacing w:line="360" w:lineRule="exact"/>
              <w:jc w:val="center"/>
              <w:rPr>
                <w:rFonts w:ascii="宋体" w:hAnsi="宋体" w:cs="宋体"/>
                <w:sz w:val="24"/>
              </w:rPr>
            </w:pPr>
            <w:r>
              <w:rPr>
                <w:rFonts w:hint="eastAsia" w:ascii="宋体" w:hAnsi="宋体" w:cs="宋体"/>
                <w:sz w:val="24"/>
              </w:rPr>
              <w:t>7</w:t>
            </w:r>
          </w:p>
        </w:tc>
        <w:tc>
          <w:tcPr>
            <w:tcW w:w="2093" w:type="dxa"/>
            <w:vAlign w:val="center"/>
          </w:tcPr>
          <w:p w14:paraId="3A6F215B">
            <w:pPr>
              <w:snapToGrid w:val="0"/>
              <w:spacing w:line="360" w:lineRule="exact"/>
              <w:ind w:firstLine="472"/>
              <w:jc w:val="center"/>
              <w:rPr>
                <w:rFonts w:ascii="宋体" w:hAnsi="宋体" w:cs="宋体"/>
                <w:bCs/>
                <w:sz w:val="24"/>
              </w:rPr>
            </w:pPr>
            <w:r>
              <w:rPr>
                <w:rFonts w:hint="eastAsia" w:ascii="宋体" w:hAnsi="宋体" w:cs="宋体"/>
                <w:b/>
                <w:sz w:val="24"/>
              </w:rPr>
              <w:t>方案讲解演示</w:t>
            </w:r>
          </w:p>
        </w:tc>
        <w:tc>
          <w:tcPr>
            <w:tcW w:w="6927" w:type="dxa"/>
            <w:vAlign w:val="center"/>
          </w:tcPr>
          <w:p w14:paraId="2FC088A2">
            <w:pPr>
              <w:spacing w:line="360" w:lineRule="exact"/>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6CF12FD5">
            <w:pPr>
              <w:spacing w:line="360" w:lineRule="exact"/>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3EA289B0">
            <w:pPr>
              <w:snapToGrid w:val="0"/>
              <w:spacing w:line="360" w:lineRule="exact"/>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人。讲解演示结束后按要求解答磋商小组提问。</w:t>
            </w:r>
          </w:p>
          <w:p w14:paraId="5E7D2412">
            <w:pPr>
              <w:snapToGrid w:val="0"/>
              <w:spacing w:line="360" w:lineRule="exact"/>
              <w:rPr>
                <w:rFonts w:ascii="宋体" w:hAnsi="宋体" w:cs="宋体"/>
                <w:kern w:val="0"/>
                <w:sz w:val="24"/>
              </w:rPr>
            </w:pPr>
            <w:r>
              <w:rPr>
                <w:rFonts w:hint="eastAsia" w:ascii="宋体" w:hAnsi="宋体" w:cs="宋体"/>
                <w:kern w:val="0"/>
                <w:sz w:val="24"/>
              </w:rPr>
              <w:t>（2）方案讲解演示可选择以下其中一种方式：</w:t>
            </w:r>
          </w:p>
          <w:p w14:paraId="3D74FCDD">
            <w:pPr>
              <w:snapToGrid w:val="0"/>
              <w:spacing w:line="360" w:lineRule="exact"/>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696BE5D4">
            <w:pPr>
              <w:snapToGrid w:val="0"/>
              <w:spacing w:line="360" w:lineRule="exact"/>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3BD404FD">
            <w:pPr>
              <w:snapToGrid w:val="0"/>
              <w:spacing w:line="360" w:lineRule="exact"/>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0A49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0" w:hRule="atLeast"/>
          <w:jc w:val="center"/>
        </w:trPr>
        <w:tc>
          <w:tcPr>
            <w:tcW w:w="714" w:type="dxa"/>
            <w:vMerge w:val="restart"/>
            <w:vAlign w:val="center"/>
          </w:tcPr>
          <w:p w14:paraId="1A88F2A2">
            <w:pPr>
              <w:snapToGrid w:val="0"/>
              <w:spacing w:line="360" w:lineRule="exact"/>
              <w:jc w:val="center"/>
              <w:rPr>
                <w:rFonts w:ascii="宋体" w:hAnsi="宋体" w:cs="宋体"/>
                <w:sz w:val="24"/>
              </w:rPr>
            </w:pPr>
            <w:r>
              <w:rPr>
                <w:rFonts w:hint="eastAsia" w:ascii="宋体" w:hAnsi="宋体" w:cs="宋体"/>
                <w:sz w:val="24"/>
              </w:rPr>
              <w:t>8</w:t>
            </w:r>
          </w:p>
        </w:tc>
        <w:tc>
          <w:tcPr>
            <w:tcW w:w="2093" w:type="dxa"/>
            <w:vMerge w:val="restart"/>
            <w:vAlign w:val="center"/>
          </w:tcPr>
          <w:p w14:paraId="4333F06C">
            <w:pPr>
              <w:snapToGrid w:val="0"/>
              <w:spacing w:line="360" w:lineRule="exact"/>
              <w:ind w:firstLine="472"/>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50D6A022">
            <w:pPr>
              <w:spacing w:line="360" w:lineRule="exact"/>
              <w:rPr>
                <w:rFonts w:ascii="宋体" w:hAnsi="宋体" w:cs="宋体"/>
                <w:sz w:val="24"/>
              </w:rPr>
            </w:pPr>
            <w:r>
              <w:rPr>
                <w:rFonts w:hint="eastAsia" w:ascii="宋体" w:hAnsi="宋体" w:cs="宋体"/>
                <w:sz w:val="24"/>
              </w:rPr>
              <w:t>（1）资格证明文件：见采购文件第二部分11.1。</w:t>
            </w:r>
          </w:p>
          <w:p w14:paraId="4C1682A1">
            <w:pPr>
              <w:spacing w:line="360" w:lineRule="exact"/>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281A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0" w:hRule="atLeast"/>
          <w:jc w:val="center"/>
        </w:trPr>
        <w:tc>
          <w:tcPr>
            <w:tcW w:w="714" w:type="dxa"/>
            <w:vMerge w:val="continue"/>
            <w:vAlign w:val="center"/>
          </w:tcPr>
          <w:p w14:paraId="17F37675">
            <w:pPr>
              <w:snapToGrid w:val="0"/>
              <w:spacing w:line="360" w:lineRule="exact"/>
              <w:jc w:val="center"/>
              <w:rPr>
                <w:rFonts w:ascii="宋体" w:hAnsi="宋体" w:cs="宋体"/>
                <w:sz w:val="24"/>
              </w:rPr>
            </w:pPr>
          </w:p>
        </w:tc>
        <w:tc>
          <w:tcPr>
            <w:tcW w:w="2093" w:type="dxa"/>
            <w:vMerge w:val="continue"/>
            <w:vAlign w:val="center"/>
          </w:tcPr>
          <w:p w14:paraId="514DB941">
            <w:pPr>
              <w:snapToGrid w:val="0"/>
              <w:spacing w:line="360" w:lineRule="exact"/>
              <w:ind w:firstLine="472"/>
              <w:jc w:val="center"/>
              <w:rPr>
                <w:rFonts w:ascii="宋体" w:hAnsi="宋体" w:cs="宋体"/>
                <w:b/>
                <w:sz w:val="24"/>
              </w:rPr>
            </w:pPr>
          </w:p>
        </w:tc>
        <w:tc>
          <w:tcPr>
            <w:tcW w:w="6927" w:type="dxa"/>
            <w:vAlign w:val="center"/>
          </w:tcPr>
          <w:p w14:paraId="188724EA">
            <w:pPr>
              <w:spacing w:line="360" w:lineRule="exact"/>
              <w:rPr>
                <w:rFonts w:ascii="宋体" w:hAnsi="宋体" w:cs="宋体"/>
                <w:sz w:val="24"/>
              </w:rPr>
            </w:pPr>
            <w:r>
              <w:rPr>
                <w:rFonts w:hint="eastAsia" w:ascii="宋体" w:hAnsi="宋体" w:cs="宋体"/>
                <w:sz w:val="24"/>
              </w:rPr>
              <w:t>（2）资信证明文件：根据采购文件第四部分评审标准提供。</w:t>
            </w:r>
          </w:p>
        </w:tc>
      </w:tr>
      <w:tr w14:paraId="6371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80" w:hRule="atLeast"/>
          <w:jc w:val="center"/>
        </w:trPr>
        <w:tc>
          <w:tcPr>
            <w:tcW w:w="714" w:type="dxa"/>
            <w:vAlign w:val="center"/>
          </w:tcPr>
          <w:p w14:paraId="44EFF45F">
            <w:pPr>
              <w:snapToGrid w:val="0"/>
              <w:spacing w:line="360" w:lineRule="exact"/>
              <w:jc w:val="center"/>
              <w:rPr>
                <w:rFonts w:ascii="宋体" w:hAnsi="宋体" w:cs="宋体"/>
                <w:sz w:val="24"/>
              </w:rPr>
            </w:pPr>
            <w:r>
              <w:rPr>
                <w:rFonts w:hint="eastAsia" w:ascii="宋体" w:hAnsi="宋体" w:cs="宋体"/>
                <w:sz w:val="24"/>
              </w:rPr>
              <w:t>9</w:t>
            </w:r>
          </w:p>
        </w:tc>
        <w:tc>
          <w:tcPr>
            <w:tcW w:w="2093" w:type="dxa"/>
            <w:vAlign w:val="center"/>
          </w:tcPr>
          <w:p w14:paraId="56F92533">
            <w:pPr>
              <w:snapToGrid w:val="0"/>
              <w:spacing w:line="360" w:lineRule="exact"/>
              <w:ind w:firstLine="472"/>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4763BE9F">
            <w:pPr>
              <w:snapToGrid w:val="0"/>
              <w:spacing w:line="360" w:lineRule="exact"/>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607B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0" w:hRule="atLeast"/>
          <w:jc w:val="center"/>
        </w:trPr>
        <w:tc>
          <w:tcPr>
            <w:tcW w:w="714" w:type="dxa"/>
            <w:vAlign w:val="center"/>
          </w:tcPr>
          <w:p w14:paraId="3AF4C0B4">
            <w:pPr>
              <w:snapToGrid w:val="0"/>
              <w:spacing w:line="360" w:lineRule="exact"/>
              <w:jc w:val="center"/>
              <w:rPr>
                <w:rFonts w:ascii="宋体" w:hAnsi="宋体" w:cs="宋体"/>
                <w:sz w:val="24"/>
              </w:rPr>
            </w:pPr>
            <w:r>
              <w:rPr>
                <w:rFonts w:hint="eastAsia" w:ascii="宋体" w:hAnsi="宋体" w:cs="宋体"/>
                <w:sz w:val="24"/>
              </w:rPr>
              <w:t>10</w:t>
            </w:r>
          </w:p>
        </w:tc>
        <w:tc>
          <w:tcPr>
            <w:tcW w:w="2093" w:type="dxa"/>
            <w:vAlign w:val="center"/>
          </w:tcPr>
          <w:p w14:paraId="1CAAC962">
            <w:pPr>
              <w:snapToGrid w:val="0"/>
              <w:spacing w:line="360" w:lineRule="exact"/>
              <w:ind w:firstLine="472"/>
              <w:jc w:val="center"/>
              <w:rPr>
                <w:rFonts w:ascii="宋体" w:hAnsi="宋体" w:cs="宋体"/>
                <w:b/>
                <w:color w:val="FF0000"/>
                <w:sz w:val="24"/>
              </w:rPr>
            </w:pPr>
            <w:r>
              <w:rPr>
                <w:rFonts w:hint="eastAsia" w:ascii="宋体" w:hAnsi="宋体" w:cs="宋体"/>
                <w:b/>
                <w:sz w:val="24"/>
              </w:rPr>
              <w:t>报价要求</w:t>
            </w:r>
          </w:p>
        </w:tc>
        <w:tc>
          <w:tcPr>
            <w:tcW w:w="6927" w:type="dxa"/>
            <w:vAlign w:val="center"/>
          </w:tcPr>
          <w:p w14:paraId="7A06B66C">
            <w:pPr>
              <w:snapToGrid w:val="0"/>
              <w:spacing w:line="360" w:lineRule="exact"/>
              <w:rPr>
                <w:rFonts w:ascii="宋体" w:hAnsi="宋体" w:cs="宋体"/>
                <w:b/>
                <w:bCs/>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kern w:val="0"/>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bCs/>
                <w:kern w:val="0"/>
                <w:sz w:val="24"/>
                <w:lang w:val="zh-CN"/>
              </w:rPr>
              <w:t>提醒：验收时检测费用由采购人承担，不包含在总价中。</w:t>
            </w:r>
          </w:p>
          <w:p w14:paraId="32C3A199">
            <w:pPr>
              <w:snapToGrid w:val="0"/>
              <w:spacing w:line="360" w:lineRule="exact"/>
              <w:rPr>
                <w:rFonts w:ascii="宋体" w:hAnsi="宋体" w:cs="宋体"/>
                <w:kern w:val="0"/>
                <w:sz w:val="24"/>
                <w:lang w:val="zh-CN"/>
              </w:rPr>
            </w:pPr>
            <w:r>
              <w:rPr>
                <w:rFonts w:hint="eastAsia" w:ascii="宋体" w:hAnsi="宋体" w:cs="宋体"/>
                <w:kern w:val="0"/>
                <w:sz w:val="24"/>
                <w:lang w:val="zh-CN"/>
              </w:rPr>
              <w:t>本项目投标总价（人民币报价）包括所有招标内容，投标价格包括但不限于设备费、材料费、运输、二次搬运、备品备件、检验检测费、安装调试费、安全生产、文明施工、验收、培训费用、售后服务、招标代理服务费、税、利润、政策性文件规定及合同包含的所有风险、责任等各项应有的费用，即完成招标内容及要求本项目所提供服务涉及的全部费用。</w:t>
            </w:r>
          </w:p>
          <w:p w14:paraId="60A39455">
            <w:pPr>
              <w:snapToGrid w:val="0"/>
              <w:spacing w:line="360" w:lineRule="exact"/>
              <w:rPr>
                <w:rFonts w:ascii="宋体" w:hAnsi="宋体" w:cs="宋体"/>
                <w:b/>
                <w:bCs/>
                <w:kern w:val="0"/>
                <w:sz w:val="24"/>
                <w:lang w:val="zh-CN"/>
              </w:rPr>
            </w:pPr>
            <w:r>
              <w:rPr>
                <w:rFonts w:hint="eastAsia" w:ascii="宋体" w:hAnsi="宋体" w:cs="宋体"/>
                <w:b/>
                <w:bCs/>
                <w:kern w:val="0"/>
                <w:sz w:val="24"/>
                <w:lang w:val="zh-CN"/>
              </w:rPr>
              <w:t>最后报价出现下列情形的，响应文件无效：</w:t>
            </w:r>
          </w:p>
          <w:p w14:paraId="6612D7B9">
            <w:pPr>
              <w:snapToGrid w:val="0"/>
              <w:spacing w:line="360" w:lineRule="exact"/>
              <w:rPr>
                <w:rFonts w:ascii="宋体" w:hAnsi="宋体" w:cs="宋体"/>
                <w:b/>
                <w:bCs/>
                <w:kern w:val="0"/>
                <w:sz w:val="24"/>
                <w:lang w:val="zh-CN"/>
              </w:rPr>
            </w:pPr>
            <w:r>
              <w:rPr>
                <w:rFonts w:hint="eastAsia" w:ascii="宋体" w:hAnsi="宋体" w:cs="宋体"/>
                <w:b/>
                <w:bCs/>
                <w:kern w:val="0"/>
                <w:sz w:val="24"/>
                <w:lang w:val="zh-CN"/>
              </w:rPr>
              <w:t>（</w:t>
            </w:r>
            <w:r>
              <w:rPr>
                <w:rFonts w:hint="eastAsia" w:ascii="宋体" w:hAnsi="宋体" w:cs="宋体"/>
                <w:b/>
                <w:bCs/>
                <w:kern w:val="0"/>
                <w:sz w:val="24"/>
              </w:rPr>
              <w:t>1</w:t>
            </w:r>
            <w:r>
              <w:rPr>
                <w:rFonts w:hint="eastAsia" w:ascii="宋体" w:hAnsi="宋体" w:cs="宋体"/>
                <w:b/>
                <w:bCs/>
                <w:kern w:val="0"/>
                <w:sz w:val="24"/>
                <w:lang w:val="zh-CN"/>
              </w:rPr>
              <w:t>）响应文件出现不是唯一的、有选择性最后报价的；</w:t>
            </w:r>
          </w:p>
          <w:p w14:paraId="5666F1EB">
            <w:pPr>
              <w:snapToGrid w:val="0"/>
              <w:spacing w:line="360" w:lineRule="exact"/>
              <w:rPr>
                <w:rFonts w:ascii="宋体" w:hAnsi="宋体" w:cs="宋体"/>
                <w:b/>
                <w:bCs/>
                <w:kern w:val="0"/>
                <w:sz w:val="24"/>
              </w:rPr>
            </w:pPr>
            <w:r>
              <w:rPr>
                <w:rFonts w:hint="eastAsia" w:ascii="宋体" w:hAnsi="宋体" w:cs="宋体"/>
                <w:b/>
                <w:bCs/>
                <w:kern w:val="0"/>
                <w:sz w:val="24"/>
                <w:lang w:val="zh-CN"/>
              </w:rPr>
              <w:t>（</w:t>
            </w:r>
            <w:r>
              <w:rPr>
                <w:rFonts w:hint="eastAsia" w:ascii="宋体" w:hAnsi="宋体" w:cs="宋体"/>
                <w:b/>
                <w:bCs/>
                <w:kern w:val="0"/>
                <w:sz w:val="24"/>
              </w:rPr>
              <w:t>2</w:t>
            </w:r>
            <w:r>
              <w:rPr>
                <w:rFonts w:hint="eastAsia" w:ascii="宋体" w:hAnsi="宋体" w:cs="宋体"/>
                <w:b/>
                <w:bCs/>
                <w:kern w:val="0"/>
                <w:sz w:val="24"/>
                <w:lang w:val="zh-CN"/>
              </w:rPr>
              <w:t>）最后报价超过采购文件中规定的预算金额或者最高限价的；</w:t>
            </w:r>
          </w:p>
          <w:p w14:paraId="372B9271">
            <w:pPr>
              <w:snapToGrid w:val="0"/>
              <w:spacing w:line="360" w:lineRule="exact"/>
              <w:rPr>
                <w:rFonts w:ascii="宋体" w:hAnsi="宋体" w:cs="宋体"/>
                <w:b/>
                <w:bCs/>
                <w:kern w:val="0"/>
                <w:sz w:val="24"/>
              </w:rPr>
            </w:pPr>
            <w:r>
              <w:rPr>
                <w:rFonts w:hint="eastAsia" w:ascii="宋体" w:hAnsi="宋体" w:cs="宋体"/>
                <w:b/>
                <w:bCs/>
                <w:kern w:val="0"/>
                <w:sz w:val="24"/>
              </w:rPr>
              <w:t>（3）报价明显低于其他通过符合性审查供应商的报价，有可能影响工程质量或者不能诚信履约的，未能按要求提供书面说明或者提交相关证明材料证明其报价合理性的；</w:t>
            </w:r>
          </w:p>
          <w:p w14:paraId="642A4F52">
            <w:pPr>
              <w:snapToGrid w:val="0"/>
              <w:spacing w:line="360" w:lineRule="exact"/>
              <w:rPr>
                <w:rFonts w:ascii="宋体" w:hAnsi="宋体" w:cs="宋体"/>
                <w:color w:val="FF0000"/>
                <w:sz w:val="24"/>
              </w:rPr>
            </w:pPr>
            <w:r>
              <w:rPr>
                <w:rFonts w:hint="eastAsia" w:ascii="宋体" w:hAnsi="宋体" w:cs="宋体"/>
                <w:b/>
                <w:bCs/>
                <w:kern w:val="0"/>
                <w:sz w:val="24"/>
              </w:rPr>
              <w:t>（4）供应商对根据修正原则修正后的报价不确认的。</w:t>
            </w:r>
          </w:p>
        </w:tc>
      </w:tr>
      <w:tr w14:paraId="03B4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10" w:hRule="atLeast"/>
          <w:jc w:val="center"/>
        </w:trPr>
        <w:tc>
          <w:tcPr>
            <w:tcW w:w="714" w:type="dxa"/>
            <w:vAlign w:val="center"/>
          </w:tcPr>
          <w:p w14:paraId="05370E19">
            <w:pPr>
              <w:snapToGrid w:val="0"/>
              <w:spacing w:line="360" w:lineRule="exact"/>
              <w:jc w:val="center"/>
              <w:rPr>
                <w:rFonts w:ascii="宋体" w:hAnsi="宋体" w:cs="宋体"/>
                <w:sz w:val="24"/>
              </w:rPr>
            </w:pPr>
            <w:r>
              <w:rPr>
                <w:rFonts w:hint="eastAsia" w:ascii="宋体" w:hAnsi="宋体" w:cs="宋体"/>
                <w:sz w:val="24"/>
              </w:rPr>
              <w:t>11</w:t>
            </w:r>
          </w:p>
        </w:tc>
        <w:tc>
          <w:tcPr>
            <w:tcW w:w="2093" w:type="dxa"/>
            <w:vAlign w:val="center"/>
          </w:tcPr>
          <w:p w14:paraId="6C0E8F34">
            <w:pPr>
              <w:snapToGrid w:val="0"/>
              <w:spacing w:line="360" w:lineRule="exact"/>
              <w:jc w:val="both"/>
              <w:rPr>
                <w:rFonts w:ascii="宋体" w:hAnsi="宋体" w:cs="宋体"/>
                <w:b/>
                <w:sz w:val="24"/>
              </w:rPr>
            </w:pPr>
            <w:r>
              <w:rPr>
                <w:rFonts w:hint="eastAsia" w:ascii="宋体" w:hAnsi="宋体" w:cs="宋体"/>
                <w:b/>
                <w:sz w:val="24"/>
              </w:rPr>
              <w:t>中小企业信用融资</w:t>
            </w:r>
          </w:p>
        </w:tc>
        <w:tc>
          <w:tcPr>
            <w:tcW w:w="6927" w:type="dxa"/>
            <w:vAlign w:val="center"/>
          </w:tcPr>
          <w:p w14:paraId="41ABDD63">
            <w:pPr>
              <w:spacing w:line="360" w:lineRule="exact"/>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578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0" w:hRule="atLeast"/>
          <w:jc w:val="center"/>
        </w:trPr>
        <w:tc>
          <w:tcPr>
            <w:tcW w:w="714" w:type="dxa"/>
            <w:vAlign w:val="center"/>
          </w:tcPr>
          <w:p w14:paraId="4CA1870D">
            <w:pPr>
              <w:snapToGrid w:val="0"/>
              <w:spacing w:line="360" w:lineRule="exact"/>
              <w:jc w:val="center"/>
              <w:rPr>
                <w:rFonts w:ascii="宋体" w:hAnsi="宋体" w:cs="宋体"/>
                <w:sz w:val="24"/>
              </w:rPr>
            </w:pPr>
            <w:r>
              <w:rPr>
                <w:rFonts w:hint="eastAsia" w:ascii="宋体" w:hAnsi="宋体" w:cs="宋体"/>
                <w:sz w:val="24"/>
              </w:rPr>
              <w:t>12</w:t>
            </w:r>
          </w:p>
        </w:tc>
        <w:tc>
          <w:tcPr>
            <w:tcW w:w="2093" w:type="dxa"/>
            <w:vAlign w:val="center"/>
          </w:tcPr>
          <w:p w14:paraId="05081C1F">
            <w:pPr>
              <w:snapToGrid w:val="0"/>
              <w:spacing w:line="360" w:lineRule="exact"/>
              <w:jc w:val="both"/>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706C9421">
            <w:pPr>
              <w:spacing w:line="360" w:lineRule="exact"/>
              <w:rPr>
                <w:rFonts w:ascii="宋体" w:hAnsi="宋体" w:cs="宋体"/>
                <w:snapToGrid w:val="0"/>
                <w:sz w:val="24"/>
              </w:rPr>
            </w:pPr>
            <w:r>
              <w:rPr>
                <w:rFonts w:hint="eastAsia" w:ascii="宋体" w:hAnsi="宋体" w:cs="宋体"/>
                <w:snapToGrid w:val="0"/>
                <w:sz w:val="24"/>
              </w:rPr>
              <w:t>（1）直接提交备份投标文件的：</w:t>
            </w:r>
          </w:p>
          <w:p w14:paraId="18F560B2">
            <w:pPr>
              <w:spacing w:line="360" w:lineRule="exact"/>
              <w:rPr>
                <w:rFonts w:ascii="宋体" w:hAnsi="宋体" w:cs="宋体"/>
                <w:snapToGrid w:val="0"/>
                <w:sz w:val="24"/>
              </w:rPr>
            </w:pPr>
            <w:r>
              <w:rPr>
                <w:rFonts w:hint="eastAsia" w:ascii="宋体" w:hAnsi="宋体" w:cs="宋体"/>
                <w:snapToGrid w:val="0"/>
                <w:kern w:val="28"/>
                <w:sz w:val="24"/>
              </w:rPr>
              <w:t>备份投标文件送达地点：</w:t>
            </w:r>
            <w:r>
              <w:rPr>
                <w:rFonts w:hint="eastAsia" w:ascii="宋体" w:hAnsi="宋体" w:cs="宋体"/>
                <w:snapToGrid w:val="0"/>
                <w:kern w:val="28"/>
                <w:sz w:val="24"/>
                <w:u w:val="single"/>
              </w:rPr>
              <w:t>宁海县公共资源交易中心五楼（具体受理场所详见当日电子指示屏）。</w:t>
            </w:r>
          </w:p>
          <w:p w14:paraId="0E85C620">
            <w:pPr>
              <w:spacing w:line="360" w:lineRule="exact"/>
              <w:rPr>
                <w:rFonts w:ascii="宋体" w:hAnsi="宋体" w:cs="宋体"/>
                <w:snapToGrid w:val="0"/>
                <w:sz w:val="24"/>
              </w:rPr>
            </w:pPr>
            <w:r>
              <w:rPr>
                <w:rFonts w:hint="eastAsia" w:ascii="宋体" w:hAnsi="宋体" w:cs="宋体"/>
                <w:snapToGrid w:val="0"/>
                <w:kern w:val="28"/>
                <w:sz w:val="24"/>
              </w:rPr>
              <w:t>（2）</w:t>
            </w:r>
            <w:r>
              <w:rPr>
                <w:rFonts w:hint="eastAsia" w:ascii="宋体" w:hAnsi="宋体" w:cs="宋体"/>
                <w:snapToGrid w:val="0"/>
                <w:sz w:val="24"/>
              </w:rPr>
              <w:t>以邮政快递方式递交备份投标文件的：</w:t>
            </w:r>
          </w:p>
          <w:p w14:paraId="23DC29E8">
            <w:pPr>
              <w:spacing w:line="360" w:lineRule="exact"/>
              <w:rPr>
                <w:rFonts w:ascii="宋体" w:hAnsi="宋体" w:cs="宋体"/>
                <w:snapToGrid w:val="0"/>
                <w:kern w:val="28"/>
                <w:sz w:val="24"/>
              </w:rPr>
            </w:pPr>
            <w:r>
              <w:rPr>
                <w:rFonts w:hint="eastAsia" w:ascii="宋体" w:hAnsi="宋体" w:cs="宋体"/>
                <w:sz w:val="24"/>
              </w:rPr>
              <w:t>备份投标文件送达</w:t>
            </w:r>
            <w:r>
              <w:rPr>
                <w:rFonts w:hint="eastAsia" w:ascii="宋体" w:hAnsi="宋体" w:cs="宋体"/>
                <w:snapToGrid w:val="0"/>
                <w:sz w:val="24"/>
              </w:rPr>
              <w:t>截止时间：</w:t>
            </w:r>
            <w:r>
              <w:rPr>
                <w:rFonts w:hint="eastAsia" w:ascii="宋体" w:hAnsi="宋体" w:cs="宋体"/>
                <w:snapToGrid w:val="0"/>
                <w:sz w:val="24"/>
                <w:u w:val="single"/>
              </w:rPr>
              <w:t>开标时间前一个工作日的16:00时止。</w:t>
            </w:r>
          </w:p>
          <w:p w14:paraId="708F43AC">
            <w:pPr>
              <w:pStyle w:val="32"/>
              <w:spacing w:line="360" w:lineRule="exact"/>
              <w:rPr>
                <w:rFonts w:hAnsi="宋体" w:cs="宋体"/>
                <w:kern w:val="28"/>
                <w:sz w:val="24"/>
              </w:rPr>
            </w:pPr>
            <w:r>
              <w:rPr>
                <w:rFonts w:hint="eastAsia" w:hAnsi="宋体" w:cs="宋体"/>
                <w:kern w:val="28"/>
                <w:sz w:val="24"/>
                <w:szCs w:val="24"/>
              </w:rPr>
              <w:t>备份投标文件送达地点：</w:t>
            </w:r>
            <w:r>
              <w:rPr>
                <w:rFonts w:hint="eastAsia" w:hAnsi="宋体" w:cs="宋体"/>
                <w:sz w:val="24"/>
                <w:szCs w:val="24"/>
                <w:u w:val="single"/>
              </w:rPr>
              <w:t xml:space="preserve">宁海县北斗北路357-2 </w:t>
            </w:r>
            <w:r>
              <w:rPr>
                <w:rFonts w:hint="eastAsia" w:hAnsi="宋体" w:cs="宋体"/>
                <w:kern w:val="28"/>
                <w:sz w:val="24"/>
                <w:szCs w:val="24"/>
              </w:rPr>
              <w:t>；备份投标文件签收人员联系电话：</w:t>
            </w:r>
            <w:r>
              <w:rPr>
                <w:rFonts w:hint="eastAsia" w:hAnsi="宋体" w:cs="宋体"/>
                <w:kern w:val="28"/>
                <w:sz w:val="24"/>
                <w:szCs w:val="24"/>
                <w:u w:val="single"/>
                <w:lang w:val="en-US" w:eastAsia="zh-CN"/>
              </w:rPr>
              <w:t>胡幸幸：</w:t>
            </w:r>
            <w:r>
              <w:rPr>
                <w:rFonts w:hint="eastAsia" w:hAnsi="宋体" w:cs="宋体"/>
                <w:kern w:val="28"/>
                <w:sz w:val="24"/>
                <w:szCs w:val="24"/>
                <w:u w:val="single"/>
              </w:rPr>
              <w:t>0574-65586889</w:t>
            </w:r>
            <w:r>
              <w:rPr>
                <w:rFonts w:hint="eastAsia" w:hAnsi="宋体" w:cs="宋体"/>
                <w:sz w:val="24"/>
                <w:szCs w:val="24"/>
              </w:rPr>
              <w:t>。</w:t>
            </w:r>
            <w:r>
              <w:rPr>
                <w:rFonts w:hint="eastAsia" w:hAnsi="宋体" w:cs="宋体"/>
                <w:b/>
                <w:sz w:val="24"/>
                <w:szCs w:val="24"/>
              </w:rPr>
              <w:t>采购人、采购代理机构不强制或变相强制供应商提交备份响应文件。</w:t>
            </w:r>
          </w:p>
        </w:tc>
      </w:tr>
      <w:tr w14:paraId="5267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0" w:hRule="atLeast"/>
          <w:jc w:val="center"/>
        </w:trPr>
        <w:tc>
          <w:tcPr>
            <w:tcW w:w="714" w:type="dxa"/>
            <w:vAlign w:val="center"/>
          </w:tcPr>
          <w:p w14:paraId="5C7A22EE">
            <w:pPr>
              <w:snapToGrid w:val="0"/>
              <w:spacing w:line="360" w:lineRule="exact"/>
              <w:jc w:val="center"/>
              <w:rPr>
                <w:rFonts w:ascii="宋体" w:hAnsi="宋体" w:cs="宋体"/>
                <w:sz w:val="24"/>
              </w:rPr>
            </w:pPr>
            <w:r>
              <w:rPr>
                <w:rFonts w:hint="eastAsia" w:ascii="宋体" w:hAnsi="宋体" w:cs="宋体"/>
                <w:sz w:val="24"/>
              </w:rPr>
              <w:t>13</w:t>
            </w:r>
          </w:p>
        </w:tc>
        <w:tc>
          <w:tcPr>
            <w:tcW w:w="2093" w:type="dxa"/>
            <w:vAlign w:val="center"/>
          </w:tcPr>
          <w:p w14:paraId="3C34DDA8">
            <w:pPr>
              <w:snapToGrid w:val="0"/>
              <w:spacing w:line="360" w:lineRule="exact"/>
              <w:ind w:firstLine="472"/>
              <w:jc w:val="both"/>
              <w:rPr>
                <w:rFonts w:ascii="宋体" w:hAnsi="宋体" w:cs="宋体"/>
                <w:b/>
                <w:sz w:val="24"/>
              </w:rPr>
            </w:pPr>
            <w:r>
              <w:rPr>
                <w:rFonts w:hint="eastAsia" w:ascii="宋体" w:hAnsi="宋体" w:cs="宋体"/>
                <w:b/>
                <w:sz w:val="24"/>
              </w:rPr>
              <w:t>其它说明</w:t>
            </w:r>
          </w:p>
        </w:tc>
        <w:tc>
          <w:tcPr>
            <w:tcW w:w="6927" w:type="dxa"/>
            <w:vAlign w:val="center"/>
          </w:tcPr>
          <w:p w14:paraId="41FD2EB6">
            <w:pPr>
              <w:spacing w:line="360" w:lineRule="exact"/>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kern w:val="0"/>
                <w:sz w:val="24"/>
              </w:rPr>
              <w:t>。</w:t>
            </w:r>
          </w:p>
        </w:tc>
      </w:tr>
      <w:tr w14:paraId="3E44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10" w:hRule="atLeast"/>
          <w:jc w:val="center"/>
        </w:trPr>
        <w:tc>
          <w:tcPr>
            <w:tcW w:w="714" w:type="dxa"/>
            <w:vAlign w:val="center"/>
          </w:tcPr>
          <w:p w14:paraId="70B2FA58">
            <w:pPr>
              <w:snapToGrid w:val="0"/>
              <w:spacing w:line="360" w:lineRule="exact"/>
              <w:jc w:val="center"/>
              <w:rPr>
                <w:rFonts w:hint="eastAsia" w:ascii="宋体" w:hAnsi="宋体" w:cs="宋体"/>
                <w:sz w:val="24"/>
              </w:rPr>
            </w:pPr>
          </w:p>
        </w:tc>
        <w:tc>
          <w:tcPr>
            <w:tcW w:w="2093" w:type="dxa"/>
            <w:vAlign w:val="center"/>
          </w:tcPr>
          <w:p w14:paraId="7C06AACE">
            <w:pPr>
              <w:snapToGrid w:val="0"/>
              <w:spacing w:line="360" w:lineRule="auto"/>
              <w:jc w:val="center"/>
              <w:rPr>
                <w:rFonts w:hint="eastAsia" w:ascii="宋体" w:hAnsi="宋体" w:cs="宋体"/>
                <w:b/>
                <w:sz w:val="24"/>
              </w:rPr>
            </w:pPr>
            <w:r>
              <w:rPr>
                <w:rFonts w:hint="eastAsia" w:ascii="宋体" w:hAnsi="宋体" w:cs="宋体"/>
                <w:b/>
                <w:color w:val="auto"/>
                <w:sz w:val="24"/>
                <w:highlight w:val="none"/>
              </w:rPr>
              <w:t>否决投标的情形</w:t>
            </w:r>
          </w:p>
        </w:tc>
        <w:tc>
          <w:tcPr>
            <w:tcW w:w="6927" w:type="dxa"/>
            <w:vAlign w:val="center"/>
          </w:tcPr>
          <w:p w14:paraId="12AAC559">
            <w:pPr>
              <w:keepNext w:val="0"/>
              <w:keepLines w:val="0"/>
              <w:pageBreakBefore w:val="0"/>
              <w:tabs>
                <w:tab w:val="left" w:pos="3376"/>
              </w:tabs>
              <w:kinsoku/>
              <w:wordWrap/>
              <w:overflowPunct/>
              <w:topLinePunct w:val="0"/>
              <w:bidi w:val="0"/>
              <w:adjustRightInd/>
              <w:snapToGrid/>
              <w:spacing w:line="360" w:lineRule="exact"/>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以下情形之一的，由评标委员会</w:t>
            </w:r>
            <w:r>
              <w:rPr>
                <w:rFonts w:hint="eastAsia" w:ascii="宋体" w:hAnsi="宋体" w:cs="宋体"/>
                <w:color w:val="auto"/>
                <w:sz w:val="24"/>
                <w:szCs w:val="24"/>
                <w:highlight w:val="none"/>
                <w:lang w:val="en-US" w:eastAsia="zh-CN"/>
              </w:rPr>
              <w:t>审核</w:t>
            </w:r>
            <w:r>
              <w:rPr>
                <w:rFonts w:hint="eastAsia" w:ascii="宋体" w:hAnsi="宋体" w:eastAsia="宋体" w:cs="宋体"/>
                <w:color w:val="auto"/>
                <w:sz w:val="24"/>
                <w:szCs w:val="24"/>
                <w:highlight w:val="none"/>
              </w:rPr>
              <w:t>并经过询</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程序，作否决投标处理：</w:t>
            </w:r>
          </w:p>
          <w:p w14:paraId="15A71944">
            <w:pPr>
              <w:keepNext w:val="0"/>
              <w:keepLines w:val="0"/>
              <w:pageBreakBefore w:val="0"/>
              <w:numPr>
                <w:ilvl w:val="0"/>
                <w:numId w:val="0"/>
              </w:numPr>
              <w:kinsoku/>
              <w:wordWrap/>
              <w:overflowPunct/>
              <w:topLinePunct w:val="0"/>
              <w:bidi w:val="0"/>
              <w:adjustRightInd/>
              <w:snapToGrid/>
              <w:spacing w:line="360" w:lineRule="exact"/>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投标人以联合体形式投标时，</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rPr>
              <w:t>提交符合招标文件要求的联合体协议书</w:t>
            </w:r>
            <w:r>
              <w:rPr>
                <w:rFonts w:hint="eastAsia" w:ascii="宋体" w:hAnsi="宋体" w:eastAsia="宋体" w:cs="宋体"/>
                <w:color w:val="auto"/>
                <w:sz w:val="24"/>
                <w:szCs w:val="24"/>
                <w:highlight w:val="none"/>
                <w:lang w:val="en-US" w:eastAsia="zh-CN"/>
              </w:rPr>
              <w:t>的；</w:t>
            </w:r>
          </w:p>
          <w:p w14:paraId="3D946F41">
            <w:pPr>
              <w:keepNext w:val="0"/>
              <w:keepLines w:val="0"/>
              <w:pageBreakBefore w:val="0"/>
              <w:numPr>
                <w:ilvl w:val="0"/>
                <w:numId w:val="0"/>
              </w:numPr>
              <w:kinsoku/>
              <w:wordWrap/>
              <w:overflowPunct/>
              <w:topLinePunct w:val="0"/>
              <w:bidi w:val="0"/>
              <w:adjustRightInd/>
              <w:snapToGrid/>
              <w:spacing w:line="360" w:lineRule="exact"/>
              <w:ind w:right="0" w:right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投标人递交备选投标方案的；</w:t>
            </w:r>
          </w:p>
          <w:p w14:paraId="579AFE29">
            <w:pPr>
              <w:keepNext w:val="0"/>
              <w:keepLines w:val="0"/>
              <w:pageBreakBefore w:val="0"/>
              <w:widowControl w:val="0"/>
              <w:numPr>
                <w:ilvl w:val="0"/>
                <w:numId w:val="0"/>
              </w:numPr>
              <w:kinsoku/>
              <w:wordWrap w:val="0"/>
              <w:overflowPunct/>
              <w:topLinePunct w:val="0"/>
              <w:autoSpaceDE/>
              <w:autoSpaceDN/>
              <w:bidi w:val="0"/>
              <w:adjustRightInd/>
              <w:snapToGrid/>
              <w:spacing w:line="360" w:lineRule="exact"/>
              <w:ind w:right="0" w:rightChars="0"/>
              <w:textAlignment w:val="auto"/>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eastAsia="zh-CN"/>
              </w:rPr>
              <w:t>不同投标人的电子投标文件唯一标识符相同：网卡MAC地址；或硬盘（含U盘、移动硬盘等移动存储介质）序列号（Optane_0000、类似0100_0000_0000_0000或0000_0100_0000_0000或FFFF_FFFF_FFFF_FFFF等采用硬盘加速技术产生的序列号除外）；或互联网接入IP地址。</w:t>
            </w:r>
          </w:p>
          <w:p w14:paraId="19B5A324">
            <w:pPr>
              <w:keepNext w:val="0"/>
              <w:keepLines w:val="0"/>
              <w:pageBreakBefore w:val="0"/>
              <w:numPr>
                <w:ilvl w:val="0"/>
                <w:numId w:val="0"/>
              </w:numPr>
              <w:kinsoku/>
              <w:wordWrap/>
              <w:overflowPunct/>
              <w:topLinePunct w:val="0"/>
              <w:bidi w:val="0"/>
              <w:adjustRightInd/>
              <w:snapToGrid/>
              <w:spacing w:line="360" w:lineRule="exact"/>
              <w:ind w:left="0" w:leftChars="0" w:right="0" w:rightChars="0" w:firstLine="0" w:firstLineChars="0"/>
              <w:textAlignment w:val="auto"/>
              <w:rPr>
                <w:rFonts w:hint="eastAsia" w:ascii="宋体" w:hAnsi="宋体" w:cs="宋体"/>
                <w:snapToGrid w:val="0"/>
                <w:kern w:val="28"/>
                <w:sz w:val="24"/>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投标人未提供《中小企业声明函》或未按照招标文件所附的《中小企业声明函》格式提供的；</w:t>
            </w:r>
          </w:p>
        </w:tc>
      </w:tr>
      <w:tr w14:paraId="3777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0" w:hRule="atLeast"/>
          <w:jc w:val="center"/>
        </w:trPr>
        <w:tc>
          <w:tcPr>
            <w:tcW w:w="714" w:type="dxa"/>
            <w:vAlign w:val="center"/>
          </w:tcPr>
          <w:p w14:paraId="575B6EB5">
            <w:pPr>
              <w:snapToGrid w:val="0"/>
              <w:spacing w:line="360" w:lineRule="exact"/>
              <w:jc w:val="center"/>
              <w:rPr>
                <w:rFonts w:ascii="宋体" w:hAnsi="宋体" w:cs="宋体"/>
                <w:sz w:val="24"/>
              </w:rPr>
            </w:pPr>
            <w:r>
              <w:rPr>
                <w:rFonts w:hint="eastAsia" w:ascii="宋体" w:hAnsi="宋体" w:cs="宋体"/>
                <w:sz w:val="24"/>
              </w:rPr>
              <w:t>14</w:t>
            </w:r>
          </w:p>
        </w:tc>
        <w:tc>
          <w:tcPr>
            <w:tcW w:w="2093" w:type="dxa"/>
            <w:vAlign w:val="center"/>
          </w:tcPr>
          <w:p w14:paraId="78501353">
            <w:pPr>
              <w:snapToGrid w:val="0"/>
              <w:spacing w:line="360" w:lineRule="exact"/>
              <w:ind w:firstLine="241" w:firstLineChars="100"/>
              <w:jc w:val="both"/>
              <w:rPr>
                <w:rFonts w:ascii="宋体" w:hAnsi="宋体" w:cs="宋体"/>
                <w:b/>
                <w:sz w:val="24"/>
              </w:rPr>
            </w:pPr>
            <w:r>
              <w:rPr>
                <w:rFonts w:hint="eastAsia" w:ascii="宋体" w:hAnsi="宋体" w:cs="宋体"/>
                <w:b/>
                <w:sz w:val="24"/>
              </w:rPr>
              <w:t>采购代理服务费</w:t>
            </w:r>
          </w:p>
        </w:tc>
        <w:tc>
          <w:tcPr>
            <w:tcW w:w="6927" w:type="dxa"/>
            <w:vAlign w:val="center"/>
          </w:tcPr>
          <w:p w14:paraId="1A1D019B">
            <w:pPr>
              <w:spacing w:line="360" w:lineRule="exact"/>
              <w:rPr>
                <w:rFonts w:ascii="宋体" w:hAnsi="宋体" w:cs="宋体"/>
                <w:snapToGrid w:val="0"/>
                <w:kern w:val="28"/>
                <w:sz w:val="24"/>
              </w:rPr>
            </w:pPr>
            <w:r>
              <w:rPr>
                <w:rFonts w:hint="eastAsia" w:ascii="宋体" w:hAnsi="宋体" w:cs="宋体"/>
                <w:snapToGrid w:val="0"/>
                <w:kern w:val="28"/>
                <w:sz w:val="24"/>
              </w:rPr>
              <w:t>采购代理机构将按下表中工程招标标准（按差额定率累进法计算），根据成交金额，向成交人收取招标代理服务费。单次招标代理服务费不足10000元的，按10000元计取。</w:t>
            </w:r>
          </w:p>
          <w:tbl>
            <w:tblPr>
              <w:tblStyle w:val="62"/>
              <w:tblW w:w="5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00"/>
              <w:gridCol w:w="832"/>
              <w:gridCol w:w="859"/>
              <w:gridCol w:w="838"/>
            </w:tblGrid>
            <w:tr w14:paraId="760B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9" w:hRule="atLeast"/>
                <w:jc w:val="center"/>
              </w:trPr>
              <w:tc>
                <w:tcPr>
                  <w:tcW w:w="3300" w:type="dxa"/>
                  <w:tcBorders>
                    <w:tl2br w:val="single" w:color="auto" w:sz="4" w:space="0"/>
                  </w:tcBorders>
                  <w:tcMar>
                    <w:top w:w="30" w:type="dxa"/>
                    <w:left w:w="150" w:type="dxa"/>
                    <w:bottom w:w="30" w:type="dxa"/>
                    <w:right w:w="150" w:type="dxa"/>
                  </w:tcMar>
                  <w:vAlign w:val="center"/>
                </w:tcPr>
                <w:p w14:paraId="18E68F29">
                  <w:pPr>
                    <w:spacing w:line="360" w:lineRule="auto"/>
                  </w:pPr>
                </w:p>
                <w:p w14:paraId="7643D469">
                  <w:pPr>
                    <w:spacing w:line="360" w:lineRule="auto"/>
                    <w:rPr>
                      <w:rFonts w:ascii="宋体" w:hAnsi="宋体" w:cs="宋体"/>
                      <w:kern w:val="0"/>
                      <w:szCs w:val="21"/>
                    </w:rPr>
                  </w:pPr>
                  <w:r>
                    <w:rPr>
                      <w:rFonts w:hint="eastAsia" w:ascii="宋体" w:hAnsi="宋体" w:cs="宋体"/>
                      <w:kern w:val="0"/>
                      <w:szCs w:val="21"/>
                    </w:rPr>
                    <w:t>金额（万）       费率服务类型</w:t>
                  </w:r>
                </w:p>
                <w:p w14:paraId="02B5BB77">
                  <w:pPr>
                    <w:spacing w:line="360" w:lineRule="auto"/>
                    <w:rPr>
                      <w:rFonts w:ascii="宋体" w:hAnsi="宋体" w:cs="宋体"/>
                      <w:kern w:val="0"/>
                      <w:szCs w:val="21"/>
                    </w:rPr>
                  </w:pPr>
                  <w:r>
                    <w:rPr>
                      <w:rFonts w:hint="eastAsia" w:ascii="宋体" w:hAnsi="宋体" w:cs="宋体"/>
                      <w:kern w:val="0"/>
                      <w:szCs w:val="21"/>
                    </w:rPr>
                    <w:t>（万元）</w:t>
                  </w:r>
                </w:p>
              </w:tc>
              <w:tc>
                <w:tcPr>
                  <w:tcW w:w="832" w:type="dxa"/>
                  <w:tcMar>
                    <w:top w:w="30" w:type="dxa"/>
                    <w:left w:w="150" w:type="dxa"/>
                    <w:bottom w:w="30" w:type="dxa"/>
                    <w:right w:w="150" w:type="dxa"/>
                  </w:tcMar>
                  <w:vAlign w:val="center"/>
                </w:tcPr>
                <w:p w14:paraId="02DD3E6A">
                  <w:pPr>
                    <w:spacing w:line="360" w:lineRule="auto"/>
                    <w:jc w:val="center"/>
                    <w:rPr>
                      <w:rFonts w:ascii="宋体" w:hAnsi="宋体" w:cs="宋体"/>
                      <w:kern w:val="0"/>
                      <w:szCs w:val="21"/>
                    </w:rPr>
                  </w:pPr>
                  <w:r>
                    <w:rPr>
                      <w:rFonts w:hint="eastAsia" w:ascii="宋体" w:hAnsi="宋体" w:cs="宋体"/>
                      <w:kern w:val="0"/>
                      <w:szCs w:val="21"/>
                    </w:rPr>
                    <w:t>货物</w:t>
                  </w:r>
                </w:p>
                <w:p w14:paraId="77ACC668">
                  <w:pPr>
                    <w:spacing w:line="360" w:lineRule="auto"/>
                    <w:jc w:val="center"/>
                    <w:rPr>
                      <w:rFonts w:ascii="宋体" w:hAnsi="宋体" w:cs="宋体"/>
                      <w:kern w:val="0"/>
                      <w:szCs w:val="21"/>
                    </w:rPr>
                  </w:pPr>
                  <w:r>
                    <w:rPr>
                      <w:rFonts w:hint="eastAsia" w:ascii="宋体" w:hAnsi="宋体" w:cs="宋体"/>
                      <w:kern w:val="0"/>
                      <w:szCs w:val="21"/>
                    </w:rPr>
                    <w:t>招标</w:t>
                  </w:r>
                </w:p>
              </w:tc>
              <w:tc>
                <w:tcPr>
                  <w:tcW w:w="859" w:type="dxa"/>
                  <w:tcMar>
                    <w:top w:w="30" w:type="dxa"/>
                    <w:left w:w="150" w:type="dxa"/>
                    <w:bottom w:w="30" w:type="dxa"/>
                    <w:right w:w="150" w:type="dxa"/>
                  </w:tcMar>
                  <w:vAlign w:val="center"/>
                </w:tcPr>
                <w:p w14:paraId="5C52A83B">
                  <w:pPr>
                    <w:spacing w:line="360" w:lineRule="auto"/>
                    <w:jc w:val="center"/>
                    <w:rPr>
                      <w:rFonts w:ascii="宋体" w:hAnsi="宋体" w:cs="宋体"/>
                      <w:kern w:val="0"/>
                      <w:szCs w:val="21"/>
                    </w:rPr>
                  </w:pPr>
                  <w:r>
                    <w:rPr>
                      <w:rFonts w:hint="eastAsia" w:ascii="宋体" w:hAnsi="宋体" w:cs="宋体"/>
                      <w:kern w:val="0"/>
                      <w:szCs w:val="21"/>
                    </w:rPr>
                    <w:t>服务</w:t>
                  </w:r>
                </w:p>
                <w:p w14:paraId="51FB481E">
                  <w:pPr>
                    <w:spacing w:line="360" w:lineRule="auto"/>
                    <w:jc w:val="center"/>
                    <w:rPr>
                      <w:rFonts w:ascii="宋体" w:hAnsi="宋体" w:cs="宋体"/>
                      <w:kern w:val="0"/>
                      <w:szCs w:val="21"/>
                    </w:rPr>
                  </w:pPr>
                  <w:r>
                    <w:rPr>
                      <w:rFonts w:hint="eastAsia" w:ascii="宋体" w:hAnsi="宋体" w:cs="宋体"/>
                      <w:kern w:val="0"/>
                      <w:szCs w:val="21"/>
                    </w:rPr>
                    <w:t>招标</w:t>
                  </w:r>
                </w:p>
              </w:tc>
              <w:tc>
                <w:tcPr>
                  <w:tcW w:w="838" w:type="dxa"/>
                  <w:tcMar>
                    <w:top w:w="30" w:type="dxa"/>
                    <w:left w:w="150" w:type="dxa"/>
                    <w:bottom w:w="30" w:type="dxa"/>
                    <w:right w:w="150" w:type="dxa"/>
                  </w:tcMar>
                  <w:vAlign w:val="center"/>
                </w:tcPr>
                <w:p w14:paraId="622CEB00">
                  <w:pPr>
                    <w:spacing w:line="360" w:lineRule="auto"/>
                    <w:jc w:val="center"/>
                    <w:rPr>
                      <w:rFonts w:ascii="宋体" w:hAnsi="宋体" w:cs="宋体"/>
                      <w:kern w:val="0"/>
                      <w:szCs w:val="21"/>
                    </w:rPr>
                  </w:pPr>
                  <w:r>
                    <w:rPr>
                      <w:rFonts w:hint="eastAsia" w:ascii="宋体" w:hAnsi="宋体" w:cs="宋体"/>
                      <w:kern w:val="0"/>
                      <w:szCs w:val="21"/>
                    </w:rPr>
                    <w:t>工程</w:t>
                  </w:r>
                </w:p>
                <w:p w14:paraId="282B25FD">
                  <w:pPr>
                    <w:spacing w:line="360" w:lineRule="auto"/>
                    <w:jc w:val="center"/>
                    <w:rPr>
                      <w:rFonts w:ascii="宋体" w:hAnsi="宋体" w:cs="宋体"/>
                      <w:kern w:val="0"/>
                      <w:szCs w:val="21"/>
                    </w:rPr>
                  </w:pPr>
                  <w:r>
                    <w:rPr>
                      <w:rFonts w:hint="eastAsia" w:ascii="宋体" w:hAnsi="宋体" w:cs="宋体"/>
                      <w:kern w:val="0"/>
                      <w:szCs w:val="21"/>
                    </w:rPr>
                    <w:t>招标</w:t>
                  </w:r>
                </w:p>
              </w:tc>
            </w:tr>
            <w:tr w14:paraId="7EEE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543E4D59">
                  <w:pPr>
                    <w:spacing w:line="320" w:lineRule="exact"/>
                    <w:rPr>
                      <w:rFonts w:hint="eastAsia" w:ascii="宋体" w:hAnsi="宋体" w:eastAsia="宋体" w:cs="宋体"/>
                      <w:kern w:val="0"/>
                      <w:szCs w:val="21"/>
                      <w:lang w:eastAsia="zh-CN"/>
                    </w:rPr>
                  </w:pPr>
                  <w:r>
                    <w:rPr>
                      <w:rFonts w:hint="eastAsia" w:ascii="宋体" w:hAnsi="宋体" w:cs="宋体"/>
                      <w:kern w:val="0"/>
                      <w:szCs w:val="21"/>
                    </w:rPr>
                    <w:t>100以下</w:t>
                  </w:r>
                  <w:r>
                    <w:rPr>
                      <w:rFonts w:hint="eastAsia" w:ascii="宋体" w:hAnsi="宋体" w:cs="宋体"/>
                      <w:kern w:val="0"/>
                      <w:szCs w:val="21"/>
                      <w:lang w:eastAsia="zh-CN"/>
                    </w:rPr>
                    <w:t>（</w:t>
                  </w:r>
                  <w:r>
                    <w:rPr>
                      <w:rFonts w:hint="eastAsia" w:ascii="宋体" w:hAnsi="宋体" w:cs="宋体"/>
                      <w:kern w:val="0"/>
                      <w:szCs w:val="21"/>
                      <w:lang w:val="en-US" w:eastAsia="zh-CN"/>
                    </w:rPr>
                    <w:t>含</w:t>
                  </w:r>
                  <w:r>
                    <w:rPr>
                      <w:rFonts w:hint="eastAsia" w:ascii="宋体" w:hAnsi="宋体" w:cs="宋体"/>
                      <w:kern w:val="0"/>
                      <w:szCs w:val="21"/>
                      <w:lang w:eastAsia="zh-CN"/>
                    </w:rPr>
                    <w:t>）</w:t>
                  </w:r>
                </w:p>
              </w:tc>
              <w:tc>
                <w:tcPr>
                  <w:tcW w:w="832" w:type="dxa"/>
                  <w:tcMar>
                    <w:top w:w="30" w:type="dxa"/>
                    <w:left w:w="150" w:type="dxa"/>
                    <w:bottom w:w="30" w:type="dxa"/>
                    <w:right w:w="150" w:type="dxa"/>
                  </w:tcMar>
                  <w:vAlign w:val="center"/>
                </w:tcPr>
                <w:p w14:paraId="3875ED4B">
                  <w:pPr>
                    <w:spacing w:line="320" w:lineRule="exact"/>
                    <w:jc w:val="center"/>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6</w:t>
                  </w:r>
                  <w:r>
                    <w:rPr>
                      <w:rFonts w:hint="eastAsia" w:ascii="宋体" w:hAnsi="宋体" w:cs="宋体"/>
                      <w:kern w:val="0"/>
                      <w:szCs w:val="21"/>
                    </w:rPr>
                    <w:t>%</w:t>
                  </w:r>
                </w:p>
              </w:tc>
              <w:tc>
                <w:tcPr>
                  <w:tcW w:w="859" w:type="dxa"/>
                  <w:tcMar>
                    <w:top w:w="30" w:type="dxa"/>
                    <w:left w:w="150" w:type="dxa"/>
                    <w:bottom w:w="30" w:type="dxa"/>
                    <w:right w:w="150" w:type="dxa"/>
                  </w:tcMar>
                  <w:vAlign w:val="center"/>
                </w:tcPr>
                <w:p w14:paraId="5A59FF00">
                  <w:pPr>
                    <w:spacing w:line="320" w:lineRule="exact"/>
                    <w:jc w:val="center"/>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6</w:t>
                  </w:r>
                  <w:r>
                    <w:rPr>
                      <w:rFonts w:hint="eastAsia" w:ascii="宋体" w:hAnsi="宋体" w:cs="宋体"/>
                      <w:kern w:val="0"/>
                      <w:szCs w:val="21"/>
                    </w:rPr>
                    <w:t>%</w:t>
                  </w:r>
                </w:p>
              </w:tc>
              <w:tc>
                <w:tcPr>
                  <w:tcW w:w="838" w:type="dxa"/>
                  <w:tcMar>
                    <w:top w:w="30" w:type="dxa"/>
                    <w:left w:w="150" w:type="dxa"/>
                    <w:bottom w:w="30" w:type="dxa"/>
                    <w:right w:w="150" w:type="dxa"/>
                  </w:tcMar>
                  <w:vAlign w:val="center"/>
                </w:tcPr>
                <w:p w14:paraId="61D69D89">
                  <w:pPr>
                    <w:spacing w:line="320" w:lineRule="exact"/>
                    <w:jc w:val="center"/>
                    <w:rPr>
                      <w:rFonts w:ascii="宋体" w:hAnsi="宋体" w:cs="宋体"/>
                      <w:kern w:val="0"/>
                      <w:szCs w:val="21"/>
                    </w:rPr>
                  </w:pPr>
                  <w:r>
                    <w:rPr>
                      <w:rFonts w:hint="eastAsia" w:ascii="宋体" w:hAnsi="宋体" w:cs="宋体"/>
                      <w:kern w:val="0"/>
                      <w:szCs w:val="21"/>
                    </w:rPr>
                    <w:t>1.0%</w:t>
                  </w:r>
                </w:p>
              </w:tc>
            </w:tr>
            <w:tr w14:paraId="4FF0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0CDEA423">
                  <w:pPr>
                    <w:spacing w:line="320" w:lineRule="exact"/>
                    <w:rPr>
                      <w:rFonts w:ascii="宋体" w:hAnsi="宋体" w:cs="宋体"/>
                      <w:kern w:val="0"/>
                      <w:szCs w:val="21"/>
                    </w:rPr>
                  </w:pPr>
                  <w:r>
                    <w:rPr>
                      <w:rFonts w:hint="eastAsia" w:ascii="宋体" w:hAnsi="宋体" w:cs="宋体"/>
                      <w:kern w:val="0"/>
                      <w:szCs w:val="21"/>
                    </w:rPr>
                    <w:t>100-500</w:t>
                  </w:r>
                  <w:r>
                    <w:rPr>
                      <w:rFonts w:hint="eastAsia" w:ascii="宋体" w:hAnsi="宋体" w:cs="宋体"/>
                      <w:kern w:val="0"/>
                      <w:szCs w:val="21"/>
                      <w:lang w:eastAsia="zh-CN"/>
                    </w:rPr>
                    <w:t>（</w:t>
                  </w:r>
                  <w:r>
                    <w:rPr>
                      <w:rFonts w:hint="eastAsia" w:ascii="宋体" w:hAnsi="宋体" w:cs="宋体"/>
                      <w:kern w:val="0"/>
                      <w:szCs w:val="21"/>
                      <w:lang w:val="en-US" w:eastAsia="zh-CN"/>
                    </w:rPr>
                    <w:t>含</w:t>
                  </w:r>
                  <w:r>
                    <w:rPr>
                      <w:rFonts w:hint="eastAsia" w:ascii="宋体" w:hAnsi="宋体" w:cs="宋体"/>
                      <w:kern w:val="0"/>
                      <w:szCs w:val="21"/>
                      <w:lang w:eastAsia="zh-CN"/>
                    </w:rPr>
                    <w:t>）</w:t>
                  </w:r>
                </w:p>
              </w:tc>
              <w:tc>
                <w:tcPr>
                  <w:tcW w:w="832" w:type="dxa"/>
                  <w:tcMar>
                    <w:top w:w="30" w:type="dxa"/>
                    <w:left w:w="150" w:type="dxa"/>
                    <w:bottom w:w="30" w:type="dxa"/>
                    <w:right w:w="150" w:type="dxa"/>
                  </w:tcMar>
                  <w:vAlign w:val="center"/>
                </w:tcPr>
                <w:p w14:paraId="476AED1F">
                  <w:pPr>
                    <w:spacing w:line="320" w:lineRule="exact"/>
                    <w:jc w:val="center"/>
                    <w:rPr>
                      <w:rFonts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2</w:t>
                  </w:r>
                  <w:r>
                    <w:rPr>
                      <w:rFonts w:hint="eastAsia" w:ascii="宋体" w:hAnsi="宋体" w:cs="宋体"/>
                      <w:kern w:val="0"/>
                      <w:szCs w:val="21"/>
                    </w:rPr>
                    <w:t>%</w:t>
                  </w:r>
                </w:p>
              </w:tc>
              <w:tc>
                <w:tcPr>
                  <w:tcW w:w="859" w:type="dxa"/>
                  <w:tcMar>
                    <w:top w:w="30" w:type="dxa"/>
                    <w:left w:w="150" w:type="dxa"/>
                    <w:bottom w:w="30" w:type="dxa"/>
                    <w:right w:w="150" w:type="dxa"/>
                  </w:tcMar>
                  <w:vAlign w:val="center"/>
                </w:tcPr>
                <w:p w14:paraId="751C3E10">
                  <w:pPr>
                    <w:spacing w:line="320" w:lineRule="exact"/>
                    <w:jc w:val="center"/>
                    <w:rPr>
                      <w:rFonts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9</w:t>
                  </w:r>
                  <w:r>
                    <w:rPr>
                      <w:rFonts w:hint="eastAsia" w:ascii="宋体" w:hAnsi="宋体" w:cs="宋体"/>
                      <w:kern w:val="0"/>
                      <w:szCs w:val="21"/>
                    </w:rPr>
                    <w:t>%</w:t>
                  </w:r>
                </w:p>
              </w:tc>
              <w:tc>
                <w:tcPr>
                  <w:tcW w:w="838" w:type="dxa"/>
                  <w:tcMar>
                    <w:top w:w="30" w:type="dxa"/>
                    <w:left w:w="150" w:type="dxa"/>
                    <w:bottom w:w="30" w:type="dxa"/>
                    <w:right w:w="150" w:type="dxa"/>
                  </w:tcMar>
                  <w:vAlign w:val="center"/>
                </w:tcPr>
                <w:p w14:paraId="0EE263AD">
                  <w:pPr>
                    <w:spacing w:line="320" w:lineRule="exact"/>
                    <w:jc w:val="center"/>
                    <w:rPr>
                      <w:rFonts w:ascii="宋体" w:hAnsi="宋体" w:cs="宋体"/>
                      <w:kern w:val="0"/>
                      <w:szCs w:val="21"/>
                    </w:rPr>
                  </w:pPr>
                  <w:r>
                    <w:rPr>
                      <w:rFonts w:hint="eastAsia" w:ascii="宋体" w:hAnsi="宋体" w:cs="宋体"/>
                      <w:kern w:val="0"/>
                      <w:szCs w:val="21"/>
                    </w:rPr>
                    <w:t>0.7%</w:t>
                  </w:r>
                </w:p>
              </w:tc>
            </w:tr>
            <w:tr w14:paraId="554D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4332CBA9">
                  <w:pPr>
                    <w:spacing w:line="320" w:lineRule="exact"/>
                    <w:rPr>
                      <w:rFonts w:ascii="宋体" w:hAnsi="宋体" w:cs="宋体"/>
                      <w:kern w:val="0"/>
                      <w:szCs w:val="21"/>
                    </w:rPr>
                  </w:pPr>
                  <w:r>
                    <w:rPr>
                      <w:rFonts w:hint="eastAsia" w:ascii="宋体" w:hAnsi="宋体" w:cs="宋体"/>
                      <w:kern w:val="0"/>
                      <w:szCs w:val="21"/>
                    </w:rPr>
                    <w:t>500-1000</w:t>
                  </w:r>
                  <w:r>
                    <w:rPr>
                      <w:rFonts w:hint="eastAsia" w:ascii="宋体" w:hAnsi="宋体" w:cs="宋体"/>
                      <w:kern w:val="0"/>
                      <w:szCs w:val="21"/>
                      <w:lang w:eastAsia="zh-CN"/>
                    </w:rPr>
                    <w:t>（</w:t>
                  </w:r>
                  <w:r>
                    <w:rPr>
                      <w:rFonts w:hint="eastAsia" w:ascii="宋体" w:hAnsi="宋体" w:cs="宋体"/>
                      <w:kern w:val="0"/>
                      <w:szCs w:val="21"/>
                      <w:lang w:val="en-US" w:eastAsia="zh-CN"/>
                    </w:rPr>
                    <w:t>含</w:t>
                  </w:r>
                  <w:r>
                    <w:rPr>
                      <w:rFonts w:hint="eastAsia" w:ascii="宋体" w:hAnsi="宋体" w:cs="宋体"/>
                      <w:kern w:val="0"/>
                      <w:szCs w:val="21"/>
                      <w:lang w:eastAsia="zh-CN"/>
                    </w:rPr>
                    <w:t>）</w:t>
                  </w:r>
                </w:p>
              </w:tc>
              <w:tc>
                <w:tcPr>
                  <w:tcW w:w="832" w:type="dxa"/>
                  <w:tcMar>
                    <w:top w:w="30" w:type="dxa"/>
                    <w:left w:w="150" w:type="dxa"/>
                    <w:bottom w:w="30" w:type="dxa"/>
                    <w:right w:w="150" w:type="dxa"/>
                  </w:tcMar>
                  <w:vAlign w:val="center"/>
                </w:tcPr>
                <w:p w14:paraId="0D4ACBB9">
                  <w:pPr>
                    <w:spacing w:line="320" w:lineRule="exact"/>
                    <w:jc w:val="center"/>
                    <w:rPr>
                      <w:rFonts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9</w:t>
                  </w:r>
                  <w:r>
                    <w:rPr>
                      <w:rFonts w:hint="eastAsia" w:ascii="宋体" w:hAnsi="宋体" w:cs="宋体"/>
                      <w:kern w:val="0"/>
                      <w:szCs w:val="21"/>
                    </w:rPr>
                    <w:t>%</w:t>
                  </w:r>
                </w:p>
              </w:tc>
              <w:tc>
                <w:tcPr>
                  <w:tcW w:w="859" w:type="dxa"/>
                  <w:tcMar>
                    <w:top w:w="30" w:type="dxa"/>
                    <w:left w:w="150" w:type="dxa"/>
                    <w:bottom w:w="30" w:type="dxa"/>
                    <w:right w:w="150" w:type="dxa"/>
                  </w:tcMar>
                  <w:vAlign w:val="center"/>
                </w:tcPr>
                <w:p w14:paraId="01B680C1">
                  <w:pPr>
                    <w:spacing w:line="320" w:lineRule="exact"/>
                    <w:jc w:val="center"/>
                    <w:rPr>
                      <w:rFonts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5</w:t>
                  </w:r>
                  <w:r>
                    <w:rPr>
                      <w:rFonts w:hint="eastAsia" w:ascii="宋体" w:hAnsi="宋体" w:cs="宋体"/>
                      <w:kern w:val="0"/>
                      <w:szCs w:val="21"/>
                    </w:rPr>
                    <w:t>%</w:t>
                  </w:r>
                </w:p>
              </w:tc>
              <w:tc>
                <w:tcPr>
                  <w:tcW w:w="838" w:type="dxa"/>
                  <w:tcMar>
                    <w:top w:w="30" w:type="dxa"/>
                    <w:left w:w="150" w:type="dxa"/>
                    <w:bottom w:w="30" w:type="dxa"/>
                    <w:right w:w="150" w:type="dxa"/>
                  </w:tcMar>
                  <w:vAlign w:val="center"/>
                </w:tcPr>
                <w:p w14:paraId="60DF4959">
                  <w:pPr>
                    <w:spacing w:line="320" w:lineRule="exact"/>
                    <w:jc w:val="center"/>
                    <w:rPr>
                      <w:rFonts w:ascii="宋体" w:hAnsi="宋体" w:cs="宋体"/>
                      <w:kern w:val="0"/>
                      <w:szCs w:val="21"/>
                    </w:rPr>
                  </w:pPr>
                  <w:r>
                    <w:rPr>
                      <w:rFonts w:hint="eastAsia" w:ascii="宋体" w:hAnsi="宋体" w:cs="宋体"/>
                      <w:kern w:val="0"/>
                      <w:szCs w:val="21"/>
                    </w:rPr>
                    <w:t>0.55%</w:t>
                  </w:r>
                </w:p>
              </w:tc>
            </w:tr>
            <w:tr w14:paraId="3ABE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32E423B7">
                  <w:pPr>
                    <w:spacing w:line="320" w:lineRule="exact"/>
                    <w:rPr>
                      <w:rFonts w:ascii="宋体" w:hAnsi="宋体" w:cs="宋体"/>
                      <w:kern w:val="0"/>
                      <w:szCs w:val="21"/>
                    </w:rPr>
                  </w:pPr>
                  <w:r>
                    <w:rPr>
                      <w:rFonts w:hint="eastAsia" w:ascii="宋体" w:hAnsi="宋体" w:cs="宋体"/>
                      <w:kern w:val="0"/>
                      <w:szCs w:val="21"/>
                    </w:rPr>
                    <w:t>1000-5000</w:t>
                  </w:r>
                  <w:r>
                    <w:rPr>
                      <w:rFonts w:hint="eastAsia" w:ascii="宋体" w:hAnsi="宋体" w:cs="宋体"/>
                      <w:kern w:val="0"/>
                      <w:szCs w:val="21"/>
                      <w:lang w:eastAsia="zh-CN"/>
                    </w:rPr>
                    <w:t>（</w:t>
                  </w:r>
                  <w:r>
                    <w:rPr>
                      <w:rFonts w:hint="eastAsia" w:ascii="宋体" w:hAnsi="宋体" w:cs="宋体"/>
                      <w:kern w:val="0"/>
                      <w:szCs w:val="21"/>
                      <w:lang w:val="en-US" w:eastAsia="zh-CN"/>
                    </w:rPr>
                    <w:t>含</w:t>
                  </w:r>
                  <w:r>
                    <w:rPr>
                      <w:rFonts w:hint="eastAsia" w:ascii="宋体" w:hAnsi="宋体" w:cs="宋体"/>
                      <w:kern w:val="0"/>
                      <w:szCs w:val="21"/>
                      <w:lang w:eastAsia="zh-CN"/>
                    </w:rPr>
                    <w:t>）</w:t>
                  </w:r>
                </w:p>
              </w:tc>
              <w:tc>
                <w:tcPr>
                  <w:tcW w:w="832" w:type="dxa"/>
                  <w:tcMar>
                    <w:top w:w="30" w:type="dxa"/>
                    <w:left w:w="150" w:type="dxa"/>
                    <w:bottom w:w="30" w:type="dxa"/>
                    <w:right w:w="150" w:type="dxa"/>
                  </w:tcMar>
                  <w:vAlign w:val="center"/>
                </w:tcPr>
                <w:p w14:paraId="2F895140">
                  <w:pPr>
                    <w:spacing w:line="320" w:lineRule="exact"/>
                    <w:jc w:val="center"/>
                    <w:rPr>
                      <w:rFonts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6</w:t>
                  </w:r>
                  <w:r>
                    <w:rPr>
                      <w:rFonts w:hint="eastAsia" w:ascii="宋体" w:hAnsi="宋体" w:cs="宋体"/>
                      <w:kern w:val="0"/>
                      <w:szCs w:val="21"/>
                    </w:rPr>
                    <w:t>%</w:t>
                  </w:r>
                </w:p>
              </w:tc>
              <w:tc>
                <w:tcPr>
                  <w:tcW w:w="859" w:type="dxa"/>
                  <w:tcMar>
                    <w:top w:w="30" w:type="dxa"/>
                    <w:left w:w="150" w:type="dxa"/>
                    <w:bottom w:w="30" w:type="dxa"/>
                    <w:right w:w="150" w:type="dxa"/>
                  </w:tcMar>
                  <w:vAlign w:val="center"/>
                </w:tcPr>
                <w:p w14:paraId="4C869C44">
                  <w:pPr>
                    <w:spacing w:line="320" w:lineRule="exact"/>
                    <w:jc w:val="center"/>
                    <w:rPr>
                      <w:rFonts w:ascii="宋体" w:hAnsi="宋体" w:cs="宋体"/>
                      <w:kern w:val="0"/>
                      <w:szCs w:val="21"/>
                    </w:rPr>
                  </w:pPr>
                  <w:r>
                    <w:rPr>
                      <w:rFonts w:hint="eastAsia" w:ascii="宋体" w:hAnsi="宋体" w:cs="宋体"/>
                      <w:kern w:val="0"/>
                      <w:szCs w:val="21"/>
                    </w:rPr>
                    <w:t>0.2%</w:t>
                  </w:r>
                </w:p>
              </w:tc>
              <w:tc>
                <w:tcPr>
                  <w:tcW w:w="838" w:type="dxa"/>
                  <w:tcMar>
                    <w:top w:w="30" w:type="dxa"/>
                    <w:left w:w="150" w:type="dxa"/>
                    <w:bottom w:w="30" w:type="dxa"/>
                    <w:right w:w="150" w:type="dxa"/>
                  </w:tcMar>
                  <w:vAlign w:val="center"/>
                </w:tcPr>
                <w:p w14:paraId="22D172DF">
                  <w:pPr>
                    <w:spacing w:line="320" w:lineRule="exact"/>
                    <w:jc w:val="center"/>
                    <w:rPr>
                      <w:rFonts w:ascii="宋体" w:hAnsi="宋体" w:cs="宋体"/>
                      <w:kern w:val="0"/>
                      <w:szCs w:val="21"/>
                    </w:rPr>
                  </w:pPr>
                  <w:r>
                    <w:rPr>
                      <w:rFonts w:hint="eastAsia" w:ascii="宋体" w:hAnsi="宋体" w:cs="宋体"/>
                      <w:kern w:val="0"/>
                      <w:szCs w:val="21"/>
                    </w:rPr>
                    <w:t>0.35%</w:t>
                  </w:r>
                </w:p>
              </w:tc>
            </w:tr>
            <w:tr w14:paraId="7940D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0" w:hRule="atLeast"/>
                <w:jc w:val="center"/>
              </w:trPr>
              <w:tc>
                <w:tcPr>
                  <w:tcW w:w="3300" w:type="dxa"/>
                  <w:tcMar>
                    <w:top w:w="30" w:type="dxa"/>
                    <w:left w:w="150" w:type="dxa"/>
                    <w:bottom w:w="30" w:type="dxa"/>
                    <w:right w:w="150" w:type="dxa"/>
                  </w:tcMar>
                  <w:vAlign w:val="center"/>
                </w:tcPr>
                <w:p w14:paraId="01F2E65F">
                  <w:pPr>
                    <w:spacing w:line="320" w:lineRule="exact"/>
                    <w:rPr>
                      <w:rFonts w:ascii="宋体" w:hAnsi="宋体" w:cs="宋体"/>
                      <w:kern w:val="0"/>
                      <w:szCs w:val="21"/>
                    </w:rPr>
                  </w:pPr>
                  <w:r>
                    <w:rPr>
                      <w:rFonts w:hint="eastAsia" w:ascii="宋体" w:hAnsi="宋体" w:cs="宋体"/>
                      <w:kern w:val="0"/>
                      <w:szCs w:val="21"/>
                    </w:rPr>
                    <w:t>5000-10000</w:t>
                  </w:r>
                  <w:r>
                    <w:rPr>
                      <w:rFonts w:hint="eastAsia" w:ascii="宋体" w:hAnsi="宋体" w:cs="宋体"/>
                      <w:kern w:val="0"/>
                      <w:szCs w:val="21"/>
                      <w:lang w:eastAsia="zh-CN"/>
                    </w:rPr>
                    <w:t>（</w:t>
                  </w:r>
                  <w:r>
                    <w:rPr>
                      <w:rFonts w:hint="eastAsia" w:ascii="宋体" w:hAnsi="宋体" w:cs="宋体"/>
                      <w:kern w:val="0"/>
                      <w:szCs w:val="21"/>
                      <w:lang w:val="en-US" w:eastAsia="zh-CN"/>
                    </w:rPr>
                    <w:t>含</w:t>
                  </w:r>
                  <w:r>
                    <w:rPr>
                      <w:rFonts w:hint="eastAsia" w:ascii="宋体" w:hAnsi="宋体" w:cs="宋体"/>
                      <w:kern w:val="0"/>
                      <w:szCs w:val="21"/>
                      <w:lang w:eastAsia="zh-CN"/>
                    </w:rPr>
                    <w:t>）</w:t>
                  </w:r>
                </w:p>
              </w:tc>
              <w:tc>
                <w:tcPr>
                  <w:tcW w:w="832" w:type="dxa"/>
                  <w:tcMar>
                    <w:top w:w="30" w:type="dxa"/>
                    <w:left w:w="150" w:type="dxa"/>
                    <w:bottom w:w="30" w:type="dxa"/>
                    <w:right w:w="150" w:type="dxa"/>
                  </w:tcMar>
                  <w:vAlign w:val="center"/>
                </w:tcPr>
                <w:p w14:paraId="1876BEE3">
                  <w:pPr>
                    <w:spacing w:line="320" w:lineRule="exact"/>
                    <w:jc w:val="center"/>
                    <w:rPr>
                      <w:rFonts w:ascii="宋体" w:hAnsi="宋体" w:cs="宋体"/>
                      <w:kern w:val="0"/>
                      <w:szCs w:val="21"/>
                    </w:rPr>
                  </w:pPr>
                  <w:r>
                    <w:rPr>
                      <w:rFonts w:hint="eastAsia" w:ascii="宋体" w:hAnsi="宋体" w:cs="宋体"/>
                      <w:kern w:val="0"/>
                      <w:szCs w:val="21"/>
                    </w:rPr>
                    <w:t>0.2%</w:t>
                  </w:r>
                </w:p>
              </w:tc>
              <w:tc>
                <w:tcPr>
                  <w:tcW w:w="859" w:type="dxa"/>
                  <w:tcMar>
                    <w:top w:w="30" w:type="dxa"/>
                    <w:left w:w="150" w:type="dxa"/>
                    <w:bottom w:w="30" w:type="dxa"/>
                    <w:right w:w="150" w:type="dxa"/>
                  </w:tcMar>
                  <w:vAlign w:val="center"/>
                </w:tcPr>
                <w:p w14:paraId="2E6AB9D8">
                  <w:pPr>
                    <w:spacing w:line="320" w:lineRule="exact"/>
                    <w:jc w:val="center"/>
                    <w:rPr>
                      <w:rFonts w:ascii="宋体" w:hAnsi="宋体" w:cs="宋体"/>
                      <w:kern w:val="0"/>
                      <w:szCs w:val="21"/>
                    </w:rPr>
                  </w:pPr>
                  <w:r>
                    <w:rPr>
                      <w:rFonts w:hint="eastAsia" w:ascii="宋体" w:hAnsi="宋体" w:cs="宋体"/>
                      <w:kern w:val="0"/>
                      <w:szCs w:val="21"/>
                    </w:rPr>
                    <w:t>0.1%</w:t>
                  </w:r>
                </w:p>
              </w:tc>
              <w:tc>
                <w:tcPr>
                  <w:tcW w:w="838" w:type="dxa"/>
                  <w:tcMar>
                    <w:top w:w="30" w:type="dxa"/>
                    <w:left w:w="150" w:type="dxa"/>
                    <w:bottom w:w="30" w:type="dxa"/>
                    <w:right w:w="150" w:type="dxa"/>
                  </w:tcMar>
                  <w:vAlign w:val="center"/>
                </w:tcPr>
                <w:p w14:paraId="0A230E64">
                  <w:pPr>
                    <w:spacing w:line="320" w:lineRule="exact"/>
                    <w:jc w:val="center"/>
                    <w:rPr>
                      <w:rFonts w:ascii="宋体" w:hAnsi="宋体" w:cs="宋体"/>
                      <w:kern w:val="0"/>
                      <w:szCs w:val="21"/>
                    </w:rPr>
                  </w:pPr>
                  <w:r>
                    <w:rPr>
                      <w:rFonts w:hint="eastAsia" w:ascii="宋体" w:hAnsi="宋体" w:cs="宋体"/>
                      <w:kern w:val="0"/>
                      <w:szCs w:val="21"/>
                    </w:rPr>
                    <w:t>0.2%</w:t>
                  </w:r>
                </w:p>
              </w:tc>
            </w:tr>
            <w:tr w14:paraId="4A16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5AACC76C">
                  <w:pPr>
                    <w:spacing w:line="320" w:lineRule="exact"/>
                    <w:rPr>
                      <w:rFonts w:ascii="宋体" w:hAnsi="宋体" w:cs="宋体"/>
                      <w:kern w:val="0"/>
                      <w:szCs w:val="21"/>
                    </w:rPr>
                  </w:pPr>
                  <w:r>
                    <w:rPr>
                      <w:rFonts w:hint="eastAsia" w:ascii="宋体" w:hAnsi="宋体" w:cs="宋体"/>
                      <w:kern w:val="0"/>
                      <w:szCs w:val="21"/>
                    </w:rPr>
                    <w:t>10000-100000</w:t>
                  </w:r>
                  <w:r>
                    <w:rPr>
                      <w:rFonts w:hint="eastAsia" w:ascii="宋体" w:hAnsi="宋体" w:cs="宋体"/>
                      <w:kern w:val="0"/>
                      <w:szCs w:val="21"/>
                      <w:lang w:eastAsia="zh-CN"/>
                    </w:rPr>
                    <w:t>（</w:t>
                  </w:r>
                  <w:r>
                    <w:rPr>
                      <w:rFonts w:hint="eastAsia" w:ascii="宋体" w:hAnsi="宋体" w:cs="宋体"/>
                      <w:kern w:val="0"/>
                      <w:szCs w:val="21"/>
                      <w:lang w:val="en-US" w:eastAsia="zh-CN"/>
                    </w:rPr>
                    <w:t>含</w:t>
                  </w:r>
                  <w:r>
                    <w:rPr>
                      <w:rFonts w:hint="eastAsia" w:ascii="宋体" w:hAnsi="宋体" w:cs="宋体"/>
                      <w:kern w:val="0"/>
                      <w:szCs w:val="21"/>
                      <w:lang w:eastAsia="zh-CN"/>
                    </w:rPr>
                    <w:t>）</w:t>
                  </w:r>
                </w:p>
              </w:tc>
              <w:tc>
                <w:tcPr>
                  <w:tcW w:w="832" w:type="dxa"/>
                  <w:tcMar>
                    <w:top w:w="30" w:type="dxa"/>
                    <w:left w:w="150" w:type="dxa"/>
                    <w:bottom w:w="30" w:type="dxa"/>
                    <w:right w:w="150" w:type="dxa"/>
                  </w:tcMar>
                  <w:vAlign w:val="center"/>
                </w:tcPr>
                <w:p w14:paraId="0E178454">
                  <w:pPr>
                    <w:spacing w:line="320" w:lineRule="exact"/>
                    <w:jc w:val="center"/>
                    <w:rPr>
                      <w:rFonts w:ascii="宋体" w:hAnsi="宋体" w:cs="宋体"/>
                      <w:kern w:val="0"/>
                      <w:szCs w:val="21"/>
                    </w:rPr>
                  </w:pPr>
                  <w:r>
                    <w:rPr>
                      <w:rFonts w:hint="eastAsia" w:ascii="宋体" w:hAnsi="宋体" w:cs="宋体"/>
                      <w:kern w:val="0"/>
                      <w:szCs w:val="21"/>
                    </w:rPr>
                    <w:t>0.05%</w:t>
                  </w:r>
                </w:p>
              </w:tc>
              <w:tc>
                <w:tcPr>
                  <w:tcW w:w="859" w:type="dxa"/>
                  <w:tcMar>
                    <w:top w:w="30" w:type="dxa"/>
                    <w:left w:w="150" w:type="dxa"/>
                    <w:bottom w:w="30" w:type="dxa"/>
                    <w:right w:w="150" w:type="dxa"/>
                  </w:tcMar>
                  <w:vAlign w:val="center"/>
                </w:tcPr>
                <w:p w14:paraId="19B4F4F7">
                  <w:pPr>
                    <w:spacing w:line="320" w:lineRule="exact"/>
                    <w:jc w:val="center"/>
                    <w:rPr>
                      <w:rFonts w:ascii="宋体" w:hAnsi="宋体" w:cs="宋体"/>
                      <w:kern w:val="0"/>
                      <w:szCs w:val="21"/>
                    </w:rPr>
                  </w:pPr>
                  <w:r>
                    <w:rPr>
                      <w:rFonts w:hint="eastAsia" w:ascii="宋体" w:hAnsi="宋体" w:cs="宋体"/>
                      <w:kern w:val="0"/>
                      <w:szCs w:val="21"/>
                    </w:rPr>
                    <w:t>0.05%</w:t>
                  </w:r>
                </w:p>
              </w:tc>
              <w:tc>
                <w:tcPr>
                  <w:tcW w:w="838" w:type="dxa"/>
                  <w:tcMar>
                    <w:top w:w="30" w:type="dxa"/>
                    <w:left w:w="150" w:type="dxa"/>
                    <w:bottom w:w="30" w:type="dxa"/>
                    <w:right w:w="150" w:type="dxa"/>
                  </w:tcMar>
                  <w:vAlign w:val="center"/>
                </w:tcPr>
                <w:p w14:paraId="48554677">
                  <w:pPr>
                    <w:spacing w:line="320" w:lineRule="exact"/>
                    <w:jc w:val="center"/>
                    <w:rPr>
                      <w:rFonts w:ascii="宋体" w:hAnsi="宋体" w:cs="宋体"/>
                      <w:kern w:val="0"/>
                      <w:szCs w:val="21"/>
                    </w:rPr>
                  </w:pPr>
                  <w:r>
                    <w:rPr>
                      <w:rFonts w:hint="eastAsia" w:ascii="宋体" w:hAnsi="宋体" w:cs="宋体"/>
                      <w:kern w:val="0"/>
                      <w:szCs w:val="21"/>
                    </w:rPr>
                    <w:t>0.0</w:t>
                  </w:r>
                  <w:r>
                    <w:rPr>
                      <w:rFonts w:hint="eastAsia" w:ascii="宋体" w:hAnsi="宋体" w:cs="宋体"/>
                      <w:kern w:val="0"/>
                      <w:szCs w:val="21"/>
                      <w:lang w:val="en-US" w:eastAsia="zh-CN"/>
                    </w:rPr>
                    <w:t>4</w:t>
                  </w:r>
                  <w:r>
                    <w:rPr>
                      <w:rFonts w:hint="eastAsia" w:ascii="宋体" w:hAnsi="宋体" w:cs="宋体"/>
                      <w:kern w:val="0"/>
                      <w:szCs w:val="21"/>
                    </w:rPr>
                    <w:t>%</w:t>
                  </w:r>
                </w:p>
              </w:tc>
            </w:tr>
            <w:tr w14:paraId="4F7C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9" w:hRule="atLeast"/>
                <w:jc w:val="center"/>
              </w:trPr>
              <w:tc>
                <w:tcPr>
                  <w:tcW w:w="3300" w:type="dxa"/>
                  <w:tcMar>
                    <w:top w:w="30" w:type="dxa"/>
                    <w:left w:w="150" w:type="dxa"/>
                    <w:bottom w:w="30" w:type="dxa"/>
                    <w:right w:w="150" w:type="dxa"/>
                  </w:tcMar>
                  <w:vAlign w:val="center"/>
                </w:tcPr>
                <w:p w14:paraId="40A7F673">
                  <w:pPr>
                    <w:spacing w:line="320" w:lineRule="exact"/>
                    <w:rPr>
                      <w:rFonts w:ascii="宋体" w:hAnsi="宋体" w:cs="宋体"/>
                      <w:kern w:val="0"/>
                      <w:szCs w:val="21"/>
                    </w:rPr>
                  </w:pPr>
                  <w:r>
                    <w:rPr>
                      <w:rFonts w:hint="eastAsia" w:ascii="宋体" w:hAnsi="宋体" w:cs="宋体"/>
                      <w:kern w:val="0"/>
                      <w:szCs w:val="21"/>
                    </w:rPr>
                    <w:t>100000以上</w:t>
                  </w:r>
                </w:p>
              </w:tc>
              <w:tc>
                <w:tcPr>
                  <w:tcW w:w="832" w:type="dxa"/>
                  <w:tcMar>
                    <w:top w:w="30" w:type="dxa"/>
                    <w:left w:w="150" w:type="dxa"/>
                    <w:bottom w:w="30" w:type="dxa"/>
                    <w:right w:w="150" w:type="dxa"/>
                  </w:tcMar>
                  <w:vAlign w:val="center"/>
                </w:tcPr>
                <w:p w14:paraId="36A9078D">
                  <w:pPr>
                    <w:spacing w:line="320" w:lineRule="exact"/>
                    <w:jc w:val="center"/>
                    <w:rPr>
                      <w:rFonts w:ascii="宋体" w:hAnsi="宋体" w:cs="宋体"/>
                      <w:kern w:val="0"/>
                      <w:szCs w:val="21"/>
                    </w:rPr>
                  </w:pPr>
                  <w:r>
                    <w:rPr>
                      <w:rFonts w:hint="eastAsia" w:ascii="宋体" w:hAnsi="宋体" w:cs="宋体"/>
                      <w:kern w:val="0"/>
                      <w:szCs w:val="21"/>
                    </w:rPr>
                    <w:t>0.01%</w:t>
                  </w:r>
                </w:p>
              </w:tc>
              <w:tc>
                <w:tcPr>
                  <w:tcW w:w="859" w:type="dxa"/>
                  <w:tcMar>
                    <w:top w:w="30" w:type="dxa"/>
                    <w:left w:w="150" w:type="dxa"/>
                    <w:bottom w:w="30" w:type="dxa"/>
                    <w:right w:w="150" w:type="dxa"/>
                  </w:tcMar>
                  <w:vAlign w:val="center"/>
                </w:tcPr>
                <w:p w14:paraId="69152DB3">
                  <w:pPr>
                    <w:spacing w:line="320" w:lineRule="exact"/>
                    <w:jc w:val="center"/>
                    <w:rPr>
                      <w:rFonts w:ascii="宋体" w:hAnsi="宋体" w:cs="宋体"/>
                      <w:kern w:val="0"/>
                      <w:szCs w:val="21"/>
                    </w:rPr>
                  </w:pPr>
                  <w:r>
                    <w:rPr>
                      <w:rFonts w:hint="eastAsia" w:ascii="宋体" w:hAnsi="宋体" w:cs="宋体"/>
                      <w:kern w:val="0"/>
                      <w:szCs w:val="21"/>
                    </w:rPr>
                    <w:t>0.01%</w:t>
                  </w:r>
                </w:p>
              </w:tc>
              <w:tc>
                <w:tcPr>
                  <w:tcW w:w="838" w:type="dxa"/>
                  <w:tcMar>
                    <w:top w:w="30" w:type="dxa"/>
                    <w:left w:w="150" w:type="dxa"/>
                    <w:bottom w:w="30" w:type="dxa"/>
                    <w:right w:w="150" w:type="dxa"/>
                  </w:tcMar>
                  <w:vAlign w:val="center"/>
                </w:tcPr>
                <w:p w14:paraId="30AD9B5D">
                  <w:pPr>
                    <w:spacing w:line="320" w:lineRule="exact"/>
                    <w:jc w:val="center"/>
                    <w:rPr>
                      <w:rFonts w:ascii="宋体" w:hAnsi="宋体" w:cs="宋体"/>
                      <w:kern w:val="0"/>
                      <w:szCs w:val="21"/>
                    </w:rPr>
                  </w:pPr>
                  <w:r>
                    <w:rPr>
                      <w:rFonts w:hint="eastAsia" w:ascii="宋体" w:hAnsi="宋体" w:cs="宋体"/>
                      <w:kern w:val="0"/>
                      <w:szCs w:val="21"/>
                    </w:rPr>
                    <w:t>0.01%</w:t>
                  </w:r>
                </w:p>
              </w:tc>
            </w:tr>
          </w:tbl>
          <w:p w14:paraId="5A728954">
            <w:pPr>
              <w:spacing w:line="360" w:lineRule="exact"/>
              <w:rPr>
                <w:rFonts w:ascii="宋体" w:hAnsi="宋体" w:cs="宋体"/>
                <w:snapToGrid w:val="0"/>
                <w:kern w:val="28"/>
                <w:sz w:val="24"/>
              </w:rPr>
            </w:pPr>
            <w:r>
              <w:rPr>
                <w:rFonts w:hint="eastAsia" w:ascii="宋体" w:hAnsi="宋体" w:cs="宋体"/>
                <w:szCs w:val="21"/>
                <w:lang w:bidi="ar"/>
              </w:rPr>
              <w:t>备注：（1）中标服务费按差额定率累进法计算；（2）中标服务费只收现金、银行票汇款、电汇款。汇入以下账户：</w:t>
            </w:r>
            <w:r>
              <w:rPr>
                <w:rFonts w:hint="eastAsia" w:ascii="宋体" w:hAnsi="宋体" w:cs="宋体"/>
                <w:szCs w:val="21"/>
              </w:rPr>
              <w:t>开户银行：建行宁波市分行宁海天景园支行，户名：建经投资咨询有限公司宁海分公司，账号：33101995438050504186 。</w:t>
            </w:r>
          </w:p>
        </w:tc>
      </w:tr>
      <w:bookmarkEnd w:id="12"/>
    </w:tbl>
    <w:p w14:paraId="2FCD1408">
      <w:pPr>
        <w:widowControl/>
        <w:adjustRightInd/>
        <w:ind w:firstLine="630"/>
        <w:jc w:val="left"/>
        <w:rPr>
          <w:rFonts w:ascii="宋体" w:hAnsi="宋体" w:cs="宋体"/>
          <w:b/>
          <w:sz w:val="32"/>
          <w:szCs w:val="20"/>
        </w:rPr>
      </w:pPr>
      <w:bookmarkStart w:id="16" w:name="_Toc164416483"/>
      <w:bookmarkStart w:id="17" w:name="第三部分"/>
      <w:r>
        <w:rPr>
          <w:rFonts w:hint="eastAsia" w:ascii="宋体" w:hAnsi="宋体" w:cs="宋体"/>
          <w:b/>
          <w:sz w:val="32"/>
          <w:szCs w:val="20"/>
        </w:rPr>
        <w:br w:type="page"/>
      </w:r>
    </w:p>
    <w:p w14:paraId="4AA81089">
      <w:pPr>
        <w:snapToGrid w:val="0"/>
        <w:spacing w:line="360" w:lineRule="auto"/>
        <w:ind w:firstLine="3855" w:firstLineChars="1200"/>
        <w:jc w:val="both"/>
        <w:outlineLvl w:val="0"/>
        <w:rPr>
          <w:rFonts w:ascii="宋体" w:hAnsi="宋体" w:cs="宋体"/>
          <w:b/>
          <w:sz w:val="32"/>
          <w:szCs w:val="20"/>
        </w:rPr>
      </w:pPr>
      <w:bookmarkStart w:id="18" w:name="_Toc17715"/>
      <w:r>
        <w:rPr>
          <w:rFonts w:hint="eastAsia" w:ascii="宋体" w:hAnsi="宋体" w:cs="宋体"/>
          <w:b/>
          <w:sz w:val="32"/>
          <w:szCs w:val="20"/>
        </w:rPr>
        <w:t>一、总则</w:t>
      </w:r>
      <w:bookmarkEnd w:id="18"/>
    </w:p>
    <w:p w14:paraId="412E46FF">
      <w:pPr>
        <w:snapToGrid w:val="0"/>
        <w:spacing w:line="360" w:lineRule="auto"/>
        <w:ind w:firstLine="472"/>
        <w:jc w:val="left"/>
        <w:outlineLvl w:val="1"/>
        <w:rPr>
          <w:rFonts w:ascii="宋体" w:hAnsi="宋体" w:cs="宋体"/>
          <w:b/>
          <w:sz w:val="24"/>
        </w:rPr>
      </w:pPr>
      <w:r>
        <w:rPr>
          <w:rFonts w:hint="eastAsia" w:ascii="宋体" w:hAnsi="宋体" w:cs="宋体"/>
          <w:b/>
          <w:sz w:val="24"/>
        </w:rPr>
        <w:t>1. 适用范围</w:t>
      </w:r>
    </w:p>
    <w:p w14:paraId="65CC4AA1">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7BA40DA9">
      <w:pPr>
        <w:numPr>
          <w:ilvl w:val="0"/>
          <w:numId w:val="1"/>
        </w:numPr>
        <w:snapToGrid w:val="0"/>
        <w:spacing w:line="360" w:lineRule="auto"/>
        <w:ind w:firstLine="472"/>
        <w:outlineLvl w:val="0"/>
        <w:rPr>
          <w:rFonts w:ascii="宋体" w:hAnsi="宋体" w:cs="宋体"/>
          <w:b/>
          <w:sz w:val="24"/>
        </w:rPr>
      </w:pPr>
      <w:bookmarkStart w:id="19" w:name="_Toc29273"/>
      <w:r>
        <w:rPr>
          <w:rFonts w:hint="eastAsia" w:ascii="宋体" w:hAnsi="宋体" w:cs="宋体"/>
          <w:b/>
          <w:sz w:val="24"/>
        </w:rPr>
        <w:t>定义</w:t>
      </w:r>
      <w:bookmarkEnd w:id="19"/>
    </w:p>
    <w:p w14:paraId="08509E53">
      <w:pPr>
        <w:snapToGrid w:val="0"/>
        <w:spacing w:line="360" w:lineRule="auto"/>
        <w:ind w:firstLine="480" w:firstLineChars="200"/>
        <w:rPr>
          <w:rFonts w:ascii="宋体" w:hAnsi="宋体" w:cs="宋体"/>
          <w:sz w:val="24"/>
        </w:rPr>
      </w:pPr>
      <w:r>
        <w:rPr>
          <w:rFonts w:hint="eastAsia" w:ascii="宋体" w:hAnsi="宋体" w:cs="宋体"/>
          <w:sz w:val="24"/>
        </w:rPr>
        <w:t>2.1“采购人”系指竞争性磋商公告中载明的本项目的采购人。</w:t>
      </w:r>
    </w:p>
    <w:p w14:paraId="223E88F3">
      <w:pPr>
        <w:snapToGrid w:val="0"/>
        <w:spacing w:line="360" w:lineRule="auto"/>
        <w:ind w:firstLine="480" w:firstLineChars="200"/>
        <w:rPr>
          <w:rFonts w:ascii="宋体" w:hAnsi="宋体" w:cs="宋体"/>
          <w:sz w:val="24"/>
        </w:rPr>
      </w:pPr>
      <w:r>
        <w:rPr>
          <w:rFonts w:hint="eastAsia" w:ascii="宋体" w:hAnsi="宋体" w:cs="宋体"/>
          <w:sz w:val="24"/>
        </w:rPr>
        <w:t>2.2“采购代理机构”系指竞争性磋商公告中载明的本项目的采购代理机构。</w:t>
      </w:r>
    </w:p>
    <w:p w14:paraId="780A7099">
      <w:pPr>
        <w:snapToGrid w:val="0"/>
        <w:spacing w:line="360" w:lineRule="auto"/>
        <w:ind w:firstLine="480" w:firstLineChars="200"/>
        <w:rPr>
          <w:rFonts w:ascii="宋体" w:hAnsi="宋体" w:cs="宋体"/>
          <w:sz w:val="24"/>
        </w:rPr>
      </w:pPr>
      <w:r>
        <w:rPr>
          <w:rFonts w:hint="eastAsia" w:ascii="宋体" w:hAnsi="宋体" w:cs="宋体"/>
          <w:sz w:val="24"/>
        </w:rPr>
        <w:t>2.3“供应商”系指提交响应文件和报价、参与竞争性磋商采购活动的法人、其他组织或者自然人。</w:t>
      </w:r>
    </w:p>
    <w:p w14:paraId="32D2DC3F">
      <w:pPr>
        <w:snapToGrid w:val="0"/>
        <w:spacing w:line="360" w:lineRule="auto"/>
        <w:ind w:firstLine="480" w:firstLineChars="200"/>
        <w:rPr>
          <w:rFonts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14:paraId="53531062">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r>
        <w:rPr>
          <w:rFonts w:hint="eastAsia" w:ascii="宋体" w:hAnsi="宋体" w:cs="宋体"/>
          <w:b/>
          <w:bCs/>
          <w:sz w:val="24"/>
        </w:rPr>
        <w:t>因特殊原因需要使用冠以法定名称的业务专用章的，提交响应文件时须提供《业务专用章使用说明函》（附件4）。</w:t>
      </w:r>
    </w:p>
    <w:p w14:paraId="1ACC46FD">
      <w:pPr>
        <w:snapToGrid w:val="0"/>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1C69509F">
      <w:pPr>
        <w:snapToGrid w:val="0"/>
        <w:spacing w:line="360" w:lineRule="auto"/>
        <w:ind w:firstLine="480" w:firstLineChars="200"/>
        <w:rPr>
          <w:rFonts w:ascii="宋体" w:hAnsi="宋体" w:cs="宋体"/>
          <w:sz w:val="24"/>
        </w:rPr>
      </w:pPr>
      <w:r>
        <w:rPr>
          <w:rFonts w:hint="eastAsia" w:ascii="宋体" w:hAnsi="宋体" w:cs="宋体"/>
          <w:sz w:val="24"/>
        </w:rPr>
        <w:t>2.7“▲”系指实质性要求条款，“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”系指不适用本项目的要求，“※”系指磋商过程中可能实质性变动的内容。</w:t>
      </w:r>
    </w:p>
    <w:p w14:paraId="11AA9125">
      <w:pPr>
        <w:snapToGrid w:val="0"/>
        <w:spacing w:line="360" w:lineRule="auto"/>
        <w:ind w:firstLine="472"/>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6613DE68">
      <w:pPr>
        <w:snapToGrid w:val="0"/>
        <w:spacing w:line="360" w:lineRule="auto"/>
        <w:ind w:firstLine="480" w:firstLineChars="200"/>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D2D2143">
      <w:pPr>
        <w:snapToGrid w:val="0"/>
        <w:spacing w:line="360" w:lineRule="auto"/>
        <w:ind w:firstLine="480" w:firstLineChars="200"/>
        <w:rPr>
          <w:rFonts w:ascii="宋体" w:hAnsi="宋体" w:cs="宋体"/>
          <w:sz w:val="24"/>
        </w:rPr>
      </w:pPr>
      <w:r>
        <w:rPr>
          <w:rFonts w:hint="eastAsia" w:ascii="宋体" w:hAnsi="宋体" w:cs="宋体"/>
          <w:sz w:val="24"/>
        </w:rPr>
        <w:t>3.2支持绿色发展</w:t>
      </w:r>
    </w:p>
    <w:p w14:paraId="3F0C272C">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4BC6746D">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0E717123">
      <w:pPr>
        <w:snapToGrid w:val="0"/>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1AF5FB7">
      <w:pPr>
        <w:snapToGrid w:val="0"/>
        <w:spacing w:line="360" w:lineRule="auto"/>
        <w:ind w:firstLine="480" w:firstLineChars="200"/>
        <w:rPr>
          <w:rFonts w:ascii="宋体" w:hAnsi="宋体" w:cs="宋体"/>
          <w:sz w:val="24"/>
        </w:rPr>
      </w:pPr>
      <w:r>
        <w:rPr>
          <w:rFonts w:hint="eastAsia" w:ascii="宋体" w:hAnsi="宋体" w:cs="宋体"/>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6BBDB675">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5C3D3E71">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00B61F9">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0F68C66A">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17C7F449">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3FB8071">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0" w:name="_Hlk101132181"/>
      <w:r>
        <w:rPr>
          <w:rFonts w:hint="eastAsia" w:ascii="宋体" w:hAnsi="宋体" w:cs="宋体"/>
          <w:sz w:val="24"/>
        </w:rPr>
        <w:t>联合协议或者分包意向协议约定小微企业的合同份额占到合同总金额30%以上的</w:t>
      </w:r>
      <w:bookmarkEnd w:id="20"/>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28D05C77">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7C70CA1">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E7D9486">
      <w:pPr>
        <w:snapToGrid w:val="0"/>
        <w:spacing w:line="360" w:lineRule="auto"/>
        <w:ind w:firstLine="480" w:firstLineChars="200"/>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6CF36B2">
      <w:pPr>
        <w:snapToGrid w:val="0"/>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FE04818">
      <w:pPr>
        <w:snapToGrid w:val="0"/>
        <w:spacing w:line="360" w:lineRule="auto"/>
        <w:ind w:firstLine="480" w:firstLineChars="200"/>
        <w:rPr>
          <w:rFonts w:ascii="宋体" w:hAnsi="宋体" w:cs="宋体"/>
          <w:sz w:val="24"/>
        </w:rPr>
      </w:pPr>
      <w:r>
        <w:rPr>
          <w:rFonts w:hint="eastAsia" w:ascii="宋体" w:hAnsi="宋体" w:cs="宋体"/>
          <w:sz w:val="24"/>
        </w:rPr>
        <w:t>3.4支持创新发展</w:t>
      </w:r>
    </w:p>
    <w:p w14:paraId="037DDF85">
      <w:pPr>
        <w:snapToGrid w:val="0"/>
        <w:spacing w:line="360" w:lineRule="auto"/>
        <w:ind w:firstLine="480" w:firstLineChars="200"/>
        <w:rPr>
          <w:rFonts w:ascii="宋体" w:hAnsi="宋体" w:cs="宋体"/>
          <w:sz w:val="24"/>
        </w:rPr>
      </w:pPr>
      <w:r>
        <w:rPr>
          <w:rFonts w:hint="eastAsia" w:ascii="宋体" w:hAnsi="宋体" w:cs="宋体"/>
          <w:sz w:val="24"/>
        </w:rPr>
        <w:t>3.4.1采购人优先采购被认定为首台套产品和“制造精品”的自主创新产品。</w:t>
      </w:r>
    </w:p>
    <w:p w14:paraId="09984E67">
      <w:pPr>
        <w:snapToGrid w:val="0"/>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5475AE0">
      <w:pPr>
        <w:snapToGrid w:val="0"/>
        <w:spacing w:line="360" w:lineRule="auto"/>
        <w:ind w:firstLine="480" w:firstLineChars="200"/>
        <w:rPr>
          <w:rFonts w:ascii="宋体" w:hAnsi="宋体" w:cs="宋体"/>
          <w:sz w:val="24"/>
        </w:rPr>
      </w:pPr>
      <w:r>
        <w:rPr>
          <w:rFonts w:hint="eastAsia" w:ascii="宋体" w:hAnsi="宋体" w:cs="宋体"/>
          <w:sz w:val="24"/>
        </w:rPr>
        <w:t>3.4.3采购人应当贯彻落实知识产权保护相关法律法规，应当采购使用正版软件。</w:t>
      </w:r>
    </w:p>
    <w:p w14:paraId="12B4E464">
      <w:pPr>
        <w:snapToGrid w:val="0"/>
        <w:spacing w:line="360" w:lineRule="auto"/>
        <w:ind w:firstLine="480" w:firstLineChars="200"/>
        <w:rPr>
          <w:rFonts w:ascii="宋体" w:hAnsi="宋体" w:cs="宋体"/>
          <w:sz w:val="24"/>
        </w:rPr>
      </w:pPr>
      <w:r>
        <w:rPr>
          <w:rFonts w:hint="eastAsia" w:ascii="宋体" w:hAnsi="宋体" w:cs="宋体"/>
          <w:sz w:val="24"/>
        </w:rPr>
        <w:t>3.5平等对待内外资企业和符合条件的破产重整企业：</w:t>
      </w:r>
    </w:p>
    <w:p w14:paraId="0A37158C">
      <w:pPr>
        <w:snapToGrid w:val="0"/>
        <w:spacing w:line="360" w:lineRule="auto"/>
        <w:ind w:firstLine="480" w:firstLineChars="2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0B322356">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4.1在线询问、质疑、投诉</w:t>
      </w:r>
    </w:p>
    <w:p w14:paraId="5B3096F3">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CFDA9FC">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11BC584">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23A4514">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1AD676F7">
      <w:pPr>
        <w:pStyle w:val="32"/>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10F87F61">
      <w:pPr>
        <w:pStyle w:val="32"/>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0394175E">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1338EC6D">
      <w:pPr>
        <w:pStyle w:val="32"/>
        <w:snapToGrid w:val="0"/>
        <w:spacing w:line="360" w:lineRule="auto"/>
        <w:ind w:firstLine="480" w:firstLineChars="200"/>
        <w:rPr>
          <w:rFonts w:hAnsi="宋体" w:cs="宋体"/>
          <w:kern w:val="0"/>
          <w:sz w:val="24"/>
          <w:lang w:val="zh-CN"/>
        </w:rPr>
      </w:pPr>
      <w:r>
        <w:rPr>
          <w:rFonts w:hAnsi="宋体" w:cs="宋体"/>
          <w:kern w:val="0"/>
          <w:sz w:val="24"/>
          <w:lang w:val="zh-CN"/>
        </w:rPr>
        <w:t>4.3.2.2对采购过程提出质疑的，质疑期限为各采购程序环节结束之日起计算。</w:t>
      </w:r>
    </w:p>
    <w:p w14:paraId="6CBC6707">
      <w:pPr>
        <w:pStyle w:val="32"/>
        <w:snapToGrid w:val="0"/>
        <w:spacing w:line="360" w:lineRule="auto"/>
        <w:ind w:firstLine="480" w:firstLineChars="200"/>
        <w:rPr>
          <w:rFonts w:hAnsi="宋体" w:cs="宋体"/>
          <w:kern w:val="0"/>
          <w:sz w:val="24"/>
          <w:lang w:val="zh-CN"/>
        </w:rPr>
      </w:pPr>
      <w:r>
        <w:rPr>
          <w:rFonts w:hAnsi="宋体" w:cs="宋体"/>
          <w:kern w:val="0"/>
          <w:sz w:val="24"/>
          <w:lang w:val="zh-CN"/>
        </w:rPr>
        <w:t>4.3.2.3对采购结果提出质疑的，质疑期限自采购结果公告期限届满之日起计算。</w:t>
      </w:r>
    </w:p>
    <w:p w14:paraId="522DBA95">
      <w:pPr>
        <w:pStyle w:val="32"/>
        <w:snapToGrid w:val="0"/>
        <w:spacing w:line="360" w:lineRule="auto"/>
        <w:ind w:firstLine="480" w:firstLineChars="200"/>
        <w:rPr>
          <w:rFonts w:hAnsi="宋体" w:cs="宋体"/>
          <w:kern w:val="0"/>
          <w:sz w:val="24"/>
          <w:lang w:val="zh-CN"/>
        </w:rPr>
      </w:pPr>
      <w:r>
        <w:rPr>
          <w:rFonts w:hAnsi="宋体" w:cs="宋体"/>
          <w:kern w:val="0"/>
          <w:sz w:val="24"/>
          <w:lang w:val="zh-CN"/>
        </w:rPr>
        <w:t>4.3.3供应商提出质疑应当提交质疑函和必要的证明材料。质疑函应当包括下列内容：</w:t>
      </w:r>
    </w:p>
    <w:p w14:paraId="1868DA03">
      <w:pPr>
        <w:pStyle w:val="5"/>
        <w:spacing w:line="360" w:lineRule="auto"/>
        <w:ind w:firstLine="720" w:firstLineChars="300"/>
        <w:rPr>
          <w:rFonts w:hAnsi="宋体" w:cs="宋体"/>
          <w:snapToGrid/>
          <w:color w:val="auto"/>
          <w:kern w:val="2"/>
          <w:sz w:val="24"/>
          <w:lang w:val="zh-CN"/>
        </w:rPr>
      </w:pPr>
      <w:r>
        <w:rPr>
          <w:rFonts w:hAnsi="宋体" w:cs="宋体"/>
          <w:snapToGrid/>
          <w:color w:val="auto"/>
          <w:kern w:val="2"/>
          <w:sz w:val="24"/>
          <w:lang w:val="zh-CN"/>
        </w:rPr>
        <w:t>4.3.3.1供应商的姓名或者名称、地址、邮编、联系人及联系电话；</w:t>
      </w:r>
    </w:p>
    <w:p w14:paraId="2560B375">
      <w:pPr>
        <w:pStyle w:val="5"/>
        <w:spacing w:line="360" w:lineRule="auto"/>
        <w:ind w:firstLine="720" w:firstLineChars="300"/>
        <w:rPr>
          <w:rFonts w:hAnsi="宋体" w:cs="宋体"/>
          <w:snapToGrid/>
          <w:color w:val="auto"/>
          <w:kern w:val="2"/>
          <w:sz w:val="24"/>
          <w:lang w:val="zh-CN"/>
        </w:rPr>
      </w:pPr>
      <w:r>
        <w:rPr>
          <w:rFonts w:hAnsi="宋体" w:cs="宋体"/>
          <w:snapToGrid/>
          <w:color w:val="auto"/>
          <w:kern w:val="2"/>
          <w:sz w:val="24"/>
          <w:lang w:val="zh-CN"/>
        </w:rPr>
        <w:t>4.3.3.2质疑项目的名称、编号；</w:t>
      </w:r>
    </w:p>
    <w:p w14:paraId="2542B606">
      <w:pPr>
        <w:pStyle w:val="5"/>
        <w:spacing w:line="360" w:lineRule="auto"/>
        <w:ind w:firstLine="720" w:firstLineChars="300"/>
        <w:rPr>
          <w:rFonts w:hAnsi="宋体" w:cs="宋体"/>
          <w:snapToGrid/>
          <w:color w:val="auto"/>
          <w:kern w:val="2"/>
          <w:sz w:val="24"/>
          <w:lang w:val="zh-CN"/>
        </w:rPr>
      </w:pPr>
      <w:r>
        <w:rPr>
          <w:rFonts w:hAnsi="宋体" w:cs="宋体"/>
          <w:snapToGrid/>
          <w:color w:val="auto"/>
          <w:kern w:val="2"/>
          <w:sz w:val="24"/>
          <w:lang w:val="zh-CN"/>
        </w:rPr>
        <w:t>4.3.3.3具体、明确的质疑事项和与质疑事项相关的请求；</w:t>
      </w:r>
    </w:p>
    <w:p w14:paraId="4CE1CDDE">
      <w:pPr>
        <w:pStyle w:val="5"/>
        <w:spacing w:line="360" w:lineRule="auto"/>
        <w:ind w:firstLine="720" w:firstLineChars="300"/>
        <w:rPr>
          <w:rFonts w:hAnsi="宋体" w:cs="宋体"/>
          <w:snapToGrid/>
          <w:color w:val="auto"/>
          <w:kern w:val="2"/>
          <w:sz w:val="24"/>
          <w:lang w:val="zh-CN"/>
        </w:rPr>
      </w:pPr>
      <w:r>
        <w:rPr>
          <w:rFonts w:hAnsi="宋体" w:cs="宋体"/>
          <w:snapToGrid/>
          <w:color w:val="auto"/>
          <w:kern w:val="2"/>
          <w:sz w:val="24"/>
          <w:lang w:val="zh-CN"/>
        </w:rPr>
        <w:t>4.3.3.4事实依据；</w:t>
      </w:r>
    </w:p>
    <w:p w14:paraId="03F59800">
      <w:pPr>
        <w:pStyle w:val="5"/>
        <w:spacing w:line="360" w:lineRule="auto"/>
        <w:ind w:firstLine="720" w:firstLineChars="300"/>
        <w:rPr>
          <w:rFonts w:hAnsi="宋体" w:cs="宋体"/>
          <w:snapToGrid/>
          <w:color w:val="auto"/>
          <w:kern w:val="2"/>
          <w:sz w:val="24"/>
          <w:lang w:val="zh-CN"/>
        </w:rPr>
      </w:pPr>
      <w:r>
        <w:rPr>
          <w:rFonts w:hAnsi="宋体" w:cs="宋体"/>
          <w:snapToGrid/>
          <w:color w:val="auto"/>
          <w:kern w:val="2"/>
          <w:sz w:val="24"/>
          <w:lang w:val="zh-CN"/>
        </w:rPr>
        <w:t>4.3.3.5必要的法律依据；</w:t>
      </w:r>
    </w:p>
    <w:p w14:paraId="278AF34B">
      <w:pPr>
        <w:pStyle w:val="5"/>
        <w:spacing w:line="360" w:lineRule="auto"/>
        <w:ind w:firstLine="720" w:firstLineChars="300"/>
        <w:rPr>
          <w:rFonts w:hAnsi="宋体" w:cs="宋体"/>
          <w:snapToGrid/>
          <w:color w:val="auto"/>
          <w:kern w:val="2"/>
          <w:sz w:val="24"/>
          <w:lang w:val="zh-CN"/>
        </w:rPr>
      </w:pPr>
      <w:r>
        <w:rPr>
          <w:rFonts w:hAnsi="宋体" w:cs="宋体"/>
          <w:snapToGrid/>
          <w:color w:val="auto"/>
          <w:kern w:val="2"/>
          <w:sz w:val="24"/>
          <w:lang w:val="zh-CN"/>
        </w:rPr>
        <w:t>4.3.3.6提出质疑的日期。</w:t>
      </w:r>
    </w:p>
    <w:p w14:paraId="26DD42E5">
      <w:pPr>
        <w:pStyle w:val="5"/>
        <w:shd w:val="clear" w:color="auto" w:fill="FFFFFF"/>
        <w:spacing w:line="360" w:lineRule="auto"/>
        <w:ind w:firstLine="480" w:firstLineChars="200"/>
        <w:contextualSpacing/>
        <w:rPr>
          <w:rFonts w:hAnsi="宋体" w:cs="宋体"/>
          <w:snapToGrid/>
          <w:color w:val="auto"/>
          <w:kern w:val="2"/>
          <w:sz w:val="24"/>
          <w:lang w:val="zh-CN"/>
        </w:rPr>
      </w:pPr>
      <w:r>
        <w:rPr>
          <w:rFonts w:hAnsi="宋体" w:cs="宋体"/>
          <w:snapToGrid/>
          <w:color w:val="auto"/>
          <w:kern w:val="2"/>
          <w:sz w:val="24"/>
          <w:lang w:val="zh-CN"/>
        </w:rPr>
        <w:t>供应商提交的质疑函需一式三份。供应商为自然人的，应当由本人签字；供应商为法人或者其他组织的，应当由法定代表人、主要负责人，或者其授权代表签字或者盖章，并加盖公章。</w:t>
      </w:r>
    </w:p>
    <w:p w14:paraId="6B07732C">
      <w:pPr>
        <w:pStyle w:val="5"/>
        <w:shd w:val="clear" w:color="auto" w:fill="FFFFFF"/>
        <w:spacing w:line="360" w:lineRule="auto"/>
        <w:ind w:firstLine="480" w:firstLineChars="200"/>
        <w:contextualSpacing/>
        <w:rPr>
          <w:rFonts w:hAnsi="宋体" w:cs="宋体"/>
          <w:snapToGrid/>
          <w:color w:val="auto"/>
          <w:kern w:val="2"/>
          <w:sz w:val="24"/>
          <w:lang w:val="zh-CN"/>
        </w:rPr>
      </w:pPr>
      <w:r>
        <w:rPr>
          <w:rFonts w:hAnsi="宋体" w:cs="宋体"/>
          <w:snapToGrid/>
          <w:color w:val="auto"/>
          <w:kern w:val="2"/>
          <w:sz w:val="24"/>
          <w:lang w:val="zh-CN"/>
        </w:rPr>
        <w:t>质疑函范本及制作说明详见附件2。</w:t>
      </w:r>
    </w:p>
    <w:p w14:paraId="59366FAC">
      <w:pPr>
        <w:pStyle w:val="5"/>
        <w:shd w:val="clear" w:color="auto" w:fill="FFFFFF"/>
        <w:spacing w:line="360" w:lineRule="auto"/>
        <w:ind w:firstLine="480" w:firstLineChars="200"/>
        <w:contextualSpacing/>
        <w:rPr>
          <w:rFonts w:hAnsi="宋体" w:cs="宋体"/>
          <w:snapToGrid/>
          <w:color w:val="auto"/>
          <w:kern w:val="2"/>
          <w:sz w:val="24"/>
          <w:lang w:val="zh-CN"/>
        </w:rPr>
      </w:pPr>
      <w:r>
        <w:rPr>
          <w:rFonts w:hAnsi="宋体" w:cs="宋体"/>
          <w:snapToGrid/>
          <w:color w:val="auto"/>
          <w:kern w:val="2"/>
          <w:sz w:val="24"/>
          <w:lang w:val="zh-CN"/>
        </w:rPr>
        <w:t>4.3.4对同一采购程序环节的质疑，供应商须在法定质疑期内一次性提出。</w:t>
      </w:r>
    </w:p>
    <w:p w14:paraId="5DCB63B7">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lang w:val="zh-CN"/>
        </w:rPr>
        <w:t>4.3.5采购人或者采购代理机构应当在收到供应商的书面质疑后七个工作日内作</w:t>
      </w:r>
      <w:r>
        <w:rPr>
          <w:rFonts w:hAnsi="宋体" w:cs="宋体"/>
          <w:snapToGrid/>
          <w:color w:val="auto"/>
          <w:kern w:val="2"/>
          <w:sz w:val="24"/>
        </w:rPr>
        <w:t>出答复，并以书面形式通知质疑供应商和其他与质疑处理结果有利害关系的政府采购当事人，但答复的内容不得涉及商业秘密。采购人或者采购代理机构在质疑回复后</w:t>
      </w:r>
      <w:r>
        <w:rPr>
          <w:rFonts w:hint="eastAsia" w:hAnsi="宋体" w:cs="宋体"/>
          <w:snapToGrid/>
          <w:color w:val="auto"/>
          <w:kern w:val="2"/>
          <w:sz w:val="24"/>
        </w:rPr>
        <w:t>按规定</w:t>
      </w:r>
      <w:r>
        <w:rPr>
          <w:rFonts w:hAnsi="宋体" w:cs="宋体"/>
          <w:snapToGrid/>
          <w:color w:val="auto"/>
          <w:kern w:val="2"/>
          <w:sz w:val="24"/>
        </w:rPr>
        <w:t>在“</w:t>
      </w:r>
      <w:r>
        <w:rPr>
          <w:rFonts w:hint="eastAsia" w:hAnsi="宋体" w:cs="宋体"/>
          <w:snapToGrid/>
          <w:color w:val="auto"/>
          <w:kern w:val="2"/>
          <w:sz w:val="24"/>
        </w:rPr>
        <w:t>公告发布同一网站上</w:t>
      </w:r>
      <w:r>
        <w:rPr>
          <w:rFonts w:hAnsi="宋体" w:cs="宋体"/>
          <w:snapToGrid/>
          <w:color w:val="auto"/>
          <w:kern w:val="2"/>
          <w:sz w:val="24"/>
        </w:rPr>
        <w:t>”公开质疑答复，答复内容应当完整</w:t>
      </w:r>
      <w:r>
        <w:rPr>
          <w:rFonts w:hint="eastAsia" w:hAnsi="宋体" w:cs="宋体"/>
          <w:snapToGrid/>
          <w:color w:val="auto"/>
          <w:kern w:val="2"/>
          <w:sz w:val="24"/>
        </w:rPr>
        <w:t>，</w:t>
      </w:r>
      <w:r>
        <w:rPr>
          <w:rFonts w:hAnsi="宋体" w:cs="宋体"/>
          <w:snapToGrid/>
          <w:color w:val="auto"/>
          <w:kern w:val="2"/>
          <w:sz w:val="24"/>
        </w:rPr>
        <w:t>质疑函作为附件上传。</w:t>
      </w:r>
    </w:p>
    <w:p w14:paraId="261BAE5A">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lang w:val="zh-CN"/>
        </w:rPr>
        <w:t>4.3</w:t>
      </w:r>
      <w:r>
        <w:rPr>
          <w:rFonts w:hAnsi="宋体" w:cs="宋体"/>
          <w:snapToGrid/>
          <w:color w:val="auto"/>
          <w:kern w:val="2"/>
          <w:sz w:val="24"/>
        </w:rPr>
        <w:t>.6询问或者质疑事项可能影响采购结果的，采购人应当暂停签订合同，已经签订合同的，应当中止履行合同。</w:t>
      </w:r>
    </w:p>
    <w:p w14:paraId="69603B0F">
      <w:pPr>
        <w:pStyle w:val="5"/>
        <w:shd w:val="clear" w:color="auto" w:fill="FFFFFF"/>
        <w:spacing w:line="360" w:lineRule="auto"/>
        <w:ind w:firstLine="480" w:firstLineChars="200"/>
        <w:contextualSpacing/>
        <w:rPr>
          <w:rFonts w:hAnsi="宋体" w:cs="宋体"/>
          <w:snapToGrid/>
          <w:color w:val="auto"/>
          <w:kern w:val="2"/>
          <w:sz w:val="24"/>
          <w:lang w:val="zh-CN"/>
        </w:rPr>
      </w:pPr>
      <w:r>
        <w:rPr>
          <w:rFonts w:hAnsi="宋体" w:cs="宋体"/>
          <w:snapToGrid/>
          <w:color w:val="auto"/>
          <w:kern w:val="2"/>
          <w:sz w:val="24"/>
          <w:lang w:val="zh-CN"/>
        </w:rPr>
        <w:t>4.4供应商投诉</w:t>
      </w:r>
    </w:p>
    <w:p w14:paraId="249A5C99">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rPr>
        <w:t>4.4.1质疑供应商对采购人、采购代理机构的答复不满意或者采购人、采购代理机构未在规定的时间内作出答复的，可以在答复期满后十五个工作日内向同级政府采购监督管理部门提出投诉。</w:t>
      </w:r>
    </w:p>
    <w:p w14:paraId="684B791A">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rPr>
        <w:t>4.4.</w:t>
      </w:r>
      <w:r>
        <w:rPr>
          <w:rFonts w:hAnsi="宋体" w:cs="宋体"/>
          <w:snapToGrid/>
          <w:color w:val="auto"/>
          <w:kern w:val="2"/>
          <w:sz w:val="24"/>
          <w:lang w:val="zh-CN"/>
        </w:rPr>
        <w:t>2</w:t>
      </w:r>
      <w:r>
        <w:rPr>
          <w:rFonts w:hAnsi="宋体" w:cs="宋体"/>
          <w:snapToGrid/>
          <w:color w:val="auto"/>
          <w:kern w:val="2"/>
          <w:sz w:val="24"/>
        </w:rPr>
        <w:t>供应商投诉的事项不得超出已质疑事项的范围，基于质疑答复内容提出的投诉事项除外。</w:t>
      </w:r>
    </w:p>
    <w:p w14:paraId="76572EC3">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rPr>
        <w:t>4.4.3供应商投诉应当有明确的请求和必要的证明材料。</w:t>
      </w:r>
    </w:p>
    <w:p w14:paraId="1E67E5E6">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rPr>
        <w:t>4.4.4以联合体形式参加政府采购活动的，其投诉应当由组成联合体的所有供应商共同提出。</w:t>
      </w:r>
    </w:p>
    <w:p w14:paraId="50CCBC83">
      <w:pPr>
        <w:pStyle w:val="5"/>
        <w:shd w:val="clear" w:color="auto" w:fill="FFFFFF"/>
        <w:spacing w:after="240" w:line="360" w:lineRule="auto"/>
        <w:ind w:firstLine="480" w:firstLineChars="200"/>
        <w:contextualSpacing/>
        <w:rPr>
          <w:rFonts w:hAnsi="宋体" w:cs="宋体"/>
          <w:snapToGrid/>
          <w:color w:val="auto"/>
          <w:kern w:val="2"/>
          <w:sz w:val="24"/>
          <w:lang w:val="zh-CN"/>
        </w:rPr>
      </w:pPr>
      <w:r>
        <w:rPr>
          <w:rFonts w:hAnsi="宋体" w:cs="宋体"/>
          <w:snapToGrid/>
          <w:color w:val="auto"/>
          <w:kern w:val="2"/>
          <w:sz w:val="24"/>
        </w:rPr>
        <w:t>4.4.5投诉材料寄送相关信息详见《第一部分  竞争性磋商公告》。</w:t>
      </w:r>
    </w:p>
    <w:p w14:paraId="2D2399EB">
      <w:pPr>
        <w:pStyle w:val="5"/>
        <w:shd w:val="clear" w:color="auto" w:fill="FFFFFF"/>
        <w:spacing w:line="360" w:lineRule="auto"/>
        <w:ind w:firstLine="480" w:firstLineChars="200"/>
        <w:contextualSpacing/>
        <w:rPr>
          <w:rFonts w:hAnsi="宋体" w:cs="宋体"/>
          <w:snapToGrid/>
          <w:color w:val="auto"/>
          <w:kern w:val="2"/>
          <w:sz w:val="24"/>
        </w:rPr>
      </w:pPr>
      <w:r>
        <w:rPr>
          <w:rFonts w:hAnsi="宋体" w:cs="宋体"/>
          <w:snapToGrid/>
          <w:color w:val="auto"/>
          <w:kern w:val="2"/>
          <w:sz w:val="24"/>
        </w:rPr>
        <w:t>投诉书范本及制作说明详见附件3。</w:t>
      </w:r>
    </w:p>
    <w:p w14:paraId="052CC1B4">
      <w:pPr>
        <w:pStyle w:val="131"/>
        <w:snapToGrid w:val="0"/>
        <w:spacing w:before="0"/>
        <w:ind w:firstLine="360"/>
        <w:rPr>
          <w:rFonts w:ascii="宋体" w:hAnsi="宋体" w:cs="宋体"/>
          <w:sz w:val="18"/>
          <w:szCs w:val="18"/>
        </w:rPr>
      </w:pPr>
    </w:p>
    <w:p w14:paraId="4D0E7A90">
      <w:pPr>
        <w:snapToGrid w:val="0"/>
        <w:spacing w:line="360" w:lineRule="auto"/>
        <w:ind w:firstLine="630"/>
        <w:jc w:val="center"/>
        <w:outlineLvl w:val="0"/>
        <w:rPr>
          <w:rFonts w:ascii="宋体" w:hAnsi="宋体" w:cs="宋体"/>
          <w:b/>
          <w:sz w:val="32"/>
          <w:szCs w:val="20"/>
        </w:rPr>
      </w:pPr>
      <w:bookmarkStart w:id="21" w:name="_Toc23560"/>
      <w:r>
        <w:rPr>
          <w:rFonts w:hint="eastAsia" w:ascii="宋体" w:hAnsi="宋体" w:cs="宋体"/>
          <w:b/>
          <w:sz w:val="32"/>
          <w:szCs w:val="20"/>
        </w:rPr>
        <w:t>二、采购文件的构成、澄清、修改</w:t>
      </w:r>
      <w:bookmarkEnd w:id="21"/>
    </w:p>
    <w:p w14:paraId="1DE89DCF">
      <w:pPr>
        <w:pStyle w:val="32"/>
        <w:spacing w:line="360" w:lineRule="auto"/>
        <w:ind w:firstLine="472"/>
        <w:rPr>
          <w:rFonts w:hAnsi="宋体" w:cs="宋体"/>
          <w:b/>
          <w:sz w:val="24"/>
          <w:szCs w:val="24"/>
        </w:rPr>
      </w:pPr>
      <w:r>
        <w:rPr>
          <w:rFonts w:hint="eastAsia" w:hAnsi="宋体" w:cs="宋体"/>
          <w:b/>
          <w:sz w:val="24"/>
          <w:szCs w:val="24"/>
        </w:rPr>
        <w:t>5．采购文件的构成</w:t>
      </w:r>
    </w:p>
    <w:p w14:paraId="14F4931A">
      <w:pPr>
        <w:pStyle w:val="32"/>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0086516B">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769E4CA4">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6903779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0CBD01F7">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5E43ADF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74CAF14">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7537F402">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6446274B">
      <w:pPr>
        <w:pStyle w:val="32"/>
        <w:spacing w:line="360" w:lineRule="auto"/>
        <w:ind w:firstLine="472"/>
        <w:rPr>
          <w:rFonts w:hAnsi="宋体" w:cs="宋体"/>
          <w:b/>
          <w:sz w:val="24"/>
          <w:szCs w:val="24"/>
        </w:rPr>
      </w:pPr>
      <w:r>
        <w:rPr>
          <w:rFonts w:hint="eastAsia" w:hAnsi="宋体" w:cs="宋体"/>
          <w:b/>
          <w:sz w:val="24"/>
          <w:szCs w:val="24"/>
        </w:rPr>
        <w:t>6. 采购文件的澄清、修改</w:t>
      </w:r>
    </w:p>
    <w:p w14:paraId="7578809E">
      <w:pPr>
        <w:pStyle w:val="131"/>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14:paraId="25C6E1F7">
      <w:pPr>
        <w:pStyle w:val="131"/>
        <w:snapToGrid w:val="0"/>
        <w:spacing w:before="0"/>
        <w:ind w:firstLine="480"/>
        <w:rPr>
          <w:rFonts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E2A27A1">
      <w:pPr>
        <w:pStyle w:val="131"/>
        <w:snapToGrid w:val="0"/>
        <w:spacing w:before="0"/>
        <w:ind w:firstLine="480"/>
        <w:rPr>
          <w:rFonts w:ascii="宋体" w:hAnsi="宋体" w:cs="宋体"/>
        </w:rPr>
      </w:pPr>
      <w:r>
        <w:rPr>
          <w:rFonts w:hint="eastAsia" w:ascii="宋体" w:hAnsi="宋体" w:cs="宋体"/>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3BEA2968">
      <w:pPr>
        <w:pStyle w:val="131"/>
        <w:snapToGrid w:val="0"/>
        <w:spacing w:before="0"/>
        <w:ind w:firstLine="482"/>
        <w:rPr>
          <w:rFonts w:ascii="宋体" w:hAnsi="宋体" w:cs="宋体"/>
        </w:rPr>
      </w:pPr>
      <w:r>
        <w:rPr>
          <w:rFonts w:hint="eastAsia" w:ascii="宋体" w:hAnsi="宋体" w:cs="宋体"/>
          <w:b/>
        </w:rPr>
        <w:t>▲</w:t>
      </w:r>
      <w:r>
        <w:rPr>
          <w:rFonts w:hint="eastAsia" w:ascii="宋体" w:hAnsi="宋体" w:cs="宋体"/>
          <w:b/>
          <w:szCs w:val="21"/>
        </w:rPr>
        <w:t>响应文件未按</w:t>
      </w:r>
      <w:r>
        <w:rPr>
          <w:rFonts w:hint="eastAsia" w:ascii="宋体" w:hAnsi="宋体" w:cs="宋体"/>
        </w:rPr>
        <w:t>磋商</w:t>
      </w:r>
      <w:r>
        <w:rPr>
          <w:rFonts w:hint="eastAsia" w:ascii="宋体" w:hAnsi="宋体" w:cs="宋体"/>
          <w:b/>
          <w:szCs w:val="21"/>
        </w:rPr>
        <w:t>文件的澄清、修改的内容编制，又不符合实质性要求的，响应无效。</w:t>
      </w:r>
    </w:p>
    <w:p w14:paraId="752CB7E7">
      <w:pPr>
        <w:pStyle w:val="23"/>
        <w:ind w:firstLine="353"/>
        <w:rPr>
          <w:rFonts w:hAnsi="宋体" w:cs="宋体"/>
          <w:sz w:val="18"/>
          <w:szCs w:val="18"/>
          <w:lang w:val="en-US"/>
        </w:rPr>
      </w:pPr>
    </w:p>
    <w:p w14:paraId="274F239E">
      <w:pPr>
        <w:snapToGrid w:val="0"/>
        <w:spacing w:line="360" w:lineRule="auto"/>
        <w:ind w:firstLine="630"/>
        <w:jc w:val="center"/>
        <w:outlineLvl w:val="0"/>
        <w:rPr>
          <w:rFonts w:ascii="宋体" w:hAnsi="宋体" w:cs="宋体"/>
          <w:b/>
          <w:sz w:val="32"/>
          <w:szCs w:val="20"/>
        </w:rPr>
      </w:pPr>
      <w:bookmarkStart w:id="22" w:name="_Toc20041"/>
      <w:r>
        <w:rPr>
          <w:rFonts w:hint="eastAsia" w:ascii="宋体" w:hAnsi="宋体" w:cs="宋体"/>
          <w:b/>
          <w:sz w:val="32"/>
          <w:szCs w:val="20"/>
        </w:rPr>
        <w:t>三、提交响应文件</w:t>
      </w:r>
      <w:bookmarkEnd w:id="22"/>
    </w:p>
    <w:p w14:paraId="3C957930">
      <w:pPr>
        <w:pStyle w:val="32"/>
        <w:spacing w:line="360" w:lineRule="auto"/>
        <w:ind w:firstLine="472"/>
        <w:rPr>
          <w:rFonts w:hAnsi="宋体" w:cs="宋体"/>
          <w:b/>
          <w:sz w:val="24"/>
          <w:szCs w:val="24"/>
        </w:rPr>
      </w:pPr>
      <w:r>
        <w:rPr>
          <w:rFonts w:hint="eastAsia" w:hAnsi="宋体" w:cs="宋体"/>
          <w:b/>
          <w:sz w:val="24"/>
          <w:szCs w:val="24"/>
        </w:rPr>
        <w:t>7. 采购文件的获取</w:t>
      </w:r>
    </w:p>
    <w:p w14:paraId="08B211E4">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624EF61A">
      <w:pPr>
        <w:pStyle w:val="32"/>
        <w:numPr>
          <w:ilvl w:val="0"/>
          <w:numId w:val="2"/>
        </w:numPr>
        <w:spacing w:line="360" w:lineRule="auto"/>
        <w:ind w:firstLine="472"/>
        <w:rPr>
          <w:rFonts w:hAnsi="宋体" w:cs="宋体"/>
          <w:b/>
          <w:sz w:val="24"/>
          <w:szCs w:val="24"/>
        </w:rPr>
      </w:pPr>
      <w:r>
        <w:rPr>
          <w:rFonts w:hint="eastAsia" w:hAnsi="宋体" w:cs="宋体"/>
          <w:b/>
          <w:sz w:val="24"/>
          <w:szCs w:val="24"/>
        </w:rPr>
        <w:t>磋商前答疑会或现场考察</w:t>
      </w:r>
    </w:p>
    <w:p w14:paraId="515BAFEB">
      <w:pPr>
        <w:pStyle w:val="32"/>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7C596307">
      <w:pPr>
        <w:pStyle w:val="32"/>
        <w:numPr>
          <w:ilvl w:val="0"/>
          <w:numId w:val="2"/>
        </w:numPr>
        <w:spacing w:line="360" w:lineRule="auto"/>
        <w:ind w:firstLine="472"/>
        <w:rPr>
          <w:rFonts w:hAnsi="宋体" w:cs="宋体"/>
          <w:b/>
          <w:szCs w:val="24"/>
        </w:rPr>
      </w:pPr>
      <w:r>
        <w:rPr>
          <w:rFonts w:hint="eastAsia" w:hAnsi="宋体" w:cs="宋体"/>
          <w:b/>
          <w:kern w:val="28"/>
          <w:sz w:val="24"/>
          <w:szCs w:val="24"/>
        </w:rPr>
        <w:t>磋商保证金</w:t>
      </w:r>
    </w:p>
    <w:p w14:paraId="75FCA708">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757F3C7F">
      <w:pPr>
        <w:pStyle w:val="32"/>
        <w:spacing w:line="360" w:lineRule="auto"/>
        <w:ind w:firstLine="472"/>
        <w:rPr>
          <w:rFonts w:hAnsi="宋体" w:cs="宋体"/>
          <w:b/>
          <w:sz w:val="24"/>
          <w:szCs w:val="24"/>
        </w:rPr>
      </w:pPr>
      <w:r>
        <w:rPr>
          <w:rFonts w:hint="eastAsia" w:hAnsi="宋体" w:cs="宋体"/>
          <w:b/>
          <w:sz w:val="24"/>
          <w:szCs w:val="24"/>
        </w:rPr>
        <w:t>10. 响应文件的语言</w:t>
      </w:r>
    </w:p>
    <w:p w14:paraId="38CCE9CC">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66CE7503">
      <w:pPr>
        <w:pStyle w:val="32"/>
        <w:spacing w:line="360" w:lineRule="auto"/>
        <w:ind w:firstLine="472"/>
        <w:rPr>
          <w:rFonts w:hAnsi="宋体" w:cs="宋体"/>
          <w:b/>
          <w:sz w:val="24"/>
          <w:szCs w:val="24"/>
        </w:rPr>
      </w:pPr>
      <w:r>
        <w:rPr>
          <w:rFonts w:hint="eastAsia" w:hAnsi="宋体" w:cs="宋体"/>
          <w:b/>
          <w:sz w:val="24"/>
          <w:szCs w:val="24"/>
        </w:rPr>
        <w:t>11. 响应文件的组成</w:t>
      </w:r>
    </w:p>
    <w:p w14:paraId="62386FD3">
      <w:pPr>
        <w:snapToGrid w:val="0"/>
        <w:spacing w:line="360" w:lineRule="auto"/>
        <w:ind w:firstLine="482" w:firstLineChars="200"/>
        <w:rPr>
          <w:rFonts w:ascii="宋体" w:hAnsi="宋体" w:cs="宋体"/>
          <w:b/>
          <w:bCs/>
          <w:sz w:val="24"/>
        </w:rPr>
      </w:pPr>
      <w:r>
        <w:rPr>
          <w:rFonts w:hint="eastAsia" w:ascii="宋体" w:hAnsi="宋体" w:cs="宋体"/>
          <w:b/>
          <w:bCs/>
          <w:sz w:val="24"/>
        </w:rPr>
        <w:t>11.1资格文件：</w:t>
      </w:r>
    </w:p>
    <w:p w14:paraId="4C0820C2">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692FA3E0">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23" w:name="_Hlk101259339"/>
      <w:r>
        <w:rPr>
          <w:rFonts w:hint="eastAsia" w:ascii="宋体" w:hAnsi="宋体" w:cs="宋体"/>
          <w:snapToGrid w:val="0"/>
          <w:kern w:val="28"/>
          <w:sz w:val="24"/>
          <w:szCs w:val="20"/>
        </w:rPr>
        <w:t>联合协议</w:t>
      </w:r>
      <w:bookmarkStart w:id="24" w:name="_Hlk101257010"/>
      <w:r>
        <w:rPr>
          <w:rFonts w:hint="eastAsia" w:ascii="宋体" w:hAnsi="宋体" w:cs="宋体"/>
          <w:snapToGrid w:val="0"/>
          <w:kern w:val="28"/>
          <w:sz w:val="24"/>
          <w:szCs w:val="20"/>
        </w:rPr>
        <w:t>（如果有</w:t>
      </w:r>
      <w:bookmarkEnd w:id="23"/>
      <w:bookmarkEnd w:id="24"/>
      <w:r>
        <w:rPr>
          <w:rFonts w:hint="eastAsia" w:ascii="宋体" w:hAnsi="宋体" w:cs="宋体"/>
          <w:snapToGrid w:val="0"/>
          <w:kern w:val="28"/>
          <w:sz w:val="24"/>
          <w:szCs w:val="20"/>
        </w:rPr>
        <w:t>）；</w:t>
      </w:r>
    </w:p>
    <w:p w14:paraId="51766DED">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358BBC1">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0FEECEC">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7A17B0CC">
      <w:pPr>
        <w:snapToGrid w:val="0"/>
        <w:spacing w:line="360" w:lineRule="auto"/>
        <w:ind w:firstLine="960" w:firstLineChars="400"/>
        <w:rPr>
          <w:rFonts w:ascii="宋体" w:hAnsi="宋体" w:cs="宋体"/>
          <w:sz w:val="24"/>
        </w:rPr>
      </w:pPr>
      <w:r>
        <w:rPr>
          <w:rFonts w:hint="eastAsia" w:ascii="宋体" w:hAnsi="宋体" w:cs="宋体"/>
          <w:sz w:val="24"/>
        </w:rPr>
        <w:t>11.2.1响应函；</w:t>
      </w:r>
    </w:p>
    <w:p w14:paraId="5434D553">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300CC5B8">
      <w:pPr>
        <w:snapToGrid w:val="0"/>
        <w:spacing w:line="360" w:lineRule="auto"/>
        <w:ind w:firstLine="960" w:firstLineChars="400"/>
        <w:rPr>
          <w:rFonts w:ascii="宋体" w:hAnsi="宋体" w:cs="宋体"/>
          <w:sz w:val="24"/>
        </w:rPr>
      </w:pPr>
      <w:r>
        <w:rPr>
          <w:rFonts w:hint="eastAsia" w:ascii="宋体" w:hAnsi="宋体" w:cs="宋体"/>
          <w:sz w:val="24"/>
        </w:rPr>
        <w:t>11.2.3分包意向协议</w:t>
      </w:r>
      <w:r>
        <w:rPr>
          <w:rFonts w:hint="eastAsia" w:ascii="宋体" w:hAnsi="宋体" w:cs="宋体"/>
          <w:snapToGrid w:val="0"/>
          <w:kern w:val="28"/>
          <w:sz w:val="24"/>
          <w:szCs w:val="20"/>
        </w:rPr>
        <w:t>（如果有）</w:t>
      </w:r>
      <w:r>
        <w:rPr>
          <w:rFonts w:hint="eastAsia" w:ascii="宋体" w:hAnsi="宋体" w:cs="宋体"/>
          <w:sz w:val="24"/>
        </w:rPr>
        <w:t>；</w:t>
      </w:r>
    </w:p>
    <w:p w14:paraId="0FAAFC85">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29CC7BE4">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4C3DD8C3">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38B06456">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090F1F36">
      <w:pPr>
        <w:snapToGrid w:val="0"/>
        <w:spacing w:line="360" w:lineRule="auto"/>
        <w:ind w:firstLine="482" w:firstLineChars="200"/>
        <w:rPr>
          <w:rFonts w:ascii="宋体" w:hAnsi="宋体" w:cs="宋体"/>
          <w:b/>
          <w:bCs/>
          <w:sz w:val="24"/>
          <w:lang w:val="zh-CN"/>
        </w:rPr>
      </w:pPr>
      <w:r>
        <w:rPr>
          <w:rFonts w:hint="eastAsia" w:ascii="宋体" w:hAnsi="宋体" w:cs="宋体"/>
          <w:b/>
          <w:bCs/>
          <w:sz w:val="24"/>
          <w:lang w:val="zh-CN"/>
        </w:rPr>
        <w:t>11.3报价文件：</w:t>
      </w:r>
    </w:p>
    <w:p w14:paraId="52039119">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1D711747">
      <w:pPr>
        <w:snapToGrid w:val="0"/>
        <w:spacing w:line="360" w:lineRule="auto"/>
        <w:ind w:firstLine="960" w:firstLineChars="400"/>
        <w:rPr>
          <w:rFonts w:ascii="宋体" w:hAnsi="宋体" w:cs="宋体"/>
          <w:sz w:val="24"/>
        </w:rPr>
      </w:pPr>
      <w:r>
        <w:rPr>
          <w:rFonts w:hint="eastAsia" w:ascii="宋体" w:hAnsi="宋体" w:cs="宋体"/>
          <w:sz w:val="24"/>
        </w:rPr>
        <w:t>11.3.2已标价工程量清单；</w:t>
      </w:r>
    </w:p>
    <w:p w14:paraId="2E088A81">
      <w:pPr>
        <w:snapToGrid w:val="0"/>
        <w:spacing w:line="360" w:lineRule="auto"/>
        <w:ind w:firstLine="960" w:firstLineChars="400"/>
        <w:rPr>
          <w:rFonts w:hint="eastAsia" w:ascii="宋体" w:hAnsi="宋体" w:cs="宋体"/>
          <w:sz w:val="24"/>
        </w:rPr>
      </w:pPr>
      <w:r>
        <w:rPr>
          <w:rFonts w:hint="eastAsia" w:ascii="宋体" w:hAnsi="宋体" w:cs="宋体"/>
          <w:b w:val="0"/>
          <w:bCs w:val="0"/>
          <w:sz w:val="24"/>
        </w:rPr>
        <w:t>11.3.3</w:t>
      </w:r>
      <w:r>
        <w:rPr>
          <w:rFonts w:hint="eastAsia" w:ascii="宋体" w:hAnsi="宋体" w:cs="宋体"/>
          <w:sz w:val="24"/>
        </w:rPr>
        <w:t>中小企业声明函。</w:t>
      </w:r>
    </w:p>
    <w:p w14:paraId="77F44DC6">
      <w:pPr>
        <w:snapToGrid w:val="0"/>
        <w:spacing w:line="360" w:lineRule="auto"/>
        <w:ind w:firstLine="482" w:firstLineChars="200"/>
        <w:rPr>
          <w:rFonts w:ascii="宋体" w:hAnsi="宋体" w:cs="宋体"/>
          <w:b/>
          <w:sz w:val="24"/>
        </w:rPr>
      </w:pPr>
      <w:r>
        <w:rPr>
          <w:rFonts w:hint="eastAsia" w:ascii="宋体" w:hAnsi="宋体" w:cs="宋体"/>
          <w:b/>
          <w:sz w:val="24"/>
        </w:rPr>
        <w:t>11.4其他：</w:t>
      </w:r>
    </w:p>
    <w:p w14:paraId="04F2717D">
      <w:pPr>
        <w:spacing w:line="360" w:lineRule="auto"/>
        <w:ind w:firstLine="964" w:firstLineChars="400"/>
        <w:rPr>
          <w:rFonts w:ascii="宋体" w:hAnsi="宋体" w:cs="宋体"/>
          <w:b/>
          <w:sz w:val="24"/>
        </w:rPr>
      </w:pPr>
      <w:r>
        <w:rPr>
          <w:rFonts w:hint="eastAsia" w:ascii="宋体" w:hAnsi="宋体" w:cs="宋体"/>
          <w:b/>
          <w:sz w:val="24"/>
        </w:rPr>
        <w:t>11.4.1响应文件含有采购人不能接受的附加条件的，响应文件无效；</w:t>
      </w:r>
    </w:p>
    <w:p w14:paraId="1261C234">
      <w:pPr>
        <w:spacing w:line="360" w:lineRule="auto"/>
        <w:ind w:firstLine="964" w:firstLineChars="400"/>
        <w:rPr>
          <w:rFonts w:ascii="宋体" w:hAnsi="宋体" w:cs="宋体"/>
          <w:b/>
          <w:sz w:val="24"/>
        </w:rPr>
      </w:pPr>
      <w:r>
        <w:rPr>
          <w:rFonts w:hint="eastAsia" w:ascii="宋体" w:hAnsi="宋体" w:cs="宋体"/>
          <w:b/>
          <w:sz w:val="24"/>
        </w:rPr>
        <w:t>11.4.2供应商提供虚假材料的，响应文件无效；</w:t>
      </w:r>
    </w:p>
    <w:p w14:paraId="0C523285">
      <w:pPr>
        <w:spacing w:line="360" w:lineRule="auto"/>
        <w:ind w:firstLine="964" w:firstLineChars="400"/>
        <w:rPr>
          <w:rFonts w:ascii="宋体" w:hAnsi="宋体" w:cs="宋体"/>
          <w:b/>
          <w:sz w:val="24"/>
        </w:rPr>
      </w:pPr>
      <w:r>
        <w:rPr>
          <w:rFonts w:hint="eastAsia" w:ascii="宋体" w:hAnsi="宋体" w:cs="宋体"/>
          <w:b/>
          <w:sz w:val="24"/>
        </w:rPr>
        <w:t>11.4.3供应商应对响应文件中材料的真实性、合法性负责。</w:t>
      </w:r>
    </w:p>
    <w:p w14:paraId="299ABFD7">
      <w:pPr>
        <w:pStyle w:val="131"/>
        <w:snapToGrid w:val="0"/>
        <w:spacing w:before="0"/>
        <w:ind w:firstLine="0" w:firstLineChars="0"/>
        <w:outlineLvl w:val="0"/>
        <w:rPr>
          <w:rFonts w:ascii="宋体" w:hAnsi="宋体" w:cs="宋体"/>
          <w:b/>
          <w:szCs w:val="24"/>
        </w:rPr>
      </w:pPr>
      <w:bookmarkStart w:id="25" w:name="_Toc8589"/>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响应文件的编制</w:t>
      </w:r>
      <w:bookmarkEnd w:id="25"/>
    </w:p>
    <w:p w14:paraId="2706E6D8">
      <w:pPr>
        <w:spacing w:line="360" w:lineRule="auto"/>
        <w:ind w:firstLine="480" w:firstLineChars="200"/>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64AB186">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C70CBAC">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8A48CDF">
      <w:pPr>
        <w:numPr>
          <w:ilvl w:val="0"/>
          <w:numId w:val="3"/>
        </w:numPr>
        <w:snapToGrid w:val="0"/>
        <w:spacing w:line="360" w:lineRule="auto"/>
        <w:ind w:firstLine="472"/>
        <w:rPr>
          <w:rFonts w:ascii="宋体" w:hAnsi="宋体" w:cs="宋体"/>
          <w:b/>
          <w:sz w:val="24"/>
        </w:rPr>
      </w:pPr>
      <w:r>
        <w:rPr>
          <w:rFonts w:hint="eastAsia" w:ascii="宋体" w:hAnsi="宋体" w:cs="宋体"/>
          <w:b/>
          <w:sz w:val="24"/>
        </w:rPr>
        <w:t>响应文件的签署、盖章</w:t>
      </w:r>
    </w:p>
    <w:p w14:paraId="0315F465">
      <w:pPr>
        <w:pStyle w:val="131"/>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6958676F">
      <w:pPr>
        <w:pStyle w:val="131"/>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29A1CCBF">
      <w:pPr>
        <w:pStyle w:val="131"/>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3410567A">
      <w:pPr>
        <w:numPr>
          <w:ilvl w:val="0"/>
          <w:numId w:val="3"/>
        </w:numPr>
        <w:snapToGrid w:val="0"/>
        <w:spacing w:line="360" w:lineRule="auto"/>
        <w:ind w:firstLine="472"/>
        <w:rPr>
          <w:rFonts w:ascii="宋体" w:hAnsi="宋体" w:cs="宋体"/>
          <w:b/>
          <w:sz w:val="24"/>
        </w:rPr>
      </w:pPr>
      <w:r>
        <w:rPr>
          <w:rFonts w:hint="eastAsia" w:ascii="宋体" w:hAnsi="宋体" w:cs="宋体"/>
          <w:b/>
          <w:sz w:val="24"/>
        </w:rPr>
        <w:t>响应文件的提交、补充、修改、撤回</w:t>
      </w:r>
    </w:p>
    <w:p w14:paraId="02AED670">
      <w:pPr>
        <w:pStyle w:val="131"/>
        <w:snapToGrid w:val="0"/>
        <w:spacing w:before="0"/>
        <w:ind w:firstLine="480"/>
        <w:rPr>
          <w:rFonts w:ascii="宋体" w:hAnsi="宋体" w:cs="宋体"/>
          <w:szCs w:val="24"/>
        </w:rPr>
      </w:pPr>
      <w:r>
        <w:rPr>
          <w:rFonts w:hint="eastAsia" w:ascii="宋体" w:hAnsi="宋体" w:cs="宋体"/>
          <w:szCs w:val="24"/>
        </w:rPr>
        <w:t>14.1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5852EAEE">
      <w:pPr>
        <w:pStyle w:val="131"/>
        <w:snapToGrid w:val="0"/>
        <w:spacing w:before="0"/>
        <w:ind w:firstLine="480"/>
        <w:rPr>
          <w:rFonts w:ascii="宋体" w:hAnsi="宋体" w:cs="宋体"/>
          <w:szCs w:val="24"/>
        </w:rPr>
      </w:pPr>
      <w:r>
        <w:rPr>
          <w:rFonts w:hint="eastAsia" w:ascii="宋体" w:hAnsi="宋体" w:cs="宋体"/>
          <w:szCs w:val="24"/>
        </w:rPr>
        <w:t>14.2 在响应截止时间以后，不能补充、修改响应文件。</w:t>
      </w:r>
    </w:p>
    <w:p w14:paraId="2DDD39F4">
      <w:pPr>
        <w:pStyle w:val="131"/>
        <w:snapToGrid w:val="0"/>
        <w:spacing w:before="0"/>
        <w:ind w:firstLine="480"/>
        <w:rPr>
          <w:rFonts w:ascii="宋体" w:hAnsi="宋体" w:cs="宋体"/>
          <w:szCs w:val="24"/>
        </w:rPr>
      </w:pPr>
      <w:r>
        <w:rPr>
          <w:rFonts w:hint="eastAsia" w:ascii="宋体" w:hAnsi="宋体" w:cs="宋体"/>
          <w:szCs w:val="24"/>
        </w:rPr>
        <w:t>14.3 在提交“最后报价”后，供应商不能退出磋商。</w:t>
      </w:r>
    </w:p>
    <w:p w14:paraId="094F1124">
      <w:pPr>
        <w:pStyle w:val="131"/>
        <w:snapToGrid w:val="0"/>
        <w:spacing w:before="0"/>
        <w:ind w:firstLine="480"/>
        <w:rPr>
          <w:rFonts w:ascii="宋体" w:hAnsi="宋体" w:cs="宋体"/>
          <w:szCs w:val="24"/>
        </w:rPr>
      </w:pPr>
      <w:r>
        <w:rPr>
          <w:rFonts w:hint="eastAsia" w:ascii="宋体" w:hAnsi="宋体" w:cs="宋体"/>
          <w:szCs w:val="24"/>
        </w:rPr>
        <w:t>14.4电子交易平台收到响应文件，将妥善保存并即时向供应商发出确认回执通知。在响应文件提交（上传）截止时间前，除供应商补充、修改或者撤回响应文件外，任何单位和个人不得解密或提取响应文件。</w:t>
      </w:r>
    </w:p>
    <w:p w14:paraId="447B870B">
      <w:pPr>
        <w:pStyle w:val="131"/>
        <w:snapToGrid w:val="0"/>
        <w:spacing w:before="0"/>
        <w:ind w:firstLine="480"/>
        <w:rPr>
          <w:rFonts w:ascii="宋体" w:hAnsi="宋体" w:cs="宋体"/>
          <w:szCs w:val="24"/>
        </w:rPr>
      </w:pPr>
      <w:r>
        <w:rPr>
          <w:rFonts w:hint="eastAsia" w:ascii="宋体" w:hAnsi="宋体" w:cs="宋体"/>
          <w:szCs w:val="24"/>
        </w:rPr>
        <w:t>14.5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1F4A3FE4">
      <w:pPr>
        <w:pStyle w:val="32"/>
        <w:numPr>
          <w:ilvl w:val="0"/>
          <w:numId w:val="3"/>
        </w:numPr>
        <w:snapToGrid w:val="0"/>
        <w:spacing w:line="360" w:lineRule="auto"/>
        <w:ind w:firstLine="472"/>
        <w:rPr>
          <w:rFonts w:hAnsi="宋体" w:cs="宋体"/>
          <w:b/>
          <w:sz w:val="24"/>
          <w:szCs w:val="24"/>
        </w:rPr>
      </w:pPr>
      <w:r>
        <w:rPr>
          <w:rFonts w:hint="eastAsia" w:hAnsi="宋体" w:cs="宋体"/>
          <w:b/>
          <w:sz w:val="24"/>
          <w:szCs w:val="24"/>
        </w:rPr>
        <w:t>备份响应文件</w:t>
      </w:r>
    </w:p>
    <w:p w14:paraId="78229DC8">
      <w:pPr>
        <w:pStyle w:val="32"/>
        <w:snapToGrid w:val="0"/>
        <w:spacing w:line="360" w:lineRule="auto"/>
        <w:ind w:firstLine="360" w:firstLineChars="150"/>
        <w:rPr>
          <w:rFonts w:hAnsi="宋体" w:cs="宋体"/>
          <w:b/>
          <w:sz w:val="24"/>
          <w:szCs w:val="24"/>
        </w:rPr>
      </w:pPr>
      <w:r>
        <w:rPr>
          <w:rFonts w:hint="eastAsia" w:hAnsi="宋体" w:cs="宋体"/>
          <w:sz w:val="24"/>
          <w:szCs w:val="24"/>
        </w:rPr>
        <w:t>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但采购人、采购代理机构不强制或变相强制供应商提交备份响应文件。</w:t>
      </w:r>
    </w:p>
    <w:p w14:paraId="10D5D1A9">
      <w:pPr>
        <w:pStyle w:val="32"/>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383C06EF">
      <w:pPr>
        <w:pStyle w:val="32"/>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60E16C5B">
      <w:pPr>
        <w:pStyle w:val="32"/>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送达时间以签收人签收时间为准。采购代理机构将拒绝接受逾期送达的备份响应文件。邮寄过程中，电子备份响应文件发生泄露、遗失、损坏或延期送达等情况的，由供应商自行负责。</w:t>
      </w:r>
    </w:p>
    <w:p w14:paraId="7AE816A0">
      <w:pPr>
        <w:pStyle w:val="32"/>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33F7DE0D">
      <w:pPr>
        <w:pStyle w:val="131"/>
        <w:numPr>
          <w:ilvl w:val="0"/>
          <w:numId w:val="3"/>
        </w:numPr>
        <w:spacing w:before="0"/>
        <w:ind w:firstLine="0" w:firstLineChars="0"/>
        <w:rPr>
          <w:rFonts w:ascii="宋体" w:hAnsi="宋体" w:cs="宋体"/>
          <w:b/>
          <w:szCs w:val="24"/>
        </w:rPr>
      </w:pPr>
      <w:r>
        <w:rPr>
          <w:rFonts w:hint="eastAsia" w:ascii="宋体" w:hAnsi="宋体" w:cs="宋体"/>
          <w:b/>
          <w:szCs w:val="24"/>
        </w:rPr>
        <w:t>响应文件的无效处理</w:t>
      </w:r>
    </w:p>
    <w:p w14:paraId="473F6A2A">
      <w:pPr>
        <w:pStyle w:val="24"/>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65299AE">
      <w:pPr>
        <w:pStyle w:val="131"/>
        <w:numPr>
          <w:ilvl w:val="0"/>
          <w:numId w:val="3"/>
        </w:numPr>
        <w:spacing w:before="0"/>
        <w:ind w:firstLine="0" w:firstLineChars="0"/>
        <w:rPr>
          <w:rFonts w:ascii="宋体" w:hAnsi="宋体" w:cs="宋体"/>
          <w:b/>
          <w:szCs w:val="24"/>
        </w:rPr>
      </w:pPr>
      <w:r>
        <w:rPr>
          <w:rFonts w:hint="eastAsia" w:ascii="宋体" w:hAnsi="宋体" w:cs="宋体"/>
          <w:b/>
          <w:szCs w:val="24"/>
        </w:rPr>
        <w:t>响应文件有效期</w:t>
      </w:r>
    </w:p>
    <w:p w14:paraId="37B81399">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69A288B4">
      <w:pPr>
        <w:pStyle w:val="131"/>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253CF8C8">
      <w:pPr>
        <w:pStyle w:val="131"/>
        <w:spacing w:before="0"/>
        <w:ind w:firstLine="480"/>
        <w:rPr>
          <w:rFonts w:ascii="宋体" w:hAnsi="宋体" w:cs="宋体"/>
          <w:b/>
          <w:sz w:val="32"/>
        </w:rPr>
      </w:pPr>
      <w:r>
        <w:rPr>
          <w:rFonts w:hint="eastAsia" w:ascii="宋体" w:hAnsi="宋体" w:cs="宋体"/>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75AFD360">
      <w:pPr>
        <w:snapToGrid w:val="0"/>
        <w:spacing w:line="360" w:lineRule="auto"/>
        <w:ind w:firstLine="630"/>
        <w:jc w:val="center"/>
        <w:outlineLvl w:val="0"/>
        <w:rPr>
          <w:rFonts w:ascii="宋体" w:hAnsi="宋体" w:cs="宋体"/>
          <w:b/>
          <w:sz w:val="32"/>
          <w:szCs w:val="20"/>
        </w:rPr>
      </w:pPr>
      <w:bookmarkStart w:id="26" w:name="_Toc16856"/>
      <w:r>
        <w:rPr>
          <w:rFonts w:hint="eastAsia" w:ascii="宋体" w:hAnsi="宋体" w:cs="宋体"/>
          <w:b/>
          <w:sz w:val="32"/>
          <w:szCs w:val="20"/>
        </w:rPr>
        <w:t>四、响应文件开启、资格审查与信用信息查询</w:t>
      </w:r>
      <w:bookmarkEnd w:id="26"/>
    </w:p>
    <w:p w14:paraId="19336F83">
      <w:pPr>
        <w:pStyle w:val="131"/>
        <w:numPr>
          <w:ilvl w:val="0"/>
          <w:numId w:val="3"/>
        </w:numPr>
        <w:spacing w:before="0"/>
        <w:ind w:firstLine="0" w:firstLineChars="0"/>
        <w:rPr>
          <w:rFonts w:ascii="宋体" w:hAnsi="宋体" w:cs="宋体"/>
          <w:b/>
          <w:szCs w:val="24"/>
        </w:rPr>
      </w:pPr>
      <w:r>
        <w:rPr>
          <w:rFonts w:hint="eastAsia" w:ascii="宋体" w:hAnsi="宋体" w:cs="宋体"/>
          <w:b/>
          <w:szCs w:val="24"/>
        </w:rPr>
        <w:t>响应文件开启</w:t>
      </w:r>
    </w:p>
    <w:p w14:paraId="28D92E5A">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18.1采购代理机构按照采购文件规定的时间通过电子交易平台组织响应文件开启，所有供应商均应当准时在线参加。供应商不足3家的，不得开启。</w:t>
      </w:r>
    </w:p>
    <w:p w14:paraId="0C110DF6">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14:paraId="3788892C">
      <w:pPr>
        <w:pStyle w:val="557"/>
        <w:snapToGrid w:val="0"/>
        <w:spacing w:before="0" w:line="360" w:lineRule="auto"/>
        <w:ind w:left="0" w:firstLine="482" w:firstLineChars="200"/>
        <w:contextualSpacing/>
        <w:rPr>
          <w:rFonts w:ascii="宋体" w:hAnsi="宋体" w:cs="宋体"/>
          <w:b/>
          <w:bCs/>
          <w:sz w:val="24"/>
          <w:szCs w:val="24"/>
        </w:rPr>
      </w:pPr>
      <w:r>
        <w:rPr>
          <w:rFonts w:hint="eastAsia" w:ascii="宋体" w:hAnsi="宋体" w:cs="宋体"/>
          <w:b/>
          <w:bCs/>
          <w:sz w:val="24"/>
          <w:szCs w:val="24"/>
        </w:rPr>
        <w:t>18.3响应文件未按时解密，供应商提供了备份响应文件的，以备份响应文件作为依据，否则视为响应文件撤回。响应文件已按时解密的，备份响应文件自动失效。</w:t>
      </w:r>
    </w:p>
    <w:p w14:paraId="2489E720">
      <w:pPr>
        <w:pStyle w:val="131"/>
        <w:numPr>
          <w:ilvl w:val="0"/>
          <w:numId w:val="3"/>
        </w:numPr>
        <w:spacing w:before="0"/>
        <w:ind w:firstLine="0" w:firstLineChars="0"/>
        <w:rPr>
          <w:rFonts w:ascii="宋体" w:hAnsi="宋体" w:cs="宋体"/>
          <w:b/>
          <w:szCs w:val="24"/>
        </w:rPr>
      </w:pPr>
      <w:r>
        <w:rPr>
          <w:rFonts w:hint="eastAsia" w:ascii="宋体" w:hAnsi="宋体" w:cs="宋体"/>
          <w:b/>
          <w:szCs w:val="24"/>
        </w:rPr>
        <w:t>资格审查</w:t>
      </w:r>
    </w:p>
    <w:p w14:paraId="16E81056">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采购人、采购代理机构或磋商小组依据法律法规和采购文件的规定，对供应商的资格进行审查。</w:t>
      </w:r>
    </w:p>
    <w:p w14:paraId="2BB38118">
      <w:pPr>
        <w:pStyle w:val="131"/>
        <w:spacing w:before="0"/>
        <w:ind w:firstLine="480"/>
        <w:rPr>
          <w:rFonts w:ascii="宋体" w:hAnsi="宋体" w:cs="宋体"/>
        </w:rPr>
      </w:pPr>
      <w:r>
        <w:rPr>
          <w:rFonts w:hint="eastAsia" w:ascii="宋体" w:hAnsi="宋体" w:cs="宋体"/>
          <w:kern w:val="0"/>
          <w:szCs w:val="24"/>
        </w:rPr>
        <w:t>19.2供应商未按照采购文件要求提供与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9EAD0D6">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14:paraId="5EF8223C">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4合格供应商不足3家的，不再评审。</w:t>
      </w:r>
    </w:p>
    <w:p w14:paraId="7039AD3A">
      <w:pPr>
        <w:pStyle w:val="131"/>
        <w:snapToGrid w:val="0"/>
        <w:spacing w:before="0"/>
        <w:ind w:firstLine="480"/>
        <w:rPr>
          <w:rFonts w:ascii="宋体" w:hAnsi="宋体" w:cs="宋体"/>
        </w:rPr>
      </w:pPr>
      <w:r>
        <w:rPr>
          <w:rFonts w:hint="eastAsia" w:ascii="宋体" w:hAnsi="宋体" w:cs="宋体"/>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E4D57A2">
      <w:pPr>
        <w:pStyle w:val="131"/>
        <w:numPr>
          <w:ilvl w:val="0"/>
          <w:numId w:val="3"/>
        </w:numPr>
        <w:spacing w:before="0"/>
        <w:ind w:firstLine="0" w:firstLineChars="0"/>
        <w:rPr>
          <w:rFonts w:ascii="宋体" w:hAnsi="宋体" w:cs="宋体"/>
          <w:b/>
          <w:szCs w:val="24"/>
        </w:rPr>
      </w:pPr>
      <w:r>
        <w:rPr>
          <w:rFonts w:hint="eastAsia" w:ascii="宋体" w:hAnsi="宋体" w:cs="宋体"/>
          <w:b/>
          <w:szCs w:val="24"/>
        </w:rPr>
        <w:t>信用信息查询</w:t>
      </w:r>
    </w:p>
    <w:p w14:paraId="07AAE3B9">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14:paraId="7A934EBF">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5FF1609A">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54707DFD">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63EA4A6F">
      <w:pPr>
        <w:snapToGrid w:val="0"/>
        <w:spacing w:line="360" w:lineRule="auto"/>
        <w:ind w:firstLine="630"/>
        <w:jc w:val="center"/>
        <w:outlineLvl w:val="0"/>
        <w:rPr>
          <w:rFonts w:ascii="宋体" w:hAnsi="宋体" w:cs="宋体"/>
          <w:b/>
          <w:sz w:val="32"/>
          <w:szCs w:val="20"/>
        </w:rPr>
      </w:pPr>
      <w:bookmarkStart w:id="27" w:name="_Toc2594"/>
      <w:r>
        <w:rPr>
          <w:rFonts w:hint="eastAsia" w:ascii="宋体" w:hAnsi="宋体" w:cs="宋体"/>
          <w:b/>
          <w:sz w:val="32"/>
          <w:szCs w:val="20"/>
        </w:rPr>
        <w:t>五、评审</w:t>
      </w:r>
      <w:bookmarkEnd w:id="27"/>
    </w:p>
    <w:p w14:paraId="20404F31">
      <w:pPr>
        <w:pStyle w:val="131"/>
        <w:numPr>
          <w:ilvl w:val="0"/>
          <w:numId w:val="3"/>
        </w:numPr>
        <w:spacing w:before="0"/>
        <w:ind w:firstLine="0" w:firstLineChars="0"/>
        <w:rPr>
          <w:rFonts w:ascii="宋体" w:hAnsi="宋体" w:cs="宋体"/>
          <w:b/>
          <w:szCs w:val="24"/>
        </w:rPr>
      </w:pPr>
      <w:bookmarkStart w:id="28" w:name="_Toc91899903"/>
      <w:r>
        <w:rPr>
          <w:rFonts w:hint="eastAsia" w:ascii="宋体" w:hAnsi="宋体" w:cs="宋体"/>
          <w:b/>
          <w:szCs w:val="24"/>
        </w:rPr>
        <w:t>评审</w:t>
      </w:r>
    </w:p>
    <w:p w14:paraId="397CEB1D">
      <w:pPr>
        <w:spacing w:line="360" w:lineRule="auto"/>
        <w:ind w:firstLine="480" w:firstLineChars="200"/>
        <w:rPr>
          <w:rFonts w:ascii="宋体" w:hAnsi="宋体" w:cs="宋体"/>
          <w:b/>
          <w:sz w:val="24"/>
        </w:rPr>
      </w:pP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30076211">
      <w:pPr>
        <w:snapToGrid w:val="0"/>
        <w:spacing w:line="360" w:lineRule="auto"/>
        <w:ind w:firstLine="630"/>
        <w:jc w:val="center"/>
        <w:outlineLvl w:val="0"/>
        <w:rPr>
          <w:rFonts w:ascii="宋体" w:hAnsi="宋体" w:cs="宋体"/>
          <w:b/>
          <w:sz w:val="32"/>
          <w:szCs w:val="20"/>
        </w:rPr>
      </w:pPr>
      <w:bookmarkStart w:id="29" w:name="_Toc3957"/>
      <w:r>
        <w:rPr>
          <w:rFonts w:hint="eastAsia" w:ascii="宋体" w:hAnsi="宋体" w:cs="宋体"/>
          <w:b/>
          <w:sz w:val="32"/>
          <w:szCs w:val="20"/>
        </w:rPr>
        <w:t>六、成交供应商确定</w:t>
      </w:r>
      <w:bookmarkEnd w:id="29"/>
    </w:p>
    <w:p w14:paraId="5B25A325">
      <w:pPr>
        <w:pStyle w:val="131"/>
        <w:numPr>
          <w:ilvl w:val="0"/>
          <w:numId w:val="3"/>
        </w:numPr>
        <w:spacing w:before="0"/>
        <w:ind w:firstLine="0" w:firstLineChars="0"/>
        <w:rPr>
          <w:rFonts w:ascii="宋体" w:hAnsi="宋体" w:cs="宋体"/>
          <w:b/>
          <w:szCs w:val="24"/>
        </w:rPr>
      </w:pPr>
      <w:r>
        <w:rPr>
          <w:rFonts w:hint="eastAsia" w:ascii="宋体" w:hAnsi="宋体" w:cs="宋体"/>
          <w:b/>
          <w:szCs w:val="24"/>
        </w:rPr>
        <w:t>确定成交供应商</w:t>
      </w:r>
    </w:p>
    <w:p w14:paraId="023E65E1">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r>
        <w:rPr>
          <w:rFonts w:hint="eastAsia" w:ascii="宋体" w:hAnsi="宋体" w:cs="宋体"/>
          <w:b/>
          <w:bCs/>
        </w:rPr>
        <w:t>注：按评审后得分由高到低顺序确定1名成交人。</w:t>
      </w:r>
    </w:p>
    <w:p w14:paraId="71B19CE4">
      <w:pPr>
        <w:pStyle w:val="131"/>
        <w:numPr>
          <w:ilvl w:val="0"/>
          <w:numId w:val="3"/>
        </w:numPr>
        <w:spacing w:before="0"/>
        <w:ind w:firstLine="0" w:firstLineChars="0"/>
        <w:rPr>
          <w:rFonts w:ascii="宋体" w:hAnsi="宋体" w:cs="宋体"/>
          <w:b/>
          <w:szCs w:val="24"/>
        </w:rPr>
      </w:pPr>
      <w:r>
        <w:rPr>
          <w:rFonts w:hint="eastAsia" w:ascii="宋体" w:hAnsi="宋体" w:cs="宋体"/>
          <w:b/>
          <w:szCs w:val="24"/>
        </w:rPr>
        <w:t>成交通知与成交结果公告</w:t>
      </w:r>
    </w:p>
    <w:p w14:paraId="1F398018">
      <w:pPr>
        <w:widowControl/>
        <w:shd w:val="clear" w:color="auto" w:fill="FFFFFF"/>
        <w:spacing w:line="360" w:lineRule="auto"/>
        <w:ind w:firstLine="470"/>
        <w:jc w:val="left"/>
        <w:rPr>
          <w:rFonts w:ascii="宋体" w:hAnsi="宋体" w:cs="宋体"/>
          <w:sz w:val="24"/>
        </w:rPr>
      </w:pPr>
      <w:r>
        <w:rPr>
          <w:rFonts w:hint="eastAsia" w:ascii="宋体" w:hAnsi="宋体" w:cs="宋体"/>
          <w:sz w:val="24"/>
        </w:rPr>
        <w:t>23.1自成交供应商确定之日起1个工作日内，采购代理机构通过电子交易平台向成交供应商发出成交通知书，同时编制发布采购结果公告。采购代理机构也可以以纸质形式进行成交通知。</w:t>
      </w:r>
    </w:p>
    <w:p w14:paraId="5AC93AFB">
      <w:pPr>
        <w:widowControl/>
        <w:shd w:val="clear" w:color="auto" w:fill="FFFFFF"/>
        <w:spacing w:line="360" w:lineRule="auto"/>
        <w:ind w:firstLine="470"/>
        <w:jc w:val="left"/>
        <w:rPr>
          <w:rFonts w:ascii="宋体" w:hAnsi="宋体" w:cs="宋体"/>
          <w:sz w:val="24"/>
        </w:rPr>
      </w:pPr>
      <w:r>
        <w:rPr>
          <w:rFonts w:hint="eastAsia" w:ascii="宋体" w:hAnsi="宋体" w:cs="宋体"/>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6F644946">
      <w:pPr>
        <w:widowControl/>
        <w:shd w:val="clear" w:color="auto" w:fill="FFFFFF"/>
        <w:spacing w:line="360" w:lineRule="auto"/>
        <w:ind w:firstLine="470"/>
        <w:jc w:val="left"/>
        <w:rPr>
          <w:rFonts w:ascii="宋体" w:hAnsi="宋体" w:cs="宋体"/>
          <w:sz w:val="24"/>
        </w:rPr>
      </w:pPr>
      <w:r>
        <w:rPr>
          <w:rFonts w:hint="eastAsia" w:ascii="宋体" w:hAnsi="宋体" w:cs="宋体"/>
          <w:sz w:val="24"/>
        </w:rPr>
        <w:t>23.3公告期限为1个工作日。</w:t>
      </w:r>
    </w:p>
    <w:p w14:paraId="745BE0AD">
      <w:pPr>
        <w:widowControl/>
        <w:shd w:val="clear" w:color="auto" w:fill="FFFFFF"/>
        <w:spacing w:line="360" w:lineRule="auto"/>
        <w:ind w:firstLine="470"/>
        <w:rPr>
          <w:rFonts w:ascii="宋体" w:hAnsi="宋体" w:cs="宋体"/>
          <w:sz w:val="24"/>
        </w:rPr>
      </w:pPr>
      <w:r>
        <w:rPr>
          <w:rFonts w:hint="eastAsia" w:ascii="宋体" w:hAnsi="宋体" w:cs="宋体"/>
          <w:bCs/>
          <w:sz w:val="24"/>
        </w:rPr>
        <w:t>23.4由于成交供应商原因导致重新采购的，应当承担支付代理费和专家评审费等费用在内的赔偿责任。</w:t>
      </w:r>
    </w:p>
    <w:p w14:paraId="78687503">
      <w:pPr>
        <w:snapToGrid w:val="0"/>
        <w:spacing w:line="360" w:lineRule="auto"/>
        <w:ind w:left="120" w:leftChars="57" w:firstLine="482" w:firstLineChars="150"/>
        <w:jc w:val="center"/>
        <w:rPr>
          <w:rFonts w:ascii="宋体" w:hAnsi="宋体" w:cs="宋体"/>
          <w:b/>
          <w:sz w:val="32"/>
        </w:rPr>
      </w:pPr>
    </w:p>
    <w:p w14:paraId="2313CFE8">
      <w:pPr>
        <w:snapToGrid w:val="0"/>
        <w:spacing w:line="360" w:lineRule="auto"/>
        <w:ind w:firstLine="630"/>
        <w:jc w:val="center"/>
        <w:outlineLvl w:val="0"/>
        <w:rPr>
          <w:rFonts w:ascii="宋体" w:hAnsi="宋体" w:cs="宋体"/>
          <w:b/>
          <w:sz w:val="32"/>
          <w:szCs w:val="20"/>
        </w:rPr>
      </w:pPr>
      <w:bookmarkStart w:id="30" w:name="_Toc6106"/>
    </w:p>
    <w:p w14:paraId="4273BB43">
      <w:pPr>
        <w:snapToGrid w:val="0"/>
        <w:spacing w:line="360" w:lineRule="auto"/>
        <w:ind w:firstLine="630"/>
        <w:jc w:val="center"/>
        <w:outlineLvl w:val="0"/>
        <w:rPr>
          <w:rFonts w:ascii="宋体" w:hAnsi="宋体" w:cs="宋体"/>
          <w:b/>
          <w:sz w:val="32"/>
          <w:szCs w:val="20"/>
        </w:rPr>
      </w:pPr>
      <w:r>
        <w:rPr>
          <w:rFonts w:hint="eastAsia" w:ascii="宋体" w:hAnsi="宋体" w:cs="宋体"/>
          <w:b/>
          <w:sz w:val="32"/>
          <w:szCs w:val="20"/>
        </w:rPr>
        <w:t>七、合同授予</w:t>
      </w:r>
      <w:bookmarkEnd w:id="30"/>
    </w:p>
    <w:p w14:paraId="0C2E3270">
      <w:pPr>
        <w:pStyle w:val="24"/>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8AFAA24">
      <w:pPr>
        <w:pStyle w:val="24"/>
        <w:snapToGrid w:val="0"/>
        <w:spacing w:line="360" w:lineRule="auto"/>
        <w:ind w:left="479" w:hanging="479" w:hangingChars="199"/>
        <w:rPr>
          <w:rFonts w:cs="宋体"/>
          <w:b/>
        </w:rPr>
      </w:pPr>
      <w:r>
        <w:rPr>
          <w:rFonts w:hint="eastAsia" w:cs="宋体"/>
          <w:b/>
        </w:rPr>
        <w:t>25. 合同的签订</w:t>
      </w:r>
    </w:p>
    <w:p w14:paraId="6F07AA2A">
      <w:pPr>
        <w:widowControl/>
        <w:shd w:val="clear" w:color="auto" w:fill="FFFFFF"/>
        <w:snapToGrid w:val="0"/>
        <w:spacing w:line="360" w:lineRule="auto"/>
        <w:ind w:firstLine="47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30个工作日内，与成交供应商按照采购文件确定的事项签订政府采购合同。</w:t>
      </w:r>
    </w:p>
    <w:p w14:paraId="3666208F">
      <w:pPr>
        <w:pStyle w:val="131"/>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5753A8B0">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DDAFA77">
      <w:pPr>
        <w:pStyle w:val="131"/>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39EE1A8">
      <w:pPr>
        <w:pStyle w:val="131"/>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797D95A1">
      <w:pPr>
        <w:pStyle w:val="24"/>
        <w:snapToGrid w:val="0"/>
        <w:spacing w:line="360" w:lineRule="auto"/>
        <w:ind w:left="479" w:hanging="479" w:hangingChars="199"/>
        <w:rPr>
          <w:rFonts w:cs="宋体"/>
          <w:b/>
        </w:rPr>
      </w:pPr>
      <w:r>
        <w:rPr>
          <w:rFonts w:hint="eastAsia" w:cs="宋体"/>
          <w:b/>
        </w:rPr>
        <w:t>26. 履约保证金</w:t>
      </w:r>
    </w:p>
    <w:p w14:paraId="71E02F72">
      <w:pPr>
        <w:tabs>
          <w:tab w:val="left" w:pos="0"/>
        </w:tabs>
        <w:snapToGrid w:val="0"/>
        <w:spacing w:line="360" w:lineRule="auto"/>
        <w:ind w:firstLine="470"/>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。鼓励根据项目特点、供应商诚信等因素免收履约保证金或降低缴纳比例，确需收取履约保证金的，履约保证金缴纳最高比例不超过合同金额的</w:t>
      </w:r>
      <w:r>
        <w:rPr>
          <w:rFonts w:ascii="宋体" w:hAnsi="宋体" w:cs="宋体"/>
          <w:sz w:val="24"/>
        </w:rPr>
        <w:t>1%</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377F6D18">
      <w:pPr>
        <w:tabs>
          <w:tab w:val="left" w:pos="0"/>
        </w:tabs>
        <w:snapToGrid w:val="0"/>
        <w:spacing w:line="360" w:lineRule="auto"/>
        <w:ind w:firstLine="470"/>
        <w:rPr>
          <w:rFonts w:ascii="宋体" w:hAnsi="宋体" w:cs="宋体"/>
          <w:sz w:val="24"/>
        </w:rPr>
      </w:pPr>
      <w:r>
        <w:rPr>
          <w:rFonts w:hint="eastAsia" w:ascii="宋体" w:hAnsi="宋体" w:cs="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8EF2364">
      <w:pPr>
        <w:pStyle w:val="24"/>
        <w:numPr>
          <w:ilvl w:val="0"/>
          <w:numId w:val="4"/>
        </w:numPr>
        <w:snapToGrid w:val="0"/>
        <w:spacing w:line="360" w:lineRule="auto"/>
        <w:ind w:left="479" w:hanging="479" w:hangingChars="199"/>
        <w:rPr>
          <w:rFonts w:cs="宋体"/>
          <w:b/>
        </w:rPr>
      </w:pPr>
      <w:r>
        <w:rPr>
          <w:rFonts w:hint="eastAsia" w:cs="宋体"/>
          <w:b/>
        </w:rPr>
        <w:t>预付款</w:t>
      </w:r>
    </w:p>
    <w:p w14:paraId="622F75A7">
      <w:pPr>
        <w:adjustRightInd/>
        <w:spacing w:line="360" w:lineRule="auto"/>
        <w:ind w:firstLine="480" w:firstLineChars="200"/>
        <w:rPr>
          <w:rFonts w:ascii="宋体" w:hAnsi="宋体" w:cs="宋体"/>
          <w:b/>
          <w:sz w:val="32"/>
        </w:rPr>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1890B13F">
      <w:pPr>
        <w:snapToGrid w:val="0"/>
        <w:spacing w:line="360" w:lineRule="auto"/>
        <w:ind w:firstLine="630"/>
        <w:jc w:val="center"/>
        <w:outlineLvl w:val="0"/>
        <w:rPr>
          <w:rFonts w:ascii="宋体" w:hAnsi="宋体" w:cs="宋体"/>
          <w:b/>
          <w:sz w:val="32"/>
          <w:szCs w:val="20"/>
        </w:rPr>
      </w:pPr>
      <w:bookmarkStart w:id="31" w:name="_Toc23739"/>
      <w:r>
        <w:rPr>
          <w:rFonts w:hint="eastAsia" w:ascii="宋体" w:hAnsi="宋体" w:cs="宋体"/>
          <w:b/>
          <w:sz w:val="32"/>
          <w:szCs w:val="20"/>
        </w:rPr>
        <w:t>八、电子交易活动的中止</w:t>
      </w:r>
      <w:bookmarkEnd w:id="31"/>
    </w:p>
    <w:p w14:paraId="33E1A6E6">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AB1EB3F">
      <w:pPr>
        <w:pStyle w:val="131"/>
        <w:snapToGrid w:val="0"/>
        <w:spacing w:before="0"/>
        <w:ind w:firstLine="480"/>
        <w:rPr>
          <w:rFonts w:ascii="宋体" w:hAnsi="宋体" w:cs="宋体"/>
        </w:rPr>
      </w:pPr>
      <w:r>
        <w:rPr>
          <w:rFonts w:hint="eastAsia" w:ascii="宋体" w:hAnsi="宋体" w:cs="宋体"/>
        </w:rPr>
        <w:t>28.1电子交易平台发生故障而无法登录访问的；</w:t>
      </w:r>
    </w:p>
    <w:p w14:paraId="7416E98A">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69FE001">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23682748">
      <w:pPr>
        <w:pStyle w:val="131"/>
        <w:snapToGrid w:val="0"/>
        <w:spacing w:before="0"/>
        <w:ind w:firstLine="480"/>
        <w:rPr>
          <w:rFonts w:ascii="宋体" w:hAnsi="宋体" w:cs="宋体"/>
        </w:rPr>
      </w:pPr>
      <w:r>
        <w:rPr>
          <w:rFonts w:hint="eastAsia" w:ascii="宋体" w:hAnsi="宋体" w:cs="宋体"/>
        </w:rPr>
        <w:t>28.4病毒发作导致不能进行正常操作的；</w:t>
      </w:r>
    </w:p>
    <w:p w14:paraId="444748AC">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09872AF8">
      <w:pPr>
        <w:pStyle w:val="131"/>
        <w:snapToGrid w:val="0"/>
        <w:spacing w:before="0"/>
        <w:ind w:firstLine="0" w:firstLineChars="0"/>
        <w:rPr>
          <w:rFonts w:ascii="宋体" w:hAnsi="宋体" w:cs="宋体"/>
          <w:sz w:val="24"/>
        </w:rPr>
      </w:pPr>
      <w:r>
        <w:rPr>
          <w:rFonts w:hint="eastAsia" w:ascii="宋体" w:hAnsi="宋体" w:cs="宋体"/>
          <w:b/>
          <w:bCs/>
        </w:rPr>
        <w:t>29.</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3AAA2AF2">
      <w:pPr>
        <w:snapToGrid w:val="0"/>
        <w:spacing w:line="360" w:lineRule="auto"/>
        <w:ind w:firstLine="630"/>
        <w:jc w:val="center"/>
        <w:outlineLvl w:val="0"/>
        <w:rPr>
          <w:rFonts w:ascii="宋体" w:hAnsi="宋体" w:cs="宋体"/>
          <w:b/>
          <w:sz w:val="32"/>
          <w:szCs w:val="20"/>
        </w:rPr>
      </w:pPr>
      <w:bookmarkStart w:id="32" w:name="_Toc15962"/>
      <w:r>
        <w:rPr>
          <w:rFonts w:hint="eastAsia" w:ascii="宋体" w:hAnsi="宋体" w:cs="宋体"/>
          <w:b/>
          <w:sz w:val="32"/>
          <w:szCs w:val="20"/>
        </w:rPr>
        <w:t>九、验收</w:t>
      </w:r>
      <w:bookmarkEnd w:id="32"/>
    </w:p>
    <w:p w14:paraId="43A5391C">
      <w:pPr>
        <w:pStyle w:val="24"/>
        <w:spacing w:line="360" w:lineRule="auto"/>
        <w:ind w:firstLine="0" w:firstLineChars="0"/>
        <w:rPr>
          <w:rFonts w:cs="宋体"/>
          <w:b/>
        </w:rPr>
      </w:pPr>
      <w:r>
        <w:rPr>
          <w:rFonts w:hint="eastAsia" w:cs="宋体"/>
          <w:b/>
        </w:rPr>
        <w:t>30. 验收</w:t>
      </w:r>
    </w:p>
    <w:p w14:paraId="043E0038">
      <w:pPr>
        <w:tabs>
          <w:tab w:val="left" w:pos="0"/>
        </w:tabs>
        <w:spacing w:line="360" w:lineRule="auto"/>
        <w:ind w:firstLine="47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E1AF29">
      <w:pPr>
        <w:tabs>
          <w:tab w:val="left" w:pos="0"/>
        </w:tabs>
        <w:spacing w:line="360" w:lineRule="auto"/>
        <w:ind w:firstLine="470"/>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67338613">
      <w:pPr>
        <w:tabs>
          <w:tab w:val="left" w:pos="0"/>
        </w:tabs>
        <w:spacing w:line="360" w:lineRule="auto"/>
        <w:ind w:firstLine="47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8C8955">
      <w:pPr>
        <w:tabs>
          <w:tab w:val="left" w:pos="0"/>
        </w:tabs>
        <w:spacing w:line="360" w:lineRule="auto"/>
        <w:ind w:firstLine="470"/>
        <w:rPr>
          <w:rFonts w:ascii="宋体" w:hAnsi="宋体" w:cs="宋体"/>
          <w:kern w:val="0"/>
          <w:sz w:val="24"/>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8"/>
    <w:p w14:paraId="50145640">
      <w:pPr>
        <w:tabs>
          <w:tab w:val="left" w:pos="0"/>
        </w:tabs>
        <w:spacing w:line="360" w:lineRule="auto"/>
        <w:ind w:firstLine="470"/>
        <w:rPr>
          <w:rFonts w:ascii="宋体" w:hAnsi="宋体" w:cs="宋体"/>
          <w:kern w:val="0"/>
          <w:sz w:val="24"/>
        </w:rPr>
      </w:pPr>
      <w:bookmarkStart w:id="33" w:name="_Hlt74730295"/>
      <w:bookmarkEnd w:id="33"/>
      <w:bookmarkStart w:id="34" w:name="_Hlt74707468"/>
      <w:bookmarkEnd w:id="34"/>
      <w:bookmarkStart w:id="35" w:name="_Hlt75236290"/>
      <w:bookmarkEnd w:id="35"/>
      <w:bookmarkStart w:id="36" w:name="_Hlt75236011"/>
      <w:bookmarkEnd w:id="36"/>
      <w:bookmarkStart w:id="37" w:name="_Hlt68057669"/>
      <w:bookmarkEnd w:id="37"/>
      <w:bookmarkStart w:id="38" w:name="_Hlt68072998"/>
      <w:bookmarkEnd w:id="38"/>
      <w:bookmarkStart w:id="39" w:name="_Hlt68073093"/>
      <w:bookmarkEnd w:id="39"/>
      <w:bookmarkStart w:id="40" w:name="_Hlt68403820"/>
      <w:bookmarkEnd w:id="40"/>
      <w:bookmarkStart w:id="41" w:name="_Hlt74729768"/>
      <w:bookmarkEnd w:id="41"/>
      <w:bookmarkStart w:id="42" w:name="_Hlt74714665"/>
      <w:bookmarkEnd w:id="42"/>
      <w:bookmarkStart w:id="43" w:name="_Hlt68072990"/>
      <w:bookmarkEnd w:id="43"/>
      <w:bookmarkStart w:id="44" w:name="_Hlt75236101"/>
      <w:bookmarkEnd w:id="44"/>
      <w:r>
        <w:rPr>
          <w:rFonts w:hint="eastAsia" w:ascii="宋体" w:hAnsi="宋体" w:cs="宋体"/>
          <w:kern w:val="0"/>
          <w:sz w:val="24"/>
        </w:rPr>
        <w:t>30.5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DA26214">
      <w:pPr>
        <w:tabs>
          <w:tab w:val="left" w:pos="0"/>
        </w:tabs>
        <w:spacing w:line="360" w:lineRule="auto"/>
        <w:ind w:firstLine="470"/>
        <w:rPr>
          <w:rFonts w:ascii="宋体" w:hAnsi="宋体" w:cs="宋体"/>
          <w:kern w:val="0"/>
          <w:sz w:val="24"/>
        </w:rPr>
      </w:pPr>
    </w:p>
    <w:p w14:paraId="75729857"/>
    <w:p w14:paraId="709F6F3B">
      <w:pPr>
        <w:tabs>
          <w:tab w:val="left" w:pos="0"/>
        </w:tabs>
        <w:spacing w:line="360" w:lineRule="auto"/>
        <w:ind w:firstLine="470"/>
        <w:rPr>
          <w:rFonts w:ascii="宋体" w:hAnsi="宋体" w:cs="宋体"/>
          <w:kern w:val="0"/>
          <w:sz w:val="24"/>
        </w:rPr>
        <w:sectPr>
          <w:pgSz w:w="11905" w:h="16838"/>
          <w:pgMar w:top="1134" w:right="1304" w:bottom="1134" w:left="1304" w:header="850" w:footer="850" w:gutter="283"/>
          <w:cols w:space="0" w:num="1"/>
          <w:titlePg/>
          <w:docGrid w:linePitch="312" w:charSpace="0"/>
        </w:sectPr>
      </w:pPr>
    </w:p>
    <w:bookmarkEnd w:id="16"/>
    <w:bookmarkEnd w:id="17"/>
    <w:p w14:paraId="5DD01F5B">
      <w:pPr>
        <w:pStyle w:val="32"/>
        <w:spacing w:line="360" w:lineRule="auto"/>
        <w:ind w:firstLine="708"/>
        <w:jc w:val="center"/>
        <w:outlineLvl w:val="0"/>
        <w:rPr>
          <w:rFonts w:hAnsi="宋体" w:cs="宋体"/>
          <w:b/>
          <w:snapToGrid/>
          <w:sz w:val="36"/>
          <w:szCs w:val="20"/>
        </w:rPr>
      </w:pPr>
      <w:bookmarkStart w:id="45" w:name="_Toc26987"/>
      <w:bookmarkStart w:id="46" w:name="第四部分"/>
      <w:r>
        <w:rPr>
          <w:rFonts w:hint="eastAsia" w:hAnsi="宋体" w:cs="宋体"/>
          <w:b/>
          <w:snapToGrid/>
          <w:sz w:val="36"/>
          <w:szCs w:val="20"/>
        </w:rPr>
        <w:t>第三部分 采购需求</w:t>
      </w:r>
      <w:bookmarkEnd w:id="45"/>
    </w:p>
    <w:p w14:paraId="62B4DF9C">
      <w:pPr>
        <w:spacing w:line="360" w:lineRule="auto"/>
        <w:ind w:firstLine="472"/>
        <w:jc w:val="left"/>
        <w:rPr>
          <w:rFonts w:ascii="宋体" w:hAnsi="宋体" w:cs="仿宋_GB2312"/>
          <w:b/>
          <w:bCs/>
          <w:sz w:val="24"/>
        </w:rPr>
      </w:pPr>
      <w:r>
        <w:rPr>
          <w:rFonts w:hint="eastAsia" w:ascii="宋体" w:hAnsi="宋体" w:cs="仿宋_GB2312"/>
          <w:b/>
          <w:bCs/>
          <w:sz w:val="24"/>
        </w:rPr>
        <w:t>一、工程概况</w:t>
      </w:r>
    </w:p>
    <w:p w14:paraId="636A81CA">
      <w:pPr>
        <w:numPr>
          <w:ilvl w:val="0"/>
          <w:numId w:val="0"/>
        </w:numPr>
        <w:spacing w:line="360" w:lineRule="auto"/>
        <w:ind w:firstLine="480" w:firstLineChars="200"/>
        <w:jc w:val="left"/>
        <w:rPr>
          <w:rFonts w:hint="eastAsia" w:ascii="宋体" w:hAnsi="宋体" w:cs="仿宋_GB2312"/>
          <w:b w:val="0"/>
          <w:bCs w:val="0"/>
          <w:sz w:val="24"/>
          <w:szCs w:val="24"/>
          <w:lang w:val="en-US" w:eastAsia="zh-CN"/>
        </w:rPr>
      </w:pPr>
      <w:r>
        <w:rPr>
          <w:rFonts w:hint="eastAsia" w:ascii="宋体" w:hAnsi="宋体" w:cs="仿宋_GB2312"/>
          <w:b w:val="0"/>
          <w:bCs w:val="0"/>
          <w:sz w:val="24"/>
          <w:szCs w:val="24"/>
          <w:lang w:val="en-US" w:eastAsia="zh-CN"/>
        </w:rPr>
        <w:t xml:space="preserve">该项目由宁海县西店镇中心小学负责建设，建设地点位于宁海县西店镇中心小学。维修内容主要包括实验楼、1#教学楼、食宿楼、综合楼外立面翻新，1#教学楼屋面防水、保温拆除翻新，实验楼卫生间地面、墙面、吊顶、铝合金门窗、卫生洁具拆除更换，1#连廊内墙面新做瓷砖墙裙、涂料翻新，食宿楼空调百叶拆除更换及新建2#连廊等。 </w:t>
      </w:r>
    </w:p>
    <w:p w14:paraId="32A3B825">
      <w:pPr>
        <w:snapToGrid w:val="0"/>
        <w:spacing w:line="360" w:lineRule="auto"/>
        <w:ind w:firstLine="482" w:firstLineChars="200"/>
        <w:jc w:val="left"/>
        <w:outlineLvl w:val="1"/>
        <w:rPr>
          <w:rFonts w:ascii="宋体" w:hAnsi="宋体" w:cs="宋体"/>
          <w:b/>
          <w:bCs/>
          <w:sz w:val="24"/>
          <w:szCs w:val="24"/>
        </w:rPr>
      </w:pPr>
      <w:r>
        <w:rPr>
          <w:rFonts w:hint="eastAsia" w:ascii="宋体" w:hAnsi="宋体" w:cs="宋体"/>
          <w:b/>
          <w:bCs/>
          <w:sz w:val="24"/>
          <w:szCs w:val="24"/>
          <w:shd w:val="clear" w:color="auto" w:fill="FFFFFF"/>
        </w:rPr>
        <w:t>▲</w:t>
      </w:r>
      <w:r>
        <w:rPr>
          <w:rFonts w:hint="eastAsia" w:ascii="宋体" w:hAnsi="宋体" w:cs="宋体"/>
          <w:b/>
          <w:bCs/>
          <w:sz w:val="24"/>
          <w:szCs w:val="24"/>
          <w:lang w:val="en-US" w:eastAsia="zh-CN"/>
        </w:rPr>
        <w:t>二</w:t>
      </w:r>
      <w:r>
        <w:rPr>
          <w:rFonts w:hint="eastAsia" w:ascii="宋体" w:hAnsi="宋体" w:cs="宋体"/>
          <w:b/>
          <w:bCs/>
          <w:sz w:val="24"/>
          <w:szCs w:val="24"/>
        </w:rPr>
        <w:t>、人员配备要求</w:t>
      </w:r>
    </w:p>
    <w:p w14:paraId="38555C28">
      <w:pPr>
        <w:snapToGrid w:val="0"/>
        <w:spacing w:line="360" w:lineRule="auto"/>
        <w:ind w:firstLine="480" w:firstLineChars="200"/>
        <w:jc w:val="left"/>
        <w:outlineLvl w:val="1"/>
        <w:rPr>
          <w:rFonts w:ascii="宋体" w:hAnsi="宋体" w:cs="宋体"/>
          <w:bCs/>
          <w:color w:val="0000FF"/>
          <w:sz w:val="24"/>
          <w:szCs w:val="24"/>
        </w:rPr>
      </w:pPr>
      <w:r>
        <w:rPr>
          <w:rFonts w:hint="eastAsia" w:ascii="宋体" w:hAnsi="宋体" w:cs="宋体"/>
          <w:bCs/>
          <w:sz w:val="24"/>
          <w:szCs w:val="24"/>
        </w:rPr>
        <w:t>①拟派项目负责人要求：1名，具备建筑工程专业二级及以上建造师注册证书并取得《项目负责人安全生产考核合格证书》</w:t>
      </w:r>
      <w:r>
        <w:rPr>
          <w:rFonts w:hint="eastAsia" w:ascii="宋体" w:hAnsi="宋体" w:cs="宋体"/>
          <w:bCs/>
          <w:sz w:val="24"/>
          <w:szCs w:val="24"/>
          <w:lang w:eastAsia="zh-CN"/>
        </w:rPr>
        <w:t>，</w:t>
      </w:r>
      <w:r>
        <w:rPr>
          <w:rFonts w:hint="eastAsia" w:ascii="宋体" w:hAnsi="宋体" w:cs="宋体"/>
          <w:bCs/>
          <w:sz w:val="24"/>
          <w:szCs w:val="24"/>
        </w:rPr>
        <w:t>且在投标截止日不得在其他任何在建合同工程中担任项目负责人（包括工程总承包项目中的施工负责人）。</w:t>
      </w:r>
    </w:p>
    <w:p w14:paraId="57F1BE7E">
      <w:pPr>
        <w:snapToGrid w:val="0"/>
        <w:spacing w:line="360" w:lineRule="auto"/>
        <w:ind w:firstLine="480" w:firstLineChars="200"/>
        <w:jc w:val="left"/>
        <w:outlineLvl w:val="1"/>
        <w:rPr>
          <w:rFonts w:ascii="宋体" w:hAnsi="宋体" w:cs="宋体"/>
          <w:bCs/>
          <w:sz w:val="24"/>
          <w:szCs w:val="24"/>
        </w:rPr>
      </w:pPr>
      <w:r>
        <w:rPr>
          <w:rFonts w:hint="eastAsia" w:ascii="宋体" w:hAnsi="宋体" w:cs="宋体"/>
          <w:bCs/>
          <w:sz w:val="24"/>
          <w:szCs w:val="24"/>
        </w:rPr>
        <w:t>②拟派项目技术负责人要求：1名，具备建筑类专业工程师及以上职称证书；</w:t>
      </w:r>
    </w:p>
    <w:p w14:paraId="3CD519FD">
      <w:pPr>
        <w:snapToGrid w:val="0"/>
        <w:spacing w:line="360" w:lineRule="auto"/>
        <w:ind w:firstLine="480" w:firstLineChars="200"/>
        <w:jc w:val="left"/>
        <w:outlineLvl w:val="1"/>
        <w:rPr>
          <w:rFonts w:hint="eastAsia" w:ascii="宋体" w:hAnsi="宋体" w:eastAsia="宋体" w:cs="宋体"/>
          <w:bCs/>
          <w:sz w:val="24"/>
          <w:szCs w:val="24"/>
        </w:rPr>
      </w:pPr>
      <w:r>
        <w:rPr>
          <w:rFonts w:hint="eastAsia" w:ascii="宋体" w:hAnsi="宋体" w:eastAsia="宋体" w:cs="宋体"/>
          <w:bCs/>
          <w:sz w:val="24"/>
          <w:szCs w:val="24"/>
        </w:rPr>
        <w:t>③拟派项目专职安全生产管理人员要求</w:t>
      </w:r>
      <w:r>
        <w:rPr>
          <w:rFonts w:hint="eastAsia" w:ascii="宋体" w:hAnsi="宋体" w:eastAsia="宋体" w:cs="宋体"/>
          <w:bCs/>
          <w:sz w:val="24"/>
          <w:szCs w:val="24"/>
          <w:lang w:eastAsia="zh-CN"/>
        </w:rPr>
        <w:t>：</w:t>
      </w:r>
      <w:r>
        <w:rPr>
          <w:rFonts w:hint="eastAsia" w:ascii="宋体" w:hAnsi="宋体" w:eastAsia="宋体" w:cs="宋体"/>
          <w:bCs/>
          <w:sz w:val="24"/>
          <w:szCs w:val="24"/>
        </w:rPr>
        <w:t>1名，具备建设行政主管部门核发的《专职安全生产管理人员安全生产考核合格证书》。</w:t>
      </w:r>
    </w:p>
    <w:p w14:paraId="0F7944AE">
      <w:pPr>
        <w:snapToGrid w:val="0"/>
        <w:spacing w:line="360" w:lineRule="auto"/>
        <w:ind w:firstLine="480" w:firstLineChars="200"/>
        <w:jc w:val="left"/>
        <w:outlineLvl w:val="1"/>
        <w:rPr>
          <w:rFonts w:hint="eastAsia" w:ascii="宋体" w:hAnsi="宋体" w:eastAsia="宋体" w:cs="宋体"/>
          <w:bCs/>
          <w:sz w:val="24"/>
          <w:szCs w:val="24"/>
        </w:rPr>
      </w:pPr>
      <w:r>
        <w:rPr>
          <w:rFonts w:hint="eastAsia" w:ascii="宋体" w:hAnsi="宋体" w:eastAsia="宋体" w:cs="宋体"/>
          <w:bCs/>
          <w:sz w:val="24"/>
          <w:szCs w:val="24"/>
        </w:rPr>
        <w:t>④施工员要求</w:t>
      </w:r>
      <w:r>
        <w:rPr>
          <w:rFonts w:hint="eastAsia" w:ascii="宋体" w:hAnsi="宋体" w:eastAsia="宋体" w:cs="宋体"/>
          <w:bCs/>
          <w:sz w:val="24"/>
          <w:szCs w:val="24"/>
          <w:lang w:eastAsia="zh-CN"/>
        </w:rPr>
        <w:t>：1名，</w:t>
      </w:r>
      <w:r>
        <w:rPr>
          <w:rFonts w:hint="eastAsia" w:ascii="宋体" w:hAnsi="宋体" w:eastAsia="宋体" w:cs="宋体"/>
          <w:bCs/>
          <w:sz w:val="24"/>
          <w:szCs w:val="24"/>
        </w:rPr>
        <w:t>具备施工员岗位证书或培训合格证书。</w:t>
      </w:r>
    </w:p>
    <w:p w14:paraId="096E6FB5">
      <w:pPr>
        <w:snapToGrid w:val="0"/>
        <w:spacing w:line="360" w:lineRule="auto"/>
        <w:ind w:firstLine="480" w:firstLineChars="200"/>
        <w:jc w:val="left"/>
        <w:outlineLvl w:val="1"/>
        <w:rPr>
          <w:rFonts w:hint="eastAsia" w:ascii="宋体" w:hAnsi="宋体" w:eastAsia="宋体" w:cs="宋体"/>
          <w:bCs/>
          <w:sz w:val="24"/>
          <w:szCs w:val="24"/>
        </w:rPr>
      </w:pPr>
      <w:r>
        <w:rPr>
          <w:rFonts w:hint="eastAsia" w:ascii="宋体" w:hAnsi="宋体" w:eastAsia="宋体" w:cs="宋体"/>
          <w:bCs/>
          <w:sz w:val="24"/>
          <w:szCs w:val="24"/>
        </w:rPr>
        <w:t>⑤质量员要求</w:t>
      </w:r>
      <w:r>
        <w:rPr>
          <w:rFonts w:hint="eastAsia" w:ascii="宋体" w:hAnsi="宋体" w:eastAsia="宋体" w:cs="宋体"/>
          <w:bCs/>
          <w:sz w:val="24"/>
          <w:szCs w:val="24"/>
          <w:lang w:eastAsia="zh-CN"/>
        </w:rPr>
        <w:t>：1名，</w:t>
      </w:r>
      <w:r>
        <w:rPr>
          <w:rFonts w:hint="eastAsia" w:ascii="宋体" w:hAnsi="宋体" w:eastAsia="宋体" w:cs="宋体"/>
          <w:bCs/>
          <w:sz w:val="24"/>
          <w:szCs w:val="24"/>
        </w:rPr>
        <w:t>具备质量员岗位证书或培训合格证书。</w:t>
      </w:r>
    </w:p>
    <w:p w14:paraId="54CFDAA2">
      <w:pPr>
        <w:snapToGrid w:val="0"/>
        <w:spacing w:line="360" w:lineRule="auto"/>
        <w:ind w:firstLine="480" w:firstLineChars="200"/>
        <w:jc w:val="left"/>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注：以上人员是采购人要求的最低配置，供应商应根据工程实际情况配备，需增加的人员由供应商自行补充填写。供应商配备的项目人员不得低于采购人的最低配置要求，否则其投标作否决投标处理。</w:t>
      </w:r>
    </w:p>
    <w:p w14:paraId="35A67E12">
      <w:pPr>
        <w:snapToGrid w:val="0"/>
        <w:spacing w:line="360" w:lineRule="auto"/>
        <w:ind w:firstLine="482" w:firstLineChars="200"/>
        <w:jc w:val="left"/>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三、技术要求</w:t>
      </w:r>
    </w:p>
    <w:p w14:paraId="4BFA1967">
      <w:pPr>
        <w:snapToGrid w:val="0"/>
        <w:spacing w:line="360" w:lineRule="auto"/>
        <w:ind w:firstLine="480" w:firstLineChars="200"/>
        <w:jc w:val="left"/>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1、本项目工程量清单是根据采购文件中包括的、有合同约束力的图纸以及有关工程量清单的国家标准、行业标准、合同条款中约定的工程量计算规则编制。计量采用中华人民共和国法定计量单位。</w:t>
      </w:r>
    </w:p>
    <w:p w14:paraId="27FE56F4">
      <w:pPr>
        <w:snapToGrid w:val="0"/>
        <w:spacing w:line="360" w:lineRule="auto"/>
        <w:ind w:firstLine="480" w:firstLineChars="200"/>
        <w:jc w:val="left"/>
        <w:outlineLvl w:val="1"/>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2、本项目工程量清单应与采购文件中的竞争性磋商须知、合同条款、技术标准和要求及图纸（如有）等一起阅读和理解。</w:t>
      </w:r>
    </w:p>
    <w:p w14:paraId="7817BA72">
      <w:pPr>
        <w:snapToGrid w:val="0"/>
        <w:spacing w:line="360" w:lineRule="auto"/>
        <w:ind w:firstLine="480" w:firstLineChars="200"/>
        <w:jc w:val="left"/>
        <w:outlineLvl w:val="1"/>
        <w:rPr>
          <w:rFonts w:ascii="宋体" w:hAnsi="宋体" w:cs="宋体"/>
          <w:bCs/>
          <w:sz w:val="24"/>
          <w:szCs w:val="24"/>
        </w:rPr>
      </w:pPr>
      <w:r>
        <w:rPr>
          <w:rFonts w:hint="eastAsia" w:ascii="宋体" w:hAnsi="宋体" w:cs="宋体"/>
          <w:bCs/>
          <w:sz w:val="24"/>
          <w:szCs w:val="24"/>
          <w:lang w:val="en-US" w:eastAsia="zh-CN"/>
        </w:rPr>
        <w:t>3</w:t>
      </w:r>
      <w:r>
        <w:rPr>
          <w:rFonts w:hint="eastAsia" w:ascii="宋体" w:hAnsi="宋体" w:cs="宋体"/>
          <w:bCs/>
          <w:sz w:val="24"/>
          <w:szCs w:val="24"/>
        </w:rPr>
        <w:t>、本项目工程量清单中标明的单价和总价均已包括为实施本工程所需的人工、材料、机械使用等定额直接费、临时设施、施工辅助、进退场等其他直接费、间接费、管理费、措施费、规费、保险、利润、税金、中标服务费等一切费用，以及合同明示或暗示的所有责任、义务和一切风险。</w:t>
      </w:r>
    </w:p>
    <w:p w14:paraId="52386E87">
      <w:pPr>
        <w:snapToGrid w:val="0"/>
        <w:spacing w:line="360" w:lineRule="auto"/>
        <w:ind w:firstLine="480" w:firstLineChars="200"/>
        <w:jc w:val="left"/>
        <w:outlineLvl w:val="1"/>
        <w:rPr>
          <w:rFonts w:hint="eastAsia" w:ascii="宋体" w:hAnsi="宋体" w:cs="宋体"/>
          <w:bCs/>
          <w:sz w:val="24"/>
          <w:szCs w:val="24"/>
        </w:rPr>
      </w:pPr>
      <w:r>
        <w:rPr>
          <w:rFonts w:hint="eastAsia" w:ascii="宋体" w:hAnsi="宋体" w:cs="宋体"/>
          <w:bCs/>
          <w:sz w:val="24"/>
          <w:szCs w:val="24"/>
          <w:lang w:val="en-US" w:eastAsia="zh-CN"/>
        </w:rPr>
        <w:t>4</w:t>
      </w:r>
      <w:r>
        <w:rPr>
          <w:rFonts w:hint="eastAsia" w:ascii="宋体" w:hAnsi="宋体" w:cs="宋体"/>
          <w:bCs/>
          <w:sz w:val="24"/>
          <w:szCs w:val="24"/>
        </w:rPr>
        <w:t>、符合合同条款规定的全部费用应认为已被计入有标价的工程量清单所列各子目之中，未列子目不予计量的工作，其费用应视为已分摊在本合同工程的有关子目的单价或总价之中。</w:t>
      </w:r>
    </w:p>
    <w:p w14:paraId="45D7691B">
      <w:pPr>
        <w:snapToGrid w:val="0"/>
        <w:spacing w:line="360" w:lineRule="auto"/>
        <w:ind w:firstLine="480" w:firstLineChars="200"/>
        <w:jc w:val="left"/>
        <w:outlineLvl w:val="1"/>
        <w:rPr>
          <w:rFonts w:hint="eastAsia" w:ascii="宋体" w:hAnsi="宋体" w:cs="宋体"/>
          <w:bCs/>
          <w:sz w:val="24"/>
          <w:szCs w:val="24"/>
        </w:rPr>
      </w:pPr>
      <w:r>
        <w:rPr>
          <w:rFonts w:hint="eastAsia" w:ascii="宋体" w:hAnsi="宋体" w:cs="宋体"/>
          <w:bCs/>
          <w:sz w:val="24"/>
          <w:szCs w:val="24"/>
          <w:lang w:val="en-US" w:eastAsia="zh-CN"/>
        </w:rPr>
        <w:t>5</w:t>
      </w:r>
      <w:r>
        <w:rPr>
          <w:rFonts w:hint="eastAsia" w:ascii="宋体" w:hAnsi="宋体" w:cs="宋体"/>
          <w:bCs/>
          <w:sz w:val="24"/>
          <w:szCs w:val="24"/>
        </w:rPr>
        <w:t>.供应商按</w:t>
      </w:r>
      <w:r>
        <w:rPr>
          <w:rFonts w:hint="eastAsia" w:ascii="宋体" w:hAnsi="宋体" w:cs="宋体"/>
          <w:bCs/>
          <w:sz w:val="24"/>
          <w:szCs w:val="24"/>
          <w:lang w:val="en-US" w:eastAsia="zh-CN"/>
        </w:rPr>
        <w:t>采购人</w:t>
      </w:r>
      <w:r>
        <w:rPr>
          <w:rFonts w:hint="eastAsia" w:ascii="宋体" w:hAnsi="宋体" w:cs="宋体"/>
          <w:bCs/>
          <w:sz w:val="24"/>
          <w:szCs w:val="24"/>
        </w:rPr>
        <w:t>提供的《工程量清单》格式报价</w:t>
      </w:r>
      <w:r>
        <w:rPr>
          <w:rFonts w:hint="eastAsia" w:ascii="宋体" w:hAnsi="宋体" w:cs="宋体"/>
          <w:bCs/>
          <w:sz w:val="24"/>
          <w:szCs w:val="24"/>
          <w:lang w:val="en-US" w:eastAsia="zh-CN"/>
        </w:rPr>
        <w:t>，供应商不得擅自改动采购人提供的工程量清单内容（计量单位、工程数量等），磋商报价应以采购人提供的工程量清单为基础，结合施工图纸等进行报价。</w:t>
      </w:r>
    </w:p>
    <w:p w14:paraId="35849F38">
      <w:pPr>
        <w:snapToGrid w:val="0"/>
        <w:spacing w:line="360" w:lineRule="auto"/>
        <w:ind w:firstLine="480" w:firstLineChars="200"/>
        <w:jc w:val="left"/>
        <w:outlineLvl w:val="1"/>
        <w:rPr>
          <w:rFonts w:hint="eastAsia" w:ascii="宋体" w:hAnsi="宋体" w:cs="宋体"/>
          <w:bCs/>
          <w:sz w:val="24"/>
          <w:szCs w:val="24"/>
        </w:rPr>
      </w:pPr>
      <w:r>
        <w:rPr>
          <w:rFonts w:hint="eastAsia" w:ascii="宋体" w:hAnsi="宋体" w:cs="宋体"/>
          <w:bCs/>
          <w:sz w:val="24"/>
          <w:szCs w:val="24"/>
          <w:lang w:val="en-US" w:eastAsia="zh-CN"/>
        </w:rPr>
        <w:t>6</w:t>
      </w:r>
      <w:r>
        <w:rPr>
          <w:rFonts w:hint="eastAsia" w:ascii="宋体" w:hAnsi="宋体" w:cs="宋体"/>
          <w:bCs/>
          <w:sz w:val="24"/>
          <w:szCs w:val="24"/>
        </w:rPr>
        <w:t>.本工程要求承包人做好现场安全文明施工；现场悬挂安全文明施工警示牌、对施工造成的道路上的洒落进行清理、材料堆放要求整齐并做好维护等。</w:t>
      </w:r>
    </w:p>
    <w:p w14:paraId="5800955F">
      <w:pPr>
        <w:numPr>
          <w:ilvl w:val="0"/>
          <w:numId w:val="0"/>
        </w:numPr>
        <w:spacing w:line="360" w:lineRule="auto"/>
        <w:ind w:firstLine="482" w:firstLineChars="200"/>
        <w:jc w:val="left"/>
        <w:rPr>
          <w:rFonts w:ascii="宋体" w:hAnsi="宋体" w:cs="宋体"/>
          <w:b/>
          <w:sz w:val="24"/>
          <w:szCs w:val="24"/>
        </w:rPr>
      </w:pPr>
      <w:r>
        <w:rPr>
          <w:rFonts w:hint="eastAsia" w:ascii="宋体" w:hAnsi="宋体" w:cs="宋体"/>
          <w:b/>
          <w:sz w:val="24"/>
          <w:szCs w:val="24"/>
        </w:rPr>
        <w:t>四、有关事项说明</w:t>
      </w:r>
    </w:p>
    <w:p w14:paraId="0A545EE9">
      <w:pPr>
        <w:snapToGrid w:val="0"/>
        <w:spacing w:line="360" w:lineRule="auto"/>
        <w:ind w:firstLine="480" w:firstLineChars="200"/>
        <w:jc w:val="left"/>
        <w:outlineLvl w:val="1"/>
        <w:rPr>
          <w:rFonts w:hint="eastAsia" w:ascii="宋体" w:hAnsi="宋体" w:cs="宋体"/>
          <w:bCs/>
          <w:sz w:val="24"/>
          <w:szCs w:val="24"/>
          <w:lang w:val="en-US" w:eastAsia="zh-CN"/>
        </w:rPr>
      </w:pPr>
      <w:r>
        <w:rPr>
          <w:rFonts w:hint="eastAsia" w:ascii="宋体" w:hAnsi="宋体" w:cs="宋体"/>
          <w:bCs/>
          <w:sz w:val="24"/>
          <w:szCs w:val="24"/>
          <w:lang w:val="en-US" w:eastAsia="zh-CN"/>
        </w:rPr>
        <w:t>1、根据建设单位要求及现场实际情况，综合楼外立面翻新面积按其原外立面的20%计算，其余按图纸计算；所有翻新面积中面层空鼓凿除数量按翻新面积的20%计算；</w:t>
      </w:r>
    </w:p>
    <w:p w14:paraId="246D7C4A">
      <w:pPr>
        <w:snapToGrid w:val="0"/>
        <w:spacing w:line="360" w:lineRule="auto"/>
        <w:ind w:firstLine="480" w:firstLineChars="200"/>
        <w:jc w:val="left"/>
        <w:outlineLvl w:val="1"/>
        <w:rPr>
          <w:rFonts w:hint="eastAsia" w:ascii="宋体" w:hAnsi="宋体" w:cs="宋体"/>
          <w:bCs/>
          <w:sz w:val="24"/>
          <w:szCs w:val="24"/>
          <w:lang w:val="en-US" w:eastAsia="zh-CN"/>
        </w:rPr>
      </w:pPr>
      <w:r>
        <w:rPr>
          <w:rFonts w:hint="eastAsia" w:ascii="宋体" w:hAnsi="宋体" w:cs="宋体"/>
          <w:bCs/>
          <w:sz w:val="24"/>
          <w:szCs w:val="24"/>
          <w:lang w:val="en-US" w:eastAsia="zh-CN"/>
        </w:rPr>
        <w:t>2、根据建设单位要求，实验楼卫生间改造门窗全部拆除更换，铝合金窗按90系列1.8mm铝合金推拉窗+普通单玻玻璃计入预算，铝合金平开门按50系列2.2mm铝合金平开门+钢化玻璃计入预算；新建连廊铝合金窗按80系列1.8mm铝合金推拉窗+6mm单层钢化玻璃计入预算；</w:t>
      </w:r>
    </w:p>
    <w:p w14:paraId="7F0860E0">
      <w:pPr>
        <w:snapToGrid w:val="0"/>
        <w:spacing w:line="360" w:lineRule="auto"/>
        <w:ind w:firstLine="480" w:firstLineChars="200"/>
        <w:jc w:val="left"/>
        <w:outlineLvl w:val="1"/>
        <w:rPr>
          <w:rFonts w:hint="eastAsia" w:ascii="宋体" w:hAnsi="宋体" w:cs="宋体"/>
          <w:bCs/>
          <w:sz w:val="24"/>
          <w:szCs w:val="24"/>
          <w:lang w:val="en-US" w:eastAsia="zh-CN"/>
        </w:rPr>
      </w:pPr>
      <w:r>
        <w:rPr>
          <w:rFonts w:hint="eastAsia" w:ascii="宋体" w:hAnsi="宋体" w:cs="宋体"/>
          <w:bCs/>
          <w:sz w:val="24"/>
          <w:szCs w:val="24"/>
          <w:lang w:val="en-US" w:eastAsia="zh-CN"/>
        </w:rPr>
        <w:t>3、根据现场实际情况，经与建设单位协商，现场拆除的所有建筑垃圾清理及外运费用（包含外立面、卫生间、行政会议室改造等）按10000元/项计算，一次性包干使用；</w:t>
      </w:r>
    </w:p>
    <w:p w14:paraId="41F18DE2">
      <w:pPr>
        <w:snapToGrid w:val="0"/>
        <w:spacing w:line="360" w:lineRule="auto"/>
        <w:ind w:firstLine="480" w:firstLineChars="200"/>
        <w:jc w:val="left"/>
        <w:outlineLvl w:val="1"/>
        <w:rPr>
          <w:rFonts w:hint="eastAsia" w:ascii="宋体" w:hAnsi="宋体" w:cs="宋体"/>
          <w:bCs/>
          <w:sz w:val="24"/>
          <w:szCs w:val="24"/>
          <w:lang w:val="en-US" w:eastAsia="zh-CN"/>
        </w:rPr>
      </w:pPr>
      <w:r>
        <w:rPr>
          <w:rFonts w:hint="eastAsia" w:ascii="宋体" w:hAnsi="宋体" w:cs="宋体"/>
          <w:bCs/>
          <w:sz w:val="24"/>
          <w:szCs w:val="24"/>
          <w:lang w:val="en-US" w:eastAsia="zh-CN"/>
        </w:rPr>
        <w:t>4、根据现场实际情况，经与建设单位协商，空调移机、校园文化墙、门窗及监控保护费用按10000元/项计算，一次性包干使用；</w:t>
      </w:r>
    </w:p>
    <w:p w14:paraId="25944B19">
      <w:pPr>
        <w:snapToGrid w:val="0"/>
        <w:spacing w:line="360" w:lineRule="auto"/>
        <w:ind w:firstLine="480" w:firstLineChars="200"/>
        <w:jc w:val="left"/>
        <w:outlineLvl w:val="1"/>
        <w:rPr>
          <w:rFonts w:hint="eastAsia" w:ascii="宋体" w:hAnsi="宋体" w:cs="宋体"/>
          <w:bCs/>
          <w:sz w:val="24"/>
          <w:szCs w:val="24"/>
          <w:lang w:val="en-US" w:eastAsia="zh-CN"/>
        </w:rPr>
      </w:pPr>
      <w:r>
        <w:rPr>
          <w:rFonts w:hint="eastAsia" w:ascii="宋体" w:hAnsi="宋体" w:cs="宋体"/>
          <w:bCs/>
          <w:sz w:val="24"/>
          <w:szCs w:val="24"/>
          <w:lang w:val="en-US" w:eastAsia="zh-CN"/>
        </w:rPr>
        <w:t>5、根据建设单位要求，食宿楼内天井不在此次改造范围内；</w:t>
      </w:r>
    </w:p>
    <w:p w14:paraId="47819073">
      <w:pPr>
        <w:snapToGrid w:val="0"/>
        <w:spacing w:line="360" w:lineRule="auto"/>
        <w:ind w:firstLine="480" w:firstLineChars="200"/>
        <w:jc w:val="left"/>
        <w:outlineLvl w:val="1"/>
        <w:rPr>
          <w:rFonts w:hint="eastAsia" w:ascii="宋体" w:hAnsi="宋体" w:cs="宋体"/>
          <w:bCs/>
          <w:sz w:val="24"/>
          <w:szCs w:val="24"/>
          <w:lang w:val="en-US" w:eastAsia="zh-CN"/>
        </w:rPr>
      </w:pPr>
      <w:r>
        <w:rPr>
          <w:rFonts w:hint="eastAsia" w:ascii="宋体" w:hAnsi="宋体" w:cs="宋体"/>
          <w:bCs/>
          <w:sz w:val="24"/>
          <w:szCs w:val="24"/>
          <w:lang w:val="en-US" w:eastAsia="zh-CN"/>
        </w:rPr>
        <w:t>6、根据建设单位要求，本工程模板支撑架和脚手架按普通钢管计算；</w:t>
      </w:r>
    </w:p>
    <w:p w14:paraId="140B6177">
      <w:pPr>
        <w:snapToGrid w:val="0"/>
        <w:spacing w:line="360" w:lineRule="auto"/>
        <w:ind w:firstLine="480" w:firstLineChars="200"/>
        <w:jc w:val="left"/>
        <w:outlineLvl w:val="1"/>
        <w:rPr>
          <w:rFonts w:hint="eastAsia" w:ascii="宋体" w:hAnsi="宋体" w:cs="宋体"/>
          <w:bCs/>
          <w:sz w:val="24"/>
          <w:szCs w:val="24"/>
          <w:lang w:val="en-US" w:eastAsia="zh-CN"/>
        </w:rPr>
      </w:pPr>
      <w:r>
        <w:rPr>
          <w:rFonts w:hint="eastAsia" w:ascii="宋体" w:hAnsi="宋体" w:cs="宋体"/>
          <w:bCs/>
          <w:sz w:val="24"/>
          <w:szCs w:val="24"/>
          <w:lang w:val="en-US" w:eastAsia="zh-CN"/>
        </w:rPr>
        <w:t>7、根据建设单位要求，本工程不可预见费按30000元/项计入预算。</w:t>
      </w:r>
    </w:p>
    <w:p w14:paraId="417E84A6">
      <w:pPr>
        <w:snapToGrid w:val="0"/>
        <w:spacing w:line="360" w:lineRule="auto"/>
        <w:ind w:firstLine="480" w:firstLineChars="200"/>
        <w:jc w:val="left"/>
        <w:outlineLvl w:val="1"/>
        <w:rPr>
          <w:rFonts w:hint="eastAsia" w:ascii="宋体" w:hAnsi="宋体" w:cs="宋体"/>
          <w:bCs/>
          <w:sz w:val="24"/>
          <w:szCs w:val="24"/>
        </w:rPr>
      </w:pPr>
      <w:r>
        <w:rPr>
          <w:rFonts w:hint="eastAsia" w:ascii="宋体" w:hAnsi="宋体" w:cs="宋体"/>
          <w:bCs/>
          <w:sz w:val="24"/>
          <w:szCs w:val="24"/>
          <w:lang w:val="en-US" w:eastAsia="zh-CN"/>
        </w:rPr>
        <w:t>8</w:t>
      </w:r>
      <w:r>
        <w:rPr>
          <w:rFonts w:hint="eastAsia" w:ascii="宋体" w:hAnsi="宋体" w:cs="宋体"/>
          <w:bCs/>
          <w:sz w:val="24"/>
          <w:szCs w:val="24"/>
        </w:rPr>
        <w:t>、详见</w:t>
      </w:r>
      <w:r>
        <w:rPr>
          <w:rFonts w:hint="eastAsia" w:ascii="宋体" w:hAnsi="宋体" w:cs="宋体"/>
          <w:bCs/>
          <w:sz w:val="24"/>
          <w:szCs w:val="24"/>
          <w:lang w:val="en-US" w:eastAsia="zh-CN"/>
        </w:rPr>
        <w:t>附件</w:t>
      </w:r>
      <w:r>
        <w:rPr>
          <w:rFonts w:hint="eastAsia" w:ascii="宋体" w:hAnsi="宋体" w:cs="宋体"/>
          <w:bCs/>
          <w:sz w:val="24"/>
          <w:szCs w:val="24"/>
        </w:rPr>
        <w:t>图纸、预算书</w:t>
      </w:r>
    </w:p>
    <w:p w14:paraId="31B778BC">
      <w:pPr>
        <w:snapToGrid w:val="0"/>
        <w:spacing w:line="360" w:lineRule="auto"/>
        <w:ind w:firstLine="482" w:firstLineChars="200"/>
        <w:jc w:val="left"/>
        <w:outlineLvl w:val="1"/>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五、工程量清单</w:t>
      </w:r>
    </w:p>
    <w:p w14:paraId="3032B97A">
      <w:pPr>
        <w:snapToGrid w:val="0"/>
        <w:spacing w:line="360" w:lineRule="auto"/>
        <w:ind w:firstLine="480" w:firstLineChars="200"/>
        <w:jc w:val="left"/>
        <w:outlineLvl w:val="1"/>
        <w:rPr>
          <w:rFonts w:hint="default" w:ascii="宋体" w:hAnsi="宋体" w:cs="宋体"/>
          <w:bCs/>
          <w:sz w:val="24"/>
          <w:szCs w:val="24"/>
          <w:lang w:val="en-US" w:eastAsia="zh-CN"/>
        </w:rPr>
      </w:pPr>
      <w:r>
        <w:rPr>
          <w:rFonts w:hint="eastAsia" w:ascii="宋体" w:hAnsi="宋体" w:cs="宋体"/>
          <w:bCs/>
          <w:sz w:val="24"/>
          <w:szCs w:val="24"/>
          <w:lang w:val="en-US" w:eastAsia="zh-CN"/>
        </w:rPr>
        <w:t>详见附件工程量清单</w:t>
      </w:r>
    </w:p>
    <w:p w14:paraId="7B440C32">
      <w:pPr>
        <w:snapToGrid w:val="0"/>
        <w:spacing w:line="360" w:lineRule="auto"/>
        <w:ind w:firstLine="472"/>
        <w:rPr>
          <w:rFonts w:ascii="宋体" w:hAnsi="宋体" w:cs="仿宋_GB2312"/>
          <w:b/>
          <w:bCs/>
          <w:sz w:val="24"/>
        </w:rPr>
      </w:pPr>
      <w:r>
        <w:rPr>
          <w:rFonts w:hint="eastAsia" w:ascii="宋体" w:hAnsi="宋体" w:cs="仿宋_GB2312"/>
          <w:b/>
          <w:bCs/>
          <w:sz w:val="24"/>
        </w:rPr>
        <w:t>六、商务要求</w:t>
      </w:r>
    </w:p>
    <w:tbl>
      <w:tblPr>
        <w:tblStyle w:val="62"/>
        <w:tblW w:w="0" w:type="auto"/>
        <w:tblInd w:w="0" w:type="dxa"/>
        <w:tblLayout w:type="fixed"/>
        <w:tblCellMar>
          <w:top w:w="0" w:type="dxa"/>
          <w:left w:w="108" w:type="dxa"/>
          <w:bottom w:w="0" w:type="dxa"/>
          <w:right w:w="108" w:type="dxa"/>
        </w:tblCellMar>
      </w:tblPr>
      <w:tblGrid>
        <w:gridCol w:w="1936"/>
        <w:gridCol w:w="7186"/>
      </w:tblGrid>
      <w:tr w14:paraId="4B503B81">
        <w:tblPrEx>
          <w:tblCellMar>
            <w:top w:w="0" w:type="dxa"/>
            <w:left w:w="108" w:type="dxa"/>
            <w:bottom w:w="0" w:type="dxa"/>
            <w:right w:w="108" w:type="dxa"/>
          </w:tblCellMar>
        </w:tblPrEx>
        <w:trPr>
          <w:trHeight w:val="511"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09CDC735">
            <w:pPr>
              <w:tabs>
                <w:tab w:val="left" w:pos="0"/>
              </w:tabs>
              <w:snapToGrid w:val="0"/>
              <w:ind w:firstLine="472"/>
              <w:jc w:val="center"/>
              <w:rPr>
                <w:rFonts w:ascii="宋体" w:hAnsi="宋体" w:cs="宋体"/>
                <w:b/>
                <w:bCs/>
                <w:kern w:val="0"/>
                <w:szCs w:val="21"/>
              </w:rPr>
            </w:pPr>
            <w:r>
              <w:rPr>
                <w:rFonts w:hint="eastAsia" w:ascii="宋体" w:hAnsi="宋体" w:cs="宋体"/>
                <w:b/>
                <w:bCs/>
                <w:kern w:val="0"/>
                <w:szCs w:val="21"/>
              </w:rPr>
              <w:t>项目</w:t>
            </w:r>
          </w:p>
        </w:tc>
        <w:tc>
          <w:tcPr>
            <w:tcW w:w="7186" w:type="dxa"/>
            <w:tcBorders>
              <w:top w:val="single" w:color="000000" w:sz="4" w:space="0"/>
              <w:left w:val="single" w:color="000000" w:sz="4" w:space="0"/>
              <w:bottom w:val="single" w:color="000000" w:sz="4" w:space="0"/>
              <w:right w:val="single" w:color="000000" w:sz="4" w:space="0"/>
            </w:tcBorders>
            <w:vAlign w:val="center"/>
          </w:tcPr>
          <w:p w14:paraId="62E7AF0B">
            <w:pPr>
              <w:tabs>
                <w:tab w:val="left" w:pos="0"/>
              </w:tabs>
              <w:snapToGrid w:val="0"/>
              <w:ind w:firstLine="472"/>
              <w:jc w:val="center"/>
              <w:rPr>
                <w:rFonts w:ascii="宋体" w:hAnsi="宋体" w:cs="宋体"/>
                <w:b/>
                <w:bCs/>
                <w:kern w:val="0"/>
                <w:szCs w:val="21"/>
              </w:rPr>
            </w:pPr>
            <w:r>
              <w:rPr>
                <w:rFonts w:hint="eastAsia" w:ascii="宋体" w:hAnsi="宋体" w:cs="宋体"/>
                <w:b/>
                <w:bCs/>
                <w:kern w:val="0"/>
                <w:szCs w:val="21"/>
              </w:rPr>
              <w:t>要 求</w:t>
            </w:r>
          </w:p>
        </w:tc>
      </w:tr>
      <w:tr w14:paraId="6926A3F6">
        <w:tblPrEx>
          <w:tblCellMar>
            <w:top w:w="0" w:type="dxa"/>
            <w:left w:w="108" w:type="dxa"/>
            <w:bottom w:w="0" w:type="dxa"/>
            <w:right w:w="108" w:type="dxa"/>
          </w:tblCellMar>
        </w:tblPrEx>
        <w:trPr>
          <w:trHeight w:val="452"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3A5D789A">
            <w:pPr>
              <w:tabs>
                <w:tab w:val="left" w:pos="0"/>
              </w:tabs>
              <w:snapToGrid w:val="0"/>
              <w:jc w:val="left"/>
              <w:rPr>
                <w:rFonts w:ascii="宋体" w:hAnsi="宋体" w:cs="宋体"/>
                <w:kern w:val="0"/>
                <w:szCs w:val="21"/>
              </w:rPr>
            </w:pPr>
            <w:r>
              <w:rPr>
                <w:rFonts w:hint="eastAsia" w:ascii="宋体" w:hAnsi="宋体" w:cs="宋体"/>
                <w:szCs w:val="21"/>
              </w:rPr>
              <w:t>▲</w:t>
            </w:r>
            <w:r>
              <w:rPr>
                <w:rFonts w:hint="eastAsia" w:ascii="宋体" w:hAnsi="宋体" w:cs="宋体"/>
                <w:kern w:val="0"/>
                <w:szCs w:val="21"/>
              </w:rPr>
              <w:t>质量要求</w:t>
            </w:r>
          </w:p>
        </w:tc>
        <w:tc>
          <w:tcPr>
            <w:tcW w:w="7186" w:type="dxa"/>
            <w:tcBorders>
              <w:top w:val="single" w:color="000000" w:sz="4" w:space="0"/>
              <w:left w:val="single" w:color="000000" w:sz="4" w:space="0"/>
              <w:bottom w:val="single" w:color="000000" w:sz="4" w:space="0"/>
              <w:right w:val="single" w:color="000000" w:sz="4" w:space="0"/>
            </w:tcBorders>
            <w:vAlign w:val="center"/>
          </w:tcPr>
          <w:p w14:paraId="3B91C3DF">
            <w:pPr>
              <w:tabs>
                <w:tab w:val="left" w:pos="0"/>
              </w:tabs>
              <w:snapToGrid w:val="0"/>
              <w:jc w:val="left"/>
              <w:rPr>
                <w:rFonts w:ascii="宋体" w:hAnsi="宋体" w:cs="宋体"/>
                <w:kern w:val="0"/>
                <w:szCs w:val="21"/>
              </w:rPr>
            </w:pPr>
            <w:r>
              <w:rPr>
                <w:rFonts w:hint="eastAsia" w:ascii="宋体" w:hAnsi="宋体" w:cs="宋体"/>
                <w:kern w:val="0"/>
                <w:szCs w:val="21"/>
              </w:rPr>
              <w:t>达到国家和行业施工验收规范一次性验收合格</w:t>
            </w:r>
          </w:p>
        </w:tc>
      </w:tr>
      <w:tr w14:paraId="78F729A8">
        <w:tblPrEx>
          <w:tblCellMar>
            <w:top w:w="0" w:type="dxa"/>
            <w:left w:w="108" w:type="dxa"/>
            <w:bottom w:w="0" w:type="dxa"/>
            <w:right w:w="108" w:type="dxa"/>
          </w:tblCellMar>
        </w:tblPrEx>
        <w:trPr>
          <w:trHeight w:val="467"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4267B2A3">
            <w:pPr>
              <w:tabs>
                <w:tab w:val="left" w:pos="0"/>
              </w:tabs>
              <w:snapToGrid w:val="0"/>
              <w:jc w:val="left"/>
              <w:rPr>
                <w:rFonts w:ascii="宋体" w:hAnsi="宋体" w:cs="宋体"/>
                <w:kern w:val="0"/>
                <w:szCs w:val="21"/>
              </w:rPr>
            </w:pPr>
            <w:r>
              <w:rPr>
                <w:rFonts w:hint="eastAsia" w:ascii="宋体" w:hAnsi="宋体" w:cs="宋体"/>
                <w:szCs w:val="21"/>
              </w:rPr>
              <w:t>▲</w:t>
            </w:r>
            <w:r>
              <w:rPr>
                <w:rFonts w:hint="eastAsia" w:ascii="宋体" w:hAnsi="宋体" w:cs="宋体"/>
                <w:kern w:val="0"/>
                <w:szCs w:val="21"/>
              </w:rPr>
              <w:t>安全要求</w:t>
            </w:r>
          </w:p>
        </w:tc>
        <w:tc>
          <w:tcPr>
            <w:tcW w:w="7186" w:type="dxa"/>
            <w:tcBorders>
              <w:top w:val="single" w:color="000000" w:sz="4" w:space="0"/>
              <w:left w:val="single" w:color="000000" w:sz="4" w:space="0"/>
              <w:bottom w:val="single" w:color="000000" w:sz="4" w:space="0"/>
              <w:right w:val="single" w:color="000000" w:sz="4" w:space="0"/>
            </w:tcBorders>
            <w:vAlign w:val="center"/>
          </w:tcPr>
          <w:p w14:paraId="554E4D22">
            <w:pPr>
              <w:tabs>
                <w:tab w:val="left" w:pos="0"/>
              </w:tabs>
              <w:snapToGrid w:val="0"/>
              <w:jc w:val="left"/>
              <w:rPr>
                <w:rFonts w:ascii="宋体" w:hAnsi="宋体" w:cs="宋体"/>
                <w:kern w:val="0"/>
                <w:szCs w:val="21"/>
              </w:rPr>
            </w:pPr>
            <w:r>
              <w:rPr>
                <w:rFonts w:hint="eastAsia" w:ascii="宋体" w:hAnsi="宋体" w:cs="宋体"/>
                <w:kern w:val="0"/>
                <w:szCs w:val="21"/>
              </w:rPr>
              <w:t>合格</w:t>
            </w:r>
          </w:p>
        </w:tc>
      </w:tr>
      <w:tr w14:paraId="599D4A88">
        <w:tblPrEx>
          <w:tblCellMar>
            <w:top w:w="0" w:type="dxa"/>
            <w:left w:w="108" w:type="dxa"/>
            <w:bottom w:w="0" w:type="dxa"/>
            <w:right w:w="108" w:type="dxa"/>
          </w:tblCellMar>
        </w:tblPrEx>
        <w:trPr>
          <w:trHeight w:val="564"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3C449330">
            <w:pPr>
              <w:tabs>
                <w:tab w:val="left" w:pos="0"/>
              </w:tabs>
              <w:snapToGrid w:val="0"/>
              <w:jc w:val="left"/>
              <w:rPr>
                <w:rFonts w:ascii="宋体" w:hAnsi="宋体" w:cs="宋体"/>
                <w:kern w:val="0"/>
                <w:szCs w:val="21"/>
              </w:rPr>
            </w:pPr>
            <w:r>
              <w:rPr>
                <w:rFonts w:hint="eastAsia" w:ascii="宋体" w:hAnsi="宋体" w:cs="宋体"/>
                <w:szCs w:val="21"/>
              </w:rPr>
              <w:t>▲</w:t>
            </w:r>
            <w:r>
              <w:rPr>
                <w:rFonts w:hint="eastAsia" w:ascii="宋体" w:hAnsi="宋体" w:eastAsia="宋体" w:cs="宋体"/>
                <w:color w:val="000000"/>
                <w:kern w:val="2"/>
                <w:sz w:val="21"/>
                <w:szCs w:val="21"/>
                <w:highlight w:val="none"/>
                <w:lang w:val="en-US" w:eastAsia="zh-CN" w:bidi="ar-SA"/>
              </w:rPr>
              <w:t>合同履约期限（工期）</w:t>
            </w:r>
          </w:p>
        </w:tc>
        <w:tc>
          <w:tcPr>
            <w:tcW w:w="7186" w:type="dxa"/>
            <w:tcBorders>
              <w:top w:val="single" w:color="000000" w:sz="4" w:space="0"/>
              <w:left w:val="single" w:color="000000" w:sz="4" w:space="0"/>
              <w:bottom w:val="single" w:color="000000" w:sz="4" w:space="0"/>
              <w:right w:val="single" w:color="000000" w:sz="4" w:space="0"/>
            </w:tcBorders>
            <w:vAlign w:val="center"/>
          </w:tcPr>
          <w:p w14:paraId="7D8CCA05">
            <w:pPr>
              <w:tabs>
                <w:tab w:val="left" w:pos="0"/>
              </w:tabs>
              <w:snapToGrid w:val="0"/>
              <w:jc w:val="left"/>
              <w:rPr>
                <w:rFonts w:ascii="宋体" w:hAnsi="宋体" w:cs="宋体"/>
                <w:color w:val="FF0000"/>
                <w:kern w:val="0"/>
                <w:szCs w:val="21"/>
              </w:rPr>
            </w:pPr>
            <w:r>
              <w:rPr>
                <w:rFonts w:hint="eastAsia" w:ascii="宋体" w:hAnsi="宋体" w:eastAsia="宋体" w:cs="宋体"/>
                <w:color w:val="000000"/>
                <w:kern w:val="2"/>
                <w:sz w:val="21"/>
                <w:szCs w:val="21"/>
                <w:highlight w:val="none"/>
                <w:lang w:val="en-US" w:eastAsia="zh-CN" w:bidi="ar-SA"/>
              </w:rPr>
              <w:t>自开工令发出之日起</w:t>
            </w:r>
            <w:r>
              <w:rPr>
                <w:rFonts w:hint="eastAsia" w:hAnsi="宋体" w:cs="宋体"/>
                <w:color w:val="000000"/>
                <w:kern w:val="2"/>
                <w:sz w:val="21"/>
                <w:szCs w:val="21"/>
                <w:highlight w:val="none"/>
                <w:lang w:val="en-US" w:eastAsia="zh-CN" w:bidi="ar-SA"/>
              </w:rPr>
              <w:t>60</w:t>
            </w:r>
            <w:r>
              <w:rPr>
                <w:rFonts w:hint="eastAsia" w:ascii="宋体" w:hAnsi="宋体" w:eastAsia="宋体" w:cs="宋体"/>
                <w:color w:val="000000"/>
                <w:kern w:val="2"/>
                <w:sz w:val="21"/>
                <w:szCs w:val="21"/>
                <w:highlight w:val="none"/>
                <w:lang w:val="en-US" w:eastAsia="zh-CN" w:bidi="ar-SA"/>
              </w:rPr>
              <w:t>日历天内完成</w:t>
            </w:r>
          </w:p>
        </w:tc>
      </w:tr>
      <w:tr w14:paraId="5BDAABAF">
        <w:tblPrEx>
          <w:tblCellMar>
            <w:top w:w="0" w:type="dxa"/>
            <w:left w:w="108" w:type="dxa"/>
            <w:bottom w:w="0" w:type="dxa"/>
            <w:right w:w="108" w:type="dxa"/>
          </w:tblCellMar>
        </w:tblPrEx>
        <w:trPr>
          <w:trHeight w:val="457"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069C4C70">
            <w:pPr>
              <w:tabs>
                <w:tab w:val="left" w:pos="0"/>
              </w:tabs>
              <w:snapToGrid w:val="0"/>
              <w:jc w:val="left"/>
              <w:rPr>
                <w:rFonts w:ascii="宋体" w:hAnsi="宋体" w:cs="宋体"/>
                <w:kern w:val="0"/>
                <w:szCs w:val="21"/>
              </w:rPr>
            </w:pPr>
            <w:r>
              <w:rPr>
                <w:rFonts w:hint="eastAsia" w:ascii="宋体" w:hAnsi="宋体" w:cs="宋体"/>
                <w:szCs w:val="21"/>
              </w:rPr>
              <w:t>▲</w:t>
            </w:r>
            <w:r>
              <w:rPr>
                <w:rFonts w:hint="eastAsia" w:ascii="宋体" w:hAnsi="宋体" w:cs="宋体"/>
                <w:kern w:val="0"/>
                <w:szCs w:val="21"/>
              </w:rPr>
              <w:t>合同条款</w:t>
            </w:r>
          </w:p>
        </w:tc>
        <w:tc>
          <w:tcPr>
            <w:tcW w:w="7186" w:type="dxa"/>
            <w:tcBorders>
              <w:top w:val="single" w:color="000000" w:sz="4" w:space="0"/>
              <w:left w:val="single" w:color="000000" w:sz="4" w:space="0"/>
              <w:bottom w:val="single" w:color="000000" w:sz="4" w:space="0"/>
              <w:right w:val="single" w:color="000000" w:sz="4" w:space="0"/>
            </w:tcBorders>
            <w:vAlign w:val="center"/>
          </w:tcPr>
          <w:p w14:paraId="303D4D6A">
            <w:pPr>
              <w:tabs>
                <w:tab w:val="left" w:pos="0"/>
              </w:tabs>
              <w:snapToGrid w:val="0"/>
              <w:jc w:val="left"/>
              <w:rPr>
                <w:rFonts w:ascii="宋体" w:hAnsi="宋体" w:cs="宋体"/>
                <w:kern w:val="0"/>
                <w:szCs w:val="21"/>
              </w:rPr>
            </w:pPr>
            <w:r>
              <w:rPr>
                <w:rFonts w:hint="eastAsia" w:ascii="宋体" w:hAnsi="宋体" w:cs="宋体"/>
                <w:kern w:val="0"/>
                <w:szCs w:val="21"/>
              </w:rPr>
              <w:t>按《第五部分拟签订的合同文本》执行</w:t>
            </w:r>
          </w:p>
        </w:tc>
      </w:tr>
      <w:tr w14:paraId="4055975A">
        <w:tblPrEx>
          <w:tblCellMar>
            <w:top w:w="0" w:type="dxa"/>
            <w:left w:w="108" w:type="dxa"/>
            <w:bottom w:w="0" w:type="dxa"/>
            <w:right w:w="108" w:type="dxa"/>
          </w:tblCellMar>
        </w:tblPrEx>
        <w:trPr>
          <w:trHeight w:val="1732"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733B57EA">
            <w:pPr>
              <w:tabs>
                <w:tab w:val="left" w:pos="0"/>
              </w:tabs>
              <w:snapToGrid w:val="0"/>
              <w:rPr>
                <w:rFonts w:ascii="宋体" w:hAnsi="宋体" w:cs="宋体"/>
                <w:kern w:val="0"/>
                <w:szCs w:val="21"/>
              </w:rPr>
            </w:pPr>
            <w:r>
              <w:rPr>
                <w:rFonts w:hint="eastAsia" w:ascii="宋体" w:hAnsi="宋体" w:cs="宋体"/>
                <w:szCs w:val="21"/>
              </w:rPr>
              <w:t>▲</w:t>
            </w:r>
            <w:r>
              <w:rPr>
                <w:rFonts w:hint="eastAsia" w:ascii="宋体" w:hAnsi="宋体" w:cs="宋体"/>
                <w:kern w:val="0"/>
                <w:szCs w:val="21"/>
              </w:rPr>
              <w:t>付款方式</w:t>
            </w:r>
          </w:p>
        </w:tc>
        <w:tc>
          <w:tcPr>
            <w:tcW w:w="7186" w:type="dxa"/>
            <w:tcBorders>
              <w:top w:val="single" w:color="000000" w:sz="4" w:space="0"/>
              <w:left w:val="single" w:color="000000" w:sz="4" w:space="0"/>
              <w:bottom w:val="single" w:color="000000" w:sz="4" w:space="0"/>
              <w:right w:val="single" w:color="000000" w:sz="4" w:space="0"/>
            </w:tcBorders>
            <w:vAlign w:val="center"/>
          </w:tcPr>
          <w:p w14:paraId="2AE8DDC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1、合同生效及具备实施条件后7个工作日内，采购人支付合同总价的40%；</w:t>
            </w:r>
          </w:p>
          <w:p w14:paraId="0E4F54D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2、工程验收合格后7个工作日内，采购人支付至合同总价的</w:t>
            </w:r>
            <w:r>
              <w:rPr>
                <w:rFonts w:hint="eastAsia" w:ascii="宋体" w:hAnsi="宋体" w:cs="宋体"/>
                <w:color w:val="000000" w:themeColor="text1"/>
                <w:kern w:val="0"/>
                <w:szCs w:val="21"/>
                <w:lang w:val="en-US" w:eastAsia="zh-CN"/>
                <w14:textFill>
                  <w14:solidFill>
                    <w14:schemeClr w14:val="tx1"/>
                  </w14:solidFill>
                </w14:textFill>
              </w:rPr>
              <w:t>80</w:t>
            </w:r>
            <w:r>
              <w:rPr>
                <w:rFonts w:hint="eastAsia" w:ascii="宋体" w:hAnsi="宋体" w:cs="宋体"/>
                <w:color w:val="000000" w:themeColor="text1"/>
                <w:kern w:val="0"/>
                <w:szCs w:val="21"/>
                <w14:textFill>
                  <w14:solidFill>
                    <w14:schemeClr w14:val="tx1"/>
                  </w14:solidFill>
                </w14:textFill>
              </w:rPr>
              <w:t>%；</w:t>
            </w:r>
          </w:p>
          <w:p w14:paraId="178D4F4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3、工程竣工验收（终验）合格后，根据相关部门核准的决算价，付清尾款。</w:t>
            </w:r>
          </w:p>
          <w:p w14:paraId="1ACE92C5">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ascii="宋体" w:hAnsi="宋体" w:cs="宋体"/>
                <w:kern w:val="0"/>
                <w:szCs w:val="21"/>
              </w:rPr>
            </w:pPr>
            <w:r>
              <w:rPr>
                <w:rFonts w:hint="eastAsia" w:ascii="宋体" w:hAnsi="宋体" w:cs="宋体"/>
                <w:color w:val="000000" w:themeColor="text1"/>
                <w:kern w:val="0"/>
                <w:szCs w:val="21"/>
                <w14:textFill>
                  <w14:solidFill>
                    <w14:schemeClr w14:val="tx1"/>
                  </w14:solidFill>
                </w14:textFill>
              </w:rPr>
              <w:t>注：具体条款以双方签订的合同约定为准。每次付款前，供应商提供正规的发票。供应商如有更优惠的付款方式欢迎提供。</w:t>
            </w:r>
          </w:p>
        </w:tc>
      </w:tr>
      <w:tr w14:paraId="7D0CD9B1">
        <w:tblPrEx>
          <w:tblCellMar>
            <w:top w:w="0" w:type="dxa"/>
            <w:left w:w="108" w:type="dxa"/>
            <w:bottom w:w="0" w:type="dxa"/>
            <w:right w:w="108" w:type="dxa"/>
          </w:tblCellMar>
        </w:tblPrEx>
        <w:trPr>
          <w:trHeight w:val="537" w:hRule="atLeast"/>
        </w:trPr>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1ED7">
            <w:pPr>
              <w:autoSpaceDE w:val="0"/>
              <w:autoSpaceDN w:val="0"/>
              <w:adjustRightInd w:val="0"/>
              <w:spacing w:line="400" w:lineRule="exact"/>
              <w:jc w:val="both"/>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kern w:val="2"/>
                <w:sz w:val="22"/>
                <w:szCs w:val="22"/>
                <w:highlight w:val="none"/>
                <w:lang w:val="en-US" w:eastAsia="zh-CN" w:bidi="ar-SA"/>
              </w:rPr>
              <w:t>质保期</w:t>
            </w:r>
          </w:p>
        </w:tc>
        <w:tc>
          <w:tcPr>
            <w:tcW w:w="7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E17F">
            <w:pPr>
              <w:widowControl/>
              <w:spacing w:line="360" w:lineRule="exact"/>
              <w:rPr>
                <w:rFonts w:hint="eastAsia" w:ascii="宋体" w:hAnsi="宋体" w:eastAsia="宋体" w:cs="宋体"/>
                <w:color w:val="000000"/>
                <w:kern w:val="2"/>
                <w:sz w:val="22"/>
                <w:szCs w:val="22"/>
                <w:highlight w:val="none"/>
                <w:lang w:val="zh-CN" w:eastAsia="zh-CN" w:bidi="ar-SA"/>
              </w:rPr>
            </w:pPr>
            <w:r>
              <w:rPr>
                <w:rFonts w:hint="eastAsia" w:ascii="宋体" w:hAnsi="宋体" w:eastAsia="宋体" w:cs="宋体"/>
                <w:color w:val="000000"/>
                <w:kern w:val="2"/>
                <w:sz w:val="22"/>
                <w:szCs w:val="22"/>
                <w:highlight w:val="none"/>
                <w:lang w:val="en-US" w:eastAsia="zh-CN" w:bidi="ar-SA"/>
              </w:rPr>
              <w:t>详见合同条款。</w:t>
            </w:r>
          </w:p>
        </w:tc>
      </w:tr>
      <w:tr w14:paraId="0A8A0774">
        <w:tblPrEx>
          <w:tblCellMar>
            <w:top w:w="0" w:type="dxa"/>
            <w:left w:w="108" w:type="dxa"/>
            <w:bottom w:w="0" w:type="dxa"/>
            <w:right w:w="108" w:type="dxa"/>
          </w:tblCellMar>
        </w:tblPrEx>
        <w:trPr>
          <w:trHeight w:val="507"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0E3E3CDE">
            <w:pPr>
              <w:tabs>
                <w:tab w:val="left" w:pos="0"/>
              </w:tabs>
              <w:snapToGrid w:val="0"/>
              <w:rPr>
                <w:rFonts w:ascii="宋体" w:hAnsi="宋体" w:cs="宋体"/>
                <w:szCs w:val="21"/>
              </w:rPr>
            </w:pPr>
            <w:r>
              <w:rPr>
                <w:rFonts w:hint="eastAsia" w:ascii="宋体" w:hAnsi="宋体" w:cs="宋体"/>
                <w:szCs w:val="21"/>
              </w:rPr>
              <w:t>▲其他</w:t>
            </w:r>
          </w:p>
        </w:tc>
        <w:tc>
          <w:tcPr>
            <w:tcW w:w="7186" w:type="dxa"/>
            <w:tcBorders>
              <w:top w:val="single" w:color="000000" w:sz="4" w:space="0"/>
              <w:left w:val="single" w:color="000000" w:sz="4" w:space="0"/>
              <w:bottom w:val="single" w:color="000000" w:sz="4" w:space="0"/>
              <w:right w:val="single" w:color="000000" w:sz="4" w:space="0"/>
            </w:tcBorders>
            <w:vAlign w:val="center"/>
          </w:tcPr>
          <w:p w14:paraId="2A18FD3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ascii="宋体" w:hAnsi="宋体" w:cs="宋体"/>
                <w:kern w:val="0"/>
                <w:szCs w:val="21"/>
              </w:rPr>
            </w:pPr>
            <w:r>
              <w:rPr>
                <w:rFonts w:hint="eastAsia" w:ascii="宋体" w:hAnsi="宋体" w:cs="宋体"/>
                <w:kern w:val="0"/>
                <w:szCs w:val="21"/>
              </w:rPr>
              <w:t>1、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27A14C2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ascii="宋体" w:hAnsi="宋体" w:cs="宋体"/>
                <w:kern w:val="0"/>
                <w:szCs w:val="21"/>
              </w:rPr>
            </w:pPr>
            <w:r>
              <w:rPr>
                <w:rFonts w:hint="eastAsia" w:ascii="宋体" w:hAnsi="宋体" w:cs="宋体"/>
                <w:kern w:val="0"/>
                <w:szCs w:val="21"/>
              </w:rPr>
              <w:t>2、本工程为固定综合单价合同，工程量按实际工程量结算。</w:t>
            </w:r>
          </w:p>
          <w:p w14:paraId="675FCED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ascii="宋体" w:hAnsi="宋体" w:cs="宋体"/>
                <w:kern w:val="0"/>
                <w:szCs w:val="21"/>
              </w:rPr>
            </w:pPr>
            <w:r>
              <w:rPr>
                <w:rFonts w:hint="eastAsia" w:ascii="宋体" w:hAnsi="宋体" w:cs="宋体"/>
                <w:kern w:val="0"/>
                <w:szCs w:val="21"/>
              </w:rPr>
              <w:t>3、供应商不得擅自改动采购人提供的工程量清单内容（计量单位、工程数量等），磋商报价应以采购人提供的工程量清单为基础，结合施工图纸进行报价，竞争性磋商文件（或补充说明）或工程量清单编制说明中出现对施工图修改调整时，以竞争性磋商文件（或补充说明）或工程量清单编制说明的修改调整为准；若工程量清单中分部分项工程量清单项目与施工图纸相对应的项目就具体构造、作法、用材等出现矛盾时，磋商时以采购人提供的工程量清单为准，结算时按实际工程量调整。</w:t>
            </w:r>
          </w:p>
          <w:p w14:paraId="3E602FA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ascii="宋体" w:hAnsi="宋体" w:cs="宋体"/>
                <w:kern w:val="0"/>
                <w:szCs w:val="21"/>
              </w:rPr>
            </w:pPr>
            <w:r>
              <w:rPr>
                <w:rFonts w:hint="eastAsia" w:ascii="宋体" w:hAnsi="宋体" w:cs="宋体"/>
                <w:kern w:val="0"/>
                <w:szCs w:val="21"/>
              </w:rPr>
              <w:t>4、施工单位须落实安全生产措施，在施工中发生的一切生产安全事故及其它事故由施工单位负责，同采购人无涉。</w:t>
            </w:r>
          </w:p>
        </w:tc>
      </w:tr>
      <w:tr w14:paraId="0C0E323A">
        <w:tblPrEx>
          <w:tblCellMar>
            <w:top w:w="0" w:type="dxa"/>
            <w:left w:w="108" w:type="dxa"/>
            <w:bottom w:w="0" w:type="dxa"/>
            <w:right w:w="108" w:type="dxa"/>
          </w:tblCellMar>
        </w:tblPrEx>
        <w:trPr>
          <w:trHeight w:val="2014"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181D0732">
            <w:pPr>
              <w:tabs>
                <w:tab w:val="left" w:pos="0"/>
              </w:tabs>
              <w:snapToGrid w:val="0"/>
              <w:rPr>
                <w:rFonts w:ascii="宋体" w:hAnsi="宋体" w:cs="宋体"/>
                <w:szCs w:val="21"/>
              </w:rPr>
            </w:pPr>
            <w:r>
              <w:rPr>
                <w:rFonts w:hint="eastAsia" w:ascii="宋体" w:hAnsi="宋体" w:cs="宋体"/>
                <w:szCs w:val="21"/>
              </w:rPr>
              <w:t>▲报价方式</w:t>
            </w:r>
          </w:p>
        </w:tc>
        <w:tc>
          <w:tcPr>
            <w:tcW w:w="7186" w:type="dxa"/>
            <w:tcBorders>
              <w:top w:val="single" w:color="000000" w:sz="4" w:space="0"/>
              <w:left w:val="single" w:color="000000" w:sz="4" w:space="0"/>
              <w:bottom w:val="single" w:color="000000" w:sz="4" w:space="0"/>
              <w:right w:val="single" w:color="000000" w:sz="4" w:space="0"/>
            </w:tcBorders>
            <w:vAlign w:val="center"/>
          </w:tcPr>
          <w:p w14:paraId="1AAC6C84">
            <w:pPr>
              <w:keepNext w:val="0"/>
              <w:keepLines w:val="0"/>
              <w:pageBreakBefore w:val="0"/>
              <w:widowControl w:val="0"/>
              <w:numPr>
                <w:ilvl w:val="0"/>
                <w:numId w:val="5"/>
              </w:numPr>
              <w:kinsoku/>
              <w:wordWrap/>
              <w:overflowPunct/>
              <w:topLinePunct w:val="0"/>
              <w:autoSpaceDE/>
              <w:autoSpaceDN/>
              <w:bidi w:val="0"/>
              <w:adjustRightInd w:val="0"/>
              <w:spacing w:line="360" w:lineRule="auto"/>
              <w:jc w:val="left"/>
              <w:textAlignment w:val="auto"/>
              <w:rPr>
                <w:rFonts w:hint="eastAsia" w:ascii="宋体" w:hAnsi="宋体" w:cs="宋体"/>
                <w:kern w:val="0"/>
                <w:szCs w:val="21"/>
              </w:rPr>
            </w:pPr>
            <w:r>
              <w:rPr>
                <w:rFonts w:hint="eastAsia" w:ascii="宋体" w:hAnsi="宋体" w:cs="宋体"/>
                <w:kern w:val="0"/>
                <w:szCs w:val="21"/>
              </w:rPr>
              <w:t>按竞争性磋商文件“工程量清单”内容报价。投标人的投标报价不得高于最高限价。</w:t>
            </w:r>
          </w:p>
          <w:p w14:paraId="31CFD256">
            <w:pPr>
              <w:keepNext w:val="0"/>
              <w:keepLines w:val="0"/>
              <w:pageBreakBefore w:val="0"/>
              <w:widowControl w:val="0"/>
              <w:numPr>
                <w:ilvl w:val="0"/>
                <w:numId w:val="0"/>
              </w:numPr>
              <w:kinsoku/>
              <w:wordWrap/>
              <w:overflowPunct/>
              <w:topLinePunct w:val="0"/>
              <w:autoSpaceDE/>
              <w:autoSpaceDN/>
              <w:bidi w:val="0"/>
              <w:adjustRightInd w:val="0"/>
              <w:spacing w:line="360" w:lineRule="auto"/>
              <w:jc w:val="left"/>
              <w:textAlignment w:val="auto"/>
              <w:rPr>
                <w:rFonts w:hint="eastAsia" w:ascii="宋体" w:hAnsi="宋体" w:eastAsia="宋体" w:cs="宋体"/>
                <w:kern w:val="0"/>
                <w:szCs w:val="21"/>
                <w:lang w:val="en-US" w:eastAsia="zh-CN"/>
              </w:rPr>
            </w:pPr>
            <w:r>
              <w:rPr>
                <w:rFonts w:hint="eastAsia" w:ascii="宋体" w:hAnsi="宋体" w:cs="宋体"/>
                <w:kern w:val="0"/>
                <w:szCs w:val="21"/>
              </w:rPr>
              <w:t>2、最高限价</w:t>
            </w:r>
            <w:r>
              <w:rPr>
                <w:rFonts w:hint="eastAsia" w:ascii="宋体" w:hAnsi="宋体" w:cs="宋体"/>
                <w:kern w:val="0"/>
                <w:szCs w:val="21"/>
                <w:u w:val="single"/>
                <w:lang w:val="en-US" w:eastAsia="zh-CN"/>
              </w:rPr>
              <w:t xml:space="preserve"> 2181168 </w:t>
            </w:r>
            <w:r>
              <w:rPr>
                <w:rFonts w:hint="eastAsia" w:ascii="宋体" w:hAnsi="宋体" w:cs="宋体"/>
                <w:kern w:val="0"/>
                <w:szCs w:val="21"/>
              </w:rPr>
              <w:t>元，</w:t>
            </w:r>
            <w:r>
              <w:rPr>
                <w:rFonts w:hint="eastAsia" w:ascii="宋体" w:hAnsi="宋体" w:cs="宋体"/>
                <w:kern w:val="0"/>
                <w:szCs w:val="21"/>
                <w:lang w:val="en-US" w:eastAsia="zh-CN"/>
              </w:rPr>
              <w:t>其中暂列金及不可竞争</w:t>
            </w:r>
            <w:r>
              <w:rPr>
                <w:rFonts w:hint="eastAsia" w:ascii="宋体" w:hAnsi="宋体" w:cs="宋体"/>
                <w:kern w:val="0"/>
                <w:szCs w:val="21"/>
              </w:rPr>
              <w:t>性费用</w:t>
            </w:r>
            <w:r>
              <w:rPr>
                <w:rFonts w:hint="eastAsia" w:ascii="宋体" w:hAnsi="宋体" w:cs="宋体"/>
                <w:kern w:val="0"/>
                <w:szCs w:val="21"/>
                <w:u w:val="single"/>
                <w:lang w:val="en-US" w:eastAsia="zh-CN"/>
              </w:rPr>
              <w:t>35181</w:t>
            </w:r>
            <w:r>
              <w:rPr>
                <w:rFonts w:hint="eastAsia" w:ascii="宋体" w:hAnsi="宋体" w:cs="宋体"/>
                <w:kern w:val="0"/>
                <w:szCs w:val="21"/>
              </w:rPr>
              <w:t>元（含税）</w:t>
            </w:r>
            <w:r>
              <w:rPr>
                <w:rFonts w:hint="eastAsia" w:ascii="宋体" w:hAnsi="宋体" w:cs="宋体"/>
                <w:kern w:val="0"/>
                <w:szCs w:val="21"/>
                <w:lang w:val="en-US" w:eastAsia="zh-CN"/>
              </w:rPr>
              <w:t>不下浮。</w:t>
            </w:r>
          </w:p>
          <w:p w14:paraId="048ADD46">
            <w:pPr>
              <w:keepNext w:val="0"/>
              <w:keepLines w:val="0"/>
              <w:pageBreakBefore w:val="0"/>
              <w:widowControl w:val="0"/>
              <w:kinsoku/>
              <w:wordWrap/>
              <w:overflowPunct/>
              <w:topLinePunct w:val="0"/>
              <w:autoSpaceDE/>
              <w:autoSpaceDN/>
              <w:bidi w:val="0"/>
              <w:adjustRightInd w:val="0"/>
              <w:spacing w:line="360" w:lineRule="auto"/>
              <w:jc w:val="left"/>
              <w:textAlignment w:val="auto"/>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所有有效供应商应在规定时间内（第二次报价开启后的30分钟内）在线提交第二次报价（即最终报价），磋商小组以第二次报价（即最终报价）作为价格评议的标准。</w:t>
            </w:r>
          </w:p>
          <w:p w14:paraId="3A81C52D">
            <w:pPr>
              <w:keepNext w:val="0"/>
              <w:keepLines w:val="0"/>
              <w:pageBreakBefore w:val="0"/>
              <w:widowControl w:val="0"/>
              <w:kinsoku/>
              <w:wordWrap/>
              <w:overflowPunct/>
              <w:topLinePunct w:val="0"/>
              <w:autoSpaceDE/>
              <w:autoSpaceDN/>
              <w:bidi w:val="0"/>
              <w:adjustRightInd w:val="0"/>
              <w:spacing w:line="360" w:lineRule="auto"/>
              <w:jc w:val="left"/>
              <w:textAlignment w:val="auto"/>
              <w:rPr>
                <w:rFonts w:hint="eastAsia" w:ascii="宋体" w:hAnsi="宋体" w:cs="宋体"/>
                <w:kern w:val="0"/>
                <w:szCs w:val="21"/>
              </w:rPr>
            </w:pPr>
            <w:r>
              <w:rPr>
                <w:rFonts w:hint="eastAsia" w:ascii="宋体" w:hAnsi="宋体" w:cs="宋体"/>
                <w:b/>
                <w:bCs/>
                <w:kern w:val="0"/>
                <w:szCs w:val="21"/>
              </w:rPr>
              <w:t>注：投标人投标报价精确至元，保留至整数。</w:t>
            </w:r>
          </w:p>
        </w:tc>
      </w:tr>
      <w:tr w14:paraId="634683C4">
        <w:tblPrEx>
          <w:tblCellMar>
            <w:top w:w="0" w:type="dxa"/>
            <w:left w:w="108" w:type="dxa"/>
            <w:bottom w:w="0" w:type="dxa"/>
            <w:right w:w="108" w:type="dxa"/>
          </w:tblCellMar>
        </w:tblPrEx>
        <w:trPr>
          <w:trHeight w:val="90"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46D29047">
            <w:pPr>
              <w:tabs>
                <w:tab w:val="left" w:pos="0"/>
              </w:tabs>
              <w:snapToGrid w:val="0"/>
              <w:rPr>
                <w:rFonts w:ascii="宋体" w:hAnsi="宋体" w:cs="宋体"/>
                <w:szCs w:val="21"/>
              </w:rPr>
            </w:pPr>
            <w:r>
              <w:rPr>
                <w:rFonts w:hint="eastAsia" w:ascii="宋体" w:hAnsi="宋体" w:cs="宋体"/>
                <w:szCs w:val="21"/>
              </w:rPr>
              <w:t>▲合同履约保证金</w:t>
            </w:r>
          </w:p>
        </w:tc>
        <w:tc>
          <w:tcPr>
            <w:tcW w:w="7186" w:type="dxa"/>
            <w:tcBorders>
              <w:top w:val="single" w:color="000000" w:sz="4" w:space="0"/>
              <w:left w:val="single" w:color="000000" w:sz="4" w:space="0"/>
              <w:bottom w:val="single" w:color="000000" w:sz="4" w:space="0"/>
              <w:right w:val="single" w:color="000000" w:sz="4" w:space="0"/>
            </w:tcBorders>
            <w:vAlign w:val="center"/>
          </w:tcPr>
          <w:p w14:paraId="50DCAC99">
            <w:pPr>
              <w:keepNext w:val="0"/>
              <w:keepLines w:val="0"/>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履约担保金额为签约合同价的</w:t>
            </w:r>
            <w:r>
              <w:rPr>
                <w:rFonts w:hint="eastAsia" w:ascii="宋体" w:hAnsi="宋体" w:cs="宋体"/>
                <w:szCs w:val="21"/>
                <w:u w:val="single"/>
              </w:rPr>
              <w:t xml:space="preserve">  1   </w:t>
            </w:r>
            <w:r>
              <w:rPr>
                <w:rFonts w:hint="eastAsia" w:ascii="宋体" w:hAnsi="宋体" w:cs="宋体"/>
                <w:szCs w:val="21"/>
              </w:rPr>
              <w:t>% ，在签订合同之前支付。</w:t>
            </w:r>
          </w:p>
          <w:p w14:paraId="293B6E65">
            <w:pPr>
              <w:pStyle w:val="970"/>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eastAsia="宋体"/>
                <w:lang w:eastAsia="zh-CN"/>
              </w:rPr>
            </w:pPr>
            <w:r>
              <w:rPr>
                <w:rFonts w:hint="eastAsia"/>
                <w:lang w:val="en-US" w:eastAsia="zh-CN"/>
              </w:rPr>
              <w:t>2、</w:t>
            </w:r>
            <w:r>
              <w:rPr>
                <w:rFonts w:hint="eastAsia"/>
              </w:rPr>
              <w:t>履约保证金形式：银行保函或银行汇票或支票或保险保单方式</w:t>
            </w:r>
            <w:r>
              <w:rPr>
                <w:rFonts w:hint="eastAsia"/>
                <w:lang w:eastAsia="zh-CN"/>
              </w:rPr>
              <w:t>。</w:t>
            </w:r>
          </w:p>
          <w:p w14:paraId="43A75609">
            <w:pPr>
              <w:pStyle w:val="970"/>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rPr>
            </w:pPr>
            <w:r>
              <w:rPr>
                <w:rFonts w:hint="eastAsia"/>
                <w:lang w:val="en-US" w:eastAsia="zh-CN"/>
              </w:rPr>
              <w:t>3、</w:t>
            </w:r>
            <w:r>
              <w:rPr>
                <w:rFonts w:hint="eastAsia"/>
              </w:rPr>
              <w:t>履约保证金的退取：在成交人履行完采购合同约定义务事项后及时退还。（如成交人未能履行合同规定的任何义务，采购人有权从履约保证金中得到相应补偿）</w:t>
            </w:r>
          </w:p>
        </w:tc>
      </w:tr>
      <w:tr w14:paraId="4977EB8A">
        <w:tblPrEx>
          <w:tblCellMar>
            <w:top w:w="0" w:type="dxa"/>
            <w:left w:w="108" w:type="dxa"/>
            <w:bottom w:w="0" w:type="dxa"/>
            <w:right w:w="108" w:type="dxa"/>
          </w:tblCellMar>
        </w:tblPrEx>
        <w:trPr>
          <w:trHeight w:val="517"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68505440">
            <w:pPr>
              <w:tabs>
                <w:tab w:val="left" w:pos="0"/>
              </w:tabs>
              <w:snapToGrid w:val="0"/>
              <w:jc w:val="left"/>
              <w:rPr>
                <w:rFonts w:ascii="宋体" w:hAnsi="宋体" w:cs="宋体"/>
                <w:szCs w:val="21"/>
                <w:lang w:val="zh-CN"/>
              </w:rPr>
            </w:pPr>
            <w:r>
              <w:rPr>
                <w:rFonts w:hint="eastAsia" w:ascii="宋体" w:hAnsi="宋体" w:cs="宋体"/>
                <w:szCs w:val="21"/>
                <w:lang w:val="zh-CN"/>
              </w:rPr>
              <w:t>▲签约合同价</w:t>
            </w:r>
          </w:p>
        </w:tc>
        <w:tc>
          <w:tcPr>
            <w:tcW w:w="7186" w:type="dxa"/>
            <w:tcBorders>
              <w:top w:val="single" w:color="000000" w:sz="4" w:space="0"/>
              <w:left w:val="single" w:color="000000" w:sz="4" w:space="0"/>
              <w:bottom w:val="single" w:color="000000" w:sz="4" w:space="0"/>
              <w:right w:val="single" w:color="000000" w:sz="4" w:space="0"/>
            </w:tcBorders>
            <w:vAlign w:val="center"/>
          </w:tcPr>
          <w:p w14:paraId="73F9263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ascii="宋体" w:hAnsi="宋体" w:cs="宋体"/>
                <w:szCs w:val="21"/>
                <w:lang w:val="zh-CN"/>
              </w:rPr>
            </w:pPr>
            <w:r>
              <w:rPr>
                <w:rFonts w:hint="eastAsia" w:ascii="宋体" w:hAnsi="宋体" w:cs="宋体"/>
                <w:szCs w:val="21"/>
                <w:lang w:val="zh-CN"/>
              </w:rPr>
              <w:t>经磋商后的综合单价在成交后及合同执行过程中固定不变。</w:t>
            </w:r>
          </w:p>
        </w:tc>
      </w:tr>
      <w:tr w14:paraId="65C83110">
        <w:tblPrEx>
          <w:tblCellMar>
            <w:top w:w="0" w:type="dxa"/>
            <w:left w:w="108" w:type="dxa"/>
            <w:bottom w:w="0" w:type="dxa"/>
            <w:right w:w="108" w:type="dxa"/>
          </w:tblCellMar>
        </w:tblPrEx>
        <w:trPr>
          <w:trHeight w:val="1314"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393F1034">
            <w:pPr>
              <w:tabs>
                <w:tab w:val="left" w:pos="0"/>
              </w:tabs>
              <w:snapToGrid w:val="0"/>
              <w:jc w:val="left"/>
              <w:rPr>
                <w:rFonts w:ascii="宋体" w:hAnsi="宋体" w:cs="宋体"/>
                <w:szCs w:val="21"/>
                <w:lang w:val="zh-CN"/>
              </w:rPr>
            </w:pPr>
            <w:r>
              <w:rPr>
                <w:rFonts w:hint="eastAsia" w:ascii="宋体" w:hAnsi="宋体" w:cs="宋体"/>
                <w:szCs w:val="21"/>
              </w:rPr>
              <w:t>▲</w:t>
            </w:r>
            <w:r>
              <w:rPr>
                <w:rFonts w:hint="eastAsia" w:ascii="宋体" w:hAnsi="宋体" w:cs="宋体"/>
                <w:szCs w:val="21"/>
                <w:lang w:val="zh-CN"/>
              </w:rPr>
              <w:t>合同终止</w:t>
            </w:r>
          </w:p>
        </w:tc>
        <w:tc>
          <w:tcPr>
            <w:tcW w:w="7186" w:type="dxa"/>
            <w:tcBorders>
              <w:top w:val="single" w:color="000000" w:sz="4" w:space="0"/>
              <w:left w:val="single" w:color="000000" w:sz="4" w:space="0"/>
              <w:bottom w:val="single" w:color="000000" w:sz="4" w:space="0"/>
              <w:right w:val="single" w:color="000000" w:sz="4" w:space="0"/>
            </w:tcBorders>
            <w:vAlign w:val="center"/>
          </w:tcPr>
          <w:p w14:paraId="063E02A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ascii="宋体" w:hAnsi="宋体" w:cs="宋体"/>
                <w:szCs w:val="21"/>
                <w:lang w:val="zh-CN"/>
              </w:rPr>
            </w:pPr>
            <w:r>
              <w:rPr>
                <w:rFonts w:hint="eastAsia" w:ascii="宋体" w:hAnsi="宋体" w:cs="宋体"/>
                <w:szCs w:val="21"/>
                <w:lang w:val="zh-CN"/>
              </w:rPr>
              <w:t>成交人在合同有效期内，不得无理由终止合同，确有特殊情况的，须提前向采购人提出书面申请，经采购人同意后，方可终止合同。因成交人不能保证工作质量，或发生重大差错事故的，采购人可有权终止合同，成交人承担全部责任。</w:t>
            </w:r>
          </w:p>
        </w:tc>
      </w:tr>
      <w:tr w14:paraId="2BC2A3FE">
        <w:tblPrEx>
          <w:tblCellMar>
            <w:top w:w="0" w:type="dxa"/>
            <w:left w:w="108" w:type="dxa"/>
            <w:bottom w:w="0" w:type="dxa"/>
            <w:right w:w="108" w:type="dxa"/>
          </w:tblCellMar>
        </w:tblPrEx>
        <w:trPr>
          <w:trHeight w:val="1314" w:hRule="atLeast"/>
        </w:trPr>
        <w:tc>
          <w:tcPr>
            <w:tcW w:w="1936" w:type="dxa"/>
            <w:tcBorders>
              <w:top w:val="single" w:color="000000" w:sz="4" w:space="0"/>
              <w:left w:val="single" w:color="000000" w:sz="4" w:space="0"/>
              <w:bottom w:val="single" w:color="000000" w:sz="4" w:space="0"/>
              <w:right w:val="single" w:color="000000" w:sz="4" w:space="0"/>
            </w:tcBorders>
            <w:vAlign w:val="center"/>
          </w:tcPr>
          <w:p w14:paraId="385042D6">
            <w:pPr>
              <w:tabs>
                <w:tab w:val="left" w:pos="0"/>
              </w:tabs>
              <w:snapToGrid w:val="0"/>
              <w:jc w:val="left"/>
              <w:rPr>
                <w:rFonts w:hint="eastAsia" w:ascii="宋体" w:hAnsi="宋体" w:cs="宋体"/>
                <w:szCs w:val="21"/>
              </w:rPr>
            </w:pPr>
            <w:r>
              <w:rPr>
                <w:rFonts w:hint="eastAsia" w:ascii="宋体" w:hAnsi="宋体" w:cs="宋体"/>
                <w:szCs w:val="21"/>
              </w:rPr>
              <w:t>作业要求</w:t>
            </w:r>
          </w:p>
        </w:tc>
        <w:tc>
          <w:tcPr>
            <w:tcW w:w="7186" w:type="dxa"/>
            <w:tcBorders>
              <w:top w:val="single" w:color="000000" w:sz="4" w:space="0"/>
              <w:left w:val="single" w:color="000000" w:sz="4" w:space="0"/>
              <w:bottom w:val="single" w:color="000000" w:sz="4" w:space="0"/>
              <w:right w:val="single" w:color="000000" w:sz="4" w:space="0"/>
            </w:tcBorders>
            <w:vAlign w:val="center"/>
          </w:tcPr>
          <w:p w14:paraId="08C35422">
            <w:pPr>
              <w:keepNext w:val="0"/>
              <w:keepLines w:val="0"/>
              <w:pageBreakBefore w:val="0"/>
              <w:widowControl w:val="0"/>
              <w:kinsoku/>
              <w:wordWrap/>
              <w:overflowPunct/>
              <w:topLinePunct w:val="0"/>
              <w:autoSpaceDE/>
              <w:autoSpaceDN/>
              <w:bidi w:val="0"/>
              <w:adjustRightInd w:val="0"/>
              <w:spacing w:line="360" w:lineRule="auto"/>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安全生产要求：供应商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供应商全权负责。</w:t>
            </w:r>
          </w:p>
          <w:p w14:paraId="41BAC615">
            <w:pPr>
              <w:keepNext w:val="0"/>
              <w:keepLines w:val="0"/>
              <w:pageBreakBefore w:val="0"/>
              <w:widowControl w:val="0"/>
              <w:kinsoku/>
              <w:wordWrap/>
              <w:overflowPunct/>
              <w:topLinePunct w:val="0"/>
              <w:autoSpaceDE/>
              <w:autoSpaceDN/>
              <w:bidi w:val="0"/>
              <w:adjustRightInd w:val="0"/>
              <w:spacing w:line="360" w:lineRule="auto"/>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（2）文明施工要求：在施工过程中，必须做到文明施工。工序衔接交叉合理，交接责任明确，施工场地整洁、卫生、道路畅通，有必要的围护和遮挡措施等。</w:t>
            </w:r>
          </w:p>
          <w:p w14:paraId="443CF8DD">
            <w:pPr>
              <w:keepNext w:val="0"/>
              <w:keepLines w:val="0"/>
              <w:pageBreakBefore w:val="0"/>
              <w:widowControl w:val="0"/>
              <w:tabs>
                <w:tab w:val="left" w:pos="0"/>
              </w:tabs>
              <w:kinsoku/>
              <w:wordWrap/>
              <w:overflowPunct/>
              <w:topLinePunct w:val="0"/>
              <w:autoSpaceDE/>
              <w:autoSpaceDN/>
              <w:bidi w:val="0"/>
              <w:adjustRightInd w:val="0"/>
              <w:snapToGrid w:val="0"/>
              <w:spacing w:line="360" w:lineRule="auto"/>
              <w:jc w:val="left"/>
              <w:textAlignment w:val="auto"/>
              <w:rPr>
                <w:rFonts w:hint="eastAsia" w:ascii="宋体" w:hAnsi="宋体" w:cs="宋体"/>
                <w:szCs w:val="21"/>
                <w:lang w:val="zh-CN"/>
              </w:rPr>
            </w:pPr>
            <w:r>
              <w:rPr>
                <w:rFonts w:hint="eastAsia" w:asciiTheme="majorEastAsia" w:hAnsiTheme="majorEastAsia" w:eastAsiaTheme="majorEastAsia" w:cstheme="majorEastAsia"/>
                <w:color w:val="auto"/>
                <w:sz w:val="21"/>
                <w:szCs w:val="21"/>
                <w:highlight w:val="none"/>
                <w:lang w:val="en-US" w:eastAsia="zh-CN"/>
              </w:rPr>
              <w:t>（3）供应商必须为全体作业员工购买社会和人身意外保险、公众责任保险费等其他保险，必须重视安全生产工作，确保不出安全生产责任事故。如发生安全生产责任事故或公众安全事故（含交通事故），一切责任及损失由供应商承担。</w:t>
            </w:r>
          </w:p>
        </w:tc>
      </w:tr>
    </w:tbl>
    <w:p w14:paraId="7F1A56FC">
      <w:pPr>
        <w:rPr>
          <w:rFonts w:ascii="宋体" w:hAnsi="宋体" w:cs="宋体"/>
          <w:snapToGrid w:val="0"/>
          <w:kern w:val="0"/>
          <w:sz w:val="24"/>
        </w:rPr>
      </w:pPr>
    </w:p>
    <w:p w14:paraId="02CAC136">
      <w:pPr>
        <w:rPr>
          <w:rFonts w:ascii="宋体" w:hAnsi="宋体" w:cs="宋体"/>
          <w:snapToGrid w:val="0"/>
          <w:kern w:val="0"/>
          <w:sz w:val="24"/>
        </w:rPr>
      </w:pPr>
    </w:p>
    <w:p w14:paraId="795FB5EA">
      <w:pPr>
        <w:rPr>
          <w:rFonts w:ascii="宋体" w:hAnsi="宋体" w:cs="宋体"/>
          <w:snapToGrid w:val="0"/>
          <w:kern w:val="0"/>
          <w:sz w:val="24"/>
        </w:rPr>
      </w:pPr>
    </w:p>
    <w:p w14:paraId="1F4A05F8">
      <w:pPr>
        <w:rPr>
          <w:rFonts w:ascii="宋体" w:hAnsi="宋体" w:cs="宋体"/>
          <w:snapToGrid w:val="0"/>
          <w:kern w:val="0"/>
          <w:sz w:val="24"/>
        </w:rPr>
      </w:pPr>
    </w:p>
    <w:p w14:paraId="423919A4">
      <w:pPr>
        <w:rPr>
          <w:rFonts w:ascii="宋体" w:hAnsi="宋体" w:cs="宋体"/>
          <w:snapToGrid w:val="0"/>
          <w:kern w:val="0"/>
          <w:sz w:val="24"/>
        </w:rPr>
      </w:pPr>
    </w:p>
    <w:p w14:paraId="679219B0">
      <w:pPr>
        <w:rPr>
          <w:rFonts w:ascii="宋体" w:hAnsi="宋体" w:cs="宋体"/>
          <w:snapToGrid w:val="0"/>
          <w:kern w:val="0"/>
          <w:sz w:val="24"/>
        </w:rPr>
      </w:pPr>
    </w:p>
    <w:p w14:paraId="75A8C6A0">
      <w:pPr>
        <w:rPr>
          <w:rFonts w:ascii="宋体" w:hAnsi="宋体" w:cs="宋体"/>
          <w:snapToGrid w:val="0"/>
          <w:kern w:val="0"/>
          <w:sz w:val="24"/>
        </w:rPr>
      </w:pPr>
    </w:p>
    <w:p w14:paraId="33DE67BF">
      <w:pPr>
        <w:rPr>
          <w:rFonts w:ascii="宋体" w:hAnsi="宋体" w:cs="宋体"/>
          <w:snapToGrid w:val="0"/>
          <w:kern w:val="0"/>
          <w:sz w:val="24"/>
        </w:rPr>
      </w:pPr>
    </w:p>
    <w:p w14:paraId="120AA256">
      <w:pPr>
        <w:rPr>
          <w:rFonts w:ascii="宋体" w:hAnsi="宋体" w:cs="宋体"/>
          <w:snapToGrid w:val="0"/>
          <w:kern w:val="0"/>
          <w:sz w:val="24"/>
        </w:rPr>
      </w:pPr>
    </w:p>
    <w:p w14:paraId="711560DC">
      <w:pPr>
        <w:rPr>
          <w:rFonts w:ascii="宋体" w:hAnsi="宋体" w:cs="宋体"/>
          <w:snapToGrid w:val="0"/>
          <w:kern w:val="0"/>
          <w:sz w:val="24"/>
        </w:rPr>
      </w:pPr>
    </w:p>
    <w:p w14:paraId="772EBD3B">
      <w:pPr>
        <w:rPr>
          <w:rFonts w:ascii="宋体" w:hAnsi="宋体" w:cs="宋体"/>
          <w:snapToGrid w:val="0"/>
          <w:kern w:val="0"/>
          <w:sz w:val="24"/>
        </w:rPr>
      </w:pPr>
    </w:p>
    <w:p w14:paraId="0E825B54">
      <w:pPr>
        <w:rPr>
          <w:rFonts w:ascii="宋体" w:hAnsi="宋体" w:cs="宋体"/>
          <w:snapToGrid w:val="0"/>
          <w:kern w:val="0"/>
          <w:sz w:val="24"/>
        </w:rPr>
      </w:pPr>
    </w:p>
    <w:p w14:paraId="5EB14F36">
      <w:pPr>
        <w:rPr>
          <w:rFonts w:ascii="宋体" w:hAnsi="宋体" w:cs="宋体"/>
          <w:snapToGrid w:val="0"/>
          <w:kern w:val="0"/>
          <w:sz w:val="24"/>
        </w:rPr>
      </w:pPr>
    </w:p>
    <w:p w14:paraId="32A11C4A">
      <w:pPr>
        <w:rPr>
          <w:rFonts w:ascii="宋体" w:hAnsi="宋体" w:cs="宋体"/>
          <w:snapToGrid w:val="0"/>
          <w:kern w:val="0"/>
          <w:sz w:val="24"/>
        </w:rPr>
      </w:pPr>
    </w:p>
    <w:p w14:paraId="347B3F2F">
      <w:pPr>
        <w:rPr>
          <w:rFonts w:ascii="宋体" w:hAnsi="宋体" w:cs="宋体"/>
          <w:snapToGrid w:val="0"/>
          <w:kern w:val="0"/>
          <w:sz w:val="24"/>
        </w:rPr>
      </w:pPr>
    </w:p>
    <w:p w14:paraId="2FB66BF5">
      <w:pPr>
        <w:rPr>
          <w:rFonts w:ascii="宋体" w:hAnsi="宋体" w:cs="宋体"/>
          <w:snapToGrid w:val="0"/>
          <w:kern w:val="0"/>
          <w:sz w:val="24"/>
        </w:rPr>
      </w:pPr>
    </w:p>
    <w:p w14:paraId="2FF93D57">
      <w:pPr>
        <w:rPr>
          <w:rFonts w:ascii="宋体" w:hAnsi="宋体" w:cs="宋体"/>
          <w:snapToGrid w:val="0"/>
          <w:kern w:val="0"/>
          <w:sz w:val="24"/>
        </w:rPr>
      </w:pPr>
    </w:p>
    <w:p w14:paraId="2A8C9A08">
      <w:pPr>
        <w:rPr>
          <w:rFonts w:ascii="宋体" w:hAnsi="宋体" w:cs="宋体"/>
          <w:snapToGrid w:val="0"/>
          <w:kern w:val="0"/>
          <w:sz w:val="24"/>
        </w:rPr>
      </w:pPr>
    </w:p>
    <w:p w14:paraId="6726EC8F">
      <w:pPr>
        <w:rPr>
          <w:rFonts w:ascii="宋体" w:hAnsi="宋体" w:cs="宋体"/>
          <w:snapToGrid w:val="0"/>
          <w:kern w:val="0"/>
          <w:sz w:val="24"/>
        </w:rPr>
      </w:pPr>
    </w:p>
    <w:p w14:paraId="05FF8300">
      <w:pPr>
        <w:rPr>
          <w:rFonts w:ascii="宋体" w:hAnsi="宋体" w:cs="宋体"/>
          <w:snapToGrid w:val="0"/>
          <w:kern w:val="0"/>
          <w:sz w:val="24"/>
        </w:rPr>
      </w:pPr>
    </w:p>
    <w:p w14:paraId="6B8F0B5F">
      <w:pPr>
        <w:rPr>
          <w:rFonts w:ascii="宋体" w:hAnsi="宋体" w:cs="宋体"/>
          <w:snapToGrid w:val="0"/>
          <w:kern w:val="0"/>
          <w:sz w:val="24"/>
        </w:rPr>
      </w:pPr>
    </w:p>
    <w:p w14:paraId="4EDF696D">
      <w:pPr>
        <w:rPr>
          <w:rFonts w:ascii="宋体" w:hAnsi="宋体" w:cs="宋体"/>
          <w:snapToGrid w:val="0"/>
          <w:kern w:val="0"/>
          <w:sz w:val="24"/>
        </w:rPr>
      </w:pPr>
    </w:p>
    <w:p w14:paraId="17A82B3A">
      <w:pPr>
        <w:rPr>
          <w:rFonts w:ascii="宋体" w:hAnsi="宋体" w:cs="宋体"/>
          <w:snapToGrid w:val="0"/>
          <w:kern w:val="0"/>
          <w:sz w:val="24"/>
        </w:rPr>
      </w:pPr>
    </w:p>
    <w:p w14:paraId="71E2A4B9">
      <w:pPr>
        <w:numPr>
          <w:ilvl w:val="0"/>
          <w:numId w:val="6"/>
        </w:numPr>
        <w:snapToGrid w:val="0"/>
        <w:spacing w:line="360" w:lineRule="auto"/>
        <w:ind w:firstLine="630"/>
        <w:jc w:val="center"/>
        <w:rPr>
          <w:rFonts w:ascii="宋体" w:hAnsi="宋体" w:cs="宋体"/>
          <w:b/>
          <w:sz w:val="32"/>
          <w:szCs w:val="20"/>
        </w:rPr>
      </w:pPr>
      <w:bookmarkStart w:id="47" w:name="_Toc184313288"/>
      <w:bookmarkEnd w:id="47"/>
      <w:bookmarkStart w:id="48" w:name="_Toc184312131"/>
      <w:bookmarkEnd w:id="48"/>
      <w:bookmarkStart w:id="49" w:name="_Toc184312118"/>
      <w:bookmarkEnd w:id="49"/>
      <w:bookmarkStart w:id="50" w:name="_Toc184313280"/>
      <w:bookmarkEnd w:id="50"/>
      <w:bookmarkStart w:id="51" w:name="_Toc184314476"/>
      <w:bookmarkEnd w:id="51"/>
      <w:bookmarkStart w:id="52" w:name="_Toc184308040"/>
      <w:bookmarkEnd w:id="52"/>
      <w:bookmarkStart w:id="53" w:name="_Toc184313309"/>
      <w:bookmarkEnd w:id="53"/>
      <w:bookmarkStart w:id="54" w:name="_Toc184312126"/>
      <w:bookmarkEnd w:id="54"/>
      <w:bookmarkStart w:id="55" w:name="_Toc184313243"/>
      <w:bookmarkEnd w:id="55"/>
      <w:bookmarkStart w:id="56" w:name="_Toc184313276"/>
      <w:bookmarkEnd w:id="56"/>
      <w:bookmarkStart w:id="57" w:name="_Toc184310295"/>
      <w:bookmarkEnd w:id="57"/>
      <w:bookmarkStart w:id="58" w:name="_Toc184313269"/>
      <w:bookmarkEnd w:id="58"/>
      <w:bookmarkStart w:id="59" w:name="_Toc184313271"/>
      <w:bookmarkEnd w:id="59"/>
      <w:bookmarkStart w:id="60" w:name="_Toc184312074"/>
      <w:bookmarkEnd w:id="60"/>
      <w:bookmarkStart w:id="61" w:name="_Toc184314444"/>
      <w:bookmarkEnd w:id="61"/>
      <w:bookmarkStart w:id="62" w:name="_Toc184310341"/>
      <w:bookmarkEnd w:id="62"/>
      <w:bookmarkStart w:id="63" w:name="_Toc184308091"/>
      <w:bookmarkEnd w:id="63"/>
      <w:bookmarkStart w:id="64" w:name="_Toc184312082"/>
      <w:bookmarkEnd w:id="64"/>
      <w:bookmarkStart w:id="65" w:name="_Toc184308093"/>
      <w:bookmarkEnd w:id="65"/>
      <w:bookmarkStart w:id="66" w:name="_Toc184314416"/>
      <w:bookmarkEnd w:id="66"/>
      <w:bookmarkStart w:id="67" w:name="_Toc184314481"/>
      <w:bookmarkEnd w:id="67"/>
      <w:bookmarkStart w:id="68" w:name="_Toc184313296"/>
      <w:bookmarkEnd w:id="68"/>
      <w:bookmarkStart w:id="69" w:name="_Toc184310319"/>
      <w:bookmarkEnd w:id="69"/>
      <w:bookmarkStart w:id="70" w:name="_Toc184308046"/>
      <w:bookmarkEnd w:id="70"/>
      <w:bookmarkStart w:id="71" w:name="_Toc184313270"/>
      <w:bookmarkEnd w:id="71"/>
      <w:bookmarkStart w:id="72" w:name="_Toc184313300"/>
      <w:bookmarkEnd w:id="72"/>
      <w:bookmarkStart w:id="73" w:name="_Toc184313262"/>
      <w:bookmarkEnd w:id="73"/>
      <w:bookmarkStart w:id="74" w:name="_Toc184312079"/>
      <w:bookmarkEnd w:id="74"/>
      <w:bookmarkStart w:id="75" w:name="_Toc184312135"/>
      <w:bookmarkEnd w:id="75"/>
      <w:bookmarkStart w:id="76" w:name="_Toc184310278"/>
      <w:bookmarkEnd w:id="76"/>
      <w:bookmarkStart w:id="77" w:name="_Toc184308108"/>
      <w:bookmarkEnd w:id="77"/>
      <w:bookmarkStart w:id="78" w:name="_Toc184313239"/>
      <w:bookmarkEnd w:id="78"/>
      <w:bookmarkStart w:id="79" w:name="_Toc184308050"/>
      <w:bookmarkEnd w:id="79"/>
      <w:bookmarkStart w:id="80" w:name="_Toc184310328"/>
      <w:bookmarkEnd w:id="80"/>
      <w:bookmarkStart w:id="81" w:name="_Toc184313256"/>
      <w:bookmarkEnd w:id="81"/>
      <w:bookmarkStart w:id="82" w:name="_Toc184312091"/>
      <w:bookmarkEnd w:id="82"/>
      <w:bookmarkStart w:id="83" w:name="_Toc184314427"/>
      <w:bookmarkEnd w:id="83"/>
      <w:bookmarkStart w:id="84" w:name="_Toc184312093"/>
      <w:bookmarkEnd w:id="84"/>
      <w:bookmarkStart w:id="85" w:name="_Toc184314438"/>
      <w:bookmarkEnd w:id="85"/>
      <w:bookmarkStart w:id="86" w:name="_Toc184313294"/>
      <w:bookmarkEnd w:id="86"/>
      <w:bookmarkStart w:id="87" w:name="_Toc184312103"/>
      <w:bookmarkEnd w:id="87"/>
      <w:bookmarkStart w:id="88" w:name="_Toc184313259"/>
      <w:bookmarkEnd w:id="88"/>
      <w:bookmarkStart w:id="89" w:name="_Toc184312067"/>
      <w:bookmarkEnd w:id="89"/>
      <w:bookmarkStart w:id="90" w:name="_Toc184310293"/>
      <w:bookmarkEnd w:id="90"/>
      <w:bookmarkStart w:id="91" w:name="_Toc184308086"/>
      <w:bookmarkEnd w:id="91"/>
      <w:bookmarkStart w:id="92" w:name="_Toc184308077"/>
      <w:bookmarkEnd w:id="92"/>
      <w:bookmarkStart w:id="93" w:name="_Toc184308054"/>
      <w:bookmarkEnd w:id="93"/>
      <w:bookmarkStart w:id="94" w:name="_Toc184310316"/>
      <w:bookmarkEnd w:id="94"/>
      <w:bookmarkStart w:id="95" w:name="_Toc184312086"/>
      <w:bookmarkEnd w:id="95"/>
      <w:bookmarkStart w:id="96" w:name="_Toc184314418"/>
      <w:bookmarkEnd w:id="96"/>
      <w:bookmarkStart w:id="97" w:name="_Toc184313284"/>
      <w:bookmarkEnd w:id="97"/>
      <w:bookmarkStart w:id="98" w:name="_Toc184313242"/>
      <w:bookmarkEnd w:id="98"/>
      <w:bookmarkStart w:id="99" w:name="_Toc184312132"/>
      <w:bookmarkEnd w:id="99"/>
      <w:bookmarkStart w:id="100" w:name="_Toc184313248"/>
      <w:bookmarkEnd w:id="100"/>
      <w:bookmarkStart w:id="101" w:name="_Toc184310333"/>
      <w:bookmarkEnd w:id="101"/>
      <w:bookmarkStart w:id="102" w:name="_Toc184310330"/>
      <w:bookmarkEnd w:id="102"/>
      <w:bookmarkStart w:id="103" w:name="_Toc184313275"/>
      <w:bookmarkEnd w:id="103"/>
      <w:bookmarkStart w:id="104" w:name="_Toc184310296"/>
      <w:bookmarkEnd w:id="104"/>
      <w:bookmarkStart w:id="105" w:name="_Toc184310310"/>
      <w:bookmarkEnd w:id="105"/>
      <w:bookmarkStart w:id="106" w:name="_Toc184310273"/>
      <w:bookmarkEnd w:id="106"/>
      <w:bookmarkStart w:id="107" w:name="_Toc184310289"/>
      <w:bookmarkEnd w:id="107"/>
      <w:bookmarkStart w:id="108" w:name="_Toc184312120"/>
      <w:bookmarkEnd w:id="108"/>
      <w:bookmarkStart w:id="109" w:name="_Toc184308058"/>
      <w:bookmarkEnd w:id="109"/>
      <w:bookmarkStart w:id="110" w:name="_Toc184313241"/>
      <w:bookmarkEnd w:id="110"/>
      <w:bookmarkStart w:id="111" w:name="_Toc184314430"/>
      <w:bookmarkEnd w:id="111"/>
      <w:bookmarkStart w:id="112" w:name="_Toc184314447"/>
      <w:bookmarkEnd w:id="112"/>
      <w:bookmarkStart w:id="113" w:name="_Toc184310279"/>
      <w:bookmarkEnd w:id="113"/>
      <w:bookmarkStart w:id="114" w:name="_Toc184310300"/>
      <w:bookmarkEnd w:id="114"/>
      <w:bookmarkStart w:id="115" w:name="_Toc184314463"/>
      <w:bookmarkEnd w:id="115"/>
      <w:bookmarkStart w:id="116" w:name="_Toc184312122"/>
      <w:bookmarkEnd w:id="116"/>
      <w:bookmarkStart w:id="117" w:name="_Toc184308101"/>
      <w:bookmarkEnd w:id="117"/>
      <w:bookmarkStart w:id="118" w:name="_Toc184310314"/>
      <w:bookmarkEnd w:id="118"/>
      <w:bookmarkStart w:id="119" w:name="_Toc184314440"/>
      <w:bookmarkEnd w:id="119"/>
      <w:bookmarkStart w:id="120" w:name="_Toc184314425"/>
      <w:bookmarkEnd w:id="120"/>
      <w:bookmarkStart w:id="121" w:name="_Toc184314410"/>
      <w:bookmarkEnd w:id="121"/>
      <w:bookmarkStart w:id="122" w:name="_Toc184310329"/>
      <w:bookmarkEnd w:id="122"/>
      <w:bookmarkStart w:id="123" w:name="_Toc184308082"/>
      <w:bookmarkEnd w:id="123"/>
      <w:bookmarkStart w:id="124" w:name="_Toc184314441"/>
      <w:bookmarkEnd w:id="124"/>
      <w:bookmarkStart w:id="125" w:name="_Toc184308060"/>
      <w:bookmarkEnd w:id="125"/>
      <w:bookmarkStart w:id="126" w:name="_Toc184308097"/>
      <w:bookmarkEnd w:id="126"/>
      <w:bookmarkStart w:id="127" w:name="_Toc184314450"/>
      <w:bookmarkEnd w:id="127"/>
      <w:bookmarkStart w:id="128" w:name="_Toc184313246"/>
      <w:bookmarkEnd w:id="128"/>
      <w:bookmarkStart w:id="129" w:name="_Toc184310323"/>
      <w:bookmarkEnd w:id="129"/>
      <w:bookmarkStart w:id="130" w:name="_Toc184313251"/>
      <w:bookmarkEnd w:id="130"/>
      <w:bookmarkStart w:id="131" w:name="_Toc184312089"/>
      <w:bookmarkEnd w:id="131"/>
      <w:bookmarkStart w:id="132" w:name="_Toc184314458"/>
      <w:bookmarkEnd w:id="132"/>
      <w:bookmarkStart w:id="133" w:name="_Toc184308041"/>
      <w:bookmarkEnd w:id="133"/>
      <w:bookmarkStart w:id="134" w:name="_Toc184312136"/>
      <w:bookmarkEnd w:id="134"/>
      <w:bookmarkStart w:id="135" w:name="_Toc184312084"/>
      <w:bookmarkEnd w:id="135"/>
      <w:bookmarkStart w:id="136" w:name="_Toc184312098"/>
      <w:bookmarkEnd w:id="136"/>
      <w:bookmarkStart w:id="137" w:name="_Toc184313253"/>
      <w:bookmarkEnd w:id="137"/>
      <w:bookmarkStart w:id="138" w:name="_Toc184314456"/>
      <w:bookmarkEnd w:id="138"/>
      <w:bookmarkStart w:id="139" w:name="_Toc184314460"/>
      <w:bookmarkEnd w:id="139"/>
      <w:bookmarkStart w:id="140" w:name="_Toc184308100"/>
      <w:bookmarkEnd w:id="140"/>
      <w:bookmarkStart w:id="141" w:name="_Toc184313245"/>
      <w:bookmarkEnd w:id="141"/>
      <w:bookmarkStart w:id="142" w:name="_Toc184308080"/>
      <w:bookmarkEnd w:id="142"/>
      <w:bookmarkStart w:id="143" w:name="_Toc184314432"/>
      <w:bookmarkEnd w:id="143"/>
      <w:bookmarkStart w:id="144" w:name="_Toc184313268"/>
      <w:bookmarkEnd w:id="144"/>
      <w:bookmarkStart w:id="145" w:name="_Toc184312112"/>
      <w:bookmarkEnd w:id="145"/>
      <w:bookmarkStart w:id="146" w:name="_Toc184314479"/>
      <w:bookmarkEnd w:id="146"/>
      <w:bookmarkStart w:id="147" w:name="_Toc184314448"/>
      <w:bookmarkEnd w:id="147"/>
      <w:bookmarkStart w:id="148" w:name="_Toc184310282"/>
      <w:bookmarkEnd w:id="148"/>
      <w:bookmarkStart w:id="149" w:name="_Toc184310343"/>
      <w:bookmarkEnd w:id="149"/>
      <w:bookmarkStart w:id="150" w:name="_Toc184313308"/>
      <w:bookmarkEnd w:id="150"/>
      <w:bookmarkStart w:id="151" w:name="_Toc184314461"/>
      <w:bookmarkEnd w:id="151"/>
      <w:bookmarkStart w:id="152" w:name="_Toc184312102"/>
      <w:bookmarkEnd w:id="152"/>
      <w:bookmarkStart w:id="153" w:name="_Toc184312078"/>
      <w:bookmarkEnd w:id="153"/>
      <w:bookmarkStart w:id="154" w:name="_Toc184314478"/>
      <w:bookmarkEnd w:id="154"/>
      <w:bookmarkStart w:id="155" w:name="_Toc184314424"/>
      <w:bookmarkEnd w:id="155"/>
      <w:bookmarkStart w:id="156" w:name="_Toc184313260"/>
      <w:bookmarkEnd w:id="156"/>
      <w:bookmarkStart w:id="157" w:name="_Toc184313287"/>
      <w:bookmarkEnd w:id="157"/>
      <w:bookmarkStart w:id="158" w:name="_Toc184314465"/>
      <w:bookmarkEnd w:id="158"/>
      <w:bookmarkStart w:id="159" w:name="_Toc184312097"/>
      <w:bookmarkEnd w:id="159"/>
      <w:bookmarkStart w:id="160" w:name="_Toc184308039"/>
      <w:bookmarkEnd w:id="160"/>
      <w:bookmarkStart w:id="161" w:name="_Toc184312071"/>
      <w:bookmarkEnd w:id="161"/>
      <w:bookmarkStart w:id="162" w:name="_Toc184314428"/>
      <w:bookmarkEnd w:id="162"/>
      <w:bookmarkStart w:id="163" w:name="_Toc184312121"/>
      <w:bookmarkEnd w:id="163"/>
      <w:bookmarkStart w:id="164" w:name="_Toc184312110"/>
      <w:bookmarkEnd w:id="164"/>
      <w:bookmarkStart w:id="165" w:name="_Toc184312114"/>
      <w:bookmarkEnd w:id="165"/>
      <w:bookmarkStart w:id="166" w:name="_Toc184313283"/>
      <w:bookmarkEnd w:id="166"/>
      <w:bookmarkStart w:id="167" w:name="_Toc184312099"/>
      <w:bookmarkEnd w:id="167"/>
      <w:bookmarkStart w:id="168" w:name="_Toc184310304"/>
      <w:bookmarkEnd w:id="168"/>
      <w:bookmarkStart w:id="169" w:name="_Toc184314433"/>
      <w:bookmarkEnd w:id="169"/>
      <w:bookmarkStart w:id="170" w:name="_Toc184313250"/>
      <w:bookmarkEnd w:id="170"/>
      <w:bookmarkStart w:id="171" w:name="_Toc184308059"/>
      <w:bookmarkEnd w:id="171"/>
      <w:bookmarkStart w:id="172" w:name="_Toc184308107"/>
      <w:bookmarkEnd w:id="172"/>
      <w:bookmarkStart w:id="173" w:name="_Toc184314454"/>
      <w:bookmarkEnd w:id="173"/>
      <w:bookmarkStart w:id="174" w:name="_Toc184313285"/>
      <w:bookmarkEnd w:id="174"/>
      <w:bookmarkStart w:id="175" w:name="_Toc184310322"/>
      <w:bookmarkEnd w:id="175"/>
      <w:bookmarkStart w:id="176" w:name="_Toc184308055"/>
      <w:bookmarkEnd w:id="176"/>
      <w:bookmarkStart w:id="177" w:name="_Toc184310272"/>
      <w:bookmarkEnd w:id="177"/>
      <w:bookmarkStart w:id="178" w:name="_Toc184310344"/>
      <w:bookmarkEnd w:id="178"/>
      <w:bookmarkStart w:id="179" w:name="_Toc184310318"/>
      <w:bookmarkEnd w:id="179"/>
      <w:bookmarkStart w:id="180" w:name="_Toc184312085"/>
      <w:bookmarkEnd w:id="180"/>
      <w:bookmarkStart w:id="181" w:name="_Toc184310335"/>
      <w:bookmarkEnd w:id="181"/>
      <w:bookmarkStart w:id="182" w:name="_Toc184313303"/>
      <w:bookmarkEnd w:id="182"/>
      <w:bookmarkStart w:id="183" w:name="_Toc184312068"/>
      <w:bookmarkEnd w:id="183"/>
      <w:bookmarkStart w:id="184" w:name="_Toc184308043"/>
      <w:bookmarkEnd w:id="184"/>
      <w:bookmarkStart w:id="185" w:name="_Toc184314419"/>
      <w:bookmarkEnd w:id="185"/>
      <w:bookmarkStart w:id="186" w:name="_Toc184310321"/>
      <w:bookmarkEnd w:id="186"/>
      <w:bookmarkStart w:id="187" w:name="_Toc184314453"/>
      <w:bookmarkEnd w:id="187"/>
      <w:bookmarkStart w:id="188" w:name="_Toc184312080"/>
      <w:bookmarkEnd w:id="188"/>
      <w:bookmarkStart w:id="189" w:name="_Toc184308038"/>
      <w:bookmarkEnd w:id="189"/>
      <w:bookmarkStart w:id="190" w:name="_Toc184313299"/>
      <w:bookmarkEnd w:id="190"/>
      <w:bookmarkStart w:id="191" w:name="_Toc184313278"/>
      <w:bookmarkEnd w:id="191"/>
      <w:bookmarkStart w:id="192" w:name="_Toc184313277"/>
      <w:bookmarkEnd w:id="192"/>
      <w:bookmarkStart w:id="193" w:name="_Toc184312138"/>
      <w:bookmarkEnd w:id="193"/>
      <w:bookmarkStart w:id="194" w:name="_Toc184313244"/>
      <w:bookmarkEnd w:id="194"/>
      <w:bookmarkStart w:id="195" w:name="_Toc184308081"/>
      <w:bookmarkEnd w:id="195"/>
      <w:bookmarkStart w:id="196" w:name="_Toc184314451"/>
      <w:bookmarkEnd w:id="196"/>
      <w:bookmarkStart w:id="197" w:name="_Toc184310281"/>
      <w:bookmarkEnd w:id="197"/>
      <w:bookmarkStart w:id="198" w:name="_Toc184310334"/>
      <w:bookmarkEnd w:id="198"/>
      <w:bookmarkStart w:id="199" w:name="_Toc184313274"/>
      <w:bookmarkEnd w:id="199"/>
      <w:bookmarkStart w:id="200" w:name="_Toc184313301"/>
      <w:bookmarkEnd w:id="200"/>
      <w:bookmarkStart w:id="201" w:name="_Toc184314455"/>
      <w:bookmarkEnd w:id="201"/>
      <w:bookmarkStart w:id="202" w:name="_Toc184314429"/>
      <w:bookmarkEnd w:id="202"/>
      <w:bookmarkStart w:id="203" w:name="_Toc184310291"/>
      <w:bookmarkEnd w:id="203"/>
      <w:bookmarkStart w:id="204" w:name="_Toc184312081"/>
      <w:bookmarkEnd w:id="204"/>
      <w:bookmarkStart w:id="205" w:name="_Toc184310338"/>
      <w:bookmarkEnd w:id="205"/>
      <w:bookmarkStart w:id="206" w:name="_Toc184314436"/>
      <w:bookmarkEnd w:id="206"/>
      <w:bookmarkStart w:id="207" w:name="_Toc184310326"/>
      <w:bookmarkEnd w:id="207"/>
      <w:bookmarkStart w:id="208" w:name="_Toc184308066"/>
      <w:bookmarkEnd w:id="208"/>
      <w:bookmarkStart w:id="209" w:name="_Toc184313305"/>
      <w:bookmarkEnd w:id="209"/>
      <w:bookmarkStart w:id="210" w:name="_Toc184308072"/>
      <w:bookmarkEnd w:id="210"/>
      <w:bookmarkStart w:id="211" w:name="_Toc184313247"/>
      <w:bookmarkEnd w:id="211"/>
      <w:bookmarkStart w:id="212" w:name="_Toc184310297"/>
      <w:bookmarkEnd w:id="212"/>
      <w:bookmarkStart w:id="213" w:name="_Toc184308045"/>
      <w:bookmarkEnd w:id="213"/>
      <w:bookmarkStart w:id="214" w:name="_Toc184310287"/>
      <w:bookmarkEnd w:id="214"/>
      <w:bookmarkStart w:id="215" w:name="_Toc184313273"/>
      <w:bookmarkEnd w:id="215"/>
      <w:bookmarkStart w:id="216" w:name="_Toc184314414"/>
      <w:bookmarkEnd w:id="216"/>
      <w:bookmarkStart w:id="217" w:name="_Toc184310312"/>
      <w:bookmarkEnd w:id="217"/>
      <w:bookmarkStart w:id="218" w:name="_Toc184314474"/>
      <w:bookmarkEnd w:id="218"/>
      <w:bookmarkStart w:id="219" w:name="_Toc184314412"/>
      <w:bookmarkEnd w:id="219"/>
      <w:bookmarkStart w:id="220" w:name="_Toc184313279"/>
      <w:bookmarkEnd w:id="220"/>
      <w:bookmarkStart w:id="221" w:name="_Toc184310317"/>
      <w:bookmarkEnd w:id="221"/>
      <w:bookmarkStart w:id="222" w:name="_Toc184310325"/>
      <w:bookmarkEnd w:id="222"/>
      <w:bookmarkStart w:id="223" w:name="_Toc184310280"/>
      <w:bookmarkEnd w:id="223"/>
      <w:bookmarkStart w:id="224" w:name="_Toc184312111"/>
      <w:bookmarkEnd w:id="224"/>
      <w:bookmarkStart w:id="225" w:name="_Toc184314452"/>
      <w:bookmarkEnd w:id="225"/>
      <w:bookmarkStart w:id="226" w:name="_Toc184313265"/>
      <w:bookmarkEnd w:id="226"/>
      <w:bookmarkStart w:id="227" w:name="_Toc184310299"/>
      <w:bookmarkEnd w:id="227"/>
      <w:bookmarkStart w:id="228" w:name="_Toc184313263"/>
      <w:bookmarkEnd w:id="228"/>
      <w:bookmarkStart w:id="229" w:name="_Toc184308087"/>
      <w:bookmarkEnd w:id="229"/>
      <w:bookmarkStart w:id="230" w:name="_Toc184314434"/>
      <w:bookmarkEnd w:id="230"/>
      <w:bookmarkStart w:id="231" w:name="_Toc184310294"/>
      <w:bookmarkEnd w:id="231"/>
      <w:bookmarkStart w:id="232" w:name="_Toc184313282"/>
      <w:bookmarkEnd w:id="232"/>
      <w:bookmarkStart w:id="233" w:name="_Toc184313240"/>
      <w:bookmarkEnd w:id="233"/>
      <w:bookmarkStart w:id="234" w:name="_Toc184313304"/>
      <w:bookmarkEnd w:id="234"/>
      <w:bookmarkStart w:id="235" w:name="_Toc184314469"/>
      <w:bookmarkEnd w:id="235"/>
      <w:bookmarkStart w:id="236" w:name="_Toc184313261"/>
      <w:bookmarkEnd w:id="236"/>
      <w:bookmarkStart w:id="237" w:name="_Toc184312109"/>
      <w:bookmarkEnd w:id="237"/>
      <w:bookmarkStart w:id="238" w:name="_Toc184312108"/>
      <w:bookmarkEnd w:id="238"/>
      <w:bookmarkStart w:id="239" w:name="_Toc184313297"/>
      <w:bookmarkEnd w:id="239"/>
      <w:bookmarkStart w:id="240" w:name="_Toc184314420"/>
      <w:bookmarkEnd w:id="240"/>
      <w:bookmarkStart w:id="241" w:name="_Toc184308088"/>
      <w:bookmarkEnd w:id="241"/>
      <w:bookmarkStart w:id="242" w:name="_Toc184313281"/>
      <w:bookmarkEnd w:id="242"/>
      <w:bookmarkStart w:id="243" w:name="_Toc184310324"/>
      <w:bookmarkEnd w:id="243"/>
      <w:bookmarkStart w:id="244" w:name="_Toc184308105"/>
      <w:bookmarkEnd w:id="244"/>
      <w:bookmarkStart w:id="245" w:name="_Toc184314422"/>
      <w:bookmarkEnd w:id="245"/>
      <w:bookmarkStart w:id="246" w:name="_Toc184308047"/>
      <w:bookmarkEnd w:id="246"/>
      <w:bookmarkStart w:id="247" w:name="_Toc184314449"/>
      <w:bookmarkEnd w:id="247"/>
      <w:bookmarkStart w:id="248" w:name="_Toc184308083"/>
      <w:bookmarkEnd w:id="248"/>
      <w:bookmarkStart w:id="249" w:name="_Toc184308078"/>
      <w:bookmarkEnd w:id="249"/>
      <w:bookmarkStart w:id="250" w:name="_Toc184314435"/>
      <w:bookmarkEnd w:id="250"/>
      <w:bookmarkStart w:id="251" w:name="_Toc184308104"/>
      <w:bookmarkEnd w:id="251"/>
      <w:bookmarkStart w:id="252" w:name="_Toc184308057"/>
      <w:bookmarkEnd w:id="252"/>
      <w:bookmarkStart w:id="253" w:name="_Toc184312070"/>
      <w:bookmarkEnd w:id="253"/>
      <w:bookmarkStart w:id="254" w:name="_Toc184310305"/>
      <w:bookmarkEnd w:id="254"/>
      <w:bookmarkStart w:id="255" w:name="_Toc184314445"/>
      <w:bookmarkEnd w:id="255"/>
      <w:bookmarkStart w:id="256" w:name="_Toc184308044"/>
      <w:bookmarkEnd w:id="256"/>
      <w:bookmarkStart w:id="257" w:name="_Toc184314482"/>
      <w:bookmarkEnd w:id="257"/>
      <w:bookmarkStart w:id="258" w:name="_Toc184310301"/>
      <w:bookmarkEnd w:id="258"/>
      <w:bookmarkStart w:id="259" w:name="_Toc184308098"/>
      <w:bookmarkEnd w:id="259"/>
      <w:bookmarkStart w:id="260" w:name="_Toc184308042"/>
      <w:bookmarkEnd w:id="260"/>
      <w:bookmarkStart w:id="261" w:name="_Toc184312116"/>
      <w:bookmarkEnd w:id="261"/>
      <w:bookmarkStart w:id="262" w:name="_Toc184308079"/>
      <w:bookmarkEnd w:id="262"/>
      <w:bookmarkStart w:id="263" w:name="_Toc184308076"/>
      <w:bookmarkEnd w:id="263"/>
      <w:bookmarkStart w:id="264" w:name="_Toc184313254"/>
      <w:bookmarkEnd w:id="264"/>
      <w:bookmarkStart w:id="265" w:name="_Toc184314473"/>
      <w:bookmarkEnd w:id="265"/>
      <w:bookmarkStart w:id="266" w:name="_Toc184308084"/>
      <w:bookmarkEnd w:id="266"/>
      <w:bookmarkStart w:id="267" w:name="_Toc184312124"/>
      <w:bookmarkEnd w:id="267"/>
      <w:bookmarkStart w:id="268" w:name="_Toc184313289"/>
      <w:bookmarkEnd w:id="268"/>
      <w:bookmarkStart w:id="269" w:name="_Toc184308056"/>
      <w:bookmarkEnd w:id="269"/>
      <w:bookmarkStart w:id="270" w:name="_Toc184314471"/>
      <w:bookmarkEnd w:id="270"/>
      <w:bookmarkStart w:id="271" w:name="_Toc184310286"/>
      <w:bookmarkEnd w:id="271"/>
      <w:bookmarkStart w:id="272" w:name="_Toc184313257"/>
      <w:bookmarkEnd w:id="272"/>
      <w:bookmarkStart w:id="273" w:name="_Toc184308063"/>
      <w:bookmarkEnd w:id="273"/>
      <w:bookmarkStart w:id="274" w:name="_Toc184314442"/>
      <w:bookmarkEnd w:id="274"/>
      <w:bookmarkStart w:id="275" w:name="_Toc184308103"/>
      <w:bookmarkEnd w:id="275"/>
      <w:bookmarkStart w:id="276" w:name="_Toc184308096"/>
      <w:bookmarkEnd w:id="276"/>
      <w:bookmarkStart w:id="277" w:name="_Toc184312076"/>
      <w:bookmarkEnd w:id="277"/>
      <w:bookmarkStart w:id="278" w:name="_Toc184313293"/>
      <w:bookmarkEnd w:id="278"/>
      <w:bookmarkStart w:id="279" w:name="_Toc184312100"/>
      <w:bookmarkEnd w:id="279"/>
      <w:bookmarkStart w:id="280" w:name="_Toc184314415"/>
      <w:bookmarkEnd w:id="280"/>
      <w:bookmarkStart w:id="281" w:name="_Toc184310302"/>
      <w:bookmarkEnd w:id="281"/>
      <w:bookmarkStart w:id="282" w:name="_Toc184312113"/>
      <w:bookmarkEnd w:id="282"/>
      <w:bookmarkStart w:id="283" w:name="_Toc184310311"/>
      <w:bookmarkEnd w:id="283"/>
      <w:bookmarkStart w:id="284" w:name="_Toc184308090"/>
      <w:bookmarkEnd w:id="284"/>
      <w:bookmarkStart w:id="285" w:name="_Toc184312095"/>
      <w:bookmarkEnd w:id="285"/>
      <w:bookmarkStart w:id="286" w:name="_Toc184312134"/>
      <w:bookmarkEnd w:id="286"/>
      <w:bookmarkStart w:id="287" w:name="_Toc184312072"/>
      <w:bookmarkEnd w:id="287"/>
      <w:bookmarkStart w:id="288" w:name="_Toc184310303"/>
      <w:bookmarkEnd w:id="288"/>
      <w:bookmarkStart w:id="289" w:name="_Toc184314462"/>
      <w:bookmarkEnd w:id="289"/>
      <w:bookmarkStart w:id="290" w:name="_Toc184312090"/>
      <w:bookmarkEnd w:id="290"/>
      <w:bookmarkStart w:id="291" w:name="_Toc184312139"/>
      <w:bookmarkEnd w:id="291"/>
      <w:bookmarkStart w:id="292" w:name="_Toc184313295"/>
      <w:bookmarkEnd w:id="292"/>
      <w:bookmarkStart w:id="293" w:name="_Toc184314459"/>
      <w:bookmarkEnd w:id="293"/>
      <w:bookmarkStart w:id="294" w:name="_Toc184312087"/>
      <w:bookmarkEnd w:id="294"/>
      <w:bookmarkStart w:id="295" w:name="_Toc184308102"/>
      <w:bookmarkEnd w:id="295"/>
      <w:bookmarkStart w:id="296" w:name="_Toc184312077"/>
      <w:bookmarkEnd w:id="296"/>
      <w:bookmarkStart w:id="297" w:name="_Toc184313267"/>
      <w:bookmarkEnd w:id="297"/>
      <w:bookmarkStart w:id="298" w:name="_Toc184310277"/>
      <w:bookmarkEnd w:id="298"/>
      <w:bookmarkStart w:id="299" w:name="_Toc184310309"/>
      <w:bookmarkEnd w:id="299"/>
      <w:bookmarkStart w:id="300" w:name="_Toc184308094"/>
      <w:bookmarkEnd w:id="300"/>
      <w:bookmarkStart w:id="301" w:name="_Toc184312125"/>
      <w:bookmarkEnd w:id="301"/>
      <w:bookmarkStart w:id="302" w:name="_Toc184314413"/>
      <w:bookmarkEnd w:id="302"/>
      <w:bookmarkStart w:id="303" w:name="_Toc184308071"/>
      <w:bookmarkEnd w:id="303"/>
      <w:bookmarkStart w:id="304" w:name="_Toc184312137"/>
      <w:bookmarkEnd w:id="304"/>
      <w:bookmarkStart w:id="305" w:name="_Toc184308037"/>
      <w:bookmarkEnd w:id="305"/>
      <w:bookmarkStart w:id="306" w:name="_Toc184308073"/>
      <w:bookmarkEnd w:id="306"/>
      <w:bookmarkStart w:id="307" w:name="_Toc184310285"/>
      <w:bookmarkEnd w:id="307"/>
      <w:bookmarkStart w:id="308" w:name="_Toc184310331"/>
      <w:bookmarkEnd w:id="308"/>
      <w:bookmarkStart w:id="309" w:name="_Toc184312083"/>
      <w:bookmarkEnd w:id="309"/>
      <w:bookmarkStart w:id="310" w:name="_Toc184313252"/>
      <w:bookmarkEnd w:id="310"/>
      <w:bookmarkStart w:id="311" w:name="_Toc184313255"/>
      <w:bookmarkEnd w:id="311"/>
      <w:bookmarkStart w:id="312" w:name="_Toc184308053"/>
      <w:bookmarkEnd w:id="312"/>
      <w:bookmarkStart w:id="313" w:name="_Toc184312133"/>
      <w:bookmarkEnd w:id="313"/>
      <w:bookmarkStart w:id="314" w:name="_Toc184314475"/>
      <w:bookmarkEnd w:id="314"/>
      <w:bookmarkStart w:id="315" w:name="_Toc184310274"/>
      <w:bookmarkEnd w:id="315"/>
      <w:bookmarkStart w:id="316" w:name="_Toc184314477"/>
      <w:bookmarkEnd w:id="316"/>
      <w:bookmarkStart w:id="317" w:name="_Toc184313292"/>
      <w:bookmarkEnd w:id="317"/>
      <w:bookmarkStart w:id="318" w:name="_Toc184310276"/>
      <w:bookmarkEnd w:id="318"/>
      <w:bookmarkStart w:id="319" w:name="_Toc184308048"/>
      <w:bookmarkEnd w:id="319"/>
      <w:bookmarkStart w:id="320" w:name="_Toc184310342"/>
      <w:bookmarkEnd w:id="320"/>
      <w:bookmarkStart w:id="321" w:name="_Toc184312117"/>
      <w:bookmarkEnd w:id="321"/>
      <w:bookmarkStart w:id="322" w:name="_Toc184312073"/>
      <w:bookmarkEnd w:id="322"/>
      <w:bookmarkStart w:id="323" w:name="_Toc184314423"/>
      <w:bookmarkEnd w:id="323"/>
      <w:bookmarkStart w:id="324" w:name="_Toc184308065"/>
      <w:bookmarkEnd w:id="324"/>
      <w:bookmarkStart w:id="325" w:name="_Toc184313264"/>
      <w:bookmarkEnd w:id="325"/>
      <w:bookmarkStart w:id="326" w:name="_Toc184310327"/>
      <w:bookmarkEnd w:id="326"/>
      <w:bookmarkStart w:id="327" w:name="_Toc184314426"/>
      <w:bookmarkEnd w:id="327"/>
      <w:bookmarkStart w:id="328" w:name="_Toc184314439"/>
      <w:bookmarkEnd w:id="328"/>
      <w:bookmarkStart w:id="329" w:name="_Toc184310339"/>
      <w:bookmarkEnd w:id="329"/>
      <w:bookmarkStart w:id="330" w:name="_Toc184308068"/>
      <w:bookmarkEnd w:id="330"/>
      <w:bookmarkStart w:id="331" w:name="_Toc184314470"/>
      <w:bookmarkEnd w:id="331"/>
      <w:bookmarkStart w:id="332" w:name="_Toc184312115"/>
      <w:bookmarkEnd w:id="332"/>
      <w:bookmarkStart w:id="333" w:name="_Toc184314464"/>
      <w:bookmarkEnd w:id="333"/>
      <w:bookmarkStart w:id="334" w:name="_Toc184308099"/>
      <w:bookmarkEnd w:id="334"/>
      <w:bookmarkStart w:id="335" w:name="_Toc184314468"/>
      <w:bookmarkEnd w:id="335"/>
      <w:bookmarkStart w:id="336" w:name="_Toc184312127"/>
      <w:bookmarkEnd w:id="336"/>
      <w:bookmarkStart w:id="337" w:name="_Toc184308095"/>
      <w:bookmarkEnd w:id="337"/>
      <w:bookmarkStart w:id="338" w:name="_Toc184312130"/>
      <w:bookmarkEnd w:id="338"/>
      <w:bookmarkStart w:id="339" w:name="_Toc184308036"/>
      <w:bookmarkEnd w:id="339"/>
      <w:bookmarkStart w:id="340" w:name="_Toc184310332"/>
      <w:bookmarkEnd w:id="340"/>
      <w:bookmarkStart w:id="341" w:name="_Toc184312128"/>
      <w:bookmarkEnd w:id="341"/>
      <w:bookmarkStart w:id="342" w:name="_Toc184314437"/>
      <w:bookmarkEnd w:id="342"/>
      <w:bookmarkStart w:id="343" w:name="_Toc184314421"/>
      <w:bookmarkEnd w:id="343"/>
      <w:bookmarkStart w:id="344" w:name="_Toc184313249"/>
      <w:bookmarkEnd w:id="344"/>
      <w:bookmarkStart w:id="345" w:name="_Toc184308106"/>
      <w:bookmarkEnd w:id="345"/>
      <w:bookmarkStart w:id="346" w:name="_Toc184310298"/>
      <w:bookmarkEnd w:id="346"/>
      <w:bookmarkStart w:id="347" w:name="_Toc184308085"/>
      <w:bookmarkEnd w:id="347"/>
      <w:bookmarkStart w:id="348" w:name="_Toc184310340"/>
      <w:bookmarkEnd w:id="348"/>
      <w:bookmarkStart w:id="349" w:name="_Toc184310284"/>
      <w:bookmarkEnd w:id="349"/>
      <w:bookmarkStart w:id="350" w:name="_Toc184310275"/>
      <w:bookmarkEnd w:id="350"/>
      <w:bookmarkStart w:id="351" w:name="_Toc184314417"/>
      <w:bookmarkEnd w:id="351"/>
      <w:bookmarkStart w:id="352" w:name="_Toc184313272"/>
      <w:bookmarkEnd w:id="352"/>
      <w:bookmarkStart w:id="353" w:name="_Toc184308061"/>
      <w:bookmarkEnd w:id="353"/>
      <w:bookmarkStart w:id="354" w:name="_Toc184313266"/>
      <w:bookmarkEnd w:id="354"/>
      <w:bookmarkStart w:id="355" w:name="_Toc184312069"/>
      <w:bookmarkEnd w:id="355"/>
      <w:bookmarkStart w:id="356" w:name="_Toc184312105"/>
      <w:bookmarkEnd w:id="356"/>
      <w:bookmarkStart w:id="357" w:name="_Toc184308070"/>
      <w:bookmarkEnd w:id="357"/>
      <w:bookmarkStart w:id="358" w:name="_Toc184314480"/>
      <w:bookmarkEnd w:id="358"/>
      <w:bookmarkStart w:id="359" w:name="_Toc184313290"/>
      <w:bookmarkEnd w:id="359"/>
      <w:bookmarkStart w:id="360" w:name="_Toc184310308"/>
      <w:bookmarkEnd w:id="360"/>
      <w:bookmarkStart w:id="361" w:name="_Toc184312129"/>
      <w:bookmarkEnd w:id="361"/>
      <w:bookmarkStart w:id="362" w:name="_Toc184308067"/>
      <w:bookmarkEnd w:id="362"/>
      <w:bookmarkStart w:id="363" w:name="_Toc184308092"/>
      <w:bookmarkEnd w:id="363"/>
      <w:bookmarkStart w:id="364" w:name="_Toc184308064"/>
      <w:bookmarkEnd w:id="364"/>
      <w:bookmarkStart w:id="365" w:name="_Toc184310283"/>
      <w:bookmarkEnd w:id="365"/>
      <w:bookmarkStart w:id="366" w:name="_Toc184308052"/>
      <w:bookmarkEnd w:id="366"/>
      <w:bookmarkStart w:id="367" w:name="_Toc184308075"/>
      <w:bookmarkEnd w:id="367"/>
      <w:bookmarkStart w:id="368" w:name="_Toc184312104"/>
      <w:bookmarkEnd w:id="368"/>
      <w:bookmarkStart w:id="369" w:name="_Toc184313258"/>
      <w:bookmarkEnd w:id="369"/>
      <w:bookmarkStart w:id="370" w:name="_Toc184312119"/>
      <w:bookmarkEnd w:id="370"/>
      <w:bookmarkStart w:id="371" w:name="_Toc184310315"/>
      <w:bookmarkEnd w:id="371"/>
      <w:bookmarkStart w:id="372" w:name="_Toc184310307"/>
      <w:bookmarkEnd w:id="372"/>
      <w:bookmarkStart w:id="373" w:name="_Toc184314446"/>
      <w:bookmarkEnd w:id="373"/>
      <w:bookmarkStart w:id="374" w:name="_Toc184313306"/>
      <w:bookmarkEnd w:id="374"/>
      <w:bookmarkStart w:id="375" w:name="_Toc184314457"/>
      <w:bookmarkEnd w:id="375"/>
      <w:bookmarkStart w:id="376" w:name="_Toc184312101"/>
      <w:bookmarkEnd w:id="376"/>
      <w:bookmarkStart w:id="377" w:name="_Toc184310313"/>
      <w:bookmarkEnd w:id="377"/>
      <w:bookmarkStart w:id="378" w:name="_Toc184308051"/>
      <w:bookmarkEnd w:id="378"/>
      <w:bookmarkStart w:id="379" w:name="_Toc184314466"/>
      <w:bookmarkEnd w:id="379"/>
      <w:bookmarkStart w:id="380" w:name="_Toc184313291"/>
      <w:bookmarkEnd w:id="380"/>
      <w:bookmarkStart w:id="381" w:name="_Toc184312075"/>
      <w:bookmarkEnd w:id="381"/>
      <w:bookmarkStart w:id="382" w:name="_Toc184310288"/>
      <w:bookmarkEnd w:id="382"/>
      <w:bookmarkStart w:id="383" w:name="_Toc184314411"/>
      <w:bookmarkEnd w:id="383"/>
      <w:bookmarkStart w:id="384" w:name="_Toc184308062"/>
      <w:bookmarkEnd w:id="384"/>
      <w:bookmarkStart w:id="385" w:name="_Toc184308089"/>
      <w:bookmarkEnd w:id="385"/>
      <w:bookmarkStart w:id="386" w:name="_Toc184308069"/>
      <w:bookmarkEnd w:id="386"/>
      <w:bookmarkStart w:id="387" w:name="_Toc184314431"/>
      <w:bookmarkEnd w:id="387"/>
      <w:bookmarkStart w:id="388" w:name="_Toc184314443"/>
      <w:bookmarkEnd w:id="388"/>
      <w:bookmarkStart w:id="389" w:name="_Toc184313286"/>
      <w:bookmarkEnd w:id="389"/>
      <w:bookmarkStart w:id="390" w:name="_Toc184313302"/>
      <w:bookmarkEnd w:id="390"/>
      <w:bookmarkStart w:id="391" w:name="_Toc184314467"/>
      <w:bookmarkEnd w:id="391"/>
      <w:bookmarkStart w:id="392" w:name="_Toc184310292"/>
      <w:bookmarkEnd w:id="392"/>
      <w:bookmarkStart w:id="393" w:name="_Toc184312092"/>
      <w:bookmarkEnd w:id="393"/>
      <w:bookmarkStart w:id="394" w:name="_Toc184310336"/>
      <w:bookmarkEnd w:id="394"/>
      <w:bookmarkStart w:id="395" w:name="_Toc184313238"/>
      <w:bookmarkEnd w:id="395"/>
      <w:bookmarkStart w:id="396" w:name="_Toc184312106"/>
      <w:bookmarkEnd w:id="396"/>
      <w:bookmarkStart w:id="397" w:name="_Toc184308049"/>
      <w:bookmarkEnd w:id="397"/>
      <w:bookmarkStart w:id="398" w:name="_Toc184312123"/>
      <w:bookmarkEnd w:id="398"/>
      <w:bookmarkStart w:id="399" w:name="_Toc184312094"/>
      <w:bookmarkEnd w:id="399"/>
      <w:bookmarkStart w:id="400" w:name="_Toc184310306"/>
      <w:bookmarkEnd w:id="400"/>
      <w:bookmarkStart w:id="401" w:name="_Toc184312107"/>
      <w:bookmarkEnd w:id="401"/>
      <w:bookmarkStart w:id="402" w:name="_Toc184310337"/>
      <w:bookmarkEnd w:id="402"/>
      <w:bookmarkStart w:id="403" w:name="_Toc184310320"/>
      <w:bookmarkEnd w:id="403"/>
      <w:bookmarkStart w:id="404" w:name="_Toc184314472"/>
      <w:bookmarkEnd w:id="404"/>
      <w:bookmarkStart w:id="405" w:name="_Toc184313298"/>
      <w:bookmarkEnd w:id="405"/>
      <w:bookmarkStart w:id="406" w:name="_Toc184313310"/>
      <w:bookmarkEnd w:id="406"/>
      <w:bookmarkStart w:id="407" w:name="_Toc184308074"/>
      <w:bookmarkEnd w:id="407"/>
      <w:bookmarkStart w:id="408" w:name="_Toc184310290"/>
      <w:bookmarkEnd w:id="408"/>
      <w:bookmarkStart w:id="409" w:name="_Toc184312096"/>
      <w:bookmarkEnd w:id="409"/>
      <w:bookmarkStart w:id="410" w:name="_Toc184312088"/>
      <w:bookmarkEnd w:id="410"/>
      <w:bookmarkStart w:id="411" w:name="_Toc184313307"/>
      <w:bookmarkEnd w:id="411"/>
      <w:r>
        <w:rPr>
          <w:rFonts w:hint="eastAsia" w:ascii="宋体" w:hAnsi="宋体" w:cs="宋体"/>
          <w:b/>
          <w:sz w:val="32"/>
          <w:szCs w:val="20"/>
        </w:rPr>
        <w:t xml:space="preserve"> 评标办法及评分标准</w:t>
      </w:r>
    </w:p>
    <w:p w14:paraId="1A3C870F">
      <w:pPr>
        <w:snapToGrid w:val="0"/>
        <w:spacing w:line="360" w:lineRule="auto"/>
        <w:ind w:firstLine="413"/>
        <w:rPr>
          <w:rFonts w:ascii="宋体" w:hAnsi="宋体" w:cs="宋体"/>
          <w:b/>
          <w:szCs w:val="21"/>
        </w:rPr>
      </w:pPr>
      <w:r>
        <w:rPr>
          <w:rFonts w:hint="eastAsia" w:ascii="宋体" w:hAnsi="宋体" w:cs="宋体"/>
          <w:b/>
          <w:szCs w:val="21"/>
        </w:rPr>
        <w:t>一、评审方法</w:t>
      </w:r>
    </w:p>
    <w:p w14:paraId="5A3BD489">
      <w:pPr>
        <w:adjustRightInd/>
        <w:spacing w:line="360" w:lineRule="auto"/>
        <w:ind w:firstLine="413" w:firstLineChars="196"/>
        <w:rPr>
          <w:rFonts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综合评分法，是指响应文件满足磋商文件全部实质性要求且按评审因素的量化指标评审得分最高的供应商为成交候选供应商的评审方法。</w:t>
      </w:r>
    </w:p>
    <w:p w14:paraId="5777488F">
      <w:pPr>
        <w:snapToGrid w:val="0"/>
        <w:spacing w:line="360" w:lineRule="auto"/>
        <w:ind w:firstLine="413"/>
        <w:rPr>
          <w:rFonts w:ascii="宋体" w:hAnsi="宋体" w:cs="宋体"/>
          <w:b/>
          <w:szCs w:val="21"/>
        </w:rPr>
      </w:pPr>
      <w:r>
        <w:rPr>
          <w:rFonts w:hint="eastAsia" w:ascii="宋体" w:hAnsi="宋体" w:cs="宋体"/>
          <w:b/>
          <w:szCs w:val="21"/>
        </w:rPr>
        <w:t>二、评审标准</w:t>
      </w:r>
    </w:p>
    <w:p w14:paraId="6F25DEE4">
      <w:pPr>
        <w:spacing w:line="360" w:lineRule="auto"/>
        <w:ind w:firstLine="413" w:firstLineChars="196"/>
        <w:rPr>
          <w:rFonts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评审标准：</w:t>
      </w:r>
      <w:r>
        <w:rPr>
          <w:rFonts w:hint="eastAsia" w:ascii="宋体" w:hAnsi="宋体" w:cs="宋体"/>
          <w:kern w:val="0"/>
          <w:szCs w:val="21"/>
        </w:rPr>
        <w:t>见评审办法前附表。</w:t>
      </w:r>
    </w:p>
    <w:p w14:paraId="4F8D9B54">
      <w:pPr>
        <w:snapToGrid w:val="0"/>
        <w:spacing w:line="360" w:lineRule="auto"/>
        <w:ind w:firstLine="413"/>
        <w:rPr>
          <w:rFonts w:ascii="宋体" w:hAnsi="宋体" w:cs="宋体"/>
          <w:b/>
          <w:szCs w:val="21"/>
        </w:rPr>
      </w:pPr>
      <w:r>
        <w:rPr>
          <w:rFonts w:hint="eastAsia" w:ascii="宋体" w:hAnsi="宋体" w:cs="宋体"/>
          <w:b/>
          <w:szCs w:val="21"/>
        </w:rPr>
        <w:t>三、评审程序</w:t>
      </w:r>
    </w:p>
    <w:p w14:paraId="7414A5FD">
      <w:pPr>
        <w:spacing w:line="360"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磋商小组应当对符合资格的供应商的响应文件进行符合性审查，以确定其是否满足采购文件的实质性要求。不满足采购文件的实质性要求的，响应文件无效。</w:t>
      </w:r>
    </w:p>
    <w:p w14:paraId="4D400B3B">
      <w:pPr>
        <w:spacing w:line="360" w:lineRule="auto"/>
        <w:ind w:firstLine="413" w:firstLineChars="196"/>
        <w:rPr>
          <w:rFonts w:ascii="宋体" w:hAnsi="宋体" w:cs="宋体"/>
          <w:szCs w:val="21"/>
        </w:rPr>
      </w:pPr>
      <w:r>
        <w:rPr>
          <w:rFonts w:hint="eastAsia" w:ascii="宋体" w:hAnsi="宋体" w:cs="宋体"/>
          <w:b/>
          <w:kern w:val="0"/>
          <w:szCs w:val="21"/>
        </w:rPr>
        <w:t>3.2 磋商。</w:t>
      </w:r>
      <w:r>
        <w:rPr>
          <w:rFonts w:hint="eastAsia" w:ascii="宋体" w:hAnsi="宋体" w:cs="宋体"/>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Cs w:val="21"/>
        </w:rPr>
        <w:t>符合性审查合格的</w:t>
      </w:r>
      <w:r>
        <w:rPr>
          <w:rFonts w:hint="eastAsia" w:ascii="宋体" w:hAnsi="宋体" w:cs="宋体"/>
          <w:szCs w:val="21"/>
        </w:rPr>
        <w:t>供应商逐一进行磋商。</w:t>
      </w:r>
    </w:p>
    <w:p w14:paraId="078151AA">
      <w:pPr>
        <w:spacing w:line="360" w:lineRule="auto"/>
        <w:ind w:firstLine="411" w:firstLineChars="196"/>
        <w:rPr>
          <w:rFonts w:ascii="宋体" w:hAnsi="宋体" w:cs="宋体"/>
          <w:b/>
          <w:szCs w:val="21"/>
        </w:rPr>
      </w:pPr>
      <w:r>
        <w:rPr>
          <w:rFonts w:hint="eastAsia" w:ascii="宋体" w:hAnsi="宋体" w:cs="宋体"/>
          <w:bCs/>
          <w:szCs w:val="21"/>
        </w:rPr>
        <w:t xml:space="preserve">3.2.1 </w:t>
      </w:r>
      <w:r>
        <w:rPr>
          <w:rFonts w:hint="eastAsia" w:ascii="宋体" w:hAnsi="宋体" w:cs="宋体"/>
          <w:szCs w:val="21"/>
        </w:rPr>
        <w:t>供应商逐家回答磋商小组的提问；</w:t>
      </w:r>
      <w:r>
        <w:rPr>
          <w:rFonts w:hint="eastAsia" w:ascii="宋体" w:hAnsi="宋体" w:cs="宋体"/>
          <w:b/>
          <w:szCs w:val="21"/>
        </w:rPr>
        <w:t>逐家磋商一次为一个轮次，磋商轮次根据实际情况进行。</w:t>
      </w:r>
    </w:p>
    <w:p w14:paraId="448A0779">
      <w:pPr>
        <w:spacing w:line="360" w:lineRule="auto"/>
        <w:ind w:firstLine="411" w:firstLineChars="196"/>
        <w:rPr>
          <w:rFonts w:ascii="宋体" w:hAnsi="宋体" w:cs="宋体"/>
          <w:szCs w:val="21"/>
        </w:rPr>
      </w:pPr>
      <w:r>
        <w:rPr>
          <w:rFonts w:hint="eastAsia" w:ascii="宋体" w:hAnsi="宋体" w:cs="宋体"/>
          <w:bCs/>
          <w:szCs w:val="21"/>
        </w:rPr>
        <w:t xml:space="preserve">3.2.2 </w:t>
      </w:r>
      <w:r>
        <w:rPr>
          <w:rFonts w:hint="eastAsia" w:ascii="宋体" w:hAnsi="宋体" w:cs="宋体"/>
          <w:szCs w:val="21"/>
        </w:rPr>
        <w:t>供应商应按磋商小组通知的时间在线或以邮件回复做出承诺或回复，承诺或回复的内容须由供应商法定代表人或授权代表签署，并作为响应文件的补充部分。</w:t>
      </w:r>
    </w:p>
    <w:p w14:paraId="59ECAB5B">
      <w:pPr>
        <w:spacing w:line="360" w:lineRule="auto"/>
        <w:ind w:firstLine="411" w:firstLineChars="196"/>
        <w:rPr>
          <w:rFonts w:ascii="宋体" w:hAnsi="宋体" w:cs="宋体"/>
          <w:bCs/>
          <w:kern w:val="0"/>
          <w:szCs w:val="21"/>
        </w:rPr>
      </w:pPr>
      <w:r>
        <w:rPr>
          <w:rFonts w:hint="eastAsia" w:ascii="宋体" w:hAnsi="宋体" w:cs="宋体"/>
          <w:szCs w:val="21"/>
        </w:rPr>
        <w:t xml:space="preserve">3.2.3 </w:t>
      </w:r>
      <w:r>
        <w:rPr>
          <w:rFonts w:hint="eastAsia" w:ascii="宋体" w:hAnsi="宋体" w:cs="宋体"/>
          <w:b/>
          <w:bCs/>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Cs w:val="21"/>
        </w:rPr>
        <w:t>实质性变动的内容，须经采购人代表确认。磋商文件有实质性变动的，磋商小组将以书面形式通知所有</w:t>
      </w:r>
      <w:r>
        <w:rPr>
          <w:rFonts w:hint="eastAsia" w:ascii="宋体" w:hAnsi="宋体" w:cs="宋体"/>
          <w:kern w:val="0"/>
          <w:szCs w:val="21"/>
        </w:rPr>
        <w:t>符合性审查合格的</w:t>
      </w:r>
      <w:r>
        <w:rPr>
          <w:rFonts w:hint="eastAsia" w:ascii="宋体" w:hAnsi="宋体" w:cs="宋体"/>
          <w:szCs w:val="21"/>
        </w:rPr>
        <w:t xml:space="preserve">供应商。 </w:t>
      </w:r>
    </w:p>
    <w:p w14:paraId="04E955DC">
      <w:pPr>
        <w:spacing w:line="360" w:lineRule="auto"/>
        <w:ind w:firstLine="413" w:firstLineChars="196"/>
        <w:rPr>
          <w:rFonts w:ascii="宋体" w:hAnsi="宋体" w:cs="宋体"/>
          <w:b/>
          <w:bCs/>
          <w:kern w:val="0"/>
          <w:szCs w:val="21"/>
        </w:rPr>
      </w:pPr>
      <w:r>
        <w:rPr>
          <w:rFonts w:hint="eastAsia" w:ascii="宋体" w:hAnsi="宋体" w:cs="宋体"/>
          <w:b/>
          <w:bCs/>
          <w:kern w:val="0"/>
          <w:szCs w:val="21"/>
        </w:rPr>
        <w:t>3.3最后报价</w:t>
      </w:r>
    </w:p>
    <w:p w14:paraId="6DEAC79C">
      <w:pPr>
        <w:spacing w:line="360" w:lineRule="auto"/>
        <w:ind w:firstLine="411" w:firstLineChars="196"/>
        <w:rPr>
          <w:rFonts w:ascii="宋体" w:hAnsi="宋体" w:cs="宋体"/>
          <w:kern w:val="0"/>
          <w:szCs w:val="21"/>
        </w:rPr>
      </w:pPr>
      <w:r>
        <w:rPr>
          <w:rFonts w:hint="eastAsia" w:ascii="宋体" w:hAnsi="宋体" w:cs="宋体"/>
          <w:kern w:val="0"/>
          <w:szCs w:val="21"/>
        </w:rPr>
        <w:t>3.3.1 磋商文件能够详细列明采购标的的技术、服务要求的，磋商结束后，磋商小组应当要求所有符合性审查合格的供应商在规定时间内提交最后报价，提交最后报价的供应商不得少于3家。</w:t>
      </w:r>
    </w:p>
    <w:p w14:paraId="02A33373">
      <w:pPr>
        <w:spacing w:line="360" w:lineRule="auto"/>
        <w:ind w:firstLine="411" w:firstLineChars="196"/>
        <w:rPr>
          <w:rFonts w:ascii="宋体" w:hAnsi="宋体" w:cs="宋体"/>
          <w:kern w:val="0"/>
          <w:szCs w:val="21"/>
        </w:rPr>
      </w:pPr>
      <w:r>
        <w:rPr>
          <w:rFonts w:hint="eastAsia" w:ascii="宋体" w:hAnsi="宋体" w:cs="宋体"/>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47E8BB5">
      <w:pPr>
        <w:spacing w:line="360" w:lineRule="auto"/>
        <w:ind w:firstLine="411" w:firstLineChars="196"/>
        <w:rPr>
          <w:rFonts w:ascii="宋体" w:hAnsi="宋体" w:cs="宋体"/>
          <w:kern w:val="0"/>
          <w:szCs w:val="21"/>
        </w:rPr>
      </w:pPr>
      <w:r>
        <w:rPr>
          <w:rFonts w:hint="eastAsia" w:ascii="宋体" w:hAnsi="宋体" w:cs="宋体"/>
          <w:kern w:val="0"/>
          <w:szCs w:val="21"/>
        </w:rPr>
        <w:t>3.3.3 已提交响应文件的供应商，在提交最后报价之前，可以根据磋商情况退出磋商</w:t>
      </w:r>
    </w:p>
    <w:p w14:paraId="09CF1014">
      <w:pPr>
        <w:spacing w:line="360" w:lineRule="auto"/>
        <w:ind w:firstLine="413" w:firstLineChars="196"/>
        <w:rPr>
          <w:rFonts w:ascii="宋体" w:hAnsi="宋体" w:cs="宋体"/>
          <w:kern w:val="0"/>
          <w:szCs w:val="21"/>
        </w:rPr>
      </w:pPr>
      <w:r>
        <w:rPr>
          <w:rFonts w:hint="eastAsia" w:ascii="宋体" w:hAnsi="宋体" w:cs="宋体"/>
          <w:b/>
          <w:kern w:val="0"/>
          <w:szCs w:val="21"/>
        </w:rPr>
        <w:t>3.4 综合评分。</w:t>
      </w:r>
      <w:r>
        <w:rPr>
          <w:rFonts w:hint="eastAsia" w:ascii="宋体" w:hAnsi="宋体" w:cs="宋体"/>
          <w:bCs/>
          <w:kern w:val="0"/>
          <w:szCs w:val="21"/>
        </w:rPr>
        <w:t>经磋商确定最终采购需求和提交最后报价的供应商后，</w:t>
      </w:r>
      <w:r>
        <w:rPr>
          <w:rFonts w:hint="eastAsia" w:ascii="宋体" w:hAnsi="宋体" w:cs="宋体"/>
          <w:kern w:val="0"/>
          <w:szCs w:val="21"/>
        </w:rPr>
        <w:t>磋商小组应当按照采购文件中规定的评审标准，对符合性审查合格的响应文件进行综合评分。磋商文件中没有规定的评审标准不得作为评审依据。</w:t>
      </w:r>
    </w:p>
    <w:p w14:paraId="559D06FE">
      <w:pPr>
        <w:spacing w:line="360" w:lineRule="auto"/>
        <w:ind w:firstLine="413" w:firstLineChars="196"/>
        <w:rPr>
          <w:rFonts w:ascii="宋体" w:hAnsi="宋体" w:cs="宋体"/>
          <w:color w:val="000000" w:themeColor="text1"/>
          <w:kern w:val="0"/>
          <w:szCs w:val="21"/>
          <w14:textFill>
            <w14:solidFill>
              <w14:schemeClr w14:val="tx1"/>
            </w14:solidFill>
          </w14:textFill>
        </w:rPr>
      </w:pPr>
      <w:r>
        <w:rPr>
          <w:rFonts w:hint="eastAsia" w:ascii="宋体" w:hAnsi="宋体" w:cs="宋体"/>
          <w:b/>
          <w:kern w:val="0"/>
          <w:szCs w:val="21"/>
        </w:rPr>
        <w:t>3.5汇总商务技术得分。</w:t>
      </w:r>
      <w:r>
        <w:rPr>
          <w:rFonts w:hint="eastAsia" w:ascii="宋体" w:hAnsi="宋体" w:cs="宋体"/>
          <w:kern w:val="0"/>
          <w:szCs w:val="21"/>
        </w:rPr>
        <w:t>磋商小组各成员应当独立对每个供应商的商务和技术文件进行评价，并汇总商务技术得分情况</w:t>
      </w:r>
      <w:r>
        <w:rPr>
          <w:rFonts w:hint="eastAsia" w:ascii="宋体" w:hAnsi="宋体" w:cs="宋体"/>
          <w:color w:val="000000" w:themeColor="text1"/>
          <w:kern w:val="0"/>
          <w:szCs w:val="21"/>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Cs w:val="21"/>
          <w14:textFill>
            <w14:solidFill>
              <w14:schemeClr w14:val="tx1"/>
            </w14:solidFill>
          </w14:textFill>
        </w:rPr>
        <w:t>30%以上的，由</w:t>
      </w:r>
      <w:r>
        <w:rPr>
          <w:rFonts w:hint="eastAsia" w:ascii="宋体" w:hAnsi="宋体" w:cs="宋体"/>
          <w:color w:val="000000" w:themeColor="text1"/>
          <w:kern w:val="0"/>
          <w:szCs w:val="21"/>
          <w14:textFill>
            <w14:solidFill>
              <w14:schemeClr w14:val="tx1"/>
            </w14:solidFill>
          </w14:textFill>
        </w:rPr>
        <w:t>磋商小组</w:t>
      </w:r>
      <w:r>
        <w:rPr>
          <w:rFonts w:ascii="宋体" w:hAnsi="宋体" w:cs="宋体"/>
          <w:color w:val="000000" w:themeColor="text1"/>
          <w:kern w:val="0"/>
          <w:szCs w:val="21"/>
          <w14:textFill>
            <w14:solidFill>
              <w14:schemeClr w14:val="tx1"/>
            </w14:solidFill>
          </w14:textFill>
        </w:rPr>
        <w:t>启动评分畸高、畸低行为认定程序</w:t>
      </w:r>
      <w:r>
        <w:rPr>
          <w:rFonts w:hint="eastAsia" w:ascii="宋体" w:hAnsi="宋体" w:cs="宋体"/>
          <w:color w:val="000000" w:themeColor="text1"/>
          <w:kern w:val="0"/>
          <w:szCs w:val="21"/>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7701D1D3">
      <w:pPr>
        <w:spacing w:line="360" w:lineRule="auto"/>
        <w:ind w:firstLine="413" w:firstLineChars="196"/>
        <w:rPr>
          <w:rFonts w:ascii="宋体" w:hAnsi="宋体" w:cs="宋体"/>
          <w:b/>
          <w:kern w:val="0"/>
          <w:szCs w:val="21"/>
        </w:rPr>
      </w:pPr>
      <w:r>
        <w:rPr>
          <w:rFonts w:hint="eastAsia" w:ascii="宋体" w:hAnsi="宋体" w:cs="宋体"/>
          <w:b/>
          <w:kern w:val="0"/>
          <w:szCs w:val="21"/>
        </w:rPr>
        <w:t>3.6报价评审。</w:t>
      </w:r>
    </w:p>
    <w:p w14:paraId="37AFEF62">
      <w:pPr>
        <w:pStyle w:val="131"/>
        <w:spacing w:before="0"/>
        <w:ind w:firstLine="445" w:firstLineChars="212"/>
        <w:rPr>
          <w:rFonts w:ascii="宋体" w:hAnsi="宋体" w:cs="宋体"/>
          <w:kern w:val="0"/>
          <w:sz w:val="21"/>
          <w:szCs w:val="21"/>
        </w:rPr>
      </w:pPr>
      <w:r>
        <w:rPr>
          <w:rFonts w:hint="eastAsia" w:ascii="宋体" w:hAnsi="宋体" w:cs="宋体"/>
          <w:kern w:val="0"/>
          <w:sz w:val="21"/>
          <w:szCs w:val="21"/>
        </w:rPr>
        <w:t>3.6.1响应文件报价出现前后不一致的，按照下列规定修正：</w:t>
      </w:r>
    </w:p>
    <w:p w14:paraId="3643CCB8">
      <w:pPr>
        <w:pStyle w:val="131"/>
        <w:spacing w:before="0"/>
        <w:ind w:firstLine="420"/>
        <w:rPr>
          <w:rFonts w:ascii="宋体" w:hAnsi="宋体" w:cs="宋体"/>
          <w:kern w:val="0"/>
          <w:sz w:val="21"/>
          <w:szCs w:val="21"/>
        </w:rPr>
      </w:pPr>
      <w:r>
        <w:rPr>
          <w:rFonts w:hint="eastAsia" w:ascii="宋体" w:hAnsi="宋体" w:cs="宋体"/>
          <w:kern w:val="0"/>
          <w:sz w:val="21"/>
          <w:szCs w:val="21"/>
        </w:rPr>
        <w:t>3.6.1.1响应文件中已标价工程量清单内容与响应文件中相应内容不一致的，以已标价工程量清单为准;</w:t>
      </w:r>
    </w:p>
    <w:p w14:paraId="19EED708">
      <w:pPr>
        <w:pStyle w:val="131"/>
        <w:spacing w:before="0"/>
        <w:ind w:firstLine="420"/>
        <w:rPr>
          <w:rFonts w:ascii="宋体" w:hAnsi="宋体" w:cs="宋体"/>
          <w:kern w:val="0"/>
          <w:sz w:val="21"/>
          <w:szCs w:val="21"/>
        </w:rPr>
      </w:pPr>
      <w:r>
        <w:rPr>
          <w:rFonts w:hint="eastAsia" w:ascii="宋体" w:hAnsi="宋体" w:cs="宋体"/>
          <w:kern w:val="0"/>
          <w:sz w:val="21"/>
          <w:szCs w:val="21"/>
        </w:rPr>
        <w:t>3.6.1.2大写金额和小写金额不一致的，以大写金额为准;</w:t>
      </w:r>
    </w:p>
    <w:p w14:paraId="102786AC">
      <w:pPr>
        <w:pStyle w:val="131"/>
        <w:spacing w:before="0"/>
        <w:ind w:firstLine="420"/>
        <w:rPr>
          <w:rFonts w:ascii="宋体" w:hAnsi="宋体" w:cs="宋体"/>
          <w:kern w:val="0"/>
          <w:sz w:val="21"/>
          <w:szCs w:val="21"/>
        </w:rPr>
      </w:pPr>
      <w:r>
        <w:rPr>
          <w:rFonts w:hint="eastAsia" w:ascii="宋体" w:hAnsi="宋体" w:cs="宋体"/>
          <w:kern w:val="0"/>
          <w:sz w:val="21"/>
          <w:szCs w:val="21"/>
        </w:rPr>
        <w:t>3.6.1.3单价金额小数点或者百分比有明显错位的，以已标价工程量清单的总价为准，并修改单价;</w:t>
      </w:r>
    </w:p>
    <w:p w14:paraId="12590B28">
      <w:pPr>
        <w:pStyle w:val="131"/>
        <w:spacing w:before="0"/>
        <w:ind w:firstLine="420"/>
        <w:rPr>
          <w:rFonts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14:paraId="54B2A130">
      <w:pPr>
        <w:pStyle w:val="131"/>
        <w:spacing w:before="0"/>
        <w:ind w:firstLine="420"/>
        <w:rPr>
          <w:rFonts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14:paraId="782E521A">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3.6.2响应文件出现不是唯一的、有选择性最后报价的，响应文件无效。</w:t>
      </w:r>
    </w:p>
    <w:p w14:paraId="70F6B101">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3.6.3最后报价超过采购文件中规定的预算金额或者最高限价的，响应文件无效。</w:t>
      </w:r>
    </w:p>
    <w:p w14:paraId="1DDF1123">
      <w:pPr>
        <w:pStyle w:val="131"/>
        <w:spacing w:before="0"/>
        <w:ind w:firstLine="420"/>
        <w:rPr>
          <w:rFonts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06745DF2">
      <w:pPr>
        <w:spacing w:line="360" w:lineRule="auto"/>
        <w:ind w:firstLine="422" w:firstLineChars="200"/>
        <w:rPr>
          <w:rFonts w:ascii="宋体" w:hAnsi="宋体" w:cs="宋体"/>
          <w:b/>
          <w:kern w:val="0"/>
          <w:szCs w:val="21"/>
        </w:rPr>
      </w:pPr>
      <w:r>
        <w:rPr>
          <w:rFonts w:hint="eastAsia" w:ascii="宋体" w:hAnsi="宋体" w:cs="宋体"/>
          <w:b/>
          <w:kern w:val="0"/>
          <w:szCs w:val="21"/>
        </w:rPr>
        <w:t>3.7排序与推荐。</w:t>
      </w:r>
      <w:r>
        <w:rPr>
          <w:rFonts w:hint="eastAsia" w:ascii="宋体" w:hAnsi="宋体" w:cs="宋体"/>
          <w:kern w:val="0"/>
          <w:szCs w:val="21"/>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408CB609">
      <w:pPr>
        <w:spacing w:line="360" w:lineRule="auto"/>
        <w:ind w:firstLine="413" w:firstLineChars="196"/>
        <w:rPr>
          <w:rFonts w:ascii="宋体" w:hAnsi="宋体" w:cs="宋体"/>
          <w:kern w:val="0"/>
          <w:szCs w:val="21"/>
        </w:rPr>
      </w:pPr>
      <w:r>
        <w:rPr>
          <w:rFonts w:hint="eastAsia" w:ascii="宋体" w:hAnsi="宋体" w:cs="宋体"/>
          <w:b/>
          <w:kern w:val="0"/>
          <w:szCs w:val="21"/>
        </w:rPr>
        <w:t>3.8编写评审报告。</w:t>
      </w:r>
      <w:r>
        <w:rPr>
          <w:rFonts w:hint="eastAsia" w:ascii="宋体" w:hAnsi="宋体" w:cs="宋体"/>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C44BA34">
      <w:pPr>
        <w:snapToGrid w:val="0"/>
        <w:spacing w:line="360" w:lineRule="auto"/>
        <w:ind w:firstLine="413"/>
        <w:rPr>
          <w:rFonts w:ascii="宋体" w:hAnsi="宋体" w:cs="宋体"/>
          <w:b/>
          <w:szCs w:val="21"/>
        </w:rPr>
      </w:pPr>
      <w:r>
        <w:rPr>
          <w:rFonts w:hint="eastAsia" w:ascii="宋体" w:hAnsi="宋体" w:cs="宋体"/>
          <w:b/>
          <w:szCs w:val="21"/>
        </w:rPr>
        <w:t>四、评审中的其他事项</w:t>
      </w:r>
    </w:p>
    <w:p w14:paraId="455993F3">
      <w:pPr>
        <w:pStyle w:val="131"/>
        <w:spacing w:before="0"/>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23AAB55">
      <w:pPr>
        <w:pStyle w:val="24"/>
        <w:spacing w:line="360" w:lineRule="auto"/>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14:paraId="3938B9CC">
      <w:pPr>
        <w:spacing w:line="360" w:lineRule="auto"/>
        <w:ind w:firstLine="420" w:firstLineChars="200"/>
        <w:rPr>
          <w:rFonts w:ascii="宋体" w:hAnsi="宋体" w:cs="宋体"/>
          <w:kern w:val="0"/>
          <w:szCs w:val="21"/>
        </w:rPr>
      </w:pPr>
      <w:r>
        <w:rPr>
          <w:rFonts w:hint="eastAsia" w:ascii="宋体" w:hAnsi="宋体" w:cs="宋体"/>
          <w:kern w:val="0"/>
          <w:szCs w:val="21"/>
        </w:rPr>
        <w:t>4.2.1供应商不具备采购文件中规定的资格要求的（供应商未提供有效的资格文件的，视为供应商不具备采购文件中规定的资格要求）；</w:t>
      </w:r>
    </w:p>
    <w:p w14:paraId="70FB2866">
      <w:pPr>
        <w:spacing w:line="360" w:lineRule="auto"/>
        <w:ind w:firstLine="420" w:firstLineChars="200"/>
        <w:rPr>
          <w:rFonts w:ascii="宋体" w:hAnsi="宋体" w:cs="宋体"/>
          <w:kern w:val="0"/>
          <w:szCs w:val="21"/>
        </w:rPr>
      </w:pPr>
      <w:r>
        <w:rPr>
          <w:rFonts w:hint="eastAsia" w:ascii="宋体" w:hAnsi="宋体" w:cs="宋体"/>
          <w:kern w:val="0"/>
          <w:szCs w:val="21"/>
        </w:rPr>
        <w:t>4.2.2响应文件未按照采购文件要求签署、盖章的；</w:t>
      </w:r>
    </w:p>
    <w:p w14:paraId="655C86EB">
      <w:pPr>
        <w:spacing w:line="360"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4.2.3采购人拟采购的产品属于政府强制采购的节能产品品目清单范围的，供应商未按采购文件要求提供国家确定的认证机构出具的、处于有效期之内的节能产品认证证书的；</w:t>
      </w:r>
    </w:p>
    <w:p w14:paraId="1049BC22">
      <w:pPr>
        <w:spacing w:line="360" w:lineRule="auto"/>
        <w:ind w:firstLine="420" w:firstLineChars="200"/>
        <w:rPr>
          <w:rFonts w:ascii="宋体" w:hAnsi="宋体" w:cs="宋体"/>
          <w:kern w:val="0"/>
          <w:szCs w:val="21"/>
        </w:rPr>
      </w:pPr>
      <w:r>
        <w:rPr>
          <w:rFonts w:hint="eastAsia" w:ascii="宋体" w:hAnsi="宋体" w:cs="宋体"/>
          <w:kern w:val="0"/>
          <w:szCs w:val="21"/>
        </w:rPr>
        <w:t>4.2.4响应文件含有采购人不能接受的附加条件的；</w:t>
      </w:r>
    </w:p>
    <w:p w14:paraId="507FDEB9">
      <w:pPr>
        <w:spacing w:line="360" w:lineRule="auto"/>
        <w:ind w:firstLine="420" w:firstLineChars="200"/>
        <w:rPr>
          <w:rFonts w:ascii="宋体" w:hAnsi="宋体" w:cs="宋体"/>
          <w:kern w:val="0"/>
          <w:szCs w:val="21"/>
        </w:rPr>
      </w:pPr>
      <w:r>
        <w:rPr>
          <w:rFonts w:hint="eastAsia" w:ascii="宋体" w:hAnsi="宋体" w:cs="宋体"/>
          <w:kern w:val="0"/>
          <w:szCs w:val="21"/>
        </w:rPr>
        <w:t>4.2.5响应文件中承诺的响应文件有效期少于采购文件中载明的响应文件有效期的；</w:t>
      </w:r>
    </w:p>
    <w:p w14:paraId="76E1136A">
      <w:pPr>
        <w:spacing w:line="360" w:lineRule="auto"/>
        <w:ind w:firstLine="420" w:firstLineChars="200"/>
        <w:rPr>
          <w:rFonts w:ascii="宋体" w:hAnsi="宋体" w:cs="宋体"/>
          <w:kern w:val="0"/>
          <w:szCs w:val="21"/>
        </w:rPr>
      </w:pPr>
      <w:r>
        <w:rPr>
          <w:rFonts w:hint="eastAsia" w:ascii="宋体" w:hAnsi="宋体" w:cs="宋体"/>
          <w:kern w:val="0"/>
          <w:szCs w:val="21"/>
        </w:rPr>
        <w:t>4.2.6响应文件出现不是唯一的、有选择性最后报价的;</w:t>
      </w:r>
    </w:p>
    <w:p w14:paraId="4D3788C9">
      <w:pPr>
        <w:spacing w:line="360" w:lineRule="auto"/>
        <w:ind w:firstLine="420" w:firstLineChars="200"/>
        <w:rPr>
          <w:rFonts w:ascii="宋体" w:hAnsi="宋体" w:cs="宋体"/>
          <w:kern w:val="0"/>
          <w:szCs w:val="21"/>
        </w:rPr>
      </w:pPr>
      <w:r>
        <w:rPr>
          <w:rFonts w:hint="eastAsia" w:ascii="宋体" w:hAnsi="宋体" w:cs="宋体"/>
          <w:kern w:val="0"/>
          <w:szCs w:val="21"/>
        </w:rPr>
        <w:t>4.2.7最后报价超过采购文件中规定的预算金额或者最高限价的;</w:t>
      </w:r>
    </w:p>
    <w:p w14:paraId="6D4E2F45">
      <w:pPr>
        <w:spacing w:line="360" w:lineRule="auto"/>
        <w:ind w:firstLine="420" w:firstLineChars="200"/>
        <w:rPr>
          <w:rFonts w:ascii="宋体" w:hAnsi="宋体" w:cs="宋体"/>
          <w:kern w:val="0"/>
          <w:szCs w:val="21"/>
        </w:rPr>
      </w:pPr>
      <w:r>
        <w:rPr>
          <w:rFonts w:hint="eastAsia" w:ascii="宋体" w:hAnsi="宋体" w:cs="宋体"/>
          <w:kern w:val="0"/>
          <w:szCs w:val="21"/>
        </w:rPr>
        <w:t>4.2.8报价明显低于其他通过符合性审查供应商的报价，有可能影响产品质量或者不能诚信履约的，未能按要求提供书面说明或者提交相关证明材料，不能证明其报价合理性的;</w:t>
      </w:r>
    </w:p>
    <w:p w14:paraId="4412E66E">
      <w:pPr>
        <w:spacing w:line="360" w:lineRule="auto"/>
        <w:ind w:firstLine="420" w:firstLineChars="200"/>
        <w:rPr>
          <w:rFonts w:ascii="宋体" w:hAnsi="宋体" w:cs="宋体"/>
          <w:kern w:val="0"/>
          <w:szCs w:val="21"/>
        </w:rPr>
      </w:pPr>
      <w:r>
        <w:rPr>
          <w:rFonts w:hint="eastAsia" w:ascii="宋体" w:hAnsi="宋体" w:cs="宋体"/>
          <w:kern w:val="0"/>
          <w:szCs w:val="21"/>
        </w:rPr>
        <w:t>4.2.9供应商对根据修正原则修正后的报价不确认的；</w:t>
      </w:r>
    </w:p>
    <w:p w14:paraId="73F87C5A">
      <w:pPr>
        <w:spacing w:line="360" w:lineRule="auto"/>
        <w:ind w:firstLine="420" w:firstLineChars="200"/>
        <w:rPr>
          <w:rFonts w:ascii="宋体" w:hAnsi="宋体" w:cs="宋体"/>
          <w:kern w:val="0"/>
          <w:szCs w:val="21"/>
        </w:rPr>
      </w:pPr>
      <w:r>
        <w:rPr>
          <w:rFonts w:hint="eastAsia" w:ascii="宋体" w:hAnsi="宋体" w:cs="宋体"/>
          <w:kern w:val="0"/>
          <w:szCs w:val="21"/>
        </w:rPr>
        <w:t>4.2.10供应商提供虚假材料响应的；</w:t>
      </w:r>
    </w:p>
    <w:p w14:paraId="5B003989">
      <w:pPr>
        <w:spacing w:line="360" w:lineRule="auto"/>
        <w:ind w:firstLine="420" w:firstLineChars="200"/>
        <w:rPr>
          <w:rFonts w:ascii="宋体" w:hAnsi="宋体" w:cs="宋体"/>
          <w:kern w:val="0"/>
          <w:szCs w:val="21"/>
        </w:rPr>
      </w:pPr>
      <w:r>
        <w:rPr>
          <w:rFonts w:hint="eastAsia" w:ascii="宋体" w:hAnsi="宋体" w:cs="宋体"/>
          <w:kern w:val="0"/>
          <w:szCs w:val="21"/>
        </w:rPr>
        <w:t>4.2.11供应商有恶意串通、妨碍其他供应商的竞争行为、损害采购人或者其他供应商的合法权益情形的；</w:t>
      </w:r>
    </w:p>
    <w:p w14:paraId="4C837563">
      <w:pPr>
        <w:spacing w:line="360" w:lineRule="auto"/>
        <w:ind w:firstLine="420" w:firstLineChars="200"/>
        <w:rPr>
          <w:rFonts w:ascii="宋体" w:hAnsi="宋体" w:cs="宋体"/>
          <w:kern w:val="0"/>
          <w:szCs w:val="21"/>
        </w:rPr>
      </w:pPr>
      <w:r>
        <w:rPr>
          <w:rFonts w:hint="eastAsia" w:ascii="宋体" w:hAnsi="宋体" w:cs="宋体"/>
          <w:kern w:val="0"/>
          <w:szCs w:val="21"/>
        </w:rPr>
        <w:t>4.2.12供应商仅提交备份响应文件，未在电子交易平台传输递交响应文件的，响应文件无效；</w:t>
      </w:r>
    </w:p>
    <w:p w14:paraId="0FBC903B">
      <w:pPr>
        <w:spacing w:line="360" w:lineRule="auto"/>
        <w:ind w:firstLine="420" w:firstLineChars="200"/>
        <w:rPr>
          <w:rFonts w:ascii="宋体" w:hAnsi="宋体" w:cs="宋体"/>
          <w:kern w:val="0"/>
          <w:szCs w:val="21"/>
        </w:rPr>
      </w:pPr>
      <w:r>
        <w:rPr>
          <w:rFonts w:hint="eastAsia" w:ascii="宋体" w:hAnsi="宋体" w:cs="宋体"/>
          <w:kern w:val="0"/>
          <w:szCs w:val="21"/>
        </w:rPr>
        <w:t>4.2.13 响应文件不满足采购文件的其它实质性要求的；</w:t>
      </w:r>
    </w:p>
    <w:p w14:paraId="2DB4DA42">
      <w:pPr>
        <w:spacing w:line="360" w:lineRule="auto"/>
        <w:ind w:firstLine="420" w:firstLineChars="200"/>
        <w:rPr>
          <w:rFonts w:ascii="宋体" w:hAnsi="宋体" w:cs="宋体"/>
          <w:kern w:val="0"/>
          <w:szCs w:val="21"/>
        </w:rPr>
      </w:pPr>
      <w:r>
        <w:rPr>
          <w:rFonts w:hint="eastAsia" w:ascii="宋体" w:hAnsi="宋体" w:cs="宋体"/>
          <w:kern w:val="0"/>
          <w:szCs w:val="21"/>
        </w:rPr>
        <w:t>4.2.14法律、法规、规章（适用本市的）及省级以上规范性文件（适用本市的）规定的其他无效情形。</w:t>
      </w:r>
    </w:p>
    <w:p w14:paraId="69B76171">
      <w:pPr>
        <w:pStyle w:val="24"/>
        <w:snapToGrid w:val="0"/>
        <w:spacing w:line="360" w:lineRule="auto"/>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14:paraId="0D986549">
      <w:pPr>
        <w:pStyle w:val="24"/>
        <w:snapToGrid w:val="0"/>
        <w:spacing w:line="360" w:lineRule="auto"/>
        <w:ind w:firstLine="420"/>
        <w:rPr>
          <w:rFonts w:cs="宋体"/>
          <w:sz w:val="21"/>
          <w:szCs w:val="21"/>
        </w:rPr>
      </w:pPr>
      <w:r>
        <w:rPr>
          <w:rFonts w:hint="eastAsia" w:cs="宋体"/>
          <w:sz w:val="21"/>
          <w:szCs w:val="21"/>
        </w:rPr>
        <w:t>5.1因情况变化，不再符合规定的竞争性磋商采购方式适用情形的；</w:t>
      </w:r>
    </w:p>
    <w:p w14:paraId="6094651D">
      <w:pPr>
        <w:pStyle w:val="24"/>
        <w:snapToGrid w:val="0"/>
        <w:spacing w:line="360" w:lineRule="auto"/>
        <w:ind w:firstLine="420"/>
        <w:rPr>
          <w:rFonts w:cs="宋体"/>
          <w:sz w:val="21"/>
          <w:szCs w:val="21"/>
        </w:rPr>
      </w:pPr>
      <w:r>
        <w:rPr>
          <w:rFonts w:hint="eastAsia" w:cs="宋体"/>
          <w:sz w:val="21"/>
          <w:szCs w:val="21"/>
        </w:rPr>
        <w:t>5.2出现影响采购公正的违法、违规行为的；</w:t>
      </w:r>
    </w:p>
    <w:p w14:paraId="5DBDC665">
      <w:pPr>
        <w:pStyle w:val="24"/>
        <w:snapToGrid w:val="0"/>
        <w:spacing w:line="360" w:lineRule="auto"/>
        <w:ind w:firstLine="420"/>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14:paraId="31424D1C">
      <w:pPr>
        <w:pStyle w:val="24"/>
        <w:snapToGrid w:val="0"/>
        <w:spacing w:line="360" w:lineRule="auto"/>
        <w:ind w:firstLine="420"/>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5F2D9936">
      <w:pPr>
        <w:pStyle w:val="24"/>
        <w:snapToGrid w:val="0"/>
        <w:spacing w:line="360" w:lineRule="auto"/>
        <w:ind w:firstLine="42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14:paraId="0E3E5051">
      <w:pPr>
        <w:pStyle w:val="24"/>
        <w:snapToGrid w:val="0"/>
        <w:spacing w:line="360" w:lineRule="auto"/>
        <w:ind w:firstLine="420"/>
        <w:rPr>
          <w:rFonts w:cs="宋体"/>
          <w:sz w:val="21"/>
          <w:szCs w:val="21"/>
        </w:rPr>
      </w:pPr>
      <w:r>
        <w:rPr>
          <w:rFonts w:hint="eastAsia" w:cs="宋体"/>
          <w:sz w:val="21"/>
          <w:szCs w:val="21"/>
        </w:rPr>
        <w:t>6.1未确定成交供应商的，终止本次政府采购活动，重新开展政府采购活动。</w:t>
      </w:r>
    </w:p>
    <w:p w14:paraId="08874CBF">
      <w:pPr>
        <w:pStyle w:val="24"/>
        <w:snapToGrid w:val="0"/>
        <w:spacing w:line="360" w:lineRule="auto"/>
        <w:ind w:firstLine="420"/>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14:paraId="66D38FDF">
      <w:pPr>
        <w:pStyle w:val="24"/>
        <w:snapToGrid w:val="0"/>
        <w:spacing w:line="360" w:lineRule="auto"/>
        <w:ind w:firstLine="420"/>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14:paraId="4C527844">
      <w:pPr>
        <w:pStyle w:val="24"/>
        <w:snapToGrid w:val="0"/>
        <w:spacing w:line="360" w:lineRule="auto"/>
        <w:ind w:firstLine="420"/>
        <w:rPr>
          <w:rFonts w:cs="宋体"/>
          <w:sz w:val="21"/>
          <w:szCs w:val="21"/>
        </w:rPr>
      </w:pPr>
      <w:r>
        <w:rPr>
          <w:rFonts w:hint="eastAsia" w:cs="宋体"/>
          <w:sz w:val="21"/>
          <w:szCs w:val="21"/>
        </w:rPr>
        <w:t>6.4政府采购合同已经履行，给采购人、供应商造成损失的，由责任人承担赔偿责任。</w:t>
      </w:r>
    </w:p>
    <w:p w14:paraId="00DC530C">
      <w:pPr>
        <w:pStyle w:val="131"/>
        <w:spacing w:before="0" w:line="348" w:lineRule="auto"/>
        <w:ind w:firstLine="0" w:firstLineChars="0"/>
        <w:rPr>
          <w:rFonts w:ascii="宋体" w:hAnsi="宋体" w:cs="宋体"/>
          <w:b/>
          <w:bCs/>
          <w:kern w:val="0"/>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45C6BDE8">
      <w:pPr>
        <w:adjustRightInd/>
        <w:spacing w:line="360" w:lineRule="auto"/>
        <w:ind w:firstLine="472" w:firstLineChars="196"/>
        <w:rPr>
          <w:rFonts w:ascii="宋体" w:hAnsi="宋体" w:cs="宋体"/>
          <w:b/>
          <w:bCs/>
          <w:kern w:val="0"/>
          <w:sz w:val="24"/>
        </w:rPr>
      </w:pPr>
    </w:p>
    <w:p w14:paraId="13B3A032">
      <w:pPr>
        <w:adjustRightInd/>
        <w:spacing w:line="360" w:lineRule="auto"/>
        <w:ind w:firstLine="472" w:firstLineChars="196"/>
        <w:jc w:val="center"/>
        <w:rPr>
          <w:rFonts w:ascii="宋体" w:hAnsi="宋体" w:cs="宋体"/>
          <w:b/>
          <w:bCs/>
          <w:kern w:val="0"/>
          <w:sz w:val="24"/>
        </w:rPr>
      </w:pPr>
      <w:r>
        <w:rPr>
          <w:b/>
          <w:color w:val="000000"/>
          <w:sz w:val="24"/>
        </w:rPr>
        <w:t>评分标准</w:t>
      </w:r>
    </w:p>
    <w:tbl>
      <w:tblPr>
        <w:tblStyle w:val="62"/>
        <w:tblW w:w="102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64"/>
        <w:gridCol w:w="8289"/>
      </w:tblGrid>
      <w:tr w14:paraId="7739B1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378D9612">
            <w:pPr>
              <w:spacing w:line="340" w:lineRule="exact"/>
              <w:rPr>
                <w:color w:val="000000"/>
                <w:szCs w:val="21"/>
              </w:rPr>
            </w:pPr>
          </w:p>
        </w:tc>
        <w:tc>
          <w:tcPr>
            <w:tcW w:w="1164" w:type="dxa"/>
            <w:vAlign w:val="center"/>
          </w:tcPr>
          <w:p w14:paraId="4BFA9B49">
            <w:pPr>
              <w:spacing w:line="340" w:lineRule="exact"/>
              <w:jc w:val="center"/>
              <w:rPr>
                <w:color w:val="000000"/>
                <w:szCs w:val="21"/>
              </w:rPr>
            </w:pPr>
            <w:r>
              <w:rPr>
                <w:rFonts w:hint="eastAsia"/>
                <w:color w:val="000000"/>
              </w:rPr>
              <w:t>项目</w:t>
            </w:r>
          </w:p>
        </w:tc>
        <w:tc>
          <w:tcPr>
            <w:tcW w:w="8289" w:type="dxa"/>
            <w:vAlign w:val="center"/>
          </w:tcPr>
          <w:p w14:paraId="14403E97">
            <w:pPr>
              <w:tabs>
                <w:tab w:val="left" w:pos="4915"/>
              </w:tabs>
              <w:spacing w:line="340" w:lineRule="exact"/>
              <w:jc w:val="center"/>
              <w:rPr>
                <w:color w:val="000000"/>
                <w:szCs w:val="21"/>
              </w:rPr>
            </w:pPr>
            <w:r>
              <w:rPr>
                <w:rFonts w:hint="eastAsia"/>
                <w:color w:val="000000"/>
              </w:rPr>
              <w:t>评分细则</w:t>
            </w:r>
          </w:p>
        </w:tc>
      </w:tr>
      <w:tr w14:paraId="388624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3F83883B">
            <w:pPr>
              <w:spacing w:line="340" w:lineRule="exact"/>
              <w:rPr>
                <w:color w:val="000000"/>
                <w:szCs w:val="21"/>
              </w:rPr>
            </w:pPr>
          </w:p>
        </w:tc>
        <w:tc>
          <w:tcPr>
            <w:tcW w:w="1164" w:type="dxa"/>
            <w:vAlign w:val="center"/>
          </w:tcPr>
          <w:p w14:paraId="6270F6BB">
            <w:pPr>
              <w:spacing w:line="340" w:lineRule="exact"/>
              <w:jc w:val="center"/>
              <w:rPr>
                <w:color w:val="000000"/>
              </w:rPr>
            </w:pPr>
            <w:r>
              <w:rPr>
                <w:rFonts w:hint="eastAsia" w:ascii="宋体" w:hAnsi="宋体" w:eastAsia="宋体" w:cs="宋体"/>
                <w:szCs w:val="21"/>
              </w:rPr>
              <w:t>对本项目采购需求了解情况及现状调查（5分）</w:t>
            </w:r>
          </w:p>
        </w:tc>
        <w:tc>
          <w:tcPr>
            <w:tcW w:w="8289" w:type="dxa"/>
            <w:vAlign w:val="center"/>
          </w:tcPr>
          <w:p w14:paraId="7B33A4E2">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cs="宋体"/>
                <w:color w:val="auto"/>
                <w:szCs w:val="21"/>
                <w:lang w:val="en-US" w:eastAsia="zh-CN"/>
              </w:rPr>
              <w:t>1、根据</w:t>
            </w:r>
            <w:r>
              <w:rPr>
                <w:rFonts w:hint="eastAsia" w:ascii="宋体" w:hAnsi="宋体" w:eastAsia="宋体" w:cs="宋体"/>
                <w:color w:val="auto"/>
                <w:szCs w:val="21"/>
              </w:rPr>
              <w:t>采购人需求、工程施工、现场情况等内容了解程度进行综合评议：</w:t>
            </w:r>
          </w:p>
          <w:p w14:paraId="76496F81">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①对采购人需求、工程施工内容理解充分，现场情况了解全面的，得5分；</w:t>
            </w:r>
          </w:p>
          <w:p w14:paraId="3328D14E">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②对采购人需求、工程施工内容理解较为充分，现场情况了解较为全面的，得4分；</w:t>
            </w:r>
          </w:p>
          <w:p w14:paraId="126EFF9C">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③对采购人需求、工程施工内容理解较一般，现场情况部分了解但未全面的，得3分；</w:t>
            </w:r>
          </w:p>
          <w:p w14:paraId="129B90F9">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④对采购人需求、工程施工内容理解未充分，现场情况未全面了解的，得2分；</w:t>
            </w:r>
          </w:p>
          <w:p w14:paraId="70BCE7E2">
            <w:pPr>
              <w:keepNext w:val="0"/>
              <w:keepLines w:val="0"/>
              <w:suppressLineNumbers w:val="0"/>
              <w:autoSpaceDE w:val="0"/>
              <w:autoSpaceDN w:val="0"/>
              <w:spacing w:before="0" w:beforeAutospacing="0" w:after="0" w:afterAutospacing="0" w:line="380" w:lineRule="atLeast"/>
              <w:ind w:left="0" w:right="0"/>
              <w:jc w:val="left"/>
              <w:rPr>
                <w:rFonts w:hint="eastAsia" w:ascii="宋体" w:hAnsi="宋体" w:cs="宋体"/>
                <w:color w:val="auto"/>
                <w:szCs w:val="21"/>
              </w:rPr>
            </w:pPr>
            <w:r>
              <w:rPr>
                <w:rFonts w:hint="eastAsia" w:ascii="宋体" w:hAnsi="宋体" w:eastAsia="宋体" w:cs="宋体"/>
                <w:color w:val="auto"/>
                <w:szCs w:val="21"/>
              </w:rPr>
              <w:t>⑤对采购人需求、工程施工内容未理解，现场情况未了解的得1分；</w:t>
            </w:r>
          </w:p>
          <w:p w14:paraId="2C56A6EC">
            <w:pPr>
              <w:tabs>
                <w:tab w:val="left" w:pos="4915"/>
              </w:tabs>
              <w:spacing w:line="340" w:lineRule="exact"/>
              <w:rPr>
                <w:color w:val="000000"/>
              </w:rPr>
            </w:pPr>
            <w:r>
              <w:rPr>
                <w:rFonts w:hint="eastAsia" w:ascii="宋体" w:hAnsi="宋体" w:eastAsia="宋体" w:cs="宋体"/>
                <w:color w:val="auto"/>
                <w:szCs w:val="21"/>
              </w:rPr>
              <w:t>未提供相关内容不得分。</w:t>
            </w:r>
          </w:p>
        </w:tc>
      </w:tr>
      <w:tr w14:paraId="27C49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748" w:type="dxa"/>
            <w:vMerge w:val="restart"/>
            <w:vAlign w:val="center"/>
          </w:tcPr>
          <w:p w14:paraId="17F85F92">
            <w:pPr>
              <w:spacing w:line="340" w:lineRule="exact"/>
              <w:rPr>
                <w:color w:val="000000"/>
                <w:szCs w:val="21"/>
              </w:rPr>
            </w:pPr>
            <w:r>
              <w:rPr>
                <w:color w:val="000000"/>
                <w:szCs w:val="21"/>
              </w:rPr>
              <w:t>技术</w:t>
            </w:r>
            <w:r>
              <w:rPr>
                <w:rFonts w:hint="eastAsia"/>
                <w:color w:val="000000"/>
                <w:szCs w:val="21"/>
              </w:rPr>
              <w:t>商务部分70</w:t>
            </w:r>
            <w:r>
              <w:rPr>
                <w:color w:val="000000"/>
                <w:szCs w:val="21"/>
              </w:rPr>
              <w:t>分</w:t>
            </w:r>
          </w:p>
          <w:p w14:paraId="41FC7D64">
            <w:pPr>
              <w:widowControl/>
              <w:spacing w:line="340" w:lineRule="exact"/>
              <w:jc w:val="left"/>
              <w:rPr>
                <w:color w:val="000000"/>
                <w:szCs w:val="21"/>
              </w:rPr>
            </w:pPr>
          </w:p>
        </w:tc>
        <w:tc>
          <w:tcPr>
            <w:tcW w:w="1164" w:type="dxa"/>
            <w:vAlign w:val="center"/>
          </w:tcPr>
          <w:p w14:paraId="708B1D38">
            <w:pPr>
              <w:spacing w:line="340" w:lineRule="exact"/>
              <w:jc w:val="center"/>
              <w:rPr>
                <w:color w:val="000000"/>
                <w:szCs w:val="21"/>
              </w:rPr>
            </w:pPr>
            <w:r>
              <w:rPr>
                <w:rFonts w:hint="eastAsia"/>
                <w:color w:val="000000"/>
                <w:szCs w:val="21"/>
              </w:rPr>
              <w:t>施工方案</w:t>
            </w:r>
          </w:p>
          <w:p w14:paraId="3383DE37">
            <w:pPr>
              <w:spacing w:line="340" w:lineRule="exact"/>
              <w:jc w:val="center"/>
              <w:rPr>
                <w:color w:val="000000"/>
                <w:szCs w:val="21"/>
              </w:rPr>
            </w:pPr>
            <w:r>
              <w:rPr>
                <w:color w:val="000000"/>
                <w:szCs w:val="21"/>
              </w:rPr>
              <w:t>（</w:t>
            </w:r>
            <w:r>
              <w:rPr>
                <w:rFonts w:hint="eastAsia"/>
                <w:color w:val="000000"/>
                <w:szCs w:val="21"/>
                <w:lang w:val="en-US" w:eastAsia="zh-CN"/>
              </w:rPr>
              <w:t>5</w:t>
            </w:r>
            <w:r>
              <w:rPr>
                <w:color w:val="000000"/>
                <w:szCs w:val="21"/>
              </w:rPr>
              <w:t>分）</w:t>
            </w:r>
          </w:p>
        </w:tc>
        <w:tc>
          <w:tcPr>
            <w:tcW w:w="8289" w:type="dxa"/>
            <w:vAlign w:val="center"/>
          </w:tcPr>
          <w:p w14:paraId="2479BF6D">
            <w:pPr>
              <w:tabs>
                <w:tab w:val="left" w:pos="4915"/>
              </w:tabs>
              <w:spacing w:line="340" w:lineRule="exact"/>
              <w:rPr>
                <w:rFonts w:cs="宋体"/>
                <w:color w:val="000000"/>
                <w:szCs w:val="21"/>
              </w:rPr>
            </w:pPr>
            <w:r>
              <w:rPr>
                <w:rFonts w:hint="eastAsia"/>
                <w:szCs w:val="21"/>
                <w:lang w:val="en-US" w:eastAsia="zh-CN"/>
              </w:rPr>
              <w:t>2、关于本项目的</w:t>
            </w:r>
            <w:r>
              <w:rPr>
                <w:rFonts w:hint="eastAsia"/>
                <w:szCs w:val="21"/>
              </w:rPr>
              <w:t>施工方案（包括</w:t>
            </w:r>
            <w:r>
              <w:rPr>
                <w:rFonts w:hint="eastAsia" w:cs="宋体"/>
                <w:color w:val="000000"/>
                <w:szCs w:val="21"/>
              </w:rPr>
              <w:t>各工程关键节点</w:t>
            </w:r>
            <w:r>
              <w:rPr>
                <w:rFonts w:hint="eastAsia"/>
                <w:szCs w:val="21"/>
              </w:rPr>
              <w:t>）</w:t>
            </w:r>
            <w:r>
              <w:rPr>
                <w:rFonts w:hint="eastAsia" w:cs="宋体"/>
                <w:color w:val="000000"/>
                <w:szCs w:val="21"/>
              </w:rPr>
              <w:t>：</w:t>
            </w:r>
          </w:p>
          <w:p w14:paraId="6CF94D0A">
            <w:pPr>
              <w:tabs>
                <w:tab w:val="left" w:pos="4915"/>
              </w:tabs>
              <w:spacing w:line="340" w:lineRule="exact"/>
              <w:rPr>
                <w:rFonts w:ascii="宋体" w:hAnsi="宋体" w:cs="宋体"/>
                <w:szCs w:val="21"/>
              </w:rPr>
            </w:pPr>
            <w:r>
              <w:rPr>
                <w:rFonts w:hint="eastAsia" w:ascii="宋体" w:hAnsi="宋体" w:cs="宋体"/>
                <w:szCs w:val="21"/>
              </w:rPr>
              <w:t>①方案内容详实，逻辑清晰，符合项目实际情况，切实可行，可执行力度高的得5分；</w:t>
            </w:r>
          </w:p>
          <w:p w14:paraId="16E487EA">
            <w:pPr>
              <w:tabs>
                <w:tab w:val="left" w:pos="4915"/>
              </w:tabs>
              <w:spacing w:line="340" w:lineRule="exact"/>
              <w:rPr>
                <w:rFonts w:ascii="宋体" w:hAnsi="宋体" w:cs="宋体"/>
                <w:szCs w:val="21"/>
              </w:rPr>
            </w:pPr>
            <w:r>
              <w:rPr>
                <w:rFonts w:hint="eastAsia" w:ascii="宋体" w:hAnsi="宋体" w:cs="宋体"/>
                <w:szCs w:val="21"/>
              </w:rPr>
              <w:t>②方案内容详细，工作思路清楚，基本符合项目实际情况，合理可行，可执行力度较高的得4分；</w:t>
            </w:r>
          </w:p>
          <w:p w14:paraId="09495F47">
            <w:pPr>
              <w:tabs>
                <w:tab w:val="left" w:pos="4915"/>
              </w:tabs>
              <w:spacing w:line="340" w:lineRule="exact"/>
              <w:rPr>
                <w:rFonts w:ascii="宋体" w:hAnsi="宋体" w:cs="宋体"/>
                <w:szCs w:val="21"/>
              </w:rPr>
            </w:pPr>
            <w:r>
              <w:rPr>
                <w:rFonts w:hint="eastAsia" w:ascii="宋体" w:hAnsi="宋体" w:cs="宋体"/>
                <w:szCs w:val="21"/>
              </w:rPr>
              <w:t>③方案内容比较简单，虽然存在一些不足但无明显重大缺陷，可执行力度一般的得3分；</w:t>
            </w:r>
          </w:p>
          <w:p w14:paraId="20344B2E">
            <w:pPr>
              <w:tabs>
                <w:tab w:val="left" w:pos="4915"/>
              </w:tabs>
              <w:spacing w:line="340" w:lineRule="exact"/>
              <w:rPr>
                <w:rFonts w:ascii="宋体" w:hAnsi="宋体" w:cs="宋体"/>
                <w:szCs w:val="21"/>
              </w:rPr>
            </w:pPr>
            <w:r>
              <w:rPr>
                <w:rFonts w:hint="eastAsia" w:ascii="宋体" w:hAnsi="宋体" w:cs="宋体"/>
                <w:szCs w:val="21"/>
              </w:rPr>
              <w:t>④方案内容简单、笼统，存在较多的不足，可行性差，的得2分；</w:t>
            </w:r>
          </w:p>
          <w:p w14:paraId="62426DCD">
            <w:pPr>
              <w:tabs>
                <w:tab w:val="left" w:pos="4915"/>
              </w:tabs>
              <w:spacing w:line="340" w:lineRule="exact"/>
              <w:rPr>
                <w:rFonts w:ascii="宋体" w:hAnsi="宋体" w:cs="宋体"/>
                <w:szCs w:val="21"/>
              </w:rPr>
            </w:pPr>
            <w:r>
              <w:rPr>
                <w:rFonts w:hint="eastAsia" w:ascii="宋体" w:hAnsi="宋体" w:cs="宋体"/>
                <w:szCs w:val="21"/>
              </w:rPr>
              <w:t>⑤提交的方案与实际情况存在一定偏差的得1分；</w:t>
            </w:r>
          </w:p>
          <w:p w14:paraId="5E534704">
            <w:pPr>
              <w:tabs>
                <w:tab w:val="left" w:pos="4915"/>
              </w:tabs>
              <w:spacing w:line="340" w:lineRule="exact"/>
              <w:rPr>
                <w:rFonts w:cs="宋体"/>
                <w:color w:val="000000"/>
                <w:szCs w:val="21"/>
              </w:rPr>
            </w:pPr>
            <w:r>
              <w:rPr>
                <w:rFonts w:hint="eastAsia" w:cs="宋体"/>
                <w:color w:val="000000"/>
                <w:szCs w:val="21"/>
              </w:rPr>
              <w:t>未提供相关内容不得分。</w:t>
            </w:r>
          </w:p>
        </w:tc>
      </w:tr>
      <w:tr w14:paraId="2DFC5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6FAB15CA">
            <w:pPr>
              <w:widowControl/>
              <w:spacing w:line="340" w:lineRule="exact"/>
              <w:jc w:val="left"/>
              <w:rPr>
                <w:color w:val="000000"/>
                <w:szCs w:val="21"/>
              </w:rPr>
            </w:pPr>
          </w:p>
        </w:tc>
        <w:tc>
          <w:tcPr>
            <w:tcW w:w="1164" w:type="dxa"/>
            <w:vAlign w:val="center"/>
          </w:tcPr>
          <w:p w14:paraId="010AE15E">
            <w:pPr>
              <w:widowControl/>
              <w:spacing w:line="340" w:lineRule="exact"/>
              <w:jc w:val="left"/>
              <w:rPr>
                <w:color w:val="000000"/>
                <w:szCs w:val="21"/>
              </w:rPr>
            </w:pPr>
            <w:r>
              <w:rPr>
                <w:rFonts w:hint="eastAsia" w:cs="宋体"/>
                <w:color w:val="000000"/>
                <w:szCs w:val="21"/>
              </w:rPr>
              <w:t>工程质量保证措施</w:t>
            </w:r>
            <w:r>
              <w:rPr>
                <w:color w:val="000000"/>
                <w:szCs w:val="21"/>
              </w:rPr>
              <w:t>（</w:t>
            </w:r>
            <w:r>
              <w:rPr>
                <w:rFonts w:hint="eastAsia"/>
                <w:color w:val="000000"/>
                <w:szCs w:val="21"/>
                <w:lang w:val="en-US" w:eastAsia="zh-CN"/>
              </w:rPr>
              <w:t>5</w:t>
            </w:r>
            <w:r>
              <w:rPr>
                <w:color w:val="000000"/>
                <w:szCs w:val="21"/>
              </w:rPr>
              <w:t>分）</w:t>
            </w:r>
          </w:p>
        </w:tc>
        <w:tc>
          <w:tcPr>
            <w:tcW w:w="8289" w:type="dxa"/>
            <w:vAlign w:val="center"/>
          </w:tcPr>
          <w:p w14:paraId="29A94DB8">
            <w:pPr>
              <w:tabs>
                <w:tab w:val="left" w:pos="4915"/>
              </w:tabs>
              <w:spacing w:line="340" w:lineRule="exact"/>
              <w:rPr>
                <w:rFonts w:cs="宋体"/>
                <w:color w:val="000000"/>
                <w:szCs w:val="21"/>
              </w:rPr>
            </w:pPr>
            <w:r>
              <w:rPr>
                <w:rFonts w:hint="eastAsia" w:cs="宋体"/>
                <w:color w:val="000000"/>
                <w:szCs w:val="21"/>
                <w:lang w:val="en-US" w:eastAsia="zh-CN"/>
              </w:rPr>
              <w:t>3、</w:t>
            </w:r>
            <w:r>
              <w:rPr>
                <w:rFonts w:hint="eastAsia" w:cs="宋体"/>
                <w:color w:val="000000"/>
                <w:szCs w:val="21"/>
              </w:rPr>
              <w:t>工程质量保证措施</w:t>
            </w:r>
            <w:r>
              <w:rPr>
                <w:rFonts w:hint="eastAsia" w:ascii="宋体" w:hAnsi="宋体" w:cs="宋体"/>
              </w:rPr>
              <w:t>（包含但不仅限于材料及设备质量保证措施等）</w:t>
            </w:r>
            <w:r>
              <w:rPr>
                <w:rFonts w:hint="eastAsia" w:cs="宋体"/>
                <w:color w:val="000000"/>
                <w:szCs w:val="21"/>
              </w:rPr>
              <w:t>：</w:t>
            </w:r>
          </w:p>
          <w:p w14:paraId="2C9375F9">
            <w:pPr>
              <w:tabs>
                <w:tab w:val="left" w:pos="4915"/>
              </w:tabs>
              <w:spacing w:line="340" w:lineRule="exact"/>
              <w:rPr>
                <w:rFonts w:cs="宋体"/>
                <w:color w:val="000000"/>
                <w:szCs w:val="21"/>
              </w:rPr>
            </w:pPr>
            <w:r>
              <w:rPr>
                <w:rFonts w:hint="eastAsia" w:cs="宋体"/>
                <w:color w:val="000000"/>
                <w:szCs w:val="21"/>
              </w:rPr>
              <w:t>①</w:t>
            </w:r>
            <w:r>
              <w:rPr>
                <w:rFonts w:hint="eastAsia" w:ascii="宋体" w:hAnsi="宋体" w:cs="宋体"/>
                <w:szCs w:val="21"/>
              </w:rPr>
              <w:t>施工质量保证措施方案详实，针对性强，可执行力度高的</w:t>
            </w:r>
            <w:r>
              <w:rPr>
                <w:rFonts w:hint="eastAsia" w:cs="宋体"/>
                <w:color w:val="000000"/>
                <w:szCs w:val="21"/>
              </w:rPr>
              <w:t>得5分；</w:t>
            </w:r>
          </w:p>
          <w:p w14:paraId="01044EFE">
            <w:pPr>
              <w:pStyle w:val="79"/>
              <w:ind w:firstLine="0" w:firstLineChars="0"/>
            </w:pPr>
            <w:r>
              <w:rPr>
                <w:rFonts w:hint="eastAsia" w:ascii="宋体" w:hAnsi="宋体" w:cs="宋体"/>
                <w:szCs w:val="21"/>
              </w:rPr>
              <w:t>②施工质量保证措施方案内容充分，有一定针对性，可执行力度较高的</w:t>
            </w:r>
            <w:r>
              <w:rPr>
                <w:rFonts w:hint="eastAsia" w:cs="宋体"/>
                <w:color w:val="000000"/>
                <w:szCs w:val="21"/>
              </w:rPr>
              <w:t>得4分；</w:t>
            </w:r>
          </w:p>
          <w:p w14:paraId="5BC7AB77">
            <w:pPr>
              <w:tabs>
                <w:tab w:val="left" w:pos="4915"/>
              </w:tabs>
              <w:spacing w:line="340" w:lineRule="exact"/>
              <w:rPr>
                <w:rFonts w:ascii="宋体" w:hAnsi="宋体" w:cs="宋体"/>
                <w:szCs w:val="21"/>
              </w:rPr>
            </w:pPr>
            <w:r>
              <w:rPr>
                <w:rFonts w:hint="eastAsia" w:ascii="宋体" w:hAnsi="宋体" w:cs="宋体"/>
                <w:szCs w:val="21"/>
              </w:rPr>
              <w:t>③施工质量保证措施方案内容不够详实、笼统，</w:t>
            </w:r>
            <w:r>
              <w:rPr>
                <w:rFonts w:hint="eastAsia" w:cs="宋体"/>
                <w:color w:val="000000"/>
                <w:szCs w:val="21"/>
              </w:rPr>
              <w:t>保证项目基本能完成实施</w:t>
            </w:r>
            <w:r>
              <w:rPr>
                <w:rFonts w:hint="eastAsia" w:ascii="宋体" w:hAnsi="宋体" w:cs="宋体"/>
                <w:szCs w:val="21"/>
              </w:rPr>
              <w:t>的得3分；</w:t>
            </w:r>
          </w:p>
          <w:p w14:paraId="084C3E8D">
            <w:pPr>
              <w:tabs>
                <w:tab w:val="left" w:pos="4915"/>
              </w:tabs>
              <w:spacing w:line="340" w:lineRule="exact"/>
              <w:rPr>
                <w:rFonts w:cs="宋体"/>
                <w:color w:val="000000"/>
                <w:szCs w:val="21"/>
              </w:rPr>
            </w:pPr>
            <w:r>
              <w:rPr>
                <w:rFonts w:hint="eastAsia" w:ascii="宋体" w:hAnsi="宋体" w:cs="宋体"/>
                <w:szCs w:val="21"/>
              </w:rPr>
              <w:t>④施工质量保证措施方案内容简单，缺乏针对性，可执行力较低的得</w:t>
            </w:r>
            <w:r>
              <w:rPr>
                <w:rFonts w:hint="eastAsia" w:cs="宋体"/>
                <w:color w:val="000000"/>
                <w:szCs w:val="21"/>
              </w:rPr>
              <w:t>得2分；</w:t>
            </w:r>
          </w:p>
          <w:p w14:paraId="03BA2BD7">
            <w:pPr>
              <w:tabs>
                <w:tab w:val="left" w:pos="4915"/>
              </w:tabs>
              <w:spacing w:line="340" w:lineRule="exact"/>
              <w:rPr>
                <w:rFonts w:cs="宋体"/>
                <w:color w:val="000000"/>
                <w:szCs w:val="21"/>
              </w:rPr>
            </w:pPr>
            <w:r>
              <w:rPr>
                <w:rFonts w:hint="eastAsia" w:ascii="宋体" w:hAnsi="宋体" w:cs="宋体"/>
                <w:szCs w:val="21"/>
              </w:rPr>
              <w:t>⑤施工质量保证</w:t>
            </w:r>
            <w:r>
              <w:rPr>
                <w:rFonts w:hint="eastAsia" w:cs="宋体"/>
                <w:color w:val="000000"/>
                <w:szCs w:val="21"/>
              </w:rPr>
              <w:t>措施上有主体内容的缺漏或缺少具体有效的保证措施，难以保证项目顺利实施的得1分。</w:t>
            </w:r>
          </w:p>
          <w:p w14:paraId="1D33750F">
            <w:pPr>
              <w:tabs>
                <w:tab w:val="left" w:pos="4915"/>
              </w:tabs>
              <w:spacing w:line="340" w:lineRule="exact"/>
              <w:rPr>
                <w:rFonts w:cs="宋体"/>
                <w:color w:val="000000"/>
                <w:szCs w:val="21"/>
              </w:rPr>
            </w:pPr>
            <w:r>
              <w:rPr>
                <w:rFonts w:hint="eastAsia" w:cs="宋体"/>
                <w:color w:val="000000"/>
                <w:szCs w:val="21"/>
              </w:rPr>
              <w:t>未提供相关内容不得分。</w:t>
            </w:r>
          </w:p>
        </w:tc>
      </w:tr>
      <w:tr w14:paraId="3D018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14C5ED26">
            <w:pPr>
              <w:widowControl/>
              <w:spacing w:line="340" w:lineRule="exact"/>
              <w:jc w:val="left"/>
              <w:rPr>
                <w:color w:val="000000"/>
                <w:szCs w:val="21"/>
              </w:rPr>
            </w:pPr>
          </w:p>
        </w:tc>
        <w:tc>
          <w:tcPr>
            <w:tcW w:w="1164" w:type="dxa"/>
            <w:vAlign w:val="center"/>
          </w:tcPr>
          <w:p w14:paraId="641DF70A">
            <w:pPr>
              <w:widowControl/>
              <w:spacing w:line="340" w:lineRule="exact"/>
              <w:jc w:val="center"/>
              <w:rPr>
                <w:rFonts w:hint="eastAsia"/>
                <w:color w:val="000000"/>
                <w:szCs w:val="21"/>
              </w:rPr>
            </w:pPr>
            <w:r>
              <w:rPr>
                <w:rFonts w:hint="eastAsia"/>
                <w:color w:val="000000"/>
                <w:szCs w:val="21"/>
              </w:rPr>
              <w:t>施工进度计划</w:t>
            </w:r>
          </w:p>
          <w:p w14:paraId="4C47835A">
            <w:pPr>
              <w:widowControl/>
              <w:spacing w:line="340" w:lineRule="exact"/>
              <w:jc w:val="center"/>
              <w:rPr>
                <w:color w:val="000000"/>
                <w:szCs w:val="21"/>
              </w:rPr>
            </w:pPr>
            <w:r>
              <w:rPr>
                <w:rFonts w:hint="eastAsia"/>
                <w:color w:val="000000"/>
                <w:szCs w:val="21"/>
              </w:rPr>
              <w:t>（5分）</w:t>
            </w:r>
          </w:p>
        </w:tc>
        <w:tc>
          <w:tcPr>
            <w:tcW w:w="8289" w:type="dxa"/>
            <w:vAlign w:val="center"/>
          </w:tcPr>
          <w:p w14:paraId="6410A6D3">
            <w:pPr>
              <w:tabs>
                <w:tab w:val="left" w:pos="4915"/>
              </w:tabs>
              <w:spacing w:line="340" w:lineRule="exact"/>
              <w:rPr>
                <w:rFonts w:cs="宋体"/>
                <w:color w:val="000000"/>
                <w:szCs w:val="21"/>
              </w:rPr>
            </w:pPr>
            <w:r>
              <w:rPr>
                <w:rFonts w:hint="eastAsia" w:cs="宋体"/>
                <w:color w:val="000000"/>
                <w:szCs w:val="21"/>
                <w:lang w:val="en-US" w:eastAsia="zh-CN"/>
              </w:rPr>
              <w:t>4、</w:t>
            </w:r>
            <w:r>
              <w:rPr>
                <w:rFonts w:hint="eastAsia" w:cs="宋体"/>
                <w:color w:val="000000"/>
                <w:szCs w:val="21"/>
              </w:rPr>
              <w:t>施工进度管理与控制</w:t>
            </w:r>
            <w:r>
              <w:rPr>
                <w:rFonts w:hint="eastAsia" w:ascii="宋体" w:hAnsi="宋体" w:cs="宋体"/>
                <w:szCs w:val="21"/>
              </w:rPr>
              <w:t>（包含但不仅限于方案详实情况、时间节点安排情况等）</w:t>
            </w:r>
            <w:r>
              <w:rPr>
                <w:rFonts w:hint="eastAsia" w:cs="宋体"/>
                <w:color w:val="000000"/>
                <w:szCs w:val="21"/>
              </w:rPr>
              <w:t>：</w:t>
            </w:r>
          </w:p>
          <w:p w14:paraId="7697B817">
            <w:pPr>
              <w:tabs>
                <w:tab w:val="left" w:pos="4915"/>
              </w:tabs>
              <w:spacing w:line="340" w:lineRule="exact"/>
              <w:rPr>
                <w:rFonts w:cs="宋体"/>
                <w:color w:val="000000"/>
                <w:szCs w:val="21"/>
              </w:rPr>
            </w:pPr>
            <w:r>
              <w:rPr>
                <w:rFonts w:hint="eastAsia" w:cs="宋体"/>
                <w:color w:val="000000"/>
                <w:szCs w:val="21"/>
              </w:rPr>
              <w:t>①施工进度计划安排得当、各时间节点明确、</w:t>
            </w:r>
            <w:r>
              <w:rPr>
                <w:rFonts w:hint="eastAsia" w:ascii="宋体" w:hAnsi="宋体" w:cs="宋体"/>
                <w:szCs w:val="21"/>
              </w:rPr>
              <w:t>具有充分可靠计划</w:t>
            </w:r>
            <w:r>
              <w:rPr>
                <w:rFonts w:hint="eastAsia" w:cs="宋体"/>
                <w:color w:val="000000"/>
                <w:szCs w:val="21"/>
              </w:rPr>
              <w:t>的得5分；</w:t>
            </w:r>
          </w:p>
          <w:p w14:paraId="39E51D96">
            <w:pPr>
              <w:pStyle w:val="79"/>
              <w:ind w:firstLine="0" w:firstLineChars="0"/>
            </w:pPr>
            <w:r>
              <w:rPr>
                <w:rFonts w:hint="eastAsia" w:ascii="宋体" w:hAnsi="宋体" w:cs="宋体"/>
                <w:szCs w:val="21"/>
              </w:rPr>
              <w:t>②</w:t>
            </w:r>
            <w:r>
              <w:rPr>
                <w:rFonts w:hint="eastAsia" w:cs="宋体"/>
                <w:color w:val="000000"/>
                <w:szCs w:val="21"/>
              </w:rPr>
              <w:t>施工进度计划安排较为得当、各时间节点及项目工期能有基本保障的得4分</w:t>
            </w:r>
          </w:p>
          <w:p w14:paraId="47E9DC9D">
            <w:pPr>
              <w:tabs>
                <w:tab w:val="left" w:pos="4915"/>
              </w:tabs>
              <w:spacing w:line="340" w:lineRule="exact"/>
              <w:rPr>
                <w:rFonts w:cs="宋体"/>
                <w:color w:val="000000"/>
                <w:szCs w:val="21"/>
              </w:rPr>
            </w:pPr>
            <w:r>
              <w:rPr>
                <w:rFonts w:hint="eastAsia" w:ascii="宋体" w:hAnsi="宋体" w:cs="宋体"/>
                <w:szCs w:val="21"/>
              </w:rPr>
              <w:t>③</w:t>
            </w:r>
            <w:r>
              <w:rPr>
                <w:rFonts w:hint="eastAsia" w:cs="宋体"/>
                <w:color w:val="000000"/>
                <w:szCs w:val="21"/>
              </w:rPr>
              <w:t>进度安排尚能满足工期需求、部分时间节点不够明确或存在前松后紧的得3分；</w:t>
            </w:r>
          </w:p>
          <w:p w14:paraId="29224197">
            <w:pPr>
              <w:pStyle w:val="79"/>
              <w:ind w:firstLine="0" w:firstLineChars="0"/>
            </w:pPr>
            <w:r>
              <w:rPr>
                <w:rFonts w:hint="eastAsia" w:ascii="宋体" w:hAnsi="宋体" w:cs="宋体"/>
                <w:szCs w:val="21"/>
              </w:rPr>
              <w:t>④</w:t>
            </w:r>
            <w:r>
              <w:rPr>
                <w:rFonts w:hint="eastAsia" w:cs="宋体"/>
                <w:color w:val="000000"/>
                <w:szCs w:val="21"/>
              </w:rPr>
              <w:t>进度安排基本合理、时间节点及工期内容的欠缺的得2分；</w:t>
            </w:r>
          </w:p>
          <w:p w14:paraId="7B8888E0">
            <w:pPr>
              <w:tabs>
                <w:tab w:val="left" w:pos="4915"/>
              </w:tabs>
              <w:spacing w:line="340" w:lineRule="exact"/>
              <w:rPr>
                <w:rFonts w:cs="宋体"/>
                <w:color w:val="000000"/>
                <w:szCs w:val="21"/>
              </w:rPr>
            </w:pPr>
            <w:r>
              <w:rPr>
                <w:rFonts w:hint="eastAsia" w:ascii="宋体" w:hAnsi="宋体" w:cs="宋体"/>
                <w:szCs w:val="21"/>
              </w:rPr>
              <w:t>⑤</w:t>
            </w:r>
            <w:r>
              <w:rPr>
                <w:rFonts w:hint="eastAsia" w:cs="宋体"/>
                <w:color w:val="000000"/>
                <w:szCs w:val="21"/>
              </w:rPr>
              <w:t>进度安排存在明显不合理之处、或时间节点混乱、难以保障项目工期的得1分。</w:t>
            </w:r>
          </w:p>
          <w:p w14:paraId="326981DA">
            <w:pPr>
              <w:tabs>
                <w:tab w:val="left" w:pos="4915"/>
              </w:tabs>
              <w:spacing w:line="340" w:lineRule="exact"/>
              <w:rPr>
                <w:rFonts w:cs="宋体"/>
                <w:color w:val="000000"/>
                <w:szCs w:val="21"/>
              </w:rPr>
            </w:pPr>
            <w:r>
              <w:rPr>
                <w:rFonts w:hint="eastAsia" w:cs="宋体"/>
                <w:color w:val="000000"/>
                <w:szCs w:val="21"/>
              </w:rPr>
              <w:t>未提供相关内容不得分。</w:t>
            </w:r>
          </w:p>
        </w:tc>
      </w:tr>
      <w:tr w14:paraId="58B074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48" w:type="dxa"/>
            <w:vMerge w:val="continue"/>
            <w:vAlign w:val="center"/>
          </w:tcPr>
          <w:p w14:paraId="0F9E095E">
            <w:pPr>
              <w:widowControl/>
              <w:spacing w:line="340" w:lineRule="exact"/>
              <w:jc w:val="left"/>
              <w:rPr>
                <w:color w:val="000000"/>
                <w:szCs w:val="21"/>
              </w:rPr>
            </w:pPr>
          </w:p>
        </w:tc>
        <w:tc>
          <w:tcPr>
            <w:tcW w:w="1164" w:type="dxa"/>
            <w:vAlign w:val="center"/>
          </w:tcPr>
          <w:p w14:paraId="6FAE28AC">
            <w:pPr>
              <w:widowControl/>
              <w:spacing w:line="340" w:lineRule="exact"/>
              <w:jc w:val="left"/>
              <w:rPr>
                <w:color w:val="000000"/>
                <w:szCs w:val="21"/>
              </w:rPr>
            </w:pPr>
            <w:r>
              <w:rPr>
                <w:rFonts w:hint="eastAsia" w:ascii="宋体" w:hAnsi="宋体" w:eastAsia="宋体" w:cs="宋体"/>
                <w:color w:val="auto"/>
                <w:szCs w:val="21"/>
              </w:rPr>
              <w:t>环保管理体系和措施（5分）</w:t>
            </w:r>
          </w:p>
        </w:tc>
        <w:tc>
          <w:tcPr>
            <w:tcW w:w="8289" w:type="dxa"/>
            <w:vAlign w:val="center"/>
          </w:tcPr>
          <w:p w14:paraId="1BA19AC6">
            <w:pPr>
              <w:tabs>
                <w:tab w:val="left" w:pos="4915"/>
              </w:tabs>
              <w:spacing w:line="340" w:lineRule="exact"/>
              <w:rPr>
                <w:rFonts w:cs="宋体"/>
                <w:color w:val="000000"/>
                <w:szCs w:val="21"/>
              </w:rPr>
            </w:pPr>
            <w:r>
              <w:rPr>
                <w:rFonts w:hint="eastAsia" w:cs="宋体"/>
                <w:color w:val="000000"/>
                <w:szCs w:val="21"/>
                <w:lang w:val="en-US" w:eastAsia="zh-CN"/>
              </w:rPr>
              <w:t>5、</w:t>
            </w:r>
            <w:r>
              <w:rPr>
                <w:rFonts w:hint="eastAsia" w:cs="宋体"/>
                <w:color w:val="000000"/>
                <w:szCs w:val="21"/>
              </w:rPr>
              <w:t>环保管理体系和措施</w:t>
            </w:r>
            <w:r>
              <w:rPr>
                <w:rFonts w:hint="eastAsia" w:ascii="宋体" w:hAnsi="宋体" w:cs="宋体"/>
              </w:rPr>
              <w:t>（包含但不仅限于防噪音、防扬尘、防刺鼻气味，空气检测、空气治理等施工环境维护保障措施等）</w:t>
            </w:r>
            <w:r>
              <w:rPr>
                <w:rFonts w:hint="eastAsia" w:cs="宋体"/>
                <w:color w:val="000000"/>
                <w:szCs w:val="21"/>
              </w:rPr>
              <w:t>：</w:t>
            </w:r>
          </w:p>
          <w:p w14:paraId="3D442084">
            <w:pPr>
              <w:tabs>
                <w:tab w:val="left" w:pos="4915"/>
              </w:tabs>
              <w:spacing w:line="340" w:lineRule="exact"/>
              <w:rPr>
                <w:rFonts w:cs="宋体"/>
                <w:color w:val="000000"/>
                <w:szCs w:val="21"/>
              </w:rPr>
            </w:pPr>
            <w:r>
              <w:rPr>
                <w:rFonts w:hint="eastAsia" w:cs="宋体"/>
                <w:color w:val="000000"/>
                <w:szCs w:val="21"/>
              </w:rPr>
              <w:t>①</w:t>
            </w:r>
            <w:r>
              <w:rPr>
                <w:rFonts w:hint="eastAsia" w:ascii="宋体" w:hAnsi="宋体" w:cs="宋体"/>
              </w:rPr>
              <w:t>施工环保管理完善，防噪音、防扬尘、防刺鼻气味等施工环境维护保障措施可行，空气检测及时到位，空气治理方案完善</w:t>
            </w:r>
            <w:r>
              <w:rPr>
                <w:rFonts w:hint="eastAsia" w:cs="宋体"/>
                <w:color w:val="000000"/>
                <w:szCs w:val="21"/>
              </w:rPr>
              <w:t>的得5分；</w:t>
            </w:r>
          </w:p>
          <w:p w14:paraId="7E632401">
            <w:pPr>
              <w:tabs>
                <w:tab w:val="left" w:pos="4915"/>
              </w:tabs>
              <w:spacing w:line="340" w:lineRule="exact"/>
              <w:rPr>
                <w:rFonts w:cs="宋体"/>
                <w:color w:val="000000"/>
                <w:szCs w:val="21"/>
              </w:rPr>
            </w:pPr>
            <w:r>
              <w:rPr>
                <w:rFonts w:hint="eastAsia" w:ascii="宋体" w:hAnsi="宋体" w:cs="宋体"/>
                <w:szCs w:val="21"/>
              </w:rPr>
              <w:t>②</w:t>
            </w:r>
            <w:r>
              <w:rPr>
                <w:rFonts w:hint="eastAsia" w:ascii="宋体" w:hAnsi="宋体" w:cs="宋体"/>
              </w:rPr>
              <w:t>施工环保管理完善，防噪音、防扬尘、防刺鼻气味等施工环境维护保障措施基本可行，空气检测较及时到位，空气治理方案较完善的</w:t>
            </w:r>
            <w:r>
              <w:rPr>
                <w:rFonts w:hint="eastAsia" w:cs="宋体"/>
                <w:color w:val="000000"/>
                <w:szCs w:val="21"/>
              </w:rPr>
              <w:t>得4分；</w:t>
            </w:r>
          </w:p>
          <w:p w14:paraId="4C6CA091">
            <w:pPr>
              <w:tabs>
                <w:tab w:val="left" w:pos="4915"/>
              </w:tabs>
              <w:spacing w:line="340" w:lineRule="exact"/>
              <w:rPr>
                <w:rFonts w:cs="宋体"/>
                <w:color w:val="000000"/>
                <w:szCs w:val="21"/>
              </w:rPr>
            </w:pPr>
            <w:r>
              <w:rPr>
                <w:rFonts w:hint="eastAsia" w:ascii="宋体" w:hAnsi="宋体" w:cs="宋体"/>
                <w:szCs w:val="21"/>
              </w:rPr>
              <w:t>③</w:t>
            </w:r>
            <w:r>
              <w:rPr>
                <w:rFonts w:hint="eastAsia" w:ascii="宋体" w:hAnsi="宋体" w:cs="宋体"/>
              </w:rPr>
              <w:t>施工环保管理完善，防噪音、防扬尘、防刺鼻气味等施工环境维护保障措施基本可行，空气检测较及时到位，空气治理方案</w:t>
            </w:r>
            <w:r>
              <w:rPr>
                <w:rFonts w:hint="eastAsia" w:cs="宋体"/>
                <w:color w:val="000000"/>
                <w:szCs w:val="21"/>
              </w:rPr>
              <w:t>上有部分欠缺，但尚不影响履约的得3分；</w:t>
            </w:r>
          </w:p>
          <w:p w14:paraId="67BEACFC">
            <w:pPr>
              <w:tabs>
                <w:tab w:val="left" w:pos="4915"/>
              </w:tabs>
              <w:spacing w:line="340" w:lineRule="exact"/>
              <w:rPr>
                <w:rFonts w:cs="宋体"/>
                <w:color w:val="000000"/>
                <w:szCs w:val="21"/>
              </w:rPr>
            </w:pPr>
            <w:r>
              <w:rPr>
                <w:rFonts w:hint="eastAsia" w:ascii="宋体" w:hAnsi="宋体" w:cs="宋体"/>
                <w:szCs w:val="21"/>
              </w:rPr>
              <w:t>④</w:t>
            </w:r>
            <w:r>
              <w:rPr>
                <w:rFonts w:hint="eastAsia" w:ascii="宋体" w:hAnsi="宋体" w:cs="宋体"/>
              </w:rPr>
              <w:t>施工环保管理完善，防噪音、防扬尘、防刺鼻气味等施工环境维护保障措施基本可行，空气检测较及时到位，空气治理方案</w:t>
            </w:r>
            <w:r>
              <w:rPr>
                <w:rFonts w:hint="eastAsia" w:cs="宋体"/>
                <w:color w:val="000000"/>
                <w:szCs w:val="21"/>
              </w:rPr>
              <w:t>有明显缺漏项，或过于笼统但能保证项目顺利实施的得2分。</w:t>
            </w:r>
          </w:p>
          <w:p w14:paraId="19F99BE4">
            <w:pPr>
              <w:pStyle w:val="79"/>
              <w:ind w:firstLine="0" w:firstLineChars="0"/>
            </w:pPr>
            <w:r>
              <w:rPr>
                <w:rFonts w:hint="eastAsia" w:ascii="宋体" w:hAnsi="宋体" w:cs="宋体"/>
                <w:szCs w:val="21"/>
              </w:rPr>
              <w:t>⑤</w:t>
            </w:r>
            <w:r>
              <w:rPr>
                <w:rFonts w:hint="eastAsia" w:ascii="宋体" w:hAnsi="宋体" w:cs="宋体"/>
              </w:rPr>
              <w:t>施工环保管理完善，防噪音、防扬尘、防刺鼻气味等施工环境维护保障措施基本可行，空气检测较及时到位，空气治理方案</w:t>
            </w:r>
            <w:r>
              <w:rPr>
                <w:rFonts w:hint="eastAsia" w:ascii="宋体" w:hAnsi="宋体" w:cs="宋体"/>
                <w:szCs w:val="21"/>
              </w:rPr>
              <w:t>存在一定偏差，</w:t>
            </w:r>
            <w:r>
              <w:rPr>
                <w:rFonts w:hint="eastAsia" w:cs="宋体"/>
                <w:color w:val="000000"/>
                <w:szCs w:val="21"/>
              </w:rPr>
              <w:t>难以保证项目顺利实施</w:t>
            </w:r>
            <w:r>
              <w:rPr>
                <w:rFonts w:hint="eastAsia" w:ascii="宋体" w:hAnsi="宋体" w:cs="宋体"/>
                <w:szCs w:val="21"/>
              </w:rPr>
              <w:t>的得1分；</w:t>
            </w:r>
          </w:p>
          <w:p w14:paraId="7824BAD7">
            <w:pPr>
              <w:tabs>
                <w:tab w:val="left" w:pos="4915"/>
              </w:tabs>
              <w:spacing w:line="340" w:lineRule="exact"/>
              <w:rPr>
                <w:rFonts w:cs="宋体"/>
                <w:color w:val="000000"/>
                <w:szCs w:val="21"/>
              </w:rPr>
            </w:pPr>
            <w:r>
              <w:rPr>
                <w:rFonts w:hint="eastAsia" w:cs="宋体"/>
                <w:color w:val="000000"/>
                <w:szCs w:val="21"/>
              </w:rPr>
              <w:t>未提供相关内容不得分。</w:t>
            </w:r>
          </w:p>
        </w:tc>
      </w:tr>
      <w:tr w14:paraId="591A9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48" w:type="dxa"/>
            <w:vMerge w:val="continue"/>
            <w:vAlign w:val="center"/>
          </w:tcPr>
          <w:p w14:paraId="1B66F8E3">
            <w:pPr>
              <w:widowControl/>
              <w:spacing w:line="340" w:lineRule="exact"/>
              <w:jc w:val="left"/>
              <w:rPr>
                <w:color w:val="000000"/>
                <w:szCs w:val="21"/>
              </w:rPr>
            </w:pPr>
          </w:p>
        </w:tc>
        <w:tc>
          <w:tcPr>
            <w:tcW w:w="1164" w:type="dxa"/>
            <w:vAlign w:val="center"/>
          </w:tcPr>
          <w:p w14:paraId="0BCA6B20">
            <w:pPr>
              <w:widowControl/>
              <w:spacing w:line="340" w:lineRule="exact"/>
              <w:jc w:val="left"/>
              <w:rPr>
                <w:color w:val="000000"/>
                <w:szCs w:val="21"/>
              </w:rPr>
            </w:pPr>
            <w:r>
              <w:rPr>
                <w:rFonts w:hint="eastAsia" w:ascii="宋体" w:hAnsi="宋体" w:eastAsia="宋体" w:cs="宋体"/>
                <w:szCs w:val="21"/>
              </w:rPr>
              <w:t>施工现场布置方案</w:t>
            </w:r>
            <w:r>
              <w:rPr>
                <w:rFonts w:hint="eastAsia" w:ascii="宋体" w:hAnsi="宋体" w:eastAsia="宋体" w:cs="宋体"/>
                <w:color w:val="auto"/>
                <w:szCs w:val="21"/>
              </w:rPr>
              <w:t>（5分）</w:t>
            </w:r>
          </w:p>
        </w:tc>
        <w:tc>
          <w:tcPr>
            <w:tcW w:w="8289" w:type="dxa"/>
            <w:vAlign w:val="center"/>
          </w:tcPr>
          <w:p w14:paraId="1946F9D1">
            <w:pPr>
              <w:autoSpaceDE w:val="0"/>
              <w:autoSpaceDN w:val="0"/>
              <w:spacing w:line="380" w:lineRule="atLeast"/>
              <w:jc w:val="left"/>
              <w:rPr>
                <w:rFonts w:hint="eastAsia" w:ascii="宋体" w:hAnsi="宋体" w:eastAsia="宋体" w:cs="宋体"/>
                <w:szCs w:val="21"/>
              </w:rPr>
            </w:pPr>
            <w:r>
              <w:rPr>
                <w:rFonts w:hint="eastAsia" w:ascii="宋体" w:hAnsi="宋体" w:cs="宋体"/>
                <w:szCs w:val="21"/>
                <w:lang w:val="en-US" w:eastAsia="zh-CN"/>
              </w:rPr>
              <w:t>6、</w:t>
            </w:r>
            <w:r>
              <w:rPr>
                <w:rFonts w:hint="eastAsia" w:ascii="宋体" w:hAnsi="宋体" w:eastAsia="宋体" w:cs="宋体"/>
                <w:szCs w:val="21"/>
              </w:rPr>
              <w:t>据供应商提供的施工现场</w:t>
            </w:r>
            <w:r>
              <w:rPr>
                <w:rFonts w:hint="eastAsia" w:ascii="宋体" w:hAnsi="宋体" w:eastAsia="宋体" w:cs="宋体"/>
                <w:szCs w:val="21"/>
                <w:lang w:val="en-US" w:eastAsia="zh-CN"/>
              </w:rPr>
              <w:t>平面</w:t>
            </w:r>
            <w:r>
              <w:rPr>
                <w:rFonts w:hint="eastAsia" w:ascii="宋体" w:hAnsi="宋体" w:eastAsia="宋体" w:cs="宋体"/>
                <w:szCs w:val="21"/>
              </w:rPr>
              <w:t>布置方案（包括施工现场临时设施布置情况、施工设备及原材料堆放情况、安全文明施工布置情况等）进行综合评议：</w:t>
            </w:r>
          </w:p>
          <w:p w14:paraId="0D5A4B03">
            <w:pPr>
              <w:tabs>
                <w:tab w:val="left" w:pos="4915"/>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①布置方案详实、内容完整，临时设施考虑齐全且布置科学，施工设备及原材料堆放有序，安全文明施工布置全面且醒目，可执行力高的，得5分；</w:t>
            </w:r>
          </w:p>
          <w:p w14:paraId="1D40CF92">
            <w:pPr>
              <w:tabs>
                <w:tab w:val="left" w:pos="4915"/>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②布置方案较详细、内容充分，临时设施考虑齐全且布置较合理，施工设备及原材料堆放较合理，安全文明施工布置较全面且较醒目，可执行力度较高，得4分；</w:t>
            </w:r>
          </w:p>
          <w:p w14:paraId="444A71F1">
            <w:pPr>
              <w:tabs>
                <w:tab w:val="left" w:pos="4915"/>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③布置方案较详细、内容较多，临时设施考虑较齐全且布置较合理，施工设备及原材料堆放较随意，安全文明施工布置较全面但不够醒目，可勉强执行的，得3分；</w:t>
            </w:r>
          </w:p>
          <w:p w14:paraId="3A5A4680">
            <w:pPr>
              <w:tabs>
                <w:tab w:val="left" w:pos="4915"/>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④布置方案较简单、内容较少，临时设施考虑不足且布置随意，施工设备及原材料堆放随意，安全文明施工布置不足且盲目，得2分；</w:t>
            </w:r>
          </w:p>
          <w:p w14:paraId="6E42213C">
            <w:pPr>
              <w:tabs>
                <w:tab w:val="left" w:pos="4915"/>
              </w:tabs>
              <w:spacing w:line="360" w:lineRule="exact"/>
              <w:rPr>
                <w:rFonts w:hint="eastAsia" w:ascii="宋体" w:hAnsi="宋体" w:eastAsia="宋体" w:cs="宋体"/>
                <w:color w:val="000000"/>
                <w:szCs w:val="21"/>
              </w:rPr>
            </w:pPr>
            <w:r>
              <w:rPr>
                <w:rFonts w:hint="eastAsia" w:ascii="宋体" w:hAnsi="宋体" w:eastAsia="宋体" w:cs="宋体"/>
                <w:color w:val="000000"/>
                <w:szCs w:val="21"/>
              </w:rPr>
              <w:t>⑤布置方案简单、内容少，临时设施考虑不足且布置无章法，施工设备及原材料堆放混乱，安全文明施工布置敷衍，得1分；</w:t>
            </w:r>
          </w:p>
          <w:p w14:paraId="705DFC4D">
            <w:pPr>
              <w:tabs>
                <w:tab w:val="left" w:pos="4915"/>
              </w:tabs>
              <w:spacing w:line="340" w:lineRule="exact"/>
              <w:rPr>
                <w:rFonts w:cs="宋体"/>
                <w:color w:val="000000"/>
                <w:szCs w:val="21"/>
              </w:rPr>
            </w:pPr>
            <w:r>
              <w:rPr>
                <w:rFonts w:hint="eastAsia" w:ascii="宋体" w:hAnsi="宋体" w:eastAsia="宋体" w:cs="宋体"/>
                <w:color w:val="000000"/>
                <w:szCs w:val="21"/>
              </w:rPr>
              <w:t>未提供相关内容不得分。</w:t>
            </w:r>
          </w:p>
        </w:tc>
      </w:tr>
      <w:tr w14:paraId="7AEBF3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748" w:type="dxa"/>
            <w:vMerge w:val="continue"/>
            <w:vAlign w:val="center"/>
          </w:tcPr>
          <w:p w14:paraId="466DF2D2">
            <w:pPr>
              <w:widowControl/>
              <w:spacing w:line="340" w:lineRule="exact"/>
              <w:jc w:val="left"/>
              <w:rPr>
                <w:color w:val="000000"/>
                <w:szCs w:val="21"/>
              </w:rPr>
            </w:pPr>
          </w:p>
        </w:tc>
        <w:tc>
          <w:tcPr>
            <w:tcW w:w="1164" w:type="dxa"/>
            <w:vAlign w:val="center"/>
          </w:tcPr>
          <w:p w14:paraId="7B2D7498">
            <w:pPr>
              <w:widowControl/>
              <w:spacing w:line="340" w:lineRule="exact"/>
              <w:jc w:val="left"/>
              <w:rPr>
                <w:color w:val="000000"/>
                <w:szCs w:val="21"/>
              </w:rPr>
            </w:pPr>
            <w:r>
              <w:rPr>
                <w:rFonts w:hint="eastAsia"/>
                <w:color w:val="000000"/>
                <w:szCs w:val="21"/>
              </w:rPr>
              <w:t>安全生产、文明施工措施（5分）</w:t>
            </w:r>
          </w:p>
        </w:tc>
        <w:tc>
          <w:tcPr>
            <w:tcW w:w="8289" w:type="dxa"/>
            <w:vAlign w:val="center"/>
          </w:tcPr>
          <w:p w14:paraId="7AC1A517">
            <w:pPr>
              <w:tabs>
                <w:tab w:val="left" w:pos="4915"/>
              </w:tabs>
              <w:spacing w:line="340" w:lineRule="exact"/>
              <w:rPr>
                <w:rFonts w:cs="宋体"/>
                <w:color w:val="000000"/>
                <w:szCs w:val="21"/>
              </w:rPr>
            </w:pPr>
            <w:r>
              <w:rPr>
                <w:rFonts w:hint="eastAsia" w:cs="宋体"/>
                <w:color w:val="000000"/>
                <w:szCs w:val="21"/>
                <w:lang w:val="en-US" w:eastAsia="zh-CN"/>
              </w:rPr>
              <w:t>7、</w:t>
            </w:r>
            <w:r>
              <w:rPr>
                <w:rFonts w:hint="eastAsia" w:cs="宋体"/>
                <w:color w:val="000000"/>
                <w:szCs w:val="21"/>
              </w:rPr>
              <w:t>安全生产、文明施工措施：</w:t>
            </w:r>
          </w:p>
          <w:p w14:paraId="0276282B">
            <w:pPr>
              <w:tabs>
                <w:tab w:val="left" w:pos="4915"/>
              </w:tabs>
              <w:spacing w:line="340" w:lineRule="exact"/>
              <w:rPr>
                <w:rFonts w:cs="宋体"/>
                <w:color w:val="000000"/>
                <w:szCs w:val="21"/>
              </w:rPr>
            </w:pPr>
            <w:r>
              <w:rPr>
                <w:rFonts w:hint="eastAsia" w:cs="宋体"/>
                <w:color w:val="000000"/>
                <w:szCs w:val="21"/>
              </w:rPr>
              <w:t>①施工作业防护、噪音、震动、扬尘各项保障措施具体有效、能保证项目顺利实施的得5分；</w:t>
            </w:r>
          </w:p>
          <w:p w14:paraId="7D46DABD">
            <w:pPr>
              <w:pStyle w:val="79"/>
              <w:ind w:firstLine="0" w:firstLineChars="0"/>
              <w:rPr>
                <w:rFonts w:cs="宋体"/>
                <w:color w:val="000000"/>
                <w:szCs w:val="21"/>
              </w:rPr>
            </w:pPr>
            <w:r>
              <w:rPr>
                <w:rFonts w:hint="eastAsia" w:cs="宋体"/>
                <w:color w:val="000000"/>
                <w:szCs w:val="21"/>
              </w:rPr>
              <w:t>②施工作业防护、噪音、震动、扬尘各项保障措施基本有效，能保证项目顺利实施的得4分；</w:t>
            </w:r>
          </w:p>
          <w:p w14:paraId="39A3079E">
            <w:pPr>
              <w:tabs>
                <w:tab w:val="left" w:pos="4915"/>
              </w:tabs>
              <w:spacing w:line="340" w:lineRule="exact"/>
              <w:rPr>
                <w:rFonts w:cs="宋体"/>
                <w:color w:val="000000"/>
                <w:szCs w:val="21"/>
              </w:rPr>
            </w:pPr>
            <w:r>
              <w:rPr>
                <w:rFonts w:hint="eastAsia" w:cs="宋体"/>
                <w:color w:val="000000"/>
                <w:szCs w:val="21"/>
              </w:rPr>
              <w:t>③施工作业防护、噪音、震动、扬尘保障措施上存在细节部分欠缺，尚不影响履约的得3分；</w:t>
            </w:r>
          </w:p>
          <w:p w14:paraId="6981484A">
            <w:pPr>
              <w:pStyle w:val="79"/>
              <w:ind w:firstLine="0" w:firstLineChars="0"/>
              <w:rPr>
                <w:rFonts w:cs="宋体"/>
                <w:color w:val="000000"/>
                <w:szCs w:val="21"/>
              </w:rPr>
            </w:pPr>
            <w:r>
              <w:rPr>
                <w:rFonts w:hint="eastAsia" w:cs="宋体"/>
                <w:color w:val="000000"/>
                <w:szCs w:val="21"/>
              </w:rPr>
              <w:t>④施工作业防护、噪音、震动、扬尘保障措施有明显缺漏项，或过于笼统但能保证项目顺利实施的得2分；</w:t>
            </w:r>
          </w:p>
          <w:p w14:paraId="437166E2">
            <w:pPr>
              <w:tabs>
                <w:tab w:val="left" w:pos="4915"/>
              </w:tabs>
              <w:spacing w:line="340" w:lineRule="exact"/>
              <w:rPr>
                <w:rFonts w:cs="宋体"/>
                <w:color w:val="000000"/>
                <w:szCs w:val="21"/>
              </w:rPr>
            </w:pPr>
            <w:r>
              <w:rPr>
                <w:rFonts w:hint="eastAsia" w:cs="宋体"/>
                <w:color w:val="000000"/>
                <w:szCs w:val="21"/>
              </w:rPr>
              <w:t>⑤施工作业防护、噪音、震动、扬尘保障措施措施不完整或缺少有效保障手段，难以保证项目实施的得1分。未提供相关内容不得分。</w:t>
            </w:r>
          </w:p>
        </w:tc>
      </w:tr>
      <w:tr w14:paraId="2FAA3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748" w:type="dxa"/>
            <w:vMerge w:val="continue"/>
            <w:vAlign w:val="center"/>
          </w:tcPr>
          <w:p w14:paraId="76EDF85C">
            <w:pPr>
              <w:widowControl/>
              <w:spacing w:line="340" w:lineRule="exact"/>
              <w:jc w:val="left"/>
              <w:rPr>
                <w:color w:val="000000"/>
                <w:szCs w:val="21"/>
              </w:rPr>
            </w:pPr>
          </w:p>
        </w:tc>
        <w:tc>
          <w:tcPr>
            <w:tcW w:w="1164" w:type="dxa"/>
            <w:vAlign w:val="center"/>
          </w:tcPr>
          <w:p w14:paraId="728AB830">
            <w:pPr>
              <w:spacing w:line="320" w:lineRule="exact"/>
              <w:rPr>
                <w:rFonts w:ascii="Calibri" w:hAnsi="Calibri" w:cs="Calibri"/>
                <w:color w:val="000000"/>
                <w:szCs w:val="21"/>
              </w:rPr>
            </w:pPr>
            <w:r>
              <w:rPr>
                <w:rFonts w:hint="eastAsia"/>
                <w:szCs w:val="21"/>
              </w:rPr>
              <w:t>重难点分析及解决方案（5分）</w:t>
            </w:r>
          </w:p>
        </w:tc>
        <w:tc>
          <w:tcPr>
            <w:tcW w:w="8289" w:type="dxa"/>
            <w:vAlign w:val="center"/>
          </w:tcPr>
          <w:p w14:paraId="51A80185">
            <w:pPr>
              <w:spacing w:line="320" w:lineRule="exact"/>
              <w:rPr>
                <w:szCs w:val="21"/>
              </w:rPr>
            </w:pPr>
            <w:r>
              <w:rPr>
                <w:rFonts w:hint="eastAsia"/>
                <w:szCs w:val="21"/>
                <w:lang w:val="en-US" w:eastAsia="zh-CN"/>
              </w:rPr>
              <w:t>8、</w:t>
            </w:r>
            <w:r>
              <w:rPr>
                <w:rFonts w:hint="eastAsia"/>
                <w:szCs w:val="21"/>
              </w:rPr>
              <w:t>根据供应商提供的项目关键点、重难点分析及</w:t>
            </w:r>
            <w:r>
              <w:rPr>
                <w:rFonts w:hint="eastAsia"/>
                <w:szCs w:val="21"/>
                <w:lang w:val="en-US" w:eastAsia="zh-CN"/>
              </w:rPr>
              <w:t>解决方案</w:t>
            </w:r>
            <w:r>
              <w:rPr>
                <w:rFonts w:hint="eastAsia"/>
                <w:szCs w:val="21"/>
              </w:rPr>
              <w:t>进行综合评议：</w:t>
            </w:r>
          </w:p>
          <w:p w14:paraId="5702145F">
            <w:pPr>
              <w:spacing w:line="320" w:lineRule="exact"/>
              <w:rPr>
                <w:szCs w:val="21"/>
              </w:rPr>
            </w:pPr>
            <w:r>
              <w:rPr>
                <w:rFonts w:hint="eastAsia"/>
                <w:szCs w:val="21"/>
              </w:rPr>
              <w:t>①项目关键点、重难点分析到位，针对性强，具有可行的解决方案</w:t>
            </w:r>
            <w:bookmarkStart w:id="942" w:name="_GoBack"/>
            <w:bookmarkEnd w:id="942"/>
            <w:r>
              <w:rPr>
                <w:rFonts w:hint="eastAsia"/>
                <w:szCs w:val="21"/>
              </w:rPr>
              <w:t>的，得5分；</w:t>
            </w:r>
          </w:p>
          <w:p w14:paraId="5424B7B2">
            <w:pPr>
              <w:spacing w:line="320" w:lineRule="exact"/>
              <w:rPr>
                <w:szCs w:val="21"/>
              </w:rPr>
            </w:pPr>
            <w:r>
              <w:rPr>
                <w:rFonts w:hint="eastAsia"/>
                <w:szCs w:val="21"/>
              </w:rPr>
              <w:t>②项目关键点、重难点分析及针对性较好，有效可行的解决方案的，得4分；</w:t>
            </w:r>
          </w:p>
          <w:p w14:paraId="7229090C">
            <w:pPr>
              <w:spacing w:line="320" w:lineRule="exact"/>
              <w:rPr>
                <w:szCs w:val="21"/>
              </w:rPr>
            </w:pPr>
            <w:r>
              <w:rPr>
                <w:rFonts w:hint="eastAsia" w:ascii="宋体" w:hAnsi="宋体" w:cs="宋体"/>
                <w:szCs w:val="21"/>
              </w:rPr>
              <w:t>③</w:t>
            </w:r>
            <w:r>
              <w:rPr>
                <w:rFonts w:hint="eastAsia"/>
                <w:szCs w:val="21"/>
              </w:rPr>
              <w:t>项目关键点、重难点分析普通，针对性一般，有效可行的解决方案，得3分；</w:t>
            </w:r>
          </w:p>
          <w:p w14:paraId="601F6D1D">
            <w:pPr>
              <w:pStyle w:val="79"/>
              <w:ind w:firstLine="0" w:firstLineChars="0"/>
              <w:rPr>
                <w:szCs w:val="21"/>
              </w:rPr>
            </w:pPr>
            <w:r>
              <w:rPr>
                <w:rFonts w:hint="eastAsia" w:ascii="宋体" w:hAnsi="宋体"/>
                <w:szCs w:val="21"/>
              </w:rPr>
              <w:t>④</w:t>
            </w:r>
            <w:r>
              <w:rPr>
                <w:rFonts w:hint="eastAsia"/>
                <w:szCs w:val="21"/>
              </w:rPr>
              <w:t>项目关键点、重难点分析及针对性</w:t>
            </w:r>
            <w:r>
              <w:rPr>
                <w:rFonts w:hint="eastAsia" w:cs="宋体"/>
                <w:color w:val="000000"/>
                <w:szCs w:val="21"/>
              </w:rPr>
              <w:t>过于笼统，</w:t>
            </w:r>
            <w:r>
              <w:rPr>
                <w:rFonts w:hint="eastAsia"/>
                <w:szCs w:val="21"/>
              </w:rPr>
              <w:t>解决方案</w:t>
            </w:r>
            <w:r>
              <w:rPr>
                <w:rFonts w:hint="eastAsia" w:cs="宋体"/>
                <w:color w:val="000000"/>
                <w:szCs w:val="21"/>
              </w:rPr>
              <w:t>内容有欠缺的，得2分</w:t>
            </w:r>
          </w:p>
          <w:p w14:paraId="08CE80A4">
            <w:pPr>
              <w:spacing w:line="320" w:lineRule="exact"/>
              <w:rPr>
                <w:szCs w:val="21"/>
              </w:rPr>
            </w:pPr>
            <w:r>
              <w:rPr>
                <w:rFonts w:hint="eastAsia" w:ascii="宋体" w:hAnsi="宋体"/>
                <w:szCs w:val="21"/>
              </w:rPr>
              <w:t>⑤</w:t>
            </w:r>
            <w:r>
              <w:rPr>
                <w:rFonts w:hint="eastAsia"/>
                <w:szCs w:val="21"/>
              </w:rPr>
              <w:t>项目关键点、重难点分析不够到位，无针对性，没有可行的解决方案的，得1分；</w:t>
            </w:r>
          </w:p>
          <w:p w14:paraId="5A5B676C">
            <w:pPr>
              <w:spacing w:line="320" w:lineRule="exact"/>
              <w:rPr>
                <w:rFonts w:cs="宋体"/>
                <w:color w:val="000000"/>
                <w:szCs w:val="21"/>
              </w:rPr>
            </w:pPr>
            <w:r>
              <w:rPr>
                <w:rFonts w:hint="eastAsia"/>
                <w:szCs w:val="21"/>
              </w:rPr>
              <w:t>注：无相关内容的不得分。</w:t>
            </w:r>
          </w:p>
        </w:tc>
      </w:tr>
      <w:tr w14:paraId="5A264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59CD449D">
            <w:pPr>
              <w:widowControl/>
              <w:spacing w:line="340" w:lineRule="exact"/>
              <w:jc w:val="left"/>
              <w:rPr>
                <w:color w:val="000000"/>
                <w:szCs w:val="21"/>
              </w:rPr>
            </w:pPr>
          </w:p>
        </w:tc>
        <w:tc>
          <w:tcPr>
            <w:tcW w:w="1164" w:type="dxa"/>
            <w:vAlign w:val="center"/>
          </w:tcPr>
          <w:p w14:paraId="6E713105">
            <w:pPr>
              <w:spacing w:line="320" w:lineRule="exact"/>
              <w:rPr>
                <w:rFonts w:ascii="Calibri" w:hAnsi="Calibri" w:cs="Calibri"/>
                <w:color w:val="000000"/>
                <w:szCs w:val="21"/>
              </w:rPr>
            </w:pPr>
            <w:r>
              <w:rPr>
                <w:rFonts w:hint="eastAsia" w:ascii="Calibri" w:hAnsi="Calibri" w:cs="Calibri"/>
                <w:color w:val="000000"/>
                <w:szCs w:val="21"/>
              </w:rPr>
              <w:t xml:space="preserve">突发事件 应急预案 </w:t>
            </w:r>
          </w:p>
          <w:p w14:paraId="1AEACA02">
            <w:pPr>
              <w:spacing w:line="320" w:lineRule="exact"/>
              <w:rPr>
                <w:rFonts w:ascii="Calibri" w:hAnsi="Calibri" w:cs="Calibri"/>
                <w:color w:val="000000"/>
                <w:szCs w:val="21"/>
              </w:rPr>
            </w:pPr>
            <w:r>
              <w:rPr>
                <w:rFonts w:hint="eastAsia" w:ascii="Calibri" w:hAnsi="Calibri" w:cs="Calibri"/>
                <w:color w:val="000000"/>
                <w:szCs w:val="21"/>
              </w:rPr>
              <w:t>（5</w:t>
            </w:r>
            <w:r>
              <w:rPr>
                <w:rFonts w:ascii="Calibri" w:hAnsi="Calibri" w:cs="Calibri"/>
                <w:color w:val="000000"/>
                <w:szCs w:val="21"/>
              </w:rPr>
              <w:t xml:space="preserve"> </w:t>
            </w:r>
            <w:r>
              <w:rPr>
                <w:rFonts w:hint="eastAsia" w:ascii="Calibri" w:hAnsi="Calibri" w:cs="Calibri"/>
                <w:color w:val="000000"/>
                <w:szCs w:val="21"/>
              </w:rPr>
              <w:t>分）</w:t>
            </w:r>
          </w:p>
        </w:tc>
        <w:tc>
          <w:tcPr>
            <w:tcW w:w="8289" w:type="dxa"/>
            <w:vAlign w:val="center"/>
          </w:tcPr>
          <w:p w14:paraId="0ED53B4D">
            <w:pPr>
              <w:spacing w:line="320" w:lineRule="exact"/>
              <w:rPr>
                <w:rFonts w:ascii="Calibri" w:hAnsi="Calibri" w:cs="Calibri"/>
                <w:color w:val="000000"/>
                <w:szCs w:val="21"/>
              </w:rPr>
            </w:pPr>
            <w:r>
              <w:rPr>
                <w:rFonts w:hint="eastAsia" w:ascii="Calibri" w:hAnsi="Calibri" w:cs="Calibri"/>
                <w:color w:val="000000"/>
                <w:szCs w:val="21"/>
                <w:lang w:val="en-US" w:eastAsia="zh-CN"/>
              </w:rPr>
              <w:t>9、</w:t>
            </w:r>
            <w:r>
              <w:rPr>
                <w:rFonts w:hint="eastAsia" w:ascii="Calibri" w:hAnsi="Calibri" w:cs="Calibri"/>
                <w:color w:val="000000"/>
                <w:szCs w:val="21"/>
              </w:rPr>
              <w:t xml:space="preserve">对本项目实施期间的突发事件应急预案进行评议（5分） </w:t>
            </w:r>
          </w:p>
          <w:p w14:paraId="5F0932F0">
            <w:pPr>
              <w:spacing w:line="320" w:lineRule="exact"/>
              <w:rPr>
                <w:rFonts w:ascii="Calibri" w:hAnsi="Calibri" w:cs="Calibri"/>
                <w:color w:val="000000"/>
                <w:szCs w:val="21"/>
              </w:rPr>
            </w:pPr>
            <w:r>
              <w:rPr>
                <w:rFonts w:hint="eastAsia" w:cs="宋体"/>
                <w:color w:val="000000"/>
                <w:szCs w:val="21"/>
              </w:rPr>
              <w:t>①</w:t>
            </w:r>
            <w:r>
              <w:rPr>
                <w:rFonts w:hint="eastAsia" w:ascii="Calibri" w:hAnsi="Calibri" w:cs="Calibri"/>
                <w:color w:val="000000"/>
                <w:szCs w:val="21"/>
              </w:rPr>
              <w:t>应急预案条款完整、措施得力、能有效降低突发事件的不利影响的得5</w:t>
            </w:r>
            <w:r>
              <w:rPr>
                <w:rFonts w:ascii="Calibri" w:hAnsi="Calibri" w:cs="Calibri"/>
                <w:color w:val="000000"/>
                <w:szCs w:val="21"/>
              </w:rPr>
              <w:t xml:space="preserve"> </w:t>
            </w:r>
            <w:r>
              <w:rPr>
                <w:rFonts w:hint="eastAsia" w:ascii="Calibri" w:hAnsi="Calibri" w:cs="Calibri"/>
                <w:color w:val="000000"/>
                <w:szCs w:val="21"/>
              </w:rPr>
              <w:t>分；</w:t>
            </w:r>
          </w:p>
          <w:p w14:paraId="7BD44528">
            <w:pPr>
              <w:pStyle w:val="79"/>
              <w:ind w:firstLine="0" w:firstLineChars="0"/>
            </w:pPr>
            <w:r>
              <w:rPr>
                <w:rFonts w:hint="eastAsia" w:ascii="宋体" w:hAnsi="宋体" w:cs="宋体"/>
                <w:szCs w:val="21"/>
              </w:rPr>
              <w:t>②</w:t>
            </w:r>
            <w:r>
              <w:rPr>
                <w:rFonts w:hint="eastAsia" w:ascii="Calibri" w:hAnsi="Calibri" w:cs="Calibri"/>
                <w:color w:val="000000"/>
                <w:szCs w:val="21"/>
              </w:rPr>
              <w:t>应急预案条款内容完整，措施基本得力，能降低突发事件的不利影响的得4</w:t>
            </w:r>
            <w:r>
              <w:rPr>
                <w:rFonts w:ascii="Calibri" w:hAnsi="Calibri" w:cs="Calibri"/>
                <w:color w:val="000000"/>
                <w:szCs w:val="21"/>
              </w:rPr>
              <w:t xml:space="preserve"> </w:t>
            </w:r>
            <w:r>
              <w:rPr>
                <w:rFonts w:hint="eastAsia" w:ascii="Calibri" w:hAnsi="Calibri" w:cs="Calibri"/>
                <w:color w:val="000000"/>
                <w:szCs w:val="21"/>
              </w:rPr>
              <w:t>分</w:t>
            </w:r>
          </w:p>
          <w:p w14:paraId="65C873EC">
            <w:pPr>
              <w:spacing w:line="320" w:lineRule="exact"/>
              <w:rPr>
                <w:rFonts w:ascii="Calibri" w:hAnsi="Calibri" w:cs="Calibri"/>
                <w:color w:val="000000"/>
                <w:szCs w:val="21"/>
              </w:rPr>
            </w:pPr>
            <w:r>
              <w:rPr>
                <w:rFonts w:hint="eastAsia" w:ascii="宋体" w:hAnsi="宋体" w:cs="宋体"/>
                <w:szCs w:val="21"/>
              </w:rPr>
              <w:t>③</w:t>
            </w:r>
            <w:r>
              <w:rPr>
                <w:rFonts w:hint="eastAsia" w:ascii="Calibri" w:hAnsi="Calibri" w:cs="Calibri"/>
                <w:color w:val="000000"/>
                <w:szCs w:val="21"/>
              </w:rPr>
              <w:t>条款内容完整、但具体措施与工程实际情况略有偏差、预计尚不影响履约得3分；</w:t>
            </w:r>
          </w:p>
          <w:p w14:paraId="00CA49BB">
            <w:pPr>
              <w:pStyle w:val="79"/>
              <w:ind w:firstLine="0" w:firstLineChars="0"/>
            </w:pPr>
            <w:r>
              <w:rPr>
                <w:rFonts w:hint="eastAsia" w:ascii="宋体" w:hAnsi="宋体" w:cs="宋体"/>
                <w:szCs w:val="21"/>
              </w:rPr>
              <w:t>④</w:t>
            </w:r>
            <w:r>
              <w:rPr>
                <w:rFonts w:hint="eastAsia" w:ascii="Calibri" w:hAnsi="Calibri" w:cs="Calibri"/>
                <w:color w:val="000000"/>
                <w:szCs w:val="21"/>
              </w:rPr>
              <w:t>条款内容具体措施</w:t>
            </w:r>
            <w:r>
              <w:rPr>
                <w:rFonts w:hint="eastAsia" w:cs="宋体"/>
                <w:color w:val="000000"/>
                <w:szCs w:val="21"/>
              </w:rPr>
              <w:t>有明显缺漏项，或过于笼统但能保证项目顺利实施的得2分</w:t>
            </w:r>
          </w:p>
          <w:p w14:paraId="35B7E777">
            <w:pPr>
              <w:spacing w:line="320" w:lineRule="exact"/>
              <w:rPr>
                <w:rFonts w:ascii="Calibri" w:hAnsi="Calibri" w:cs="Calibri"/>
                <w:color w:val="000000"/>
                <w:szCs w:val="21"/>
              </w:rPr>
            </w:pPr>
            <w:r>
              <w:rPr>
                <w:rFonts w:hint="eastAsia" w:ascii="宋体" w:hAnsi="宋体" w:cs="宋体"/>
                <w:szCs w:val="21"/>
              </w:rPr>
              <w:t>⑤</w:t>
            </w:r>
            <w:r>
              <w:rPr>
                <w:rFonts w:hint="eastAsia" w:ascii="Calibri" w:hAnsi="Calibri" w:cs="Calibri"/>
                <w:color w:val="000000"/>
                <w:szCs w:val="21"/>
              </w:rPr>
              <w:t>条款内容不完整、或措施没有实际效果、无法保障项目实施的得1分。</w:t>
            </w:r>
          </w:p>
          <w:p w14:paraId="68CE6AF1">
            <w:pPr>
              <w:spacing w:line="320" w:lineRule="exact"/>
              <w:rPr>
                <w:rFonts w:ascii="Calibri" w:hAnsi="Calibri" w:cs="Calibri"/>
                <w:color w:val="000000"/>
                <w:szCs w:val="21"/>
              </w:rPr>
            </w:pPr>
            <w:r>
              <w:rPr>
                <w:rFonts w:hint="eastAsia" w:ascii="Calibri" w:hAnsi="Calibri" w:cs="Calibri"/>
                <w:color w:val="000000"/>
                <w:szCs w:val="21"/>
              </w:rPr>
              <w:t>未提供相关内容的不得分。</w:t>
            </w:r>
          </w:p>
        </w:tc>
      </w:tr>
      <w:tr w14:paraId="2790C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Merge w:val="continue"/>
            <w:vAlign w:val="center"/>
          </w:tcPr>
          <w:p w14:paraId="065FB9B1">
            <w:pPr>
              <w:widowControl/>
              <w:spacing w:line="340" w:lineRule="exact"/>
              <w:jc w:val="left"/>
              <w:rPr>
                <w:color w:val="000000"/>
                <w:szCs w:val="21"/>
              </w:rPr>
            </w:pPr>
          </w:p>
        </w:tc>
        <w:tc>
          <w:tcPr>
            <w:tcW w:w="1164" w:type="dxa"/>
            <w:vAlign w:val="center"/>
          </w:tcPr>
          <w:p w14:paraId="6695FEED">
            <w:pPr>
              <w:adjustRightInd w:val="0"/>
              <w:snapToGrid w:val="0"/>
              <w:spacing w:line="400" w:lineRule="exact"/>
              <w:rPr>
                <w:szCs w:val="21"/>
              </w:rPr>
            </w:pPr>
            <w:r>
              <w:rPr>
                <w:rFonts w:hint="eastAsia" w:ascii="宋体" w:hAnsi="宋体" w:eastAsia="宋体"/>
                <w:color w:val="000000"/>
                <w:szCs w:val="21"/>
              </w:rPr>
              <w:t>项目经理（</w:t>
            </w:r>
            <w:r>
              <w:rPr>
                <w:rFonts w:hint="eastAsia" w:ascii="宋体" w:hAnsi="宋体"/>
                <w:color w:val="000000"/>
                <w:szCs w:val="21"/>
                <w:lang w:val="en-US" w:eastAsia="zh-CN"/>
              </w:rPr>
              <w:t>2</w:t>
            </w:r>
            <w:r>
              <w:rPr>
                <w:rFonts w:hint="eastAsia" w:ascii="宋体" w:hAnsi="宋体" w:eastAsia="宋体"/>
                <w:color w:val="000000"/>
                <w:szCs w:val="21"/>
              </w:rPr>
              <w:t>分）</w:t>
            </w:r>
          </w:p>
        </w:tc>
        <w:tc>
          <w:tcPr>
            <w:tcW w:w="8289" w:type="dxa"/>
            <w:vAlign w:val="center"/>
          </w:tcPr>
          <w:p w14:paraId="5DB46B05">
            <w:pPr>
              <w:autoSpaceDE w:val="0"/>
              <w:autoSpaceDN w:val="0"/>
              <w:spacing w:line="380" w:lineRule="atLeast"/>
              <w:jc w:val="left"/>
              <w:rPr>
                <w:rFonts w:hint="eastAsia" w:ascii="Times New Roman" w:hAnsi="宋体" w:eastAsia="宋体" w:cs="宋体"/>
                <w:color w:val="auto"/>
                <w:sz w:val="21"/>
                <w:highlight w:val="none"/>
                <w:lang w:eastAsia="zh-CN"/>
              </w:rPr>
            </w:pPr>
            <w:r>
              <w:rPr>
                <w:rFonts w:hint="eastAsia" w:ascii="Times New Roman" w:hAnsi="宋体" w:eastAsia="宋体" w:cs="宋体"/>
                <w:color w:val="auto"/>
                <w:sz w:val="21"/>
                <w:highlight w:val="none"/>
                <w:lang w:val="en-US" w:eastAsia="zh-CN"/>
              </w:rPr>
              <w:t>10、</w:t>
            </w:r>
            <w:r>
              <w:rPr>
                <w:rFonts w:hint="eastAsia" w:ascii="Times New Roman" w:hAnsi="宋体" w:eastAsia="宋体" w:cs="宋体"/>
                <w:color w:val="auto"/>
                <w:sz w:val="21"/>
                <w:highlight w:val="none"/>
              </w:rPr>
              <w:t>拟派项目经理</w:t>
            </w:r>
            <w:r>
              <w:rPr>
                <w:rFonts w:hint="eastAsia" w:ascii="Times New Roman" w:hAnsi="宋体" w:eastAsia="宋体" w:cs="宋体"/>
                <w:color w:val="auto"/>
                <w:sz w:val="21"/>
                <w:highlight w:val="none"/>
                <w:lang w:eastAsia="zh-CN"/>
              </w:rPr>
              <w:t>：</w:t>
            </w:r>
          </w:p>
          <w:p w14:paraId="49F77950">
            <w:pPr>
              <w:tabs>
                <w:tab w:val="left" w:pos="4915"/>
              </w:tabs>
              <w:adjustRightInd w:val="0"/>
              <w:snapToGrid w:val="0"/>
              <w:spacing w:line="400" w:lineRule="exact"/>
              <w:rPr>
                <w:rFonts w:ascii="宋体" w:hAnsi="宋体"/>
                <w:szCs w:val="21"/>
              </w:rPr>
            </w:pPr>
            <w:r>
              <w:rPr>
                <w:rFonts w:hint="eastAsia" w:ascii="Times New Roman" w:hAnsi="宋体" w:eastAsia="宋体" w:cs="宋体"/>
                <w:color w:val="auto"/>
                <w:sz w:val="21"/>
                <w:highlight w:val="none"/>
              </w:rPr>
              <w:t>具有</w:t>
            </w:r>
            <w:r>
              <w:rPr>
                <w:rFonts w:hint="eastAsia" w:ascii="Times New Roman" w:hAnsi="宋体" w:eastAsia="宋体" w:cs="宋体"/>
                <w:color w:val="auto"/>
                <w:sz w:val="21"/>
                <w:highlight w:val="none"/>
                <w:lang w:val="en-US" w:eastAsia="zh-CN"/>
              </w:rPr>
              <w:t>高级及以上技术职称的，得2分，具有</w:t>
            </w:r>
            <w:r>
              <w:rPr>
                <w:rFonts w:hint="eastAsia" w:ascii="Times New Roman" w:hAnsi="宋体" w:eastAsia="宋体" w:cs="宋体"/>
                <w:color w:val="auto"/>
                <w:sz w:val="21"/>
                <w:highlight w:val="none"/>
              </w:rPr>
              <w:t>中级工程师技术职称的得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分，没有不得分</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本项最高得2分</w:t>
            </w:r>
            <w:r>
              <w:rPr>
                <w:rFonts w:hint="eastAsia" w:ascii="Times New Roman" w:hAnsi="宋体" w:eastAsia="宋体" w:cs="宋体"/>
                <w:color w:val="auto"/>
                <w:sz w:val="21"/>
                <w:highlight w:val="none"/>
              </w:rPr>
              <w:t>。</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须</w:t>
            </w:r>
            <w:r>
              <w:rPr>
                <w:rFonts w:hint="eastAsia" w:ascii="Times New Roman" w:hAnsi="宋体" w:eastAsia="宋体" w:cs="宋体"/>
                <w:color w:val="auto"/>
                <w:sz w:val="21"/>
                <w:highlight w:val="none"/>
              </w:rPr>
              <w:t>提供职称证书扫描件及近三个月来的社保证明材料，未提供不得分</w:t>
            </w:r>
            <w:r>
              <w:rPr>
                <w:rFonts w:hint="eastAsia" w:ascii="Times New Roman" w:hAnsi="宋体" w:eastAsia="宋体" w:cs="宋体"/>
                <w:color w:val="auto"/>
                <w:sz w:val="21"/>
                <w:highlight w:val="none"/>
                <w:lang w:eastAsia="zh-CN"/>
              </w:rPr>
              <w:t>）</w:t>
            </w:r>
          </w:p>
        </w:tc>
      </w:tr>
      <w:tr w14:paraId="16973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48" w:type="dxa"/>
            <w:vMerge w:val="continue"/>
            <w:vAlign w:val="center"/>
          </w:tcPr>
          <w:p w14:paraId="71ED2CC2">
            <w:pPr>
              <w:widowControl/>
              <w:spacing w:line="340" w:lineRule="exact"/>
              <w:jc w:val="left"/>
              <w:rPr>
                <w:color w:val="000000"/>
                <w:szCs w:val="21"/>
              </w:rPr>
            </w:pPr>
          </w:p>
        </w:tc>
        <w:tc>
          <w:tcPr>
            <w:tcW w:w="1164" w:type="dxa"/>
            <w:vAlign w:val="center"/>
          </w:tcPr>
          <w:p w14:paraId="379AB61E">
            <w:pPr>
              <w:spacing w:line="400" w:lineRule="exact"/>
              <w:jc w:val="both"/>
              <w:rPr>
                <w:rFonts w:ascii="宋体" w:hAnsi="宋体" w:cs="宋体"/>
                <w:bCs/>
                <w:sz w:val="22"/>
                <w:szCs w:val="22"/>
              </w:rPr>
            </w:pPr>
            <w:r>
              <w:rPr>
                <w:rFonts w:hint="eastAsia" w:ascii="宋体" w:hAnsi="宋体"/>
                <w:color w:val="000000"/>
                <w:szCs w:val="21"/>
                <w:lang w:val="en-US" w:eastAsia="zh-CN"/>
              </w:rPr>
              <w:t>现场技术人员配置</w:t>
            </w:r>
            <w:r>
              <w:rPr>
                <w:rFonts w:hint="eastAsia"/>
                <w:szCs w:val="21"/>
              </w:rPr>
              <w:t>（5分）</w:t>
            </w:r>
          </w:p>
        </w:tc>
        <w:tc>
          <w:tcPr>
            <w:tcW w:w="8289" w:type="dxa"/>
            <w:vAlign w:val="center"/>
          </w:tcPr>
          <w:p w14:paraId="1A02346B">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11、</w:t>
            </w: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val="en-US" w:eastAsia="zh-CN"/>
              </w:rPr>
              <w:t>供应商关于</w:t>
            </w:r>
            <w:r>
              <w:rPr>
                <w:rFonts w:hint="eastAsia" w:ascii="Times New Roman" w:hAnsi="宋体" w:eastAsia="宋体" w:cs="宋体"/>
                <w:color w:val="auto"/>
                <w:sz w:val="21"/>
                <w:highlight w:val="none"/>
              </w:rPr>
              <w:t>拟派现场工程技术管理人员的专业配置合理性</w:t>
            </w:r>
            <w:r>
              <w:rPr>
                <w:rFonts w:hint="eastAsia" w:ascii="Times New Roman" w:hAnsi="宋体" w:eastAsia="宋体" w:cs="宋体"/>
                <w:color w:val="auto"/>
                <w:sz w:val="21"/>
                <w:highlight w:val="none"/>
                <w:lang w:val="en-US" w:eastAsia="zh-CN"/>
              </w:rPr>
              <w:t>进行综合评议：</w:t>
            </w:r>
          </w:p>
          <w:p w14:paraId="7039FB0A">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配置充足、</w:t>
            </w:r>
            <w:r>
              <w:rPr>
                <w:rFonts w:hint="eastAsia" w:ascii="Times New Roman" w:hAnsi="宋体" w:eastAsia="宋体" w:cs="宋体"/>
                <w:color w:val="auto"/>
                <w:sz w:val="21"/>
                <w:highlight w:val="none"/>
              </w:rPr>
              <w:t>专业配置合理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5</w:t>
            </w:r>
            <w:r>
              <w:rPr>
                <w:rFonts w:hint="eastAsia" w:ascii="Times New Roman" w:hAnsi="宋体" w:eastAsia="宋体" w:cs="宋体"/>
                <w:color w:val="auto"/>
                <w:sz w:val="21"/>
                <w:highlight w:val="none"/>
              </w:rPr>
              <w:t>分；</w:t>
            </w:r>
          </w:p>
          <w:p w14:paraId="5B8FE1FE">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配置较充足、</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较</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4</w:t>
            </w:r>
            <w:r>
              <w:rPr>
                <w:rFonts w:hint="eastAsia" w:ascii="Times New Roman" w:hAnsi="宋体" w:eastAsia="宋体" w:cs="宋体"/>
                <w:color w:val="auto"/>
                <w:sz w:val="21"/>
                <w:highlight w:val="none"/>
              </w:rPr>
              <w:t>分；</w:t>
            </w:r>
          </w:p>
          <w:p w14:paraId="2871105D">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配置可基本满足施工需要、</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基本</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rPr>
              <w:t>分；</w:t>
            </w:r>
          </w:p>
          <w:p w14:paraId="6CF10181">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配置和</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存在缺陷或瑕疵的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20B24C07">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拟派现场工程技术管理人员</w:t>
            </w:r>
            <w:r>
              <w:rPr>
                <w:rFonts w:hint="eastAsia" w:ascii="Times New Roman" w:hAnsi="宋体" w:eastAsia="宋体" w:cs="宋体"/>
                <w:color w:val="auto"/>
                <w:sz w:val="21"/>
                <w:highlight w:val="none"/>
                <w:lang w:val="en-US" w:eastAsia="zh-CN"/>
              </w:rPr>
              <w:t>配置可能无法满足施工需要、</w:t>
            </w:r>
            <w:r>
              <w:rPr>
                <w:rFonts w:hint="eastAsia" w:ascii="Times New Roman" w:hAnsi="宋体" w:eastAsia="宋体" w:cs="宋体"/>
                <w:color w:val="auto"/>
                <w:sz w:val="21"/>
                <w:highlight w:val="none"/>
              </w:rPr>
              <w:t>专业配置</w:t>
            </w:r>
            <w:r>
              <w:rPr>
                <w:rFonts w:hint="eastAsia" w:ascii="Times New Roman" w:hAnsi="宋体" w:eastAsia="宋体" w:cs="宋体"/>
                <w:color w:val="auto"/>
                <w:sz w:val="21"/>
                <w:highlight w:val="none"/>
                <w:lang w:val="en-US" w:eastAsia="zh-CN"/>
              </w:rPr>
              <w:t>不</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0B680097">
            <w:pPr>
              <w:autoSpaceDE w:val="0"/>
              <w:autoSpaceDN w:val="0"/>
              <w:spacing w:line="380" w:lineRule="atLeast"/>
              <w:jc w:val="left"/>
              <w:rPr>
                <w:rFonts w:ascii="宋体" w:hAnsi="宋体" w:cs="宋体"/>
                <w:bCs/>
                <w:sz w:val="22"/>
                <w:szCs w:val="22"/>
              </w:rPr>
            </w:pPr>
            <w:r>
              <w:rPr>
                <w:rFonts w:hint="eastAsia" w:ascii="Times New Roman" w:hAnsi="宋体" w:eastAsia="宋体" w:cs="宋体"/>
                <w:color w:val="auto"/>
                <w:sz w:val="21"/>
                <w:highlight w:val="none"/>
              </w:rPr>
              <w:t>未提供内容本项不得分。</w:t>
            </w:r>
          </w:p>
        </w:tc>
      </w:tr>
      <w:tr w14:paraId="1E0D9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748" w:type="dxa"/>
            <w:vMerge w:val="continue"/>
            <w:vAlign w:val="center"/>
          </w:tcPr>
          <w:p w14:paraId="3F0EFBBA">
            <w:pPr>
              <w:widowControl/>
              <w:spacing w:line="340" w:lineRule="exact"/>
              <w:jc w:val="left"/>
              <w:rPr>
                <w:color w:val="000000"/>
                <w:szCs w:val="21"/>
              </w:rPr>
            </w:pPr>
          </w:p>
        </w:tc>
        <w:tc>
          <w:tcPr>
            <w:tcW w:w="1164" w:type="dxa"/>
            <w:vAlign w:val="center"/>
          </w:tcPr>
          <w:p w14:paraId="375FCD16">
            <w:pPr>
              <w:spacing w:line="400" w:lineRule="exact"/>
              <w:jc w:val="center"/>
              <w:rPr>
                <w:rFonts w:hint="default" w:ascii="宋体" w:hAnsi="宋体" w:eastAsia="宋体"/>
                <w:color w:val="000000"/>
                <w:szCs w:val="21"/>
                <w:lang w:val="en-US" w:eastAsia="zh-CN"/>
              </w:rPr>
            </w:pPr>
            <w:r>
              <w:rPr>
                <w:rFonts w:hint="eastAsia" w:ascii="宋体" w:hAnsi="宋体"/>
                <w:color w:val="000000"/>
                <w:szCs w:val="21"/>
                <w:lang w:val="en-US" w:eastAsia="zh-CN"/>
              </w:rPr>
              <w:t>专业人员和劳动力的配置</w:t>
            </w:r>
            <w:r>
              <w:rPr>
                <w:rFonts w:hint="eastAsia"/>
                <w:szCs w:val="21"/>
              </w:rPr>
              <w:t>（5分）</w:t>
            </w:r>
          </w:p>
        </w:tc>
        <w:tc>
          <w:tcPr>
            <w:tcW w:w="8289" w:type="dxa"/>
            <w:vAlign w:val="center"/>
          </w:tcPr>
          <w:p w14:paraId="1F4FA6BE">
            <w:pPr>
              <w:autoSpaceDE w:val="0"/>
              <w:autoSpaceDN w:val="0"/>
              <w:spacing w:line="380" w:lineRule="atLeast"/>
              <w:jc w:val="left"/>
              <w:rPr>
                <w:rFonts w:hint="eastAsia"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lang w:val="en-US" w:eastAsia="zh-CN"/>
              </w:rPr>
              <w:t>12、</w:t>
            </w:r>
            <w:r>
              <w:rPr>
                <w:rFonts w:hint="eastAsia" w:ascii="Times New Roman" w:hAnsi="宋体" w:eastAsia="宋体" w:cs="宋体"/>
                <w:color w:val="auto"/>
                <w:sz w:val="21"/>
                <w:highlight w:val="none"/>
              </w:rPr>
              <w:t>对</w:t>
            </w:r>
            <w:r>
              <w:rPr>
                <w:rFonts w:hint="eastAsia" w:ascii="Times New Roman" w:hAnsi="宋体" w:eastAsia="宋体" w:cs="宋体"/>
                <w:color w:val="auto"/>
                <w:sz w:val="21"/>
                <w:highlight w:val="none"/>
                <w:lang w:val="en-US" w:eastAsia="zh-CN"/>
              </w:rPr>
              <w:t>供应商关于</w:t>
            </w:r>
            <w:r>
              <w:rPr>
                <w:rFonts w:hint="eastAsia" w:ascii="Times New Roman" w:hAnsi="宋体" w:eastAsia="宋体" w:cs="宋体"/>
                <w:color w:val="auto"/>
                <w:sz w:val="21"/>
                <w:highlight w:val="none"/>
              </w:rPr>
              <w:t>各专业工种的配置和劳动力的投入满足工程需要程度</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rPr>
              <w:t>配置情况科学、合理性</w:t>
            </w:r>
            <w:r>
              <w:rPr>
                <w:rFonts w:hint="eastAsia" w:ascii="Times New Roman" w:hAnsi="宋体" w:eastAsia="宋体" w:cs="宋体"/>
                <w:color w:val="auto"/>
                <w:sz w:val="21"/>
                <w:highlight w:val="none"/>
                <w:lang w:val="en-US" w:eastAsia="zh-CN"/>
              </w:rPr>
              <w:t>进行综合评议：</w:t>
            </w:r>
          </w:p>
          <w:p w14:paraId="2E378FF4">
            <w:pPr>
              <w:autoSpaceDE w:val="0"/>
              <w:autoSpaceDN w:val="0"/>
              <w:spacing w:line="380" w:lineRule="atLeast"/>
              <w:jc w:val="left"/>
              <w:rPr>
                <w:rFonts w:hint="default" w:ascii="Times New Roman" w:hAnsi="宋体" w:eastAsia="宋体" w:cs="宋体"/>
                <w:color w:val="auto"/>
                <w:sz w:val="21"/>
                <w:highlight w:val="none"/>
                <w:lang w:val="en-US" w:eastAsia="zh-CN"/>
              </w:rPr>
            </w:pP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充足</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的，得5分；</w:t>
            </w:r>
          </w:p>
          <w:p w14:paraId="47DD5962">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较充足、</w:t>
            </w:r>
            <w:r>
              <w:rPr>
                <w:rFonts w:hint="eastAsia" w:ascii="Times New Roman" w:hAnsi="宋体" w:eastAsia="宋体" w:cs="宋体"/>
                <w:color w:val="auto"/>
                <w:sz w:val="21"/>
                <w:highlight w:val="none"/>
              </w:rPr>
              <w:t>劳动力的投入满足工程需要</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lang w:val="en-US" w:eastAsia="zh-CN"/>
              </w:rPr>
              <w:t>方案较</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4</w:t>
            </w:r>
            <w:r>
              <w:rPr>
                <w:rFonts w:hint="eastAsia" w:ascii="Times New Roman" w:hAnsi="宋体" w:eastAsia="宋体" w:cs="宋体"/>
                <w:color w:val="auto"/>
                <w:sz w:val="21"/>
                <w:highlight w:val="none"/>
              </w:rPr>
              <w:t>分；</w:t>
            </w:r>
          </w:p>
          <w:p w14:paraId="15F5745D">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可基本满足施工需要，方案</w:t>
            </w:r>
            <w:r>
              <w:rPr>
                <w:rFonts w:hint="eastAsia" w:ascii="Times New Roman" w:hAnsi="宋体" w:eastAsia="宋体" w:cs="宋体"/>
                <w:color w:val="auto"/>
                <w:sz w:val="21"/>
                <w:highlight w:val="none"/>
              </w:rPr>
              <w:t>科学</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合理</w:t>
            </w:r>
            <w:r>
              <w:rPr>
                <w:rFonts w:hint="eastAsia" w:ascii="Times New Roman" w:hAnsi="宋体" w:eastAsia="宋体" w:cs="宋体"/>
                <w:color w:val="auto"/>
                <w:sz w:val="21"/>
                <w:highlight w:val="none"/>
                <w:lang w:val="en-US" w:eastAsia="zh-CN"/>
              </w:rPr>
              <w:t>性一般的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3</w:t>
            </w:r>
            <w:r>
              <w:rPr>
                <w:rFonts w:hint="eastAsia" w:ascii="Times New Roman" w:hAnsi="宋体" w:eastAsia="宋体" w:cs="宋体"/>
                <w:color w:val="auto"/>
                <w:sz w:val="21"/>
                <w:highlight w:val="none"/>
              </w:rPr>
              <w:t>分；</w:t>
            </w:r>
          </w:p>
          <w:p w14:paraId="40D8EC55">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存在缺陷或瑕疵的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3F552FE2">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各专业工种的配置</w:t>
            </w:r>
            <w:r>
              <w:rPr>
                <w:rFonts w:hint="eastAsia" w:ascii="Times New Roman" w:hAnsi="宋体" w:eastAsia="宋体" w:cs="宋体"/>
                <w:color w:val="auto"/>
                <w:sz w:val="21"/>
                <w:highlight w:val="none"/>
                <w:lang w:val="en-US" w:eastAsia="zh-CN"/>
              </w:rPr>
              <w:t>和</w:t>
            </w:r>
            <w:r>
              <w:rPr>
                <w:rFonts w:hint="eastAsia" w:ascii="Times New Roman" w:hAnsi="宋体" w:eastAsia="宋体" w:cs="宋体"/>
                <w:color w:val="auto"/>
                <w:sz w:val="21"/>
                <w:highlight w:val="none"/>
              </w:rPr>
              <w:t>劳动力的投入</w:t>
            </w:r>
            <w:r>
              <w:rPr>
                <w:rFonts w:hint="eastAsia" w:ascii="Times New Roman" w:hAnsi="宋体" w:eastAsia="宋体" w:cs="宋体"/>
                <w:color w:val="auto"/>
                <w:sz w:val="21"/>
                <w:highlight w:val="none"/>
                <w:lang w:val="en-US" w:eastAsia="zh-CN"/>
              </w:rPr>
              <w:t>可能无法满足施工需要的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3103CCDB">
            <w:pPr>
              <w:autoSpaceDE w:val="0"/>
              <w:autoSpaceDN w:val="0"/>
              <w:spacing w:line="380" w:lineRule="atLeast"/>
              <w:jc w:val="left"/>
              <w:rPr>
                <w:rFonts w:hint="eastAsia" w:ascii="Times New Roman" w:hAnsi="宋体" w:eastAsia="宋体" w:cs="宋体"/>
                <w:color w:val="auto"/>
                <w:sz w:val="21"/>
                <w:highlight w:val="none"/>
              </w:rPr>
            </w:pPr>
            <w:r>
              <w:rPr>
                <w:rFonts w:hint="eastAsia" w:ascii="Times New Roman" w:hAnsi="宋体" w:eastAsia="宋体" w:cs="宋体"/>
                <w:color w:val="auto"/>
                <w:sz w:val="21"/>
                <w:highlight w:val="none"/>
              </w:rPr>
              <w:t>未提供内容本项不得分。</w:t>
            </w:r>
          </w:p>
        </w:tc>
      </w:tr>
      <w:tr w14:paraId="3D164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748" w:type="dxa"/>
            <w:vMerge w:val="continue"/>
            <w:vAlign w:val="center"/>
          </w:tcPr>
          <w:p w14:paraId="34268457">
            <w:pPr>
              <w:widowControl/>
              <w:spacing w:line="340" w:lineRule="exact"/>
              <w:jc w:val="left"/>
              <w:rPr>
                <w:color w:val="000000"/>
                <w:szCs w:val="21"/>
              </w:rPr>
            </w:pPr>
          </w:p>
        </w:tc>
        <w:tc>
          <w:tcPr>
            <w:tcW w:w="1164" w:type="dxa"/>
            <w:vAlign w:val="center"/>
          </w:tcPr>
          <w:p w14:paraId="40D31691">
            <w:pPr>
              <w:spacing w:line="320" w:lineRule="exact"/>
              <w:rPr>
                <w:rFonts w:ascii="宋体" w:hAnsi="宋体" w:cs="宋体"/>
                <w:bCs/>
                <w:sz w:val="22"/>
                <w:szCs w:val="22"/>
              </w:rPr>
            </w:pPr>
            <w:r>
              <w:rPr>
                <w:rFonts w:hint="eastAsia"/>
                <w:szCs w:val="21"/>
              </w:rPr>
              <w:t>竣工资料整理方案（5分）</w:t>
            </w:r>
          </w:p>
        </w:tc>
        <w:tc>
          <w:tcPr>
            <w:tcW w:w="8289" w:type="dxa"/>
            <w:vAlign w:val="center"/>
          </w:tcPr>
          <w:p w14:paraId="1B3E7163">
            <w:pPr>
              <w:spacing w:line="320" w:lineRule="exact"/>
              <w:rPr>
                <w:rFonts w:ascii="宋体" w:hAnsi="宋体"/>
                <w:szCs w:val="21"/>
              </w:rPr>
            </w:pPr>
            <w:r>
              <w:rPr>
                <w:rFonts w:hint="eastAsia" w:ascii="宋体" w:hAnsi="宋体" w:cs="宋体"/>
                <w:szCs w:val="21"/>
                <w:lang w:val="en-US" w:eastAsia="zh-CN"/>
              </w:rPr>
              <w:t>13、</w:t>
            </w:r>
            <w:r>
              <w:rPr>
                <w:rFonts w:hint="eastAsia" w:ascii="宋体" w:hAnsi="宋体" w:cs="宋体"/>
                <w:szCs w:val="21"/>
              </w:rPr>
              <w:t>根据</w:t>
            </w:r>
            <w:r>
              <w:rPr>
                <w:rFonts w:hint="eastAsia" w:ascii="宋体" w:hAnsi="宋体"/>
                <w:szCs w:val="21"/>
                <w:lang w:eastAsia="zh-CN"/>
              </w:rPr>
              <w:t>供应商</w:t>
            </w:r>
            <w:r>
              <w:rPr>
                <w:rFonts w:hint="eastAsia" w:ascii="宋体" w:hAnsi="宋体"/>
                <w:szCs w:val="21"/>
              </w:rPr>
              <w:t>针对本项目拟定的竣工资料整理方案完善性、合理性等情况</w:t>
            </w:r>
            <w:r>
              <w:rPr>
                <w:rFonts w:hint="eastAsia" w:ascii="宋体" w:hAnsi="宋体" w:cs="仿宋"/>
                <w:kern w:val="0"/>
                <w:szCs w:val="21"/>
              </w:rPr>
              <w:t>，</w:t>
            </w:r>
            <w:r>
              <w:rPr>
                <w:rFonts w:hint="eastAsia" w:ascii="宋体" w:hAnsi="宋体"/>
                <w:szCs w:val="21"/>
              </w:rPr>
              <w:t>进行综合评议，</w:t>
            </w:r>
          </w:p>
          <w:p w14:paraId="0CA51E8B">
            <w:pPr>
              <w:spacing w:line="320" w:lineRule="exact"/>
              <w:rPr>
                <w:rFonts w:ascii="宋体" w:hAnsi="宋体"/>
                <w:szCs w:val="21"/>
              </w:rPr>
            </w:pPr>
            <w:r>
              <w:rPr>
                <w:rFonts w:hint="eastAsia" w:ascii="宋体" w:hAnsi="宋体"/>
                <w:szCs w:val="21"/>
              </w:rPr>
              <w:t>①竣工资料整理方案详实、内容完整，便于留档和结算，可执行力度高，得5分；</w:t>
            </w:r>
          </w:p>
          <w:p w14:paraId="08B6D343">
            <w:pPr>
              <w:spacing w:line="320" w:lineRule="exact"/>
              <w:rPr>
                <w:rFonts w:ascii="宋体" w:hAnsi="宋体"/>
                <w:szCs w:val="21"/>
              </w:rPr>
            </w:pPr>
            <w:r>
              <w:rPr>
                <w:rFonts w:hint="eastAsia" w:ascii="宋体" w:hAnsi="宋体"/>
                <w:szCs w:val="21"/>
              </w:rPr>
              <w:t>②竣工资料整理方案较详细、内容充分，能较好的完成留档和结算，可执行力度较高，得4分；</w:t>
            </w:r>
          </w:p>
          <w:p w14:paraId="73E5780C">
            <w:pPr>
              <w:spacing w:line="320" w:lineRule="exact"/>
              <w:rPr>
                <w:rFonts w:ascii="宋体" w:hAnsi="宋体"/>
                <w:szCs w:val="21"/>
              </w:rPr>
            </w:pPr>
            <w:r>
              <w:rPr>
                <w:rFonts w:hint="eastAsia" w:ascii="宋体" w:hAnsi="宋体"/>
                <w:szCs w:val="21"/>
              </w:rPr>
              <w:t>③竣工资料整理方案较详细、内容较多，在留档和结算过程中不会造成返工，可执行力较低，得3分；</w:t>
            </w:r>
          </w:p>
          <w:p w14:paraId="47AC91B1">
            <w:pPr>
              <w:spacing w:line="320" w:lineRule="exact"/>
              <w:rPr>
                <w:rFonts w:ascii="宋体" w:hAnsi="宋体"/>
                <w:szCs w:val="21"/>
              </w:rPr>
            </w:pPr>
            <w:r>
              <w:rPr>
                <w:rFonts w:hint="eastAsia" w:ascii="宋体" w:hAnsi="宋体"/>
                <w:szCs w:val="21"/>
              </w:rPr>
              <w:t>④竣工资料整理方案较简单、内容较少，会在留档和结算过程中造成返工，可执行力低，得2分；</w:t>
            </w:r>
          </w:p>
          <w:p w14:paraId="0845E124">
            <w:pPr>
              <w:spacing w:line="320" w:lineRule="exact"/>
              <w:rPr>
                <w:rFonts w:ascii="宋体" w:hAnsi="宋体" w:cs="宋体"/>
                <w:bCs/>
                <w:sz w:val="22"/>
                <w:szCs w:val="22"/>
              </w:rPr>
            </w:pPr>
            <w:r>
              <w:rPr>
                <w:rFonts w:hint="eastAsia" w:ascii="宋体" w:hAnsi="宋体"/>
                <w:szCs w:val="21"/>
              </w:rPr>
              <w:t>⑤竣工资料整理方案简单、内容少，无法用于留档和结算，基本无可执行力，得1分；注：无相关内容的不得分。</w:t>
            </w:r>
          </w:p>
        </w:tc>
      </w:tr>
      <w:tr w14:paraId="154F18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48" w:type="dxa"/>
            <w:vAlign w:val="center"/>
          </w:tcPr>
          <w:p w14:paraId="0A5C3B1D">
            <w:pPr>
              <w:widowControl/>
              <w:spacing w:line="340" w:lineRule="exact"/>
              <w:jc w:val="left"/>
              <w:rPr>
                <w:color w:val="000000"/>
                <w:szCs w:val="21"/>
              </w:rPr>
            </w:pPr>
          </w:p>
        </w:tc>
        <w:tc>
          <w:tcPr>
            <w:tcW w:w="1164" w:type="dxa"/>
            <w:vAlign w:val="center"/>
          </w:tcPr>
          <w:p w14:paraId="6DA2E25D">
            <w:pPr>
              <w:spacing w:line="320" w:lineRule="exact"/>
              <w:rPr>
                <w:rFonts w:hint="eastAsia" w:ascii="Times New Roman" w:hAnsi="宋体" w:eastAsia="宋体" w:cs="宋体"/>
                <w:color w:val="auto"/>
                <w:sz w:val="21"/>
                <w:highlight w:val="none"/>
              </w:rPr>
            </w:pPr>
            <w:r>
              <w:rPr>
                <w:rFonts w:hint="eastAsia" w:ascii="Calibri" w:hAnsi="Calibri" w:cs="Calibri"/>
                <w:color w:val="000000"/>
                <w:szCs w:val="21"/>
              </w:rPr>
              <w:t>售后服务方案（</w:t>
            </w:r>
            <w:r>
              <w:rPr>
                <w:rFonts w:hint="eastAsia" w:ascii="Calibri" w:hAnsi="Calibri" w:cs="Calibri"/>
                <w:color w:val="000000"/>
                <w:szCs w:val="21"/>
                <w:lang w:val="en-US" w:eastAsia="zh-CN"/>
              </w:rPr>
              <w:t>5</w:t>
            </w:r>
            <w:r>
              <w:rPr>
                <w:rFonts w:hint="eastAsia" w:ascii="Calibri" w:hAnsi="Calibri" w:cs="Calibri"/>
                <w:color w:val="000000"/>
                <w:szCs w:val="21"/>
              </w:rPr>
              <w:t>分）</w:t>
            </w:r>
          </w:p>
        </w:tc>
        <w:tc>
          <w:tcPr>
            <w:tcW w:w="8289" w:type="dxa"/>
            <w:vAlign w:val="center"/>
          </w:tcPr>
          <w:p w14:paraId="6E0599A6">
            <w:pPr>
              <w:autoSpaceDE w:val="0"/>
              <w:autoSpaceDN w:val="0"/>
              <w:spacing w:line="380" w:lineRule="atLeast"/>
              <w:jc w:val="left"/>
              <w:rPr>
                <w:rFonts w:hint="eastAsia" w:ascii="宋体" w:hAnsi="宋体" w:cs="宋体"/>
                <w:szCs w:val="21"/>
              </w:rPr>
            </w:pPr>
            <w:r>
              <w:rPr>
                <w:rFonts w:hint="eastAsia" w:ascii="宋体" w:hAnsi="宋体" w:cs="宋体"/>
                <w:szCs w:val="21"/>
                <w:lang w:val="en-US" w:eastAsia="zh-CN"/>
              </w:rPr>
              <w:t>14、</w:t>
            </w:r>
            <w:r>
              <w:rPr>
                <w:rFonts w:hint="eastAsia" w:ascii="宋体" w:hAnsi="宋体" w:eastAsia="宋体" w:cs="宋体"/>
                <w:szCs w:val="21"/>
              </w:rPr>
              <w:t>根据供应商提供的保修期内接到采购人通知后到达时间、处理及时的承诺响应（包括但不限于一般事故、紧急抢修事故、涉及结构安全的质量问题等），服务措施等承诺函资料进行评议：</w:t>
            </w:r>
          </w:p>
          <w:p w14:paraId="61173FEB">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①响应时间迅速、处理方案完全满足采购需求的</w:t>
            </w:r>
            <w:r>
              <w:rPr>
                <w:rFonts w:hint="eastAsia" w:ascii="宋体" w:hAnsi="宋体" w:cs="宋体"/>
                <w:szCs w:val="21"/>
                <w:lang w:val="en-US" w:eastAsia="zh-CN"/>
              </w:rPr>
              <w:t>5</w:t>
            </w:r>
            <w:r>
              <w:rPr>
                <w:rFonts w:hint="eastAsia" w:ascii="宋体" w:hAnsi="宋体" w:eastAsia="宋体" w:cs="宋体"/>
                <w:szCs w:val="21"/>
              </w:rPr>
              <w:t>分；</w:t>
            </w:r>
          </w:p>
          <w:p w14:paraId="3D8A0FCE">
            <w:pPr>
              <w:autoSpaceDE w:val="0"/>
              <w:autoSpaceDN w:val="0"/>
              <w:spacing w:line="380" w:lineRule="atLeast"/>
              <w:jc w:val="left"/>
              <w:rPr>
                <w:rFonts w:hint="eastAsia" w:ascii="宋体" w:hAnsi="宋体" w:cs="宋体"/>
                <w:szCs w:val="21"/>
              </w:rPr>
            </w:pPr>
            <w:r>
              <w:rPr>
                <w:rFonts w:hint="eastAsia" w:ascii="宋体" w:hAnsi="宋体" w:eastAsia="宋体" w:cs="宋体"/>
                <w:szCs w:val="21"/>
              </w:rPr>
              <w:t>②响应时间及时、处理方案基本满足采购需求的得</w:t>
            </w:r>
            <w:r>
              <w:rPr>
                <w:rFonts w:hint="eastAsia" w:ascii="宋体" w:hAnsi="宋体" w:cs="宋体"/>
                <w:szCs w:val="21"/>
                <w:lang w:val="en-US" w:eastAsia="zh-CN"/>
              </w:rPr>
              <w:t>4</w:t>
            </w:r>
            <w:r>
              <w:rPr>
                <w:rFonts w:hint="eastAsia" w:ascii="宋体" w:hAnsi="宋体" w:eastAsia="宋体" w:cs="宋体"/>
                <w:szCs w:val="21"/>
              </w:rPr>
              <w:t>分；</w:t>
            </w:r>
          </w:p>
          <w:p w14:paraId="6551186E">
            <w:pPr>
              <w:autoSpaceDE w:val="0"/>
              <w:autoSpaceDN w:val="0"/>
              <w:spacing w:line="380" w:lineRule="atLeast"/>
              <w:jc w:val="left"/>
              <w:rPr>
                <w:rFonts w:hint="eastAsia" w:ascii="宋体" w:hAnsi="宋体" w:eastAsia="宋体" w:cs="宋体"/>
                <w:szCs w:val="21"/>
              </w:rPr>
            </w:pPr>
            <w:r>
              <w:rPr>
                <w:rFonts w:hint="eastAsia" w:ascii="宋体" w:hAnsi="宋体" w:eastAsia="宋体" w:cs="宋体"/>
                <w:szCs w:val="21"/>
              </w:rPr>
              <w:t>③响应时间</w:t>
            </w:r>
            <w:r>
              <w:rPr>
                <w:rFonts w:hint="eastAsia" w:ascii="宋体" w:hAnsi="宋体" w:cs="宋体"/>
                <w:szCs w:val="21"/>
                <w:lang w:val="en-US" w:eastAsia="zh-CN"/>
              </w:rPr>
              <w:t>较慢</w:t>
            </w:r>
            <w:r>
              <w:rPr>
                <w:rFonts w:hint="eastAsia" w:ascii="宋体" w:hAnsi="宋体" w:eastAsia="宋体" w:cs="宋体"/>
                <w:szCs w:val="21"/>
              </w:rPr>
              <w:t>、处理方案</w:t>
            </w:r>
            <w:r>
              <w:rPr>
                <w:rFonts w:hint="eastAsia" w:ascii="宋体" w:hAnsi="宋体" w:cs="宋体"/>
                <w:szCs w:val="21"/>
                <w:lang w:val="en-US" w:eastAsia="zh-CN"/>
              </w:rPr>
              <w:t>较</w:t>
            </w:r>
            <w:r>
              <w:rPr>
                <w:rFonts w:hint="eastAsia" w:ascii="宋体" w:hAnsi="宋体" w:eastAsia="宋体" w:cs="宋体"/>
                <w:szCs w:val="21"/>
              </w:rPr>
              <w:t>满足采购需求的得</w:t>
            </w:r>
            <w:r>
              <w:rPr>
                <w:rFonts w:hint="eastAsia" w:ascii="宋体" w:hAnsi="宋体" w:cs="宋体"/>
                <w:szCs w:val="21"/>
                <w:lang w:val="en-US" w:eastAsia="zh-CN"/>
              </w:rPr>
              <w:t>3</w:t>
            </w:r>
            <w:r>
              <w:rPr>
                <w:rFonts w:hint="eastAsia" w:ascii="宋体" w:hAnsi="宋体" w:eastAsia="宋体" w:cs="宋体"/>
                <w:szCs w:val="21"/>
              </w:rPr>
              <w:t>分；</w:t>
            </w:r>
          </w:p>
          <w:p w14:paraId="1D2A4BA1">
            <w:pPr>
              <w:autoSpaceDE w:val="0"/>
              <w:autoSpaceDN w:val="0"/>
              <w:spacing w:line="380" w:lineRule="atLeast"/>
              <w:jc w:val="left"/>
              <w:rPr>
                <w:rFonts w:hint="eastAsia"/>
              </w:rPr>
            </w:pPr>
            <w:r>
              <w:rPr>
                <w:rFonts w:hint="eastAsia" w:ascii="宋体" w:hAnsi="宋体" w:eastAsia="宋体" w:cs="宋体"/>
                <w:szCs w:val="21"/>
              </w:rPr>
              <w:t>④响应时间</w:t>
            </w:r>
            <w:r>
              <w:rPr>
                <w:rFonts w:hint="eastAsia" w:ascii="宋体" w:hAnsi="宋体" w:cs="宋体"/>
                <w:szCs w:val="21"/>
                <w:lang w:val="en-US" w:eastAsia="zh-CN"/>
              </w:rPr>
              <w:t>较慢</w:t>
            </w:r>
            <w:r>
              <w:rPr>
                <w:rFonts w:hint="eastAsia" w:ascii="宋体" w:hAnsi="宋体" w:eastAsia="宋体" w:cs="宋体"/>
                <w:szCs w:val="21"/>
              </w:rPr>
              <w:t>、处理方案</w:t>
            </w:r>
            <w:r>
              <w:rPr>
                <w:rFonts w:hint="eastAsia" w:ascii="宋体" w:hAnsi="宋体" w:cs="宋体"/>
                <w:szCs w:val="21"/>
                <w:lang w:val="en-US" w:eastAsia="zh-CN"/>
              </w:rPr>
              <w:t>较</w:t>
            </w:r>
            <w:r>
              <w:rPr>
                <w:rFonts w:hint="eastAsia" w:ascii="宋体" w:hAnsi="宋体" w:eastAsia="宋体" w:cs="宋体"/>
                <w:szCs w:val="21"/>
                <w:lang w:val="en-US" w:eastAsia="zh-CN"/>
              </w:rPr>
              <w:t>一般</w:t>
            </w:r>
            <w:r>
              <w:rPr>
                <w:rFonts w:hint="eastAsia" w:ascii="宋体" w:hAnsi="宋体" w:eastAsia="宋体" w:cs="宋体"/>
                <w:szCs w:val="21"/>
              </w:rPr>
              <w:t>的得</w:t>
            </w:r>
            <w:r>
              <w:rPr>
                <w:rFonts w:hint="eastAsia" w:ascii="宋体" w:hAnsi="宋体" w:cs="宋体"/>
                <w:szCs w:val="21"/>
                <w:lang w:val="en-US" w:eastAsia="zh-CN"/>
              </w:rPr>
              <w:t>3</w:t>
            </w:r>
            <w:r>
              <w:rPr>
                <w:rFonts w:hint="eastAsia" w:ascii="宋体" w:hAnsi="宋体" w:eastAsia="宋体" w:cs="宋体"/>
                <w:szCs w:val="21"/>
              </w:rPr>
              <w:t>分；</w:t>
            </w:r>
          </w:p>
          <w:p w14:paraId="7D2B8A43">
            <w:pPr>
              <w:autoSpaceDE w:val="0"/>
              <w:autoSpaceDN w:val="0"/>
              <w:spacing w:line="380" w:lineRule="atLeast"/>
              <w:jc w:val="left"/>
              <w:rPr>
                <w:rFonts w:hint="eastAsia" w:ascii="宋体" w:hAnsi="宋体" w:eastAsia="宋体" w:cs="宋体"/>
                <w:szCs w:val="21"/>
              </w:rPr>
            </w:pPr>
            <w:r>
              <w:rPr>
                <w:rFonts w:hint="eastAsia" w:cs="宋体"/>
                <w:color w:val="000000"/>
                <w:szCs w:val="21"/>
              </w:rPr>
              <w:t>⑤</w:t>
            </w:r>
            <w:r>
              <w:rPr>
                <w:rFonts w:hint="eastAsia" w:ascii="宋体" w:hAnsi="宋体" w:eastAsia="宋体" w:cs="宋体"/>
                <w:szCs w:val="21"/>
              </w:rPr>
              <w:t>响应时间不及时、处理方案难以满足采购需求的得</w:t>
            </w:r>
            <w:r>
              <w:rPr>
                <w:rFonts w:hint="eastAsia" w:ascii="宋体" w:hAnsi="宋体" w:cs="宋体"/>
                <w:szCs w:val="21"/>
                <w:lang w:val="en-US" w:eastAsia="zh-CN"/>
              </w:rPr>
              <w:t>1</w:t>
            </w:r>
            <w:r>
              <w:rPr>
                <w:rFonts w:hint="eastAsia" w:ascii="宋体" w:hAnsi="宋体" w:eastAsia="宋体" w:cs="宋体"/>
                <w:szCs w:val="21"/>
              </w:rPr>
              <w:t>分；</w:t>
            </w:r>
          </w:p>
          <w:p w14:paraId="78E2EE0F">
            <w:pPr>
              <w:tabs>
                <w:tab w:val="left" w:pos="4915"/>
              </w:tabs>
              <w:spacing w:line="340" w:lineRule="exact"/>
              <w:rPr>
                <w:rFonts w:hint="eastAsia" w:ascii="Times New Roman" w:hAnsi="宋体" w:eastAsia="宋体" w:cs="宋体"/>
                <w:color w:val="auto"/>
                <w:sz w:val="21"/>
                <w:highlight w:val="none"/>
              </w:rPr>
            </w:pPr>
            <w:r>
              <w:rPr>
                <w:rFonts w:hint="eastAsia" w:ascii="宋体" w:hAnsi="宋体" w:eastAsia="宋体" w:cs="宋体"/>
                <w:szCs w:val="21"/>
              </w:rPr>
              <w:t>未提供内容本项不得分。</w:t>
            </w:r>
          </w:p>
        </w:tc>
      </w:tr>
      <w:tr w14:paraId="4B2D4E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48" w:type="dxa"/>
            <w:vAlign w:val="center"/>
          </w:tcPr>
          <w:p w14:paraId="0A1CF762">
            <w:pPr>
              <w:widowControl/>
              <w:spacing w:line="340" w:lineRule="exact"/>
              <w:jc w:val="left"/>
              <w:rPr>
                <w:color w:val="000000"/>
                <w:szCs w:val="21"/>
              </w:rPr>
            </w:pPr>
          </w:p>
        </w:tc>
        <w:tc>
          <w:tcPr>
            <w:tcW w:w="1164" w:type="dxa"/>
            <w:vAlign w:val="center"/>
          </w:tcPr>
          <w:p w14:paraId="77464F3C">
            <w:pPr>
              <w:spacing w:line="320" w:lineRule="exact"/>
              <w:rPr>
                <w:rFonts w:hint="eastAsia" w:ascii="Calibri" w:hAnsi="Calibri" w:eastAsia="宋体" w:cs="Calibri"/>
                <w:color w:val="000000"/>
                <w:szCs w:val="21"/>
                <w:lang w:val="en-US" w:eastAsia="zh-CN"/>
              </w:rPr>
            </w:pPr>
            <w:r>
              <w:rPr>
                <w:rFonts w:hint="eastAsia" w:ascii="宋体" w:hAnsi="宋体" w:eastAsia="宋体" w:cs="宋体"/>
                <w:szCs w:val="21"/>
              </w:rPr>
              <w:t>合理化建议</w:t>
            </w:r>
            <w:r>
              <w:rPr>
                <w:rFonts w:hint="eastAsia" w:ascii="宋体" w:hAnsi="宋体" w:eastAsia="宋体"/>
                <w:color w:val="000000"/>
                <w:szCs w:val="21"/>
              </w:rPr>
              <w:t>（</w:t>
            </w:r>
            <w:r>
              <w:rPr>
                <w:rFonts w:hint="eastAsia" w:ascii="宋体" w:hAnsi="宋体"/>
                <w:color w:val="000000"/>
                <w:szCs w:val="21"/>
                <w:lang w:val="en-US" w:eastAsia="zh-CN"/>
              </w:rPr>
              <w:t>2</w:t>
            </w:r>
            <w:r>
              <w:rPr>
                <w:rFonts w:hint="eastAsia" w:ascii="宋体" w:hAnsi="宋体" w:eastAsia="宋体"/>
                <w:color w:val="000000"/>
                <w:szCs w:val="21"/>
              </w:rPr>
              <w:t>分）</w:t>
            </w:r>
          </w:p>
        </w:tc>
        <w:tc>
          <w:tcPr>
            <w:tcW w:w="8289" w:type="dxa"/>
            <w:vAlign w:val="center"/>
          </w:tcPr>
          <w:p w14:paraId="78F52EC7">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eastAsia="宋体" w:cs="宋体"/>
                <w:szCs w:val="21"/>
              </w:rPr>
              <w:t>供应商对本项目</w:t>
            </w:r>
            <w:r>
              <w:rPr>
                <w:rFonts w:hint="eastAsia" w:ascii="宋体" w:hAnsi="宋体" w:cs="宋体"/>
                <w:szCs w:val="21"/>
                <w:lang w:val="en-US" w:eastAsia="zh-CN"/>
              </w:rPr>
              <w:t>提供的</w:t>
            </w:r>
            <w:r>
              <w:rPr>
                <w:rFonts w:hint="eastAsia" w:ascii="宋体" w:hAnsi="宋体" w:eastAsia="宋体" w:cs="宋体"/>
                <w:szCs w:val="21"/>
              </w:rPr>
              <w:t>合理化建议或优化方案</w:t>
            </w:r>
            <w:r>
              <w:rPr>
                <w:rFonts w:hint="eastAsia" w:ascii="宋体" w:hAnsi="宋体" w:cs="宋体"/>
                <w:szCs w:val="21"/>
                <w:lang w:val="en-US" w:eastAsia="zh-CN"/>
              </w:rPr>
              <w:t>完全</w:t>
            </w:r>
            <w:r>
              <w:rPr>
                <w:rFonts w:hint="eastAsia" w:hAnsi="宋体" w:cs="宋体"/>
                <w:color w:val="auto"/>
                <w:sz w:val="21"/>
                <w:highlight w:val="none"/>
                <w:lang w:val="en-US" w:eastAsia="zh-CN"/>
              </w:rPr>
              <w:t>满足采购人需求的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2</w:t>
            </w:r>
            <w:r>
              <w:rPr>
                <w:rFonts w:hint="eastAsia" w:ascii="Times New Roman" w:hAnsi="宋体" w:eastAsia="宋体" w:cs="宋体"/>
                <w:color w:val="auto"/>
                <w:sz w:val="21"/>
                <w:highlight w:val="none"/>
              </w:rPr>
              <w:t>分；</w:t>
            </w:r>
          </w:p>
          <w:p w14:paraId="671A420A">
            <w:pPr>
              <w:autoSpaceDE w:val="0"/>
              <w:autoSpaceDN w:val="0"/>
              <w:spacing w:line="380" w:lineRule="atLeast"/>
              <w:jc w:val="left"/>
              <w:rPr>
                <w:rFonts w:hint="eastAsia" w:ascii="Times New Roman" w:hAnsi="宋体" w:eastAsia="宋体" w:cs="宋体"/>
                <w:color w:val="auto"/>
                <w:sz w:val="21"/>
                <w:highlight w:val="none"/>
              </w:rPr>
            </w:pPr>
            <w:r>
              <w:rPr>
                <w:rFonts w:hint="eastAsia" w:ascii="宋体" w:hAnsi="宋体" w:eastAsia="宋体" w:cs="宋体"/>
                <w:szCs w:val="21"/>
              </w:rPr>
              <w:t>供应商对本项目</w:t>
            </w:r>
            <w:r>
              <w:rPr>
                <w:rFonts w:hint="eastAsia" w:ascii="宋体" w:hAnsi="宋体" w:cs="宋体"/>
                <w:szCs w:val="21"/>
                <w:lang w:val="en-US" w:eastAsia="zh-CN"/>
              </w:rPr>
              <w:t>提供的</w:t>
            </w:r>
            <w:r>
              <w:rPr>
                <w:rFonts w:hint="eastAsia" w:ascii="宋体" w:hAnsi="宋体" w:eastAsia="宋体" w:cs="宋体"/>
                <w:szCs w:val="21"/>
              </w:rPr>
              <w:t>合理化建议或优化方案</w:t>
            </w:r>
            <w:r>
              <w:rPr>
                <w:rFonts w:hint="eastAsia" w:ascii="宋体" w:hAnsi="宋体" w:cs="宋体"/>
                <w:szCs w:val="21"/>
                <w:lang w:val="en-US" w:eastAsia="zh-CN"/>
              </w:rPr>
              <w:t>一般</w:t>
            </w:r>
            <w:r>
              <w:rPr>
                <w:rFonts w:hint="eastAsia" w:hAnsi="宋体" w:cs="宋体"/>
                <w:color w:val="auto"/>
                <w:sz w:val="21"/>
                <w:highlight w:val="none"/>
                <w:lang w:val="en-US" w:eastAsia="zh-CN"/>
              </w:rPr>
              <w:t>的</w:t>
            </w:r>
            <w:r>
              <w:rPr>
                <w:rFonts w:hint="eastAsia" w:ascii="Times New Roman" w:hAnsi="宋体" w:eastAsia="宋体" w:cs="宋体"/>
                <w:color w:val="auto"/>
                <w:sz w:val="21"/>
                <w:highlight w:val="none"/>
                <w:lang w:eastAsia="zh-CN"/>
              </w:rPr>
              <w:t>，</w:t>
            </w:r>
            <w:r>
              <w:rPr>
                <w:rFonts w:hint="eastAsia" w:ascii="Times New Roman" w:hAnsi="宋体" w:eastAsia="宋体" w:cs="宋体"/>
                <w:color w:val="auto"/>
                <w:sz w:val="21"/>
                <w:highlight w:val="none"/>
              </w:rPr>
              <w:t>得</w:t>
            </w:r>
            <w:r>
              <w:rPr>
                <w:rFonts w:hint="eastAsia" w:ascii="Times New Roman" w:hAnsi="宋体" w:eastAsia="宋体" w:cs="宋体"/>
                <w:color w:val="auto"/>
                <w:sz w:val="21"/>
                <w:highlight w:val="none"/>
                <w:lang w:val="en-US" w:eastAsia="zh-CN"/>
              </w:rPr>
              <w:t>1</w:t>
            </w:r>
            <w:r>
              <w:rPr>
                <w:rFonts w:hint="eastAsia" w:ascii="Times New Roman" w:hAnsi="宋体" w:eastAsia="宋体" w:cs="宋体"/>
                <w:color w:val="auto"/>
                <w:sz w:val="21"/>
                <w:highlight w:val="none"/>
              </w:rPr>
              <w:t>分；</w:t>
            </w:r>
          </w:p>
          <w:p w14:paraId="0CA6134B">
            <w:pPr>
              <w:tabs>
                <w:tab w:val="left" w:pos="4915"/>
              </w:tabs>
              <w:spacing w:line="340" w:lineRule="exact"/>
              <w:rPr>
                <w:rFonts w:hint="eastAsia" w:ascii="宋体" w:hAnsi="宋体" w:eastAsia="宋体" w:cs="宋体"/>
                <w:szCs w:val="21"/>
              </w:rPr>
            </w:pPr>
            <w:r>
              <w:rPr>
                <w:rFonts w:hint="eastAsia" w:ascii="Times New Roman" w:hAnsi="宋体" w:eastAsia="宋体" w:cs="宋体"/>
                <w:color w:val="auto"/>
                <w:sz w:val="21"/>
                <w:highlight w:val="none"/>
              </w:rPr>
              <w:t>未提供内容本项不得分。</w:t>
            </w:r>
          </w:p>
        </w:tc>
      </w:tr>
      <w:tr w14:paraId="398B0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48" w:type="dxa"/>
            <w:vAlign w:val="center"/>
          </w:tcPr>
          <w:p w14:paraId="2A1B8475">
            <w:pPr>
              <w:widowControl/>
              <w:spacing w:line="340" w:lineRule="exact"/>
              <w:jc w:val="left"/>
              <w:rPr>
                <w:color w:val="000000"/>
                <w:szCs w:val="21"/>
              </w:rPr>
            </w:pPr>
          </w:p>
        </w:tc>
        <w:tc>
          <w:tcPr>
            <w:tcW w:w="1164" w:type="dxa"/>
            <w:vAlign w:val="center"/>
          </w:tcPr>
          <w:p w14:paraId="413D642A">
            <w:pPr>
              <w:spacing w:line="340" w:lineRule="exact"/>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业绩</w:t>
            </w:r>
            <w:r>
              <w:rPr>
                <w:rFonts w:hint="eastAsia" w:ascii="宋体" w:hAnsi="宋体" w:cs="宋体"/>
                <w:bCs/>
                <w:kern w:val="0"/>
                <w:szCs w:val="21"/>
              </w:rPr>
              <w:t>（</w:t>
            </w:r>
            <w:r>
              <w:rPr>
                <w:rFonts w:hint="eastAsia" w:ascii="宋体" w:hAnsi="宋体" w:cs="宋体"/>
                <w:bCs/>
                <w:kern w:val="0"/>
                <w:szCs w:val="21"/>
                <w:lang w:val="en-US" w:eastAsia="zh-CN"/>
              </w:rPr>
              <w:t>1</w:t>
            </w:r>
            <w:r>
              <w:rPr>
                <w:rFonts w:hint="eastAsia" w:ascii="宋体" w:hAnsi="宋体" w:cs="宋体"/>
                <w:bCs/>
                <w:kern w:val="0"/>
                <w:szCs w:val="21"/>
              </w:rPr>
              <w:t>分）</w:t>
            </w:r>
          </w:p>
        </w:tc>
        <w:tc>
          <w:tcPr>
            <w:tcW w:w="8289" w:type="dxa"/>
            <w:vAlign w:val="center"/>
          </w:tcPr>
          <w:p w14:paraId="1073DE14">
            <w:pPr>
              <w:spacing w:line="340" w:lineRule="exact"/>
              <w:rPr>
                <w:rFonts w:hint="eastAsia" w:ascii="宋体" w:hAnsi="宋体" w:eastAsia="宋体" w:cs="Times New Roman"/>
                <w:szCs w:val="21"/>
                <w:lang w:val="en-US" w:eastAsia="zh-CN"/>
              </w:rPr>
            </w:pPr>
            <w:r>
              <w:rPr>
                <w:rFonts w:hint="eastAsia" w:ascii="宋体" w:hAnsi="宋体"/>
                <w:szCs w:val="21"/>
                <w:lang w:val="en-US" w:eastAsia="zh-CN"/>
              </w:rPr>
              <w:t>15、</w:t>
            </w:r>
            <w:r>
              <w:rPr>
                <w:rFonts w:hint="eastAsia" w:ascii="宋体" w:hAnsi="宋体" w:eastAsia="宋体" w:cs="Times New Roman"/>
                <w:szCs w:val="21"/>
                <w:lang w:val="en-US" w:eastAsia="zh-CN"/>
              </w:rPr>
              <w:t>自2022年1月1日至投标截止日止（时间以合同签订时间为准）），投标人完成类似维修项目的。每具有1个业绩得</w:t>
            </w:r>
            <w:r>
              <w:rPr>
                <w:rFonts w:hint="eastAsia" w:ascii="宋体" w:hAnsi="宋体" w:cs="Times New Roman"/>
                <w:szCs w:val="21"/>
                <w:lang w:val="en-US" w:eastAsia="zh-CN"/>
              </w:rPr>
              <w:t>0.5</w:t>
            </w:r>
            <w:r>
              <w:rPr>
                <w:rFonts w:hint="eastAsia" w:ascii="宋体" w:hAnsi="宋体" w:eastAsia="宋体" w:cs="Times New Roman"/>
                <w:szCs w:val="21"/>
                <w:lang w:val="en-US" w:eastAsia="zh-CN"/>
              </w:rPr>
              <w:t>分，最高得</w:t>
            </w:r>
            <w:r>
              <w:rPr>
                <w:rFonts w:hint="eastAsia" w:ascii="宋体" w:hAnsi="宋体" w:cs="Times New Roman"/>
                <w:szCs w:val="21"/>
                <w:lang w:val="en-US" w:eastAsia="zh-CN"/>
              </w:rPr>
              <w:t>1</w:t>
            </w:r>
            <w:r>
              <w:rPr>
                <w:rFonts w:hint="eastAsia" w:ascii="宋体" w:hAnsi="宋体" w:eastAsia="宋体" w:cs="Times New Roman"/>
                <w:szCs w:val="21"/>
                <w:lang w:val="en-US" w:eastAsia="zh-CN"/>
              </w:rPr>
              <w:t>分。</w:t>
            </w:r>
          </w:p>
          <w:p w14:paraId="0BE2899E">
            <w:pPr>
              <w:spacing w:line="340" w:lineRule="exact"/>
              <w:rPr>
                <w:rFonts w:ascii="宋体" w:hAnsi="宋体" w:cs="宋体"/>
                <w:sz w:val="24"/>
              </w:rPr>
            </w:pPr>
            <w:r>
              <w:rPr>
                <w:rFonts w:hint="eastAsia" w:ascii="宋体" w:hAnsi="宋体" w:eastAsia="宋体" w:cs="Times New Roman"/>
                <w:szCs w:val="21"/>
                <w:lang w:val="en-US" w:eastAsia="zh-CN"/>
              </w:rPr>
              <w:t>提供①施工合同 ②中标通知书。注：两项资料必须同时具备。复印件加盖公章编入投标文件</w:t>
            </w:r>
          </w:p>
        </w:tc>
      </w:tr>
      <w:tr w14:paraId="1CD6E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8" w:type="dxa"/>
            <w:vAlign w:val="center"/>
          </w:tcPr>
          <w:p w14:paraId="4DF17BDE">
            <w:pPr>
              <w:widowControl/>
              <w:spacing w:line="340" w:lineRule="exact"/>
              <w:jc w:val="left"/>
              <w:rPr>
                <w:color w:val="000000"/>
                <w:szCs w:val="21"/>
              </w:rPr>
            </w:pPr>
            <w:r>
              <w:rPr>
                <w:color w:val="000000"/>
                <w:szCs w:val="21"/>
              </w:rPr>
              <w:t>价格</w:t>
            </w:r>
            <w:r>
              <w:rPr>
                <w:rFonts w:hint="eastAsia"/>
                <w:color w:val="000000"/>
                <w:szCs w:val="21"/>
              </w:rPr>
              <w:t>部分30</w:t>
            </w:r>
            <w:r>
              <w:rPr>
                <w:color w:val="000000"/>
                <w:szCs w:val="21"/>
              </w:rPr>
              <w:t>分</w:t>
            </w:r>
          </w:p>
        </w:tc>
        <w:tc>
          <w:tcPr>
            <w:tcW w:w="1164" w:type="dxa"/>
            <w:vAlign w:val="center"/>
          </w:tcPr>
          <w:p w14:paraId="239D6591">
            <w:pPr>
              <w:spacing w:line="340" w:lineRule="exact"/>
              <w:jc w:val="center"/>
              <w:rPr>
                <w:color w:val="000000"/>
                <w:szCs w:val="21"/>
              </w:rPr>
            </w:pPr>
            <w:r>
              <w:rPr>
                <w:color w:val="000000"/>
                <w:szCs w:val="21"/>
              </w:rPr>
              <w:t>投标报价（</w:t>
            </w:r>
            <w:r>
              <w:rPr>
                <w:rFonts w:hint="eastAsia"/>
                <w:color w:val="000000"/>
                <w:szCs w:val="21"/>
              </w:rPr>
              <w:t>30</w:t>
            </w:r>
            <w:r>
              <w:rPr>
                <w:color w:val="000000"/>
                <w:szCs w:val="21"/>
              </w:rPr>
              <w:t>分）</w:t>
            </w:r>
          </w:p>
        </w:tc>
        <w:tc>
          <w:tcPr>
            <w:tcW w:w="8289" w:type="dxa"/>
            <w:vAlign w:val="center"/>
          </w:tcPr>
          <w:p w14:paraId="79C7ECC7">
            <w:pPr>
              <w:spacing w:line="340" w:lineRule="exact"/>
              <w:jc w:val="left"/>
              <w:rPr>
                <w:rFonts w:ascii="Times New Roman" w:hAnsi="Times New Roman" w:cs="Times New Roman"/>
                <w:color w:val="000000"/>
                <w:szCs w:val="21"/>
              </w:rPr>
            </w:pPr>
            <w:r>
              <w:rPr>
                <w:rFonts w:hint="eastAsia" w:ascii="Times New Roman" w:hAnsi="Times New Roman" w:cs="Times New Roman"/>
                <w:color w:val="000000"/>
                <w:szCs w:val="21"/>
              </w:rPr>
              <w:t>参与评审的投标文件的最低报价为评标基准价，基准价得分为满分30分；</w:t>
            </w:r>
          </w:p>
          <w:p w14:paraId="79A1A3FA">
            <w:pPr>
              <w:spacing w:line="340" w:lineRule="exact"/>
              <w:jc w:val="left"/>
              <w:rPr>
                <w:rFonts w:ascii="Times New Roman" w:hAnsi="Times New Roman" w:cs="Times New Roman"/>
                <w:color w:val="000000"/>
                <w:szCs w:val="21"/>
              </w:rPr>
            </w:pPr>
            <w:r>
              <w:rPr>
                <w:rFonts w:hint="eastAsia" w:ascii="Times New Roman" w:hAnsi="Times New Roman" w:cs="Times New Roman"/>
                <w:color w:val="000000"/>
                <w:szCs w:val="21"/>
              </w:rPr>
              <w:t>参与评审的价格 = 有效供应商的最终报价；</w:t>
            </w:r>
          </w:p>
          <w:p w14:paraId="40ED60FA">
            <w:pPr>
              <w:spacing w:line="340" w:lineRule="exact"/>
              <w:jc w:val="left"/>
              <w:rPr>
                <w:rFonts w:ascii="Times New Roman" w:hAnsi="Times New Roman" w:cs="Times New Roman"/>
                <w:color w:val="000000"/>
                <w:szCs w:val="21"/>
              </w:rPr>
            </w:pPr>
            <w:r>
              <w:rPr>
                <w:rFonts w:hint="eastAsia" w:ascii="Times New Roman" w:hAnsi="Times New Roman" w:cs="Times New Roman"/>
                <w:color w:val="000000"/>
                <w:szCs w:val="21"/>
              </w:rPr>
              <w:t>其他供应商的价格分按照下列公式计算：</w:t>
            </w:r>
          </w:p>
          <w:p w14:paraId="3BA811BC">
            <w:pPr>
              <w:spacing w:line="340" w:lineRule="exact"/>
              <w:jc w:val="left"/>
              <w:rPr>
                <w:szCs w:val="21"/>
              </w:rPr>
            </w:pPr>
            <w:r>
              <w:rPr>
                <w:rFonts w:hint="eastAsia" w:ascii="Times New Roman" w:hAnsi="Times New Roman" w:cs="Times New Roman"/>
                <w:color w:val="000000"/>
                <w:szCs w:val="21"/>
              </w:rPr>
              <w:t>各供应商的最终报价得分 =（基准价/参与评审的价格）×30%×100</w:t>
            </w:r>
          </w:p>
        </w:tc>
      </w:tr>
    </w:tbl>
    <w:p w14:paraId="253246EC">
      <w:pPr>
        <w:adjustRightInd/>
        <w:spacing w:line="360" w:lineRule="auto"/>
        <w:ind w:firstLine="433"/>
        <w:rPr>
          <w:rFonts w:ascii="宋体" w:hAnsi="宋体" w:cs="宋体"/>
          <w:b/>
          <w:bCs/>
          <w:kern w:val="0"/>
          <w:sz w:val="22"/>
          <w:szCs w:val="22"/>
        </w:rPr>
      </w:pPr>
    </w:p>
    <w:p w14:paraId="571983FB">
      <w:pPr>
        <w:spacing w:line="360" w:lineRule="auto"/>
        <w:ind w:firstLine="472"/>
        <w:rPr>
          <w:rFonts w:ascii="宋体" w:hAnsi="宋体"/>
          <w:b/>
          <w:bCs/>
          <w:szCs w:val="21"/>
        </w:rPr>
      </w:pPr>
      <w:r>
        <w:rPr>
          <w:rFonts w:hint="eastAsia" w:ascii="宋体" w:hAnsi="宋体"/>
          <w:b/>
          <w:bCs/>
          <w:szCs w:val="21"/>
        </w:rPr>
        <w:t>注：1、凡未按上述评分标准各评分要素得分要求提供资料的，对应评分要素项均不得分。</w:t>
      </w:r>
    </w:p>
    <w:p w14:paraId="015FB765">
      <w:pPr>
        <w:ind w:firstLine="630"/>
        <w:jc w:val="left"/>
        <w:rPr>
          <w:rFonts w:ascii="宋体" w:hAnsi="宋体" w:cs="宋体"/>
          <w:b/>
          <w:sz w:val="32"/>
        </w:rPr>
      </w:pPr>
    </w:p>
    <w:p w14:paraId="5E8CF749">
      <w:pPr>
        <w:ind w:firstLine="630"/>
        <w:jc w:val="left"/>
        <w:rPr>
          <w:rFonts w:ascii="宋体" w:hAnsi="宋体" w:cs="宋体"/>
          <w:b/>
          <w:sz w:val="32"/>
        </w:rPr>
      </w:pPr>
    </w:p>
    <w:p w14:paraId="3B3CE404">
      <w:pPr>
        <w:pStyle w:val="32"/>
        <w:ind w:firstLine="630"/>
        <w:rPr>
          <w:rFonts w:hAnsi="宋体" w:cs="宋体"/>
          <w:b/>
          <w:sz w:val="32"/>
        </w:rPr>
      </w:pPr>
    </w:p>
    <w:p w14:paraId="0A189A99">
      <w:pPr>
        <w:pStyle w:val="32"/>
        <w:ind w:firstLine="630"/>
        <w:rPr>
          <w:rFonts w:hAnsi="宋体" w:cs="宋体"/>
          <w:b/>
          <w:sz w:val="32"/>
        </w:rPr>
      </w:pPr>
    </w:p>
    <w:p w14:paraId="350E5BF9">
      <w:pPr>
        <w:pStyle w:val="32"/>
        <w:ind w:firstLine="630"/>
        <w:rPr>
          <w:rFonts w:hAnsi="宋体" w:cs="宋体"/>
          <w:b/>
          <w:sz w:val="32"/>
        </w:rPr>
      </w:pPr>
    </w:p>
    <w:p w14:paraId="1E4A99F8">
      <w:pPr>
        <w:ind w:firstLine="630"/>
        <w:rPr>
          <w:rFonts w:ascii="宋体" w:hAnsi="宋体" w:cs="宋体"/>
          <w:b/>
          <w:sz w:val="32"/>
        </w:rPr>
      </w:pPr>
      <w:r>
        <w:rPr>
          <w:rFonts w:hint="eastAsia" w:ascii="宋体" w:hAnsi="宋体" w:cs="宋体"/>
          <w:b/>
          <w:sz w:val="32"/>
        </w:rPr>
        <w:br w:type="page"/>
      </w:r>
    </w:p>
    <w:bookmarkEnd w:id="46"/>
    <w:p w14:paraId="4DC25622">
      <w:pPr>
        <w:spacing w:line="360" w:lineRule="auto"/>
        <w:ind w:firstLine="708"/>
        <w:jc w:val="center"/>
        <w:outlineLvl w:val="0"/>
        <w:rPr>
          <w:rFonts w:ascii="宋体" w:hAnsi="宋体" w:cs="宋体"/>
          <w:b/>
          <w:sz w:val="36"/>
          <w:szCs w:val="36"/>
        </w:rPr>
      </w:pPr>
      <w:bookmarkStart w:id="412" w:name="_Toc26894"/>
      <w:bookmarkStart w:id="413" w:name="第五部分"/>
      <w:bookmarkStart w:id="414" w:name="_Toc86217003"/>
      <w:r>
        <w:rPr>
          <w:rFonts w:hint="eastAsia" w:ascii="宋体" w:hAnsi="宋体" w:cs="宋体"/>
          <w:b/>
          <w:sz w:val="36"/>
          <w:szCs w:val="36"/>
        </w:rPr>
        <w:t>第五部分 拟签订的合同文本</w:t>
      </w:r>
      <w:bookmarkEnd w:id="412"/>
    </w:p>
    <w:p w14:paraId="2F51257A">
      <w:pPr>
        <w:snapToGrid w:val="0"/>
        <w:spacing w:line="360" w:lineRule="auto"/>
        <w:ind w:firstLine="480" w:firstLineChars="200"/>
        <w:jc w:val="left"/>
        <w:rPr>
          <w:rFonts w:ascii="宋体" w:hAnsi="宋体"/>
          <w:snapToGrid w:val="0"/>
          <w:kern w:val="0"/>
          <w:sz w:val="24"/>
          <w:szCs w:val="20"/>
        </w:rPr>
      </w:pPr>
      <w:r>
        <w:rPr>
          <w:rFonts w:hint="eastAsia" w:ascii="宋体" w:hAnsi="宋体"/>
          <w:snapToGrid w:val="0"/>
          <w:kern w:val="0"/>
          <w:sz w:val="24"/>
          <w:szCs w:val="20"/>
        </w:rPr>
        <w:t>参考住房城乡建设部、原国家工商行政管理总局制定的《建设工程施工合同（示范文本）》（GF-2017-0201）。</w:t>
      </w:r>
    </w:p>
    <w:p w14:paraId="0328D71E">
      <w:pPr>
        <w:pStyle w:val="4"/>
        <w:keepNext w:val="0"/>
        <w:keepLines w:val="0"/>
        <w:spacing w:before="0" w:after="0" w:line="360" w:lineRule="auto"/>
        <w:ind w:left="0" w:firstLine="472"/>
        <w:jc w:val="center"/>
        <w:rPr>
          <w:rFonts w:ascii="宋体" w:hAnsi="宋体" w:cs="宋体"/>
          <w:b w:val="0"/>
          <w:color w:val="000000"/>
        </w:rPr>
      </w:pPr>
      <w:r>
        <w:rPr>
          <w:rFonts w:hint="eastAsia" w:ascii="宋体" w:hAnsi="宋体" w:cs="宋体"/>
          <w:snapToGrid w:val="0"/>
          <w:kern w:val="44"/>
          <w:sz w:val="24"/>
          <w:szCs w:val="20"/>
        </w:rPr>
        <w:br w:type="page"/>
      </w:r>
      <w:r>
        <w:rPr>
          <w:rFonts w:hint="eastAsia" w:ascii="宋体" w:hAnsi="宋体" w:cs="宋体"/>
          <w:color w:val="000000"/>
        </w:rPr>
        <w:t>第一部分 合同协议书</w:t>
      </w:r>
    </w:p>
    <w:p w14:paraId="6B59AAAD">
      <w:pPr>
        <w:spacing w:line="360" w:lineRule="auto"/>
        <w:rPr>
          <w:rFonts w:ascii="宋体" w:hAnsi="宋体" w:cs="宋体"/>
          <w:color w:val="000000"/>
          <w:sz w:val="24"/>
          <w:u w:val="single"/>
        </w:rPr>
      </w:pPr>
      <w:r>
        <w:rPr>
          <w:rFonts w:hint="eastAsia" w:ascii="宋体" w:hAnsi="宋体" w:cs="宋体"/>
          <w:color w:val="000000"/>
          <w:sz w:val="24"/>
        </w:rPr>
        <w:t>发包人（全称）：</w:t>
      </w:r>
      <w:r>
        <w:rPr>
          <w:rFonts w:hint="eastAsia" w:ascii="宋体" w:hAnsi="宋体" w:cs="宋体"/>
          <w:kern w:val="28"/>
          <w:sz w:val="24"/>
          <w:u w:val="single"/>
          <w:lang w:bidi="ar"/>
        </w:rPr>
        <w:t xml:space="preserve">                     </w:t>
      </w:r>
    </w:p>
    <w:p w14:paraId="269258A8">
      <w:pPr>
        <w:spacing w:line="360" w:lineRule="auto"/>
        <w:rPr>
          <w:rFonts w:ascii="宋体" w:hAnsi="宋体" w:cs="宋体"/>
          <w:color w:val="000000"/>
          <w:sz w:val="24"/>
          <w:u w:val="single"/>
        </w:rPr>
      </w:pPr>
      <w:r>
        <w:rPr>
          <w:rFonts w:hint="eastAsia" w:ascii="宋体" w:hAnsi="宋体" w:cs="宋体"/>
          <w:color w:val="000000"/>
          <w:sz w:val="24"/>
        </w:rPr>
        <w:t>承包人（全称）：</w:t>
      </w:r>
      <w:r>
        <w:rPr>
          <w:rFonts w:hint="eastAsia" w:ascii="宋体" w:hAnsi="宋体" w:cs="宋体"/>
          <w:color w:val="000000"/>
          <w:sz w:val="24"/>
          <w:u w:val="single"/>
        </w:rPr>
        <w:t xml:space="preserve">           </w:t>
      </w:r>
    </w:p>
    <w:p w14:paraId="70E5CEC2">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根据《中华人民共和国民法典》、《中华人民共和国建筑法》及有关法律规定，遵循平等、自愿、公平和诚实信用的原则，双方就</w:t>
      </w:r>
      <w:r>
        <w:rPr>
          <w:rFonts w:hint="eastAsia" w:ascii="宋体" w:hAnsi="宋体" w:cs="宋体"/>
          <w:color w:val="000000"/>
          <w:sz w:val="24"/>
          <w:u w:val="single"/>
          <w:lang w:eastAsia="zh-CN"/>
        </w:rPr>
        <w:t>西店镇中心小学新建连廊、外立面提升等维修工程</w:t>
      </w:r>
      <w:r>
        <w:rPr>
          <w:rFonts w:hint="eastAsia" w:ascii="宋体" w:hAnsi="宋体" w:cs="宋体"/>
          <w:color w:val="000000"/>
          <w:sz w:val="24"/>
        </w:rPr>
        <w:t>施工及有关事项协商一致，共同达成如下协议：</w:t>
      </w:r>
    </w:p>
    <w:p w14:paraId="4160068B">
      <w:pPr>
        <w:pStyle w:val="6"/>
        <w:keepNext w:val="0"/>
        <w:keepLines w:val="0"/>
        <w:spacing w:before="0" w:after="0" w:line="360" w:lineRule="auto"/>
        <w:ind w:left="0" w:firstLine="482" w:firstLineChars="200"/>
        <w:rPr>
          <w:rFonts w:ascii="宋体" w:hAnsi="宋体" w:eastAsia="宋体" w:cs="宋体"/>
          <w:bCs w:val="0"/>
          <w:color w:val="000000"/>
          <w:sz w:val="24"/>
          <w:szCs w:val="24"/>
        </w:rPr>
      </w:pPr>
      <w:bookmarkStart w:id="415" w:name="_Toc386638593"/>
      <w:r>
        <w:rPr>
          <w:rFonts w:hint="eastAsia" w:ascii="宋体" w:hAnsi="宋体" w:eastAsia="宋体" w:cs="宋体"/>
          <w:bCs w:val="0"/>
          <w:color w:val="000000"/>
          <w:sz w:val="24"/>
          <w:szCs w:val="24"/>
        </w:rPr>
        <w:t>一、工程概况</w:t>
      </w:r>
      <w:bookmarkEnd w:id="415"/>
    </w:p>
    <w:p w14:paraId="20B78937">
      <w:pPr>
        <w:spacing w:line="360" w:lineRule="auto"/>
        <w:ind w:firstLine="480" w:firstLineChars="200"/>
        <w:rPr>
          <w:rFonts w:ascii="宋体" w:hAnsi="宋体" w:cs="宋体"/>
          <w:bCs/>
          <w:color w:val="000000"/>
          <w:sz w:val="24"/>
        </w:rPr>
      </w:pPr>
      <w:r>
        <w:rPr>
          <w:rFonts w:hint="eastAsia" w:ascii="宋体" w:hAnsi="宋体" w:cs="宋体"/>
          <w:bCs/>
          <w:color w:val="000000"/>
          <w:sz w:val="24"/>
        </w:rPr>
        <w:t>1.工程名称</w:t>
      </w:r>
      <w:r>
        <w:rPr>
          <w:rFonts w:hint="eastAsia" w:ascii="宋体" w:hAnsi="宋体" w:cs="宋体"/>
          <w:color w:val="000000"/>
          <w:sz w:val="24"/>
        </w:rPr>
        <w:t>：</w:t>
      </w:r>
      <w:r>
        <w:rPr>
          <w:rFonts w:hint="eastAsia" w:ascii="宋体" w:hAnsi="宋体" w:cs="宋体"/>
          <w:color w:val="000000"/>
          <w:sz w:val="24"/>
          <w:u w:val="single"/>
          <w:lang w:eastAsia="zh-CN"/>
        </w:rPr>
        <w:t>西店镇中心小学新建连廊、外立面提升等维修工程</w:t>
      </w:r>
      <w:r>
        <w:rPr>
          <w:rFonts w:hint="eastAsia" w:ascii="宋体" w:hAnsi="宋体" w:cs="宋体"/>
          <w:color w:val="000000"/>
          <w:sz w:val="24"/>
          <w:u w:val="single"/>
        </w:rPr>
        <w:t xml:space="preserve">      </w:t>
      </w:r>
      <w:r>
        <w:rPr>
          <w:rFonts w:hint="eastAsia" w:ascii="宋体" w:hAnsi="宋体" w:cs="宋体"/>
          <w:bCs/>
          <w:sz w:val="24"/>
          <w:u w:val="single"/>
        </w:rPr>
        <w:t xml:space="preserve"> </w:t>
      </w:r>
    </w:p>
    <w:p w14:paraId="53FFFA6B">
      <w:pPr>
        <w:spacing w:line="360" w:lineRule="auto"/>
        <w:ind w:firstLine="480" w:firstLineChars="200"/>
        <w:rPr>
          <w:rFonts w:ascii="宋体" w:hAnsi="宋体" w:cs="宋体"/>
          <w:bCs/>
          <w:color w:val="000000"/>
          <w:sz w:val="24"/>
        </w:rPr>
      </w:pPr>
      <w:r>
        <w:rPr>
          <w:rFonts w:hint="eastAsia" w:ascii="宋体" w:hAnsi="宋体" w:cs="宋体"/>
          <w:bCs/>
          <w:color w:val="000000"/>
          <w:sz w:val="24"/>
        </w:rPr>
        <w:t>2.工程地点：</w:t>
      </w:r>
      <w:r>
        <w:rPr>
          <w:rFonts w:hint="eastAsia" w:ascii="宋体" w:hAnsi="宋体" w:cs="宋体"/>
          <w:color w:val="000000"/>
          <w:sz w:val="24"/>
          <w:u w:val="single"/>
          <w:lang w:eastAsia="zh-CN"/>
        </w:rPr>
        <w:t>西店镇中心小学</w:t>
      </w:r>
      <w:r>
        <w:rPr>
          <w:rFonts w:hint="eastAsia" w:ascii="宋体" w:hAnsi="宋体" w:cs="宋体"/>
          <w:bCs/>
          <w:color w:val="000000"/>
          <w:sz w:val="24"/>
          <w:u w:val="single"/>
        </w:rPr>
        <w:t xml:space="preserve">                                     </w:t>
      </w:r>
    </w:p>
    <w:p w14:paraId="7D854D93">
      <w:pPr>
        <w:spacing w:line="360" w:lineRule="auto"/>
        <w:ind w:firstLine="480" w:firstLineChars="200"/>
        <w:rPr>
          <w:rFonts w:ascii="宋体" w:hAnsi="宋体" w:cs="宋体"/>
          <w:bCs/>
          <w:color w:val="000000"/>
          <w:sz w:val="24"/>
          <w:u w:val="single"/>
        </w:rPr>
      </w:pPr>
      <w:r>
        <w:rPr>
          <w:rFonts w:hint="eastAsia" w:ascii="宋体" w:hAnsi="宋体" w:cs="宋体"/>
          <w:bCs/>
          <w:color w:val="000000"/>
          <w:sz w:val="24"/>
        </w:rPr>
        <w:t>3.工程立项批准文号：</w:t>
      </w:r>
      <w:r>
        <w:rPr>
          <w:rFonts w:hint="eastAsia" w:ascii="宋体" w:hAnsi="宋体" w:cs="宋体"/>
          <w:bCs/>
          <w:color w:val="000000"/>
          <w:sz w:val="24"/>
          <w:u w:val="single"/>
        </w:rPr>
        <w:t xml:space="preserve">      </w:t>
      </w:r>
      <w:r>
        <w:rPr>
          <w:rFonts w:hint="eastAsia" w:ascii="宋体" w:hAnsi="宋体" w:cs="宋体"/>
          <w:bCs/>
          <w:color w:val="000000"/>
          <w:sz w:val="24"/>
          <w:u w:val="single"/>
          <w:lang w:val="en-US" w:eastAsia="zh-CN"/>
        </w:rPr>
        <w:t>/</w:t>
      </w:r>
      <w:r>
        <w:rPr>
          <w:rFonts w:hint="eastAsia" w:ascii="宋体" w:hAnsi="宋体" w:cs="宋体"/>
          <w:bCs/>
          <w:color w:val="000000"/>
          <w:sz w:val="24"/>
          <w:u w:val="single"/>
        </w:rPr>
        <w:t xml:space="preserve">                                    </w:t>
      </w:r>
    </w:p>
    <w:p w14:paraId="4E5CD598">
      <w:pPr>
        <w:spacing w:line="360" w:lineRule="auto"/>
        <w:ind w:firstLine="480" w:firstLineChars="200"/>
        <w:rPr>
          <w:rFonts w:ascii="宋体" w:hAnsi="宋体" w:cs="宋体"/>
          <w:bCs/>
          <w:color w:val="000000"/>
          <w:sz w:val="24"/>
        </w:rPr>
      </w:pPr>
      <w:r>
        <w:rPr>
          <w:rFonts w:hint="eastAsia" w:ascii="宋体" w:hAnsi="宋体" w:cs="宋体"/>
          <w:bCs/>
          <w:color w:val="000000"/>
          <w:sz w:val="24"/>
        </w:rPr>
        <w:t>4.资金来源：</w:t>
      </w:r>
      <w:r>
        <w:rPr>
          <w:rFonts w:hint="eastAsia" w:ascii="宋体" w:hAnsi="宋体" w:cs="宋体"/>
          <w:color w:val="000000"/>
          <w:sz w:val="24"/>
          <w:u w:val="single"/>
        </w:rPr>
        <w:t xml:space="preserve">财政预算                                           </w:t>
      </w:r>
    </w:p>
    <w:p w14:paraId="18FAC5DD">
      <w:pPr>
        <w:spacing w:line="360" w:lineRule="auto"/>
        <w:ind w:firstLine="480" w:firstLineChars="200"/>
        <w:rPr>
          <w:rFonts w:ascii="宋体" w:hAnsi="宋体" w:cs="宋体"/>
          <w:color w:val="000000"/>
          <w:sz w:val="24"/>
          <w:u w:val="single"/>
        </w:rPr>
      </w:pPr>
      <w:r>
        <w:rPr>
          <w:rFonts w:hint="eastAsia" w:ascii="宋体" w:hAnsi="宋体" w:cs="宋体"/>
          <w:bCs/>
          <w:color w:val="000000"/>
          <w:sz w:val="24"/>
        </w:rPr>
        <w:t>5.工程内容：</w:t>
      </w:r>
      <w:r>
        <w:rPr>
          <w:rFonts w:hint="eastAsia" w:ascii="宋体" w:hAnsi="宋体" w:cs="宋体"/>
          <w:bCs/>
          <w:color w:val="000000"/>
          <w:sz w:val="24"/>
          <w:u w:val="single"/>
        </w:rPr>
        <w:t>主要包括实验楼、1#教学楼、食宿楼、综合楼外立面翻新，1#教学楼屋面防水、保温拆除翻新，实验楼卫生间地面、墙面、吊顶、铝合金门窗、卫生洁具拆除更换，1#连廊内墙面新做瓷砖墙裙、涂料翻新，食宿楼空调百叶拆除更换及新建2#连廊等。</w:t>
      </w:r>
    </w:p>
    <w:p w14:paraId="206FA75D">
      <w:pPr>
        <w:spacing w:line="360" w:lineRule="auto"/>
        <w:ind w:firstLine="480" w:firstLineChars="200"/>
        <w:rPr>
          <w:rFonts w:hint="eastAsia" w:ascii="宋体" w:hAnsi="宋体" w:eastAsia="宋体" w:cs="宋体"/>
          <w:bCs/>
          <w:color w:val="000000"/>
          <w:sz w:val="24"/>
          <w:u w:val="single"/>
        </w:rPr>
      </w:pPr>
      <w:r>
        <w:rPr>
          <w:rFonts w:hint="eastAsia" w:ascii="宋体" w:hAnsi="宋体" w:cs="宋体"/>
          <w:bCs/>
          <w:color w:val="000000"/>
          <w:sz w:val="24"/>
        </w:rPr>
        <w:t>6.工程承包范围：</w:t>
      </w:r>
      <w:r>
        <w:rPr>
          <w:rFonts w:hint="eastAsia" w:ascii="宋体" w:hAnsi="宋体" w:eastAsia="宋体" w:cs="宋体"/>
          <w:bCs/>
          <w:color w:val="000000"/>
          <w:sz w:val="24"/>
          <w:u w:val="single"/>
          <w:lang w:eastAsia="zh-CN"/>
        </w:rPr>
        <w:t>宁海县西店镇中心小学新建连廊、外立面提升等维修工程</w:t>
      </w:r>
    </w:p>
    <w:p w14:paraId="2FD68F5E">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16" w:name="_Toc386638594"/>
      <w:r>
        <w:rPr>
          <w:rFonts w:hint="eastAsia" w:ascii="宋体" w:hAnsi="宋体" w:eastAsia="宋体" w:cs="宋体"/>
          <w:color w:val="000000"/>
          <w:sz w:val="24"/>
          <w:szCs w:val="24"/>
        </w:rPr>
        <w:t>二、合同工期</w:t>
      </w:r>
      <w:bookmarkEnd w:id="416"/>
    </w:p>
    <w:p w14:paraId="6E88337D">
      <w:pPr>
        <w:spacing w:line="360" w:lineRule="auto"/>
        <w:ind w:firstLine="480" w:firstLineChars="200"/>
        <w:rPr>
          <w:rFonts w:ascii="宋体" w:hAnsi="宋体" w:cs="宋体"/>
          <w:color w:val="000000"/>
          <w:sz w:val="24"/>
        </w:rPr>
      </w:pPr>
      <w:r>
        <w:rPr>
          <w:rFonts w:hint="eastAsia" w:ascii="宋体" w:hAnsi="宋体" w:cs="宋体"/>
          <w:color w:val="000000"/>
          <w:sz w:val="24"/>
        </w:rPr>
        <w:t>计划开工日期：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日（具体开工时间以发包人签署的开工报告为准）。</w:t>
      </w:r>
    </w:p>
    <w:p w14:paraId="61C86D14">
      <w:pPr>
        <w:spacing w:line="360" w:lineRule="auto"/>
        <w:ind w:firstLine="480" w:firstLineChars="200"/>
        <w:rPr>
          <w:rFonts w:ascii="宋体" w:hAnsi="宋体" w:cs="宋体"/>
          <w:color w:val="000000"/>
          <w:sz w:val="24"/>
        </w:rPr>
      </w:pPr>
      <w:r>
        <w:rPr>
          <w:rFonts w:hint="eastAsia" w:ascii="宋体" w:hAnsi="宋体" w:cs="宋体"/>
          <w:color w:val="000000"/>
          <w:sz w:val="24"/>
        </w:rPr>
        <w:t>计划竣工日期：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14B806F5">
      <w:pPr>
        <w:spacing w:line="360" w:lineRule="auto"/>
        <w:ind w:firstLine="480" w:firstLineChars="200"/>
        <w:rPr>
          <w:rFonts w:ascii="宋体" w:hAnsi="宋体" w:cs="宋体"/>
          <w:color w:val="000000"/>
          <w:sz w:val="24"/>
        </w:rPr>
      </w:pPr>
      <w:r>
        <w:rPr>
          <w:rFonts w:hint="eastAsia" w:ascii="宋体" w:hAnsi="宋体" w:cs="宋体"/>
          <w:color w:val="000000"/>
          <w:sz w:val="24"/>
        </w:rPr>
        <w:t>工期总日历天数：</w:t>
      </w:r>
      <w:r>
        <w:rPr>
          <w:rFonts w:hint="eastAsia" w:ascii="宋体" w:hAnsi="宋体" w:cs="宋体"/>
          <w:color w:val="000000"/>
          <w:sz w:val="24"/>
          <w:u w:val="single"/>
          <w:lang w:val="en-US" w:eastAsia="zh-CN"/>
        </w:rPr>
        <w:t>60</w:t>
      </w:r>
      <w:r>
        <w:rPr>
          <w:rFonts w:hint="eastAsia" w:ascii="宋体" w:hAnsi="宋体" w:cs="宋体"/>
          <w:color w:val="000000"/>
          <w:sz w:val="24"/>
          <w:u w:val="single"/>
        </w:rPr>
        <w:t>日历天</w:t>
      </w:r>
      <w:r>
        <w:rPr>
          <w:rFonts w:hint="eastAsia" w:ascii="宋体" w:hAnsi="宋体" w:cs="宋体"/>
          <w:color w:val="000000"/>
          <w:sz w:val="24"/>
        </w:rPr>
        <w:t>。工期总日历天数与根据前述计划开竣工日期计算的工期天数不一致的，以工期总日历天数为准。</w:t>
      </w:r>
    </w:p>
    <w:p w14:paraId="5CFAED51">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17" w:name="_Toc386638595"/>
      <w:r>
        <w:rPr>
          <w:rFonts w:hint="eastAsia" w:ascii="宋体" w:hAnsi="宋体" w:eastAsia="宋体" w:cs="宋体"/>
          <w:color w:val="000000"/>
          <w:sz w:val="24"/>
          <w:szCs w:val="24"/>
        </w:rPr>
        <w:t>三、质量标准</w:t>
      </w:r>
      <w:bookmarkEnd w:id="417"/>
    </w:p>
    <w:p w14:paraId="47C8820E">
      <w:pPr>
        <w:spacing w:line="360" w:lineRule="auto"/>
        <w:ind w:firstLine="480" w:firstLineChars="200"/>
        <w:rPr>
          <w:rFonts w:ascii="宋体" w:hAnsi="宋体" w:cs="宋体"/>
          <w:color w:val="000000"/>
          <w:sz w:val="24"/>
        </w:rPr>
      </w:pPr>
      <w:r>
        <w:rPr>
          <w:rFonts w:hint="eastAsia" w:ascii="宋体" w:hAnsi="宋体" w:cs="宋体"/>
          <w:color w:val="000000"/>
          <w:sz w:val="24"/>
        </w:rPr>
        <w:t>工程质量</w:t>
      </w:r>
      <w:r>
        <w:rPr>
          <w:rFonts w:hint="eastAsia" w:ascii="宋体" w:hAnsi="宋体" w:cs="宋体"/>
          <w:color w:val="000000"/>
          <w:sz w:val="24"/>
          <w:u w:val="single"/>
        </w:rPr>
        <w:t>符合</w:t>
      </w:r>
      <w:r>
        <w:rPr>
          <w:rFonts w:hint="eastAsia" w:ascii="宋体" w:hAnsi="宋体" w:cs="宋体"/>
          <w:bCs/>
          <w:color w:val="000000"/>
          <w:sz w:val="24"/>
          <w:u w:val="single"/>
        </w:rPr>
        <w:t>现行国家有关工程施工质量验收规范和标准要求，验收合格</w:t>
      </w:r>
      <w:r>
        <w:rPr>
          <w:rFonts w:hint="eastAsia" w:ascii="宋体" w:hAnsi="宋体" w:cs="宋体"/>
          <w:color w:val="000000"/>
          <w:sz w:val="24"/>
        </w:rPr>
        <w:t>。</w:t>
      </w:r>
    </w:p>
    <w:p w14:paraId="69F76F75">
      <w:pPr>
        <w:pStyle w:val="6"/>
        <w:keepNext w:val="0"/>
        <w:keepLines w:val="0"/>
        <w:spacing w:before="0" w:after="0" w:line="360" w:lineRule="auto"/>
        <w:ind w:left="0" w:firstLine="482" w:firstLineChars="200"/>
        <w:rPr>
          <w:rFonts w:ascii="宋体" w:hAnsi="宋体" w:eastAsia="宋体" w:cs="宋体"/>
          <w:bCs w:val="0"/>
          <w:color w:val="000000"/>
          <w:sz w:val="24"/>
          <w:szCs w:val="24"/>
        </w:rPr>
      </w:pPr>
      <w:bookmarkStart w:id="418" w:name="_Toc386638596"/>
      <w:r>
        <w:rPr>
          <w:rFonts w:hint="eastAsia" w:ascii="宋体" w:hAnsi="宋体" w:eastAsia="宋体" w:cs="宋体"/>
          <w:color w:val="000000"/>
          <w:sz w:val="24"/>
          <w:szCs w:val="24"/>
        </w:rPr>
        <w:t>四、签约合同价与合同价格形式</w:t>
      </w:r>
      <w:bookmarkEnd w:id="418"/>
    </w:p>
    <w:p w14:paraId="18FC9C55">
      <w:pPr>
        <w:spacing w:line="360" w:lineRule="auto"/>
        <w:ind w:firstLine="480" w:firstLineChars="200"/>
        <w:rPr>
          <w:rFonts w:ascii="宋体" w:hAnsi="宋体" w:cs="宋体"/>
          <w:color w:val="000000"/>
          <w:sz w:val="24"/>
        </w:rPr>
      </w:pPr>
      <w:r>
        <w:rPr>
          <w:rFonts w:hint="eastAsia" w:ascii="宋体" w:hAnsi="宋体" w:cs="宋体"/>
          <w:color w:val="000000"/>
          <w:sz w:val="24"/>
        </w:rPr>
        <w:t>1.签约合同价为：</w:t>
      </w:r>
    </w:p>
    <w:p w14:paraId="1C6E129E">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528370DB">
      <w:pPr>
        <w:spacing w:line="360" w:lineRule="auto"/>
        <w:ind w:firstLine="480" w:firstLineChars="200"/>
        <w:rPr>
          <w:rFonts w:ascii="宋体" w:hAnsi="宋体" w:cs="宋体"/>
          <w:color w:val="000000"/>
          <w:sz w:val="24"/>
        </w:rPr>
      </w:pPr>
      <w:r>
        <w:rPr>
          <w:rFonts w:hint="eastAsia" w:ascii="宋体" w:hAnsi="宋体" w:cs="宋体"/>
          <w:color w:val="000000"/>
          <w:sz w:val="24"/>
        </w:rPr>
        <w:t>其中：</w:t>
      </w:r>
    </w:p>
    <w:p w14:paraId="0216F21D">
      <w:pPr>
        <w:spacing w:line="360" w:lineRule="auto"/>
        <w:ind w:firstLine="480" w:firstLineChars="200"/>
        <w:rPr>
          <w:rFonts w:ascii="宋体" w:hAnsi="宋体" w:cs="宋体"/>
          <w:color w:val="000000"/>
          <w:sz w:val="24"/>
        </w:rPr>
      </w:pPr>
      <w:r>
        <w:rPr>
          <w:rFonts w:hint="eastAsia" w:ascii="宋体" w:hAnsi="宋体" w:cs="宋体"/>
          <w:color w:val="000000"/>
          <w:sz w:val="24"/>
        </w:rPr>
        <w:t>（1）安全文明施工费：</w:t>
      </w:r>
    </w:p>
    <w:p w14:paraId="41C1291D">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06065C41">
      <w:pPr>
        <w:spacing w:line="360" w:lineRule="auto"/>
        <w:ind w:firstLine="480" w:firstLineChars="200"/>
        <w:rPr>
          <w:rFonts w:ascii="宋体" w:hAnsi="宋体" w:cs="宋体"/>
          <w:color w:val="000000"/>
          <w:sz w:val="24"/>
        </w:rPr>
      </w:pPr>
      <w:r>
        <w:rPr>
          <w:rFonts w:hint="eastAsia" w:ascii="宋体" w:hAnsi="宋体" w:cs="宋体"/>
          <w:color w:val="000000"/>
          <w:sz w:val="24"/>
        </w:rPr>
        <w:t>（2）材料和工程设备暂估价金额：</w:t>
      </w:r>
    </w:p>
    <w:p w14:paraId="606FC7FE">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4161A0CD">
      <w:pPr>
        <w:spacing w:line="360" w:lineRule="auto"/>
        <w:ind w:firstLine="480" w:firstLineChars="200"/>
        <w:rPr>
          <w:rFonts w:ascii="宋体" w:hAnsi="宋体" w:cs="宋体"/>
          <w:color w:val="000000"/>
          <w:sz w:val="24"/>
        </w:rPr>
      </w:pPr>
      <w:r>
        <w:rPr>
          <w:rFonts w:hint="eastAsia" w:ascii="宋体" w:hAnsi="宋体" w:cs="宋体"/>
          <w:color w:val="000000"/>
          <w:sz w:val="24"/>
        </w:rPr>
        <w:t>（3）专业工程暂估价金额：</w:t>
      </w:r>
    </w:p>
    <w:p w14:paraId="0369DC47">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       </w:t>
      </w:r>
      <w:r>
        <w:rPr>
          <w:rFonts w:hint="eastAsia" w:ascii="宋体" w:hAnsi="宋体" w:cs="宋体"/>
          <w:color w:val="000000"/>
          <w:sz w:val="24"/>
        </w:rPr>
        <w:t xml:space="preserve"> (¥</w:t>
      </w:r>
      <w:r>
        <w:rPr>
          <w:rFonts w:hint="eastAsia" w:ascii="宋体" w:hAnsi="宋体" w:cs="宋体"/>
          <w:color w:val="000000"/>
          <w:sz w:val="24"/>
          <w:u w:val="single"/>
        </w:rPr>
        <w:t xml:space="preserve">      /    </w:t>
      </w:r>
      <w:r>
        <w:rPr>
          <w:rFonts w:hint="eastAsia" w:ascii="宋体" w:hAnsi="宋体" w:cs="宋体"/>
          <w:color w:val="000000"/>
          <w:sz w:val="24"/>
        </w:rPr>
        <w:t>元)；</w:t>
      </w:r>
    </w:p>
    <w:p w14:paraId="46E167E2">
      <w:pPr>
        <w:spacing w:line="360" w:lineRule="auto"/>
        <w:ind w:firstLine="480" w:firstLineChars="200"/>
        <w:rPr>
          <w:rFonts w:ascii="宋体" w:hAnsi="宋体" w:cs="宋体"/>
          <w:color w:val="000000"/>
          <w:sz w:val="24"/>
        </w:rPr>
      </w:pPr>
      <w:r>
        <w:rPr>
          <w:rFonts w:hint="eastAsia" w:ascii="宋体" w:hAnsi="宋体" w:cs="宋体"/>
          <w:color w:val="000000"/>
          <w:sz w:val="24"/>
        </w:rPr>
        <w:t>（4）暂列金额：</w:t>
      </w:r>
    </w:p>
    <w:p w14:paraId="35BE532B">
      <w:pPr>
        <w:spacing w:line="360" w:lineRule="auto"/>
        <w:ind w:firstLine="480" w:firstLineChars="200"/>
        <w:rPr>
          <w:rFonts w:ascii="宋体" w:hAnsi="宋体" w:cs="宋体"/>
          <w:color w:val="000000"/>
          <w:sz w:val="24"/>
        </w:rPr>
      </w:pPr>
      <w:r>
        <w:rPr>
          <w:rFonts w:hint="eastAsia" w:ascii="宋体" w:hAnsi="宋体" w:cs="宋体"/>
          <w:color w:val="000000"/>
          <w:sz w:val="24"/>
        </w:rPr>
        <w:t>人民币（大写）</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元)。</w:t>
      </w:r>
    </w:p>
    <w:p w14:paraId="3F546D7C">
      <w:pPr>
        <w:spacing w:line="360" w:lineRule="auto"/>
        <w:ind w:firstLine="480" w:firstLineChars="200"/>
        <w:rPr>
          <w:rFonts w:ascii="宋体" w:hAnsi="宋体" w:cs="宋体"/>
          <w:color w:val="000000"/>
          <w:sz w:val="24"/>
        </w:rPr>
      </w:pPr>
      <w:r>
        <w:rPr>
          <w:rFonts w:hint="eastAsia" w:ascii="宋体" w:hAnsi="宋体" w:cs="宋体"/>
          <w:color w:val="000000"/>
          <w:sz w:val="24"/>
        </w:rPr>
        <w:t>2.合同价格形式：</w:t>
      </w:r>
      <w:r>
        <w:rPr>
          <w:rFonts w:hint="eastAsia" w:ascii="宋体" w:hAnsi="宋体" w:cs="宋体"/>
          <w:color w:val="000000"/>
          <w:sz w:val="24"/>
          <w:u w:val="single"/>
        </w:rPr>
        <w:t>  单价合同           </w:t>
      </w:r>
      <w:r>
        <w:rPr>
          <w:rFonts w:hint="eastAsia" w:ascii="宋体" w:hAnsi="宋体" w:cs="宋体"/>
          <w:color w:val="000000"/>
          <w:sz w:val="24"/>
        </w:rPr>
        <w:t>。</w:t>
      </w:r>
    </w:p>
    <w:p w14:paraId="69EF3592">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19" w:name="_Toc386638597"/>
      <w:r>
        <w:rPr>
          <w:rFonts w:hint="eastAsia" w:ascii="宋体" w:hAnsi="宋体" w:eastAsia="宋体" w:cs="宋体"/>
          <w:color w:val="000000"/>
          <w:sz w:val="24"/>
          <w:szCs w:val="24"/>
        </w:rPr>
        <w:t>五、项目经理</w:t>
      </w:r>
      <w:bookmarkEnd w:id="419"/>
    </w:p>
    <w:p w14:paraId="30A866BF">
      <w:pPr>
        <w:spacing w:line="360" w:lineRule="auto"/>
        <w:ind w:firstLine="480" w:firstLineChars="200"/>
        <w:rPr>
          <w:rFonts w:ascii="宋体" w:hAnsi="宋体" w:cs="宋体"/>
          <w:color w:val="000000"/>
          <w:sz w:val="24"/>
        </w:rPr>
      </w:pPr>
      <w:r>
        <w:rPr>
          <w:rFonts w:hint="eastAsia" w:ascii="宋体" w:hAnsi="宋体" w:cs="宋体"/>
          <w:color w:val="000000"/>
          <w:sz w:val="24"/>
        </w:rPr>
        <w:t>承包人项目经理：</w:t>
      </w:r>
      <w:r>
        <w:rPr>
          <w:rFonts w:hint="eastAsia" w:ascii="宋体" w:hAnsi="宋体" w:cs="宋体"/>
          <w:color w:val="000000"/>
          <w:sz w:val="24"/>
          <w:u w:val="single"/>
        </w:rPr>
        <w:t>                     </w:t>
      </w:r>
      <w:r>
        <w:rPr>
          <w:rFonts w:hint="eastAsia" w:ascii="宋体" w:hAnsi="宋体" w:cs="宋体"/>
          <w:color w:val="000000"/>
          <w:sz w:val="24"/>
        </w:rPr>
        <w:t>。</w:t>
      </w:r>
    </w:p>
    <w:p w14:paraId="7319989F">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0" w:name="_Toc386638598"/>
      <w:r>
        <w:rPr>
          <w:rFonts w:hint="eastAsia" w:ascii="宋体" w:hAnsi="宋体" w:eastAsia="宋体" w:cs="宋体"/>
          <w:color w:val="000000"/>
          <w:sz w:val="24"/>
          <w:szCs w:val="24"/>
        </w:rPr>
        <w:t>六、合同文件构成</w:t>
      </w:r>
      <w:bookmarkEnd w:id="420"/>
    </w:p>
    <w:p w14:paraId="7EA384FD">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本协议书与下列文件一起构成合同文件：</w:t>
      </w:r>
    </w:p>
    <w:p w14:paraId="66D1FD66">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（1）中标通知书（如果有）；</w:t>
      </w:r>
    </w:p>
    <w:p w14:paraId="32182F5D">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（2）投标函及其附录（如果有）；</w:t>
      </w:r>
    </w:p>
    <w:p w14:paraId="6BF3F94A">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（3）专用合同条款及其附件；</w:t>
      </w:r>
    </w:p>
    <w:p w14:paraId="4D284183">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（4）通用合同条款；</w:t>
      </w:r>
    </w:p>
    <w:p w14:paraId="2461F6B5">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（5）技术标准和要求；</w:t>
      </w:r>
    </w:p>
    <w:p w14:paraId="26387E0F">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（6）图纸；</w:t>
      </w:r>
    </w:p>
    <w:p w14:paraId="060C04B2">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（7）预算书；</w:t>
      </w:r>
    </w:p>
    <w:p w14:paraId="190B4C66">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（8）其他合同文件。</w:t>
      </w:r>
    </w:p>
    <w:p w14:paraId="482C0046">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在合同订立及履行过程中形成的与合同有关的文件均构成合同文件组成部分。</w:t>
      </w:r>
    </w:p>
    <w:p w14:paraId="7A3708C7">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7CD9B27E">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1" w:name="_Toc386638599"/>
      <w:r>
        <w:rPr>
          <w:rFonts w:hint="eastAsia" w:ascii="宋体" w:hAnsi="宋体" w:eastAsia="宋体" w:cs="宋体"/>
          <w:color w:val="000000"/>
          <w:sz w:val="24"/>
          <w:szCs w:val="24"/>
        </w:rPr>
        <w:t>七、承诺</w:t>
      </w:r>
      <w:bookmarkEnd w:id="421"/>
    </w:p>
    <w:p w14:paraId="4DA1B637">
      <w:pPr>
        <w:spacing w:line="360" w:lineRule="auto"/>
        <w:ind w:firstLine="480" w:firstLineChars="200"/>
        <w:rPr>
          <w:rFonts w:ascii="宋体" w:hAnsi="宋体" w:cs="宋体"/>
          <w:bCs/>
          <w:color w:val="000000"/>
          <w:sz w:val="24"/>
        </w:rPr>
      </w:pPr>
      <w:r>
        <w:rPr>
          <w:rFonts w:hint="eastAsia" w:ascii="宋体" w:hAnsi="宋体" w:cs="宋体"/>
          <w:bCs/>
          <w:color w:val="000000"/>
          <w:sz w:val="24"/>
        </w:rPr>
        <w:t>1.发包人承诺按照法律规定履行项目审批手续、筹集工程建设资金并按照合同约定的期限和方式支付合同价款。</w:t>
      </w:r>
    </w:p>
    <w:p w14:paraId="4FE8329E">
      <w:pPr>
        <w:spacing w:line="360" w:lineRule="auto"/>
        <w:ind w:firstLine="480" w:firstLineChars="200"/>
        <w:rPr>
          <w:rFonts w:ascii="宋体" w:hAnsi="宋体" w:cs="宋体"/>
          <w:bCs/>
          <w:color w:val="000000"/>
          <w:sz w:val="24"/>
        </w:rPr>
      </w:pPr>
      <w:r>
        <w:rPr>
          <w:rFonts w:hint="eastAsia" w:ascii="宋体" w:hAnsi="宋体" w:cs="宋体"/>
          <w:bCs/>
          <w:color w:val="000000"/>
          <w:sz w:val="24"/>
        </w:rPr>
        <w:t>2.承包人承诺按照法律规定及合同约定组织完成工程施工，确保工程质量和安全，不进行转包及违法分包，并在缺陷责任期及保修期内承担相应的工程维修责任。</w:t>
      </w:r>
    </w:p>
    <w:p w14:paraId="67DBE557">
      <w:pPr>
        <w:spacing w:line="360" w:lineRule="auto"/>
        <w:ind w:firstLine="480" w:firstLineChars="200"/>
        <w:rPr>
          <w:rFonts w:ascii="宋体" w:hAnsi="宋体" w:cs="宋体"/>
          <w:bCs/>
          <w:color w:val="000000"/>
          <w:sz w:val="24"/>
        </w:rPr>
      </w:pPr>
      <w:r>
        <w:rPr>
          <w:rFonts w:hint="eastAsia" w:ascii="宋体" w:hAnsi="宋体" w:cs="宋体"/>
          <w:bCs/>
          <w:color w:val="000000"/>
          <w:sz w:val="24"/>
        </w:rPr>
        <w:t>3.发包人和承包人通过招投标形式签订合同的，双方理解并承诺不再就同一工程另行签订与合同实质性内容相背离的协议。</w:t>
      </w:r>
    </w:p>
    <w:p w14:paraId="4240F535">
      <w:pPr>
        <w:pStyle w:val="6"/>
        <w:keepNext w:val="0"/>
        <w:keepLines w:val="0"/>
        <w:spacing w:before="0" w:after="0" w:line="360" w:lineRule="auto"/>
        <w:ind w:left="0" w:firstLine="482" w:firstLineChars="200"/>
        <w:rPr>
          <w:rFonts w:ascii="宋体" w:hAnsi="宋体" w:eastAsia="宋体" w:cs="宋体"/>
          <w:color w:val="000000"/>
          <w:sz w:val="24"/>
          <w:szCs w:val="24"/>
        </w:rPr>
      </w:pPr>
      <w:r>
        <w:rPr>
          <w:rFonts w:hint="eastAsia" w:ascii="宋体" w:hAnsi="宋体" w:eastAsia="宋体" w:cs="宋体"/>
          <w:color w:val="000000"/>
          <w:sz w:val="24"/>
          <w:szCs w:val="24"/>
        </w:rPr>
        <w:t>八、词语含义</w:t>
      </w:r>
    </w:p>
    <w:p w14:paraId="6D4FA166">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本协议书中词语含义与第二部分通用合同条款中赋予的含义相同。</w:t>
      </w:r>
    </w:p>
    <w:p w14:paraId="641B8C2C">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2" w:name="_Toc386638600"/>
      <w:r>
        <w:rPr>
          <w:rFonts w:hint="eastAsia" w:ascii="宋体" w:hAnsi="宋体" w:eastAsia="宋体" w:cs="宋体"/>
          <w:color w:val="000000"/>
          <w:sz w:val="24"/>
          <w:szCs w:val="24"/>
        </w:rPr>
        <w:t>九、签订时间</w:t>
      </w:r>
      <w:bookmarkEnd w:id="422"/>
    </w:p>
    <w:p w14:paraId="4D74CBB5">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本合同于</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日签订。</w:t>
      </w:r>
    </w:p>
    <w:p w14:paraId="5E62A053">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3" w:name="_Toc386638601"/>
      <w:r>
        <w:rPr>
          <w:rFonts w:hint="eastAsia" w:ascii="宋体" w:hAnsi="宋体" w:eastAsia="宋体" w:cs="宋体"/>
          <w:color w:val="000000"/>
          <w:sz w:val="24"/>
          <w:szCs w:val="24"/>
        </w:rPr>
        <w:t>十、签订地点</w:t>
      </w:r>
      <w:bookmarkEnd w:id="423"/>
    </w:p>
    <w:p w14:paraId="12EBBACD">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本合同在</w:t>
      </w:r>
      <w:r>
        <w:rPr>
          <w:rFonts w:hint="eastAsia" w:ascii="宋体" w:hAnsi="宋体" w:cs="宋体"/>
          <w:bCs/>
          <w:color w:val="000000"/>
          <w:sz w:val="24"/>
          <w:u w:val="single"/>
        </w:rPr>
        <w:t xml:space="preserve">                        </w:t>
      </w:r>
      <w:r>
        <w:rPr>
          <w:rFonts w:hint="eastAsia" w:ascii="宋体" w:hAnsi="宋体" w:cs="宋体"/>
          <w:bCs/>
          <w:color w:val="000000"/>
          <w:sz w:val="24"/>
        </w:rPr>
        <w:t>签订。</w:t>
      </w:r>
    </w:p>
    <w:p w14:paraId="55937AF4">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4" w:name="_Toc386638602"/>
      <w:r>
        <w:rPr>
          <w:rFonts w:hint="eastAsia" w:ascii="宋体" w:hAnsi="宋体" w:eastAsia="宋体" w:cs="宋体"/>
          <w:color w:val="000000"/>
          <w:sz w:val="24"/>
          <w:szCs w:val="24"/>
        </w:rPr>
        <w:t>十一、补充协议</w:t>
      </w:r>
      <w:bookmarkEnd w:id="424"/>
    </w:p>
    <w:p w14:paraId="5280594C">
      <w:pPr>
        <w:spacing w:line="360" w:lineRule="auto"/>
        <w:ind w:firstLine="480" w:firstLineChars="200"/>
        <w:rPr>
          <w:rFonts w:ascii="宋体" w:hAnsi="宋体" w:cs="宋体"/>
          <w:b/>
          <w:bCs/>
          <w:color w:val="000000"/>
          <w:sz w:val="24"/>
        </w:rPr>
      </w:pPr>
      <w:r>
        <w:rPr>
          <w:rFonts w:hint="eastAsia" w:ascii="宋体" w:hAnsi="宋体" w:cs="宋体"/>
          <w:bCs/>
          <w:color w:val="000000"/>
          <w:sz w:val="24"/>
        </w:rPr>
        <w:t>合同未尽事宜，合同当事人另行签订补充协议，补充协议是合同的组成部分。</w:t>
      </w:r>
    </w:p>
    <w:p w14:paraId="5A2D301C">
      <w:pPr>
        <w:pStyle w:val="6"/>
        <w:keepNext w:val="0"/>
        <w:keepLines w:val="0"/>
        <w:spacing w:before="0" w:after="0" w:line="360" w:lineRule="auto"/>
        <w:ind w:left="0" w:firstLine="482" w:firstLineChars="200"/>
        <w:rPr>
          <w:rFonts w:ascii="宋体" w:hAnsi="宋体" w:eastAsia="宋体" w:cs="宋体"/>
          <w:color w:val="000000"/>
          <w:sz w:val="24"/>
          <w:szCs w:val="24"/>
        </w:rPr>
      </w:pPr>
      <w:bookmarkStart w:id="425" w:name="_Toc386638603"/>
      <w:r>
        <w:rPr>
          <w:rFonts w:hint="eastAsia" w:ascii="宋体" w:hAnsi="宋体" w:eastAsia="宋体" w:cs="宋体"/>
          <w:color w:val="000000"/>
          <w:sz w:val="24"/>
          <w:szCs w:val="24"/>
        </w:rPr>
        <w:t>十二、合同生效</w:t>
      </w:r>
      <w:bookmarkEnd w:id="425"/>
    </w:p>
    <w:p w14:paraId="50A52A69">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本合同自</w:t>
      </w:r>
      <w:r>
        <w:rPr>
          <w:rFonts w:hint="eastAsia" w:ascii="宋体" w:hAnsi="宋体" w:cs="宋体"/>
          <w:bCs/>
          <w:color w:val="000000"/>
          <w:sz w:val="24"/>
          <w:u w:val="single"/>
        </w:rPr>
        <w:t>双方加盖单位印章并经法定代表人或其委托代理人签字，并按约定提供履约担保后</w:t>
      </w:r>
      <w:r>
        <w:rPr>
          <w:rFonts w:hint="eastAsia" w:ascii="宋体" w:hAnsi="宋体" w:cs="宋体"/>
          <w:bCs/>
          <w:color w:val="000000"/>
          <w:sz w:val="24"/>
        </w:rPr>
        <w:t>生效。</w:t>
      </w:r>
    </w:p>
    <w:p w14:paraId="5F9C4377">
      <w:pPr>
        <w:pStyle w:val="6"/>
        <w:keepNext w:val="0"/>
        <w:keepLines w:val="0"/>
        <w:spacing w:before="0" w:after="0" w:line="360" w:lineRule="auto"/>
        <w:ind w:left="0" w:firstLine="482" w:firstLineChars="200"/>
        <w:rPr>
          <w:rFonts w:ascii="宋体" w:hAnsi="宋体" w:eastAsia="宋体" w:cs="宋体"/>
          <w:bCs w:val="0"/>
          <w:color w:val="000000"/>
          <w:sz w:val="24"/>
          <w:szCs w:val="24"/>
        </w:rPr>
      </w:pPr>
      <w:bookmarkStart w:id="426" w:name="_Toc386638604"/>
      <w:r>
        <w:rPr>
          <w:rFonts w:hint="eastAsia" w:ascii="宋体" w:hAnsi="宋体" w:eastAsia="宋体" w:cs="宋体"/>
          <w:color w:val="000000"/>
          <w:sz w:val="24"/>
          <w:szCs w:val="24"/>
        </w:rPr>
        <w:t>十三、合同份数</w:t>
      </w:r>
      <w:bookmarkEnd w:id="426"/>
    </w:p>
    <w:p w14:paraId="0B56A92D">
      <w:pPr>
        <w:spacing w:line="360" w:lineRule="auto"/>
        <w:ind w:firstLine="480" w:firstLineChars="200"/>
        <w:rPr>
          <w:rFonts w:ascii="宋体" w:hAnsi="宋体" w:cs="宋体"/>
          <w:bCs/>
          <w:color w:val="000000"/>
          <w:sz w:val="24"/>
        </w:rPr>
      </w:pPr>
      <w:r>
        <w:rPr>
          <w:rFonts w:hint="eastAsia" w:ascii="宋体" w:hAnsi="宋体" w:cs="宋体"/>
          <w:bCs/>
          <w:color w:val="000000"/>
          <w:sz w:val="24"/>
        </w:rPr>
        <w:t>本合同一式</w:t>
      </w:r>
      <w:r>
        <w:rPr>
          <w:rFonts w:hint="eastAsia" w:ascii="宋体" w:hAnsi="宋体" w:cs="宋体"/>
          <w:bCs/>
          <w:color w:val="000000"/>
          <w:sz w:val="24"/>
          <w:u w:val="single"/>
        </w:rPr>
        <w:t xml:space="preserve"> 肆 </w:t>
      </w:r>
      <w:r>
        <w:rPr>
          <w:rFonts w:hint="eastAsia" w:ascii="宋体" w:hAnsi="宋体" w:cs="宋体"/>
          <w:bCs/>
          <w:color w:val="000000"/>
          <w:sz w:val="24"/>
        </w:rPr>
        <w:t>份，均具有同等法律效力，发包人执</w:t>
      </w:r>
      <w:r>
        <w:rPr>
          <w:rFonts w:hint="eastAsia" w:ascii="宋体" w:hAnsi="宋体" w:cs="宋体"/>
          <w:bCs/>
          <w:color w:val="000000"/>
          <w:sz w:val="24"/>
          <w:u w:val="single"/>
        </w:rPr>
        <w:t xml:space="preserve"> 贰 </w:t>
      </w:r>
      <w:r>
        <w:rPr>
          <w:rFonts w:hint="eastAsia" w:ascii="宋体" w:hAnsi="宋体" w:cs="宋体"/>
          <w:bCs/>
          <w:color w:val="000000"/>
          <w:sz w:val="24"/>
        </w:rPr>
        <w:t>份，承包人执</w:t>
      </w:r>
      <w:r>
        <w:rPr>
          <w:rFonts w:hint="eastAsia" w:ascii="宋体" w:hAnsi="宋体" w:cs="宋体"/>
          <w:bCs/>
          <w:color w:val="000000"/>
          <w:sz w:val="24"/>
          <w:u w:val="single"/>
        </w:rPr>
        <w:t xml:space="preserve"> 贰 </w:t>
      </w:r>
      <w:r>
        <w:rPr>
          <w:rFonts w:hint="eastAsia" w:ascii="宋体" w:hAnsi="宋体" w:cs="宋体"/>
          <w:bCs/>
          <w:color w:val="000000"/>
          <w:sz w:val="24"/>
        </w:rPr>
        <w:t>份。</w:t>
      </w:r>
    </w:p>
    <w:p w14:paraId="23CD8814">
      <w:pPr>
        <w:pStyle w:val="79"/>
      </w:pPr>
    </w:p>
    <w:p w14:paraId="731B0451">
      <w:pPr>
        <w:pStyle w:val="79"/>
      </w:pPr>
    </w:p>
    <w:p w14:paraId="52CC6406">
      <w:pPr>
        <w:spacing w:line="360" w:lineRule="auto"/>
        <w:ind w:firstLine="480" w:firstLineChars="200"/>
        <w:rPr>
          <w:rFonts w:ascii="宋体" w:hAnsi="宋体" w:cs="宋体"/>
          <w:color w:val="000000"/>
          <w:sz w:val="24"/>
        </w:rPr>
      </w:pPr>
      <w:r>
        <w:rPr>
          <w:rFonts w:hint="eastAsia" w:ascii="宋体" w:hAnsi="宋体" w:cs="宋体"/>
          <w:color w:val="000000"/>
          <w:sz w:val="24"/>
        </w:rPr>
        <w:t>发包人：   (公章)                   承包人：   (公章)</w:t>
      </w:r>
    </w:p>
    <w:p w14:paraId="24D53397">
      <w:pPr>
        <w:spacing w:line="360" w:lineRule="auto"/>
        <w:ind w:firstLine="480" w:firstLineChars="200"/>
        <w:rPr>
          <w:rFonts w:ascii="宋体" w:hAnsi="宋体" w:cs="宋体"/>
          <w:color w:val="000000"/>
          <w:sz w:val="24"/>
        </w:rPr>
      </w:pPr>
    </w:p>
    <w:p w14:paraId="2AA0C304">
      <w:pPr>
        <w:spacing w:line="360" w:lineRule="auto"/>
        <w:ind w:firstLine="480" w:firstLineChars="200"/>
        <w:rPr>
          <w:rFonts w:ascii="宋体" w:hAnsi="宋体" w:cs="宋体"/>
          <w:color w:val="000000"/>
          <w:sz w:val="24"/>
        </w:rPr>
      </w:pPr>
      <w:r>
        <w:rPr>
          <w:rFonts w:hint="eastAsia" w:ascii="宋体" w:hAnsi="宋体" w:cs="宋体"/>
          <w:color w:val="000000"/>
          <w:sz w:val="24"/>
        </w:rPr>
        <w:t>法定代表人或其委托代理人：          法定代表人或其委托代理人：</w:t>
      </w:r>
    </w:p>
    <w:p w14:paraId="262A6B3E">
      <w:pPr>
        <w:spacing w:line="360" w:lineRule="auto"/>
        <w:ind w:firstLine="480" w:firstLineChars="200"/>
        <w:rPr>
          <w:rFonts w:ascii="宋体" w:hAnsi="宋体" w:cs="宋体"/>
          <w:color w:val="000000"/>
          <w:sz w:val="24"/>
        </w:rPr>
      </w:pPr>
      <w:r>
        <w:rPr>
          <w:rFonts w:hint="eastAsia" w:ascii="宋体" w:hAnsi="宋体" w:cs="宋体"/>
          <w:color w:val="000000"/>
          <w:sz w:val="24"/>
        </w:rPr>
        <w:t>（签字）                            （签字）</w:t>
      </w:r>
    </w:p>
    <w:p w14:paraId="4A96EDAA">
      <w:pPr>
        <w:pStyle w:val="79"/>
      </w:pPr>
    </w:p>
    <w:p w14:paraId="2D5C0C7E">
      <w:pPr>
        <w:tabs>
          <w:tab w:val="left" w:pos="4410"/>
        </w:tabs>
        <w:spacing w:line="360" w:lineRule="auto"/>
        <w:ind w:firstLine="480" w:firstLineChars="200"/>
        <w:rPr>
          <w:rFonts w:ascii="宋体" w:hAnsi="宋体" w:cs="宋体"/>
          <w:color w:val="000000"/>
          <w:sz w:val="24"/>
        </w:rPr>
      </w:pPr>
      <w:r>
        <w:rPr>
          <w:rFonts w:hint="eastAsia" w:ascii="宋体" w:hAnsi="宋体" w:cs="宋体"/>
          <w:color w:val="000000"/>
          <w:sz w:val="24"/>
        </w:rPr>
        <w:t>组织机构代码：</w:t>
      </w:r>
      <w:r>
        <w:rPr>
          <w:rFonts w:hint="eastAsia" w:ascii="宋体" w:hAnsi="宋体" w:cs="宋体"/>
          <w:color w:val="000000"/>
          <w:sz w:val="24"/>
          <w:u w:val="single"/>
        </w:rPr>
        <w:t xml:space="preserve">        </w:t>
      </w:r>
      <w:r>
        <w:rPr>
          <w:rFonts w:hint="eastAsia" w:ascii="宋体" w:hAnsi="宋体" w:cs="宋体"/>
          <w:color w:val="000000"/>
          <w:sz w:val="24"/>
        </w:rPr>
        <w:t xml:space="preserve">        组织机构代码：</w:t>
      </w:r>
      <w:r>
        <w:rPr>
          <w:rFonts w:hint="eastAsia" w:ascii="宋体" w:hAnsi="宋体" w:cs="宋体"/>
          <w:color w:val="000000"/>
          <w:sz w:val="24"/>
          <w:u w:val="single"/>
        </w:rPr>
        <w:t xml:space="preserve">            </w:t>
      </w:r>
    </w:p>
    <w:p w14:paraId="3B8EA7F2">
      <w:pPr>
        <w:spacing w:line="360" w:lineRule="auto"/>
        <w:ind w:firstLine="480" w:firstLineChars="200"/>
        <w:rPr>
          <w:rFonts w:ascii="宋体" w:hAnsi="宋体" w:cs="宋体"/>
          <w:color w:val="000000"/>
          <w:sz w:val="24"/>
        </w:rPr>
      </w:pPr>
      <w:r>
        <w:rPr>
          <w:rFonts w:hint="eastAsia" w:ascii="宋体" w:hAnsi="宋体" w:cs="宋体"/>
          <w:color w:val="000000"/>
          <w:sz w:val="24"/>
        </w:rPr>
        <w:t>地  址：</w:t>
      </w:r>
      <w:r>
        <w:rPr>
          <w:rFonts w:hint="eastAsia" w:ascii="宋体" w:hAnsi="宋体" w:cs="宋体"/>
          <w:color w:val="000000"/>
          <w:sz w:val="24"/>
          <w:u w:val="single"/>
        </w:rPr>
        <w:t xml:space="preserve">      </w:t>
      </w:r>
      <w:r>
        <w:rPr>
          <w:rFonts w:hint="eastAsia" w:ascii="宋体" w:hAnsi="宋体" w:cs="宋体"/>
          <w:color w:val="000000"/>
          <w:sz w:val="24"/>
        </w:rPr>
        <w:t xml:space="preserve">        地  址：</w:t>
      </w:r>
      <w:r>
        <w:rPr>
          <w:rFonts w:hint="eastAsia" w:ascii="宋体" w:hAnsi="宋体" w:cs="宋体"/>
          <w:color w:val="000000"/>
          <w:sz w:val="24"/>
          <w:u w:val="single"/>
        </w:rPr>
        <w:t xml:space="preserve">        </w:t>
      </w:r>
    </w:p>
    <w:p w14:paraId="4338A851">
      <w:pPr>
        <w:spacing w:line="360" w:lineRule="auto"/>
        <w:ind w:firstLine="480" w:firstLineChars="200"/>
        <w:rPr>
          <w:rFonts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     </w:t>
      </w:r>
      <w:r>
        <w:rPr>
          <w:rFonts w:hint="eastAsia" w:ascii="宋体" w:hAnsi="宋体" w:cs="宋体"/>
          <w:color w:val="000000"/>
          <w:sz w:val="24"/>
        </w:rPr>
        <w:t xml:space="preserve">        邮政编码：</w:t>
      </w:r>
      <w:r>
        <w:rPr>
          <w:rFonts w:hint="eastAsia" w:ascii="宋体" w:hAnsi="宋体" w:cs="宋体"/>
          <w:color w:val="000000"/>
          <w:sz w:val="24"/>
          <w:u w:val="single"/>
        </w:rPr>
        <w:t xml:space="preserve">    </w:t>
      </w:r>
    </w:p>
    <w:p w14:paraId="4088EB93">
      <w:pPr>
        <w:spacing w:line="360" w:lineRule="auto"/>
        <w:ind w:firstLine="480" w:firstLineChars="200"/>
        <w:rPr>
          <w:rFonts w:ascii="宋体" w:hAnsi="宋体" w:cs="宋体"/>
          <w:color w:val="000000"/>
          <w:sz w:val="24"/>
        </w:rPr>
      </w:pPr>
      <w:r>
        <w:rPr>
          <w:rFonts w:hint="eastAsia" w:ascii="宋体" w:hAnsi="宋体" w:cs="宋体"/>
          <w:color w:val="000000"/>
          <w:sz w:val="24"/>
        </w:rPr>
        <w:t>法定代表人：</w:t>
      </w:r>
      <w:r>
        <w:rPr>
          <w:rFonts w:hint="eastAsia" w:ascii="宋体" w:hAnsi="宋体" w:cs="宋体"/>
          <w:color w:val="000000"/>
          <w:sz w:val="24"/>
          <w:u w:val="single"/>
        </w:rPr>
        <w:t xml:space="preserve">            </w:t>
      </w:r>
      <w:r>
        <w:rPr>
          <w:rFonts w:hint="eastAsia" w:ascii="宋体" w:hAnsi="宋体" w:cs="宋体"/>
          <w:color w:val="000000"/>
          <w:sz w:val="24"/>
        </w:rPr>
        <w:t xml:space="preserve">        法定代表人：</w:t>
      </w:r>
      <w:r>
        <w:rPr>
          <w:rFonts w:hint="eastAsia" w:ascii="宋体" w:hAnsi="宋体" w:cs="宋体"/>
          <w:color w:val="000000"/>
          <w:sz w:val="24"/>
          <w:u w:val="single"/>
        </w:rPr>
        <w:t xml:space="preserve">              </w:t>
      </w:r>
    </w:p>
    <w:p w14:paraId="480D34ED">
      <w:pPr>
        <w:spacing w:line="360" w:lineRule="auto"/>
        <w:ind w:firstLine="480" w:firstLineChars="200"/>
        <w:rPr>
          <w:rFonts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w:t>
      </w:r>
      <w:r>
        <w:rPr>
          <w:rFonts w:hint="eastAsia" w:ascii="宋体" w:hAnsi="宋体" w:cs="宋体"/>
          <w:color w:val="000000"/>
          <w:sz w:val="24"/>
          <w:u w:val="single"/>
        </w:rPr>
        <w:t xml:space="preserve">              </w:t>
      </w:r>
    </w:p>
    <w:p w14:paraId="1E809343">
      <w:pPr>
        <w:spacing w:line="360" w:lineRule="auto"/>
        <w:ind w:firstLine="480" w:firstLineChars="200"/>
        <w:rPr>
          <w:rFonts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   </w:t>
      </w:r>
      <w:r>
        <w:rPr>
          <w:rFonts w:hint="eastAsia" w:ascii="宋体" w:hAnsi="宋体" w:cs="宋体"/>
          <w:color w:val="000000"/>
          <w:sz w:val="24"/>
        </w:rPr>
        <w:t xml:space="preserve">        电  话：</w:t>
      </w:r>
      <w:r>
        <w:rPr>
          <w:rFonts w:hint="eastAsia" w:ascii="宋体" w:hAnsi="宋体" w:cs="宋体"/>
          <w:color w:val="000000"/>
          <w:sz w:val="24"/>
          <w:u w:val="single"/>
        </w:rPr>
        <w:t xml:space="preserve">      </w:t>
      </w:r>
    </w:p>
    <w:p w14:paraId="2F86279C">
      <w:pPr>
        <w:spacing w:line="360" w:lineRule="auto"/>
        <w:ind w:firstLine="480" w:firstLineChars="200"/>
        <w:rPr>
          <w:rFonts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   </w:t>
      </w:r>
      <w:r>
        <w:rPr>
          <w:rFonts w:hint="eastAsia" w:ascii="宋体" w:hAnsi="宋体" w:cs="宋体"/>
          <w:color w:val="000000"/>
          <w:sz w:val="24"/>
        </w:rPr>
        <w:t xml:space="preserve">        传  真：</w:t>
      </w:r>
      <w:r>
        <w:rPr>
          <w:rFonts w:hint="eastAsia" w:ascii="宋体" w:hAnsi="宋体" w:cs="宋体"/>
          <w:color w:val="000000"/>
          <w:sz w:val="24"/>
          <w:u w:val="single"/>
        </w:rPr>
        <w:t xml:space="preserve">      </w:t>
      </w:r>
    </w:p>
    <w:p w14:paraId="29606C95">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 xml:space="preserve">        电子信箱：</w:t>
      </w:r>
      <w:r>
        <w:rPr>
          <w:rFonts w:hint="eastAsia" w:ascii="宋体" w:hAnsi="宋体" w:cs="宋体"/>
          <w:color w:val="000000"/>
          <w:sz w:val="24"/>
          <w:u w:val="single"/>
        </w:rPr>
        <w:t xml:space="preserve">    </w:t>
      </w:r>
    </w:p>
    <w:p w14:paraId="5A962954">
      <w:pPr>
        <w:spacing w:line="360" w:lineRule="auto"/>
        <w:ind w:firstLine="480" w:firstLineChars="200"/>
        <w:rPr>
          <w:rFonts w:ascii="宋体" w:hAnsi="宋体" w:cs="宋体"/>
          <w:color w:val="000000"/>
          <w:sz w:val="24"/>
        </w:rPr>
      </w:pPr>
      <w:r>
        <w:rPr>
          <w:rFonts w:hint="eastAsia" w:ascii="宋体" w:hAnsi="宋体" w:cs="宋体"/>
          <w:color w:val="000000"/>
          <w:sz w:val="24"/>
        </w:rPr>
        <w:t>开户银行：</w:t>
      </w:r>
      <w:r>
        <w:rPr>
          <w:rFonts w:hint="eastAsia" w:ascii="宋体" w:hAnsi="宋体" w:cs="宋体"/>
          <w:color w:val="000000"/>
          <w:sz w:val="24"/>
          <w:u w:val="single"/>
        </w:rPr>
        <w:t xml:space="preserve">    </w:t>
      </w:r>
      <w:r>
        <w:rPr>
          <w:rFonts w:hint="eastAsia" w:ascii="宋体" w:hAnsi="宋体" w:cs="宋体"/>
          <w:color w:val="000000"/>
          <w:sz w:val="24"/>
        </w:rPr>
        <w:t xml:space="preserve">        开户银行：</w:t>
      </w:r>
      <w:r>
        <w:rPr>
          <w:rFonts w:hint="eastAsia" w:ascii="宋体" w:hAnsi="宋体" w:cs="宋体"/>
          <w:color w:val="000000"/>
          <w:sz w:val="24"/>
          <w:u w:val="single"/>
        </w:rPr>
        <w:t xml:space="preserve">    </w:t>
      </w:r>
    </w:p>
    <w:p w14:paraId="5ABF4882">
      <w:pPr>
        <w:spacing w:line="360" w:lineRule="auto"/>
        <w:ind w:firstLine="480" w:firstLineChars="200"/>
        <w:rPr>
          <w:rFonts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       </w:t>
      </w:r>
      <w:r>
        <w:rPr>
          <w:rFonts w:hint="eastAsia" w:ascii="宋体" w:hAnsi="宋体" w:cs="宋体"/>
          <w:color w:val="000000"/>
          <w:sz w:val="24"/>
        </w:rPr>
        <w:t xml:space="preserve">        账  号：</w:t>
      </w:r>
      <w:r>
        <w:rPr>
          <w:rFonts w:hint="eastAsia" w:ascii="宋体" w:hAnsi="宋体" w:cs="宋体"/>
          <w:color w:val="000000"/>
          <w:sz w:val="24"/>
          <w:u w:val="single"/>
        </w:rPr>
        <w:t xml:space="preserve">      </w:t>
      </w:r>
    </w:p>
    <w:p w14:paraId="05E3DA42">
      <w:pPr>
        <w:pStyle w:val="4"/>
        <w:keepNext w:val="0"/>
        <w:keepLines w:val="0"/>
        <w:tabs>
          <w:tab w:val="clear" w:pos="900"/>
        </w:tabs>
        <w:spacing w:before="0" w:after="0" w:line="360" w:lineRule="auto"/>
        <w:ind w:left="0" w:firstLine="472"/>
        <w:jc w:val="center"/>
        <w:rPr>
          <w:rFonts w:ascii="宋体" w:hAnsi="宋体" w:cs="宋体"/>
          <w:color w:val="000000"/>
          <w:sz w:val="24"/>
          <w:szCs w:val="24"/>
        </w:rPr>
      </w:pPr>
      <w:r>
        <w:rPr>
          <w:rFonts w:hint="eastAsia" w:ascii="宋体" w:hAnsi="宋体" w:cs="宋体"/>
          <w:color w:val="000000"/>
          <w:sz w:val="24"/>
          <w:szCs w:val="24"/>
        </w:rPr>
        <w:br w:type="page"/>
      </w:r>
      <w:bookmarkStart w:id="427" w:name="_Toc386638605"/>
      <w:r>
        <w:rPr>
          <w:rFonts w:hint="eastAsia" w:ascii="宋体" w:hAnsi="宋体" w:cs="宋体"/>
          <w:color w:val="000000"/>
        </w:rPr>
        <w:t>第二部分 通用合同条款</w:t>
      </w:r>
      <w:bookmarkEnd w:id="427"/>
      <w:bookmarkStart w:id="428" w:name="_Toc337558727"/>
    </w:p>
    <w:p w14:paraId="3FADF0F7">
      <w:pPr>
        <w:spacing w:line="360" w:lineRule="auto"/>
        <w:ind w:firstLine="480" w:firstLineChars="200"/>
        <w:rPr>
          <w:rFonts w:ascii="宋体" w:hAnsi="宋体" w:cs="宋体"/>
          <w:color w:val="000000"/>
          <w:sz w:val="24"/>
        </w:rPr>
      </w:pPr>
      <w:r>
        <w:rPr>
          <w:rFonts w:hint="eastAsia" w:ascii="宋体" w:hAnsi="宋体" w:cs="宋体"/>
          <w:color w:val="000000"/>
          <w:sz w:val="24"/>
        </w:rPr>
        <w:t>通用合同条款直接引用中国建筑工业出版社出版的《建设工程施工合同（示范文本）（GF-2017-0201）第二部分“通用合同条款”内容。</w:t>
      </w:r>
    </w:p>
    <w:bookmarkEnd w:id="428"/>
    <w:p w14:paraId="724DB4B9">
      <w:pPr>
        <w:spacing w:line="360" w:lineRule="auto"/>
        <w:ind w:firstLine="480" w:firstLineChars="200"/>
        <w:outlineLvl w:val="1"/>
        <w:rPr>
          <w:rFonts w:ascii="宋体" w:hAnsi="宋体" w:cs="宋体"/>
          <w:color w:val="000000"/>
          <w:sz w:val="24"/>
        </w:rPr>
      </w:pPr>
      <w:bookmarkStart w:id="429" w:name="_Toc411083384"/>
      <w:bookmarkStart w:id="430" w:name="_Toc297120463"/>
      <w:bookmarkStart w:id="431" w:name="_Toc292559872"/>
      <w:bookmarkStart w:id="432" w:name="_Toc296944502"/>
      <w:bookmarkStart w:id="433" w:name="_Toc296890991"/>
      <w:bookmarkStart w:id="434" w:name="_Toc296503163"/>
      <w:bookmarkStart w:id="435" w:name="_Toc297048349"/>
      <w:bookmarkStart w:id="436" w:name="_Toc292559367"/>
      <w:bookmarkStart w:id="437" w:name="_Toc296346664"/>
      <w:bookmarkStart w:id="438" w:name="_Toc296347162"/>
      <w:bookmarkStart w:id="439" w:name="_Toc296891203"/>
    </w:p>
    <w:p w14:paraId="318108FF">
      <w:pPr>
        <w:pStyle w:val="4"/>
        <w:keepNext w:val="0"/>
        <w:keepLines w:val="0"/>
        <w:numPr>
          <w:ilvl w:val="2"/>
          <w:numId w:val="0"/>
        </w:numPr>
        <w:tabs>
          <w:tab w:val="clear" w:pos="900"/>
        </w:tabs>
        <w:spacing w:before="0" w:after="0" w:line="360" w:lineRule="auto"/>
        <w:jc w:val="center"/>
        <w:rPr>
          <w:rFonts w:ascii="宋体" w:hAnsi="宋体" w:cs="宋体"/>
          <w:color w:val="000000"/>
        </w:rPr>
      </w:pPr>
      <w:r>
        <w:rPr>
          <w:rFonts w:hint="eastAsia" w:ascii="宋体" w:hAnsi="宋体" w:cs="宋体"/>
          <w:color w:val="000000"/>
        </w:rPr>
        <w:t>第三部分 专用条款</w:t>
      </w:r>
      <w:bookmarkEnd w:id="429"/>
    </w:p>
    <w:p w14:paraId="77A8E2EE">
      <w:pPr>
        <w:pStyle w:val="6"/>
        <w:spacing w:before="0" w:after="0" w:line="360" w:lineRule="auto"/>
        <w:jc w:val="left"/>
        <w:rPr>
          <w:rFonts w:ascii="宋体" w:hAnsi="宋体" w:eastAsia="宋体" w:cs="宋体"/>
          <w:b w:val="0"/>
          <w:color w:val="000000"/>
          <w:sz w:val="24"/>
          <w:szCs w:val="24"/>
        </w:rPr>
      </w:pPr>
      <w:bookmarkStart w:id="440" w:name="_Toc386638607"/>
      <w:bookmarkStart w:id="441" w:name="_Toc351203633"/>
      <w:r>
        <w:rPr>
          <w:rFonts w:hint="eastAsia" w:ascii="宋体" w:hAnsi="宋体" w:eastAsia="宋体" w:cs="宋体"/>
          <w:b w:val="0"/>
          <w:color w:val="000000"/>
          <w:sz w:val="24"/>
          <w:szCs w:val="24"/>
        </w:rPr>
        <w:t>1</w:t>
      </w:r>
      <w:bookmarkStart w:id="442" w:name="_Toc296890984"/>
      <w:bookmarkStart w:id="443" w:name="_Toc292559361"/>
      <w:bookmarkStart w:id="444" w:name="_Toc296347155"/>
      <w:bookmarkStart w:id="445" w:name="_Toc296944495"/>
      <w:bookmarkStart w:id="446" w:name="_Toc297120456"/>
      <w:bookmarkStart w:id="447" w:name="_Toc296346657"/>
      <w:bookmarkStart w:id="448" w:name="_Toc297048342"/>
      <w:bookmarkStart w:id="449" w:name="_Toc296503156"/>
      <w:bookmarkStart w:id="450" w:name="_Toc296891196"/>
      <w:bookmarkStart w:id="451" w:name="_Toc292559866"/>
      <w:r>
        <w:rPr>
          <w:rFonts w:hint="eastAsia" w:ascii="宋体" w:hAnsi="宋体" w:eastAsia="宋体" w:cs="宋体"/>
          <w:b w:val="0"/>
          <w:color w:val="000000"/>
          <w:sz w:val="24"/>
          <w:szCs w:val="24"/>
        </w:rPr>
        <w:t>. 一般约定</w:t>
      </w:r>
      <w:bookmarkEnd w:id="440"/>
      <w:bookmarkEnd w:id="441"/>
    </w:p>
    <w:bookmarkEnd w:id="442"/>
    <w:bookmarkEnd w:id="443"/>
    <w:bookmarkEnd w:id="444"/>
    <w:bookmarkEnd w:id="445"/>
    <w:bookmarkEnd w:id="446"/>
    <w:bookmarkEnd w:id="447"/>
    <w:bookmarkEnd w:id="448"/>
    <w:bookmarkEnd w:id="449"/>
    <w:bookmarkEnd w:id="450"/>
    <w:bookmarkEnd w:id="451"/>
    <w:p w14:paraId="54B48394">
      <w:pPr>
        <w:spacing w:line="360" w:lineRule="auto"/>
        <w:ind w:firstLine="480" w:firstLineChars="200"/>
        <w:rPr>
          <w:rFonts w:ascii="宋体" w:hAnsi="宋体" w:cs="宋体"/>
          <w:color w:val="000000"/>
          <w:sz w:val="24"/>
        </w:rPr>
      </w:pPr>
      <w:r>
        <w:rPr>
          <w:rFonts w:hint="eastAsia" w:ascii="宋体" w:hAnsi="宋体" w:cs="宋体"/>
          <w:color w:val="000000"/>
          <w:sz w:val="24"/>
        </w:rPr>
        <w:t>1.1 词语定义</w:t>
      </w:r>
    </w:p>
    <w:p w14:paraId="749BC146">
      <w:pPr>
        <w:spacing w:line="360" w:lineRule="auto"/>
        <w:ind w:firstLine="480" w:firstLineChars="200"/>
        <w:rPr>
          <w:rFonts w:ascii="宋体" w:hAnsi="宋体" w:cs="宋体"/>
          <w:color w:val="000000"/>
          <w:sz w:val="24"/>
        </w:rPr>
      </w:pPr>
      <w:r>
        <w:rPr>
          <w:rFonts w:hint="eastAsia" w:ascii="宋体" w:hAnsi="宋体" w:cs="宋体"/>
          <w:color w:val="000000"/>
          <w:sz w:val="24"/>
        </w:rPr>
        <w:t>1.1.1 合同</w:t>
      </w:r>
    </w:p>
    <w:p w14:paraId="7A1E2372">
      <w:pPr>
        <w:spacing w:line="360" w:lineRule="auto"/>
        <w:ind w:firstLine="480" w:firstLineChars="200"/>
        <w:rPr>
          <w:rFonts w:ascii="宋体" w:hAnsi="宋体" w:cs="宋体"/>
          <w:color w:val="000000"/>
          <w:sz w:val="24"/>
        </w:rPr>
      </w:pPr>
      <w:r>
        <w:rPr>
          <w:rFonts w:hint="eastAsia" w:ascii="宋体" w:hAnsi="宋体" w:cs="宋体"/>
          <w:color w:val="000000"/>
          <w:sz w:val="24"/>
        </w:rPr>
        <w:t>1.1.1.10 其他合同文件包括：</w:t>
      </w:r>
      <w:r>
        <w:rPr>
          <w:rFonts w:hint="eastAsia" w:ascii="宋体" w:hAnsi="宋体" w:cs="宋体"/>
          <w:color w:val="000000"/>
          <w:sz w:val="24"/>
          <w:u w:val="single"/>
        </w:rPr>
        <w:t xml:space="preserve">双方与合同有关的工程设计变更联系单、洽商、签证等书面协议或文件 </w:t>
      </w:r>
      <w:r>
        <w:rPr>
          <w:rFonts w:hint="eastAsia" w:ascii="宋体" w:hAnsi="宋体" w:cs="宋体"/>
          <w:color w:val="000000"/>
          <w:sz w:val="24"/>
        </w:rPr>
        <w:t>。</w:t>
      </w:r>
    </w:p>
    <w:p w14:paraId="7F6BECC4">
      <w:pPr>
        <w:spacing w:line="360" w:lineRule="auto"/>
        <w:ind w:firstLine="480" w:firstLineChars="200"/>
        <w:rPr>
          <w:rFonts w:ascii="宋体" w:hAnsi="宋体" w:cs="宋体"/>
          <w:color w:val="000000"/>
          <w:sz w:val="24"/>
        </w:rPr>
      </w:pPr>
      <w:r>
        <w:rPr>
          <w:rFonts w:hint="eastAsia" w:ascii="宋体" w:hAnsi="宋体" w:cs="宋体"/>
          <w:color w:val="000000"/>
          <w:sz w:val="24"/>
        </w:rPr>
        <w:t>1.1.2 合同当事人及其他相关方</w:t>
      </w:r>
    </w:p>
    <w:p w14:paraId="0912B38C">
      <w:pPr>
        <w:spacing w:line="360" w:lineRule="auto"/>
        <w:ind w:firstLine="480" w:firstLineChars="200"/>
        <w:rPr>
          <w:rFonts w:ascii="宋体" w:hAnsi="宋体" w:cs="宋体"/>
          <w:color w:val="000000"/>
          <w:sz w:val="24"/>
        </w:rPr>
      </w:pPr>
      <w:r>
        <w:rPr>
          <w:rFonts w:hint="eastAsia" w:ascii="宋体" w:hAnsi="宋体" w:cs="宋体"/>
          <w:color w:val="000000"/>
          <w:sz w:val="24"/>
        </w:rPr>
        <w:t>1.1.2.4 监理人：</w:t>
      </w:r>
    </w:p>
    <w:p w14:paraId="523C200E">
      <w:pPr>
        <w:spacing w:line="360" w:lineRule="auto"/>
        <w:ind w:firstLine="480" w:firstLineChars="200"/>
        <w:rPr>
          <w:rFonts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656438D5">
      <w:pPr>
        <w:spacing w:line="360" w:lineRule="auto"/>
        <w:ind w:firstLine="480" w:firstLineChars="200"/>
        <w:rPr>
          <w:rFonts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w:t>
      </w:r>
      <w:r>
        <w:rPr>
          <w:rFonts w:hint="eastAsia" w:ascii="宋体" w:hAnsi="宋体" w:cs="宋体"/>
          <w:color w:val="000000"/>
          <w:sz w:val="24"/>
        </w:rPr>
        <w:t>；</w:t>
      </w:r>
    </w:p>
    <w:p w14:paraId="5E86452A">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6743A064">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w:t>
      </w:r>
      <w:r>
        <w:rPr>
          <w:rFonts w:hint="eastAsia" w:ascii="宋体" w:hAnsi="宋体" w:cs="宋体"/>
          <w:color w:val="000000"/>
          <w:sz w:val="24"/>
        </w:rPr>
        <w:t>；</w:t>
      </w:r>
    </w:p>
    <w:p w14:paraId="2580659E">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21086EA0">
      <w:pPr>
        <w:spacing w:line="360" w:lineRule="auto"/>
        <w:ind w:firstLine="480" w:firstLineChars="200"/>
        <w:rPr>
          <w:rFonts w:ascii="宋体" w:hAnsi="宋体" w:cs="宋体"/>
          <w:color w:val="000000"/>
          <w:sz w:val="24"/>
        </w:rPr>
      </w:pPr>
      <w:r>
        <w:rPr>
          <w:rFonts w:hint="eastAsia" w:ascii="宋体" w:hAnsi="宋体" w:cs="宋体"/>
          <w:color w:val="000000"/>
          <w:sz w:val="24"/>
        </w:rPr>
        <w:t>1.1.2.5 设计人：</w:t>
      </w:r>
    </w:p>
    <w:p w14:paraId="5431D923">
      <w:pPr>
        <w:spacing w:line="360" w:lineRule="auto"/>
        <w:ind w:firstLine="480" w:firstLineChars="200"/>
        <w:rPr>
          <w:rFonts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    </w:t>
      </w:r>
      <w:r>
        <w:rPr>
          <w:rFonts w:hint="eastAsia" w:ascii="宋体" w:hAnsi="宋体" w:cs="宋体"/>
          <w:color w:val="000000"/>
          <w:sz w:val="24"/>
        </w:rPr>
        <w:t>；</w:t>
      </w:r>
    </w:p>
    <w:p w14:paraId="2D880F12">
      <w:pPr>
        <w:spacing w:line="360" w:lineRule="auto"/>
        <w:ind w:firstLine="480" w:firstLineChars="200"/>
        <w:rPr>
          <w:rFonts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    </w:t>
      </w:r>
      <w:r>
        <w:rPr>
          <w:rFonts w:hint="eastAsia" w:ascii="宋体" w:hAnsi="宋体" w:cs="宋体"/>
          <w:color w:val="000000"/>
          <w:sz w:val="24"/>
        </w:rPr>
        <w:t>；</w:t>
      </w:r>
    </w:p>
    <w:p w14:paraId="5DAB40EB">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5F84ED44">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                </w:t>
      </w:r>
      <w:r>
        <w:rPr>
          <w:rFonts w:hint="eastAsia" w:ascii="宋体" w:hAnsi="宋体" w:cs="宋体"/>
          <w:color w:val="000000"/>
          <w:sz w:val="24"/>
        </w:rPr>
        <w:t>；</w:t>
      </w:r>
    </w:p>
    <w:p w14:paraId="219B8AF1">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3AA495AD">
      <w:pPr>
        <w:spacing w:line="360" w:lineRule="auto"/>
        <w:ind w:firstLine="480" w:firstLineChars="200"/>
        <w:rPr>
          <w:rFonts w:ascii="宋体" w:hAnsi="宋体" w:cs="宋体"/>
          <w:color w:val="000000"/>
          <w:sz w:val="24"/>
        </w:rPr>
      </w:pPr>
      <w:r>
        <w:rPr>
          <w:rFonts w:hint="eastAsia" w:ascii="宋体" w:hAnsi="宋体" w:cs="宋体"/>
          <w:color w:val="000000"/>
          <w:sz w:val="24"/>
        </w:rPr>
        <w:t>1.1.3 工程和设备</w:t>
      </w:r>
    </w:p>
    <w:p w14:paraId="3781E4C4">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14:paraId="245AE0D8">
      <w:pPr>
        <w:spacing w:line="360" w:lineRule="auto"/>
        <w:ind w:firstLine="480" w:firstLineChars="200"/>
        <w:rPr>
          <w:rFonts w:ascii="宋体" w:hAnsi="宋体" w:cs="宋体"/>
          <w:color w:val="000000"/>
          <w:sz w:val="24"/>
        </w:rPr>
      </w:pPr>
      <w:r>
        <w:rPr>
          <w:rFonts w:hint="eastAsia" w:ascii="宋体" w:hAnsi="宋体" w:cs="宋体"/>
          <w:color w:val="000000"/>
          <w:sz w:val="24"/>
        </w:rPr>
        <w:t>1.1.3.9 永久占地包括：</w:t>
      </w:r>
      <w:r>
        <w:rPr>
          <w:rFonts w:hint="eastAsia" w:ascii="宋体" w:hAnsi="宋体" w:cs="宋体"/>
          <w:color w:val="000000"/>
          <w:sz w:val="24"/>
          <w:u w:val="single"/>
        </w:rPr>
        <w:t xml:space="preserve">            /            </w:t>
      </w:r>
      <w:r>
        <w:rPr>
          <w:rFonts w:hint="eastAsia" w:ascii="宋体" w:hAnsi="宋体" w:cs="宋体"/>
          <w:color w:val="000000"/>
          <w:sz w:val="24"/>
        </w:rPr>
        <w:t>。</w:t>
      </w:r>
    </w:p>
    <w:p w14:paraId="365C2B42">
      <w:pPr>
        <w:spacing w:line="360" w:lineRule="auto"/>
        <w:ind w:firstLine="480" w:firstLineChars="200"/>
        <w:rPr>
          <w:rFonts w:ascii="宋体" w:hAnsi="宋体" w:cs="宋体"/>
          <w:color w:val="000000"/>
          <w:sz w:val="24"/>
        </w:rPr>
      </w:pPr>
      <w:r>
        <w:rPr>
          <w:rFonts w:hint="eastAsia" w:ascii="宋体" w:hAnsi="宋体" w:cs="宋体"/>
          <w:color w:val="000000"/>
          <w:sz w:val="24"/>
        </w:rPr>
        <w:t>1.1.3.10 临时占地包括：</w:t>
      </w:r>
      <w:r>
        <w:rPr>
          <w:rFonts w:hint="eastAsia" w:ascii="宋体" w:hAnsi="宋体" w:cs="宋体"/>
          <w:color w:val="000000"/>
          <w:sz w:val="24"/>
          <w:u w:val="single"/>
        </w:rPr>
        <w:t xml:space="preserve">           /            </w:t>
      </w:r>
      <w:r>
        <w:rPr>
          <w:rFonts w:hint="eastAsia" w:ascii="宋体" w:hAnsi="宋体" w:cs="宋体"/>
          <w:color w:val="000000"/>
          <w:sz w:val="24"/>
        </w:rPr>
        <w:t>。</w:t>
      </w:r>
    </w:p>
    <w:p w14:paraId="1354E553">
      <w:pPr>
        <w:spacing w:line="360" w:lineRule="auto"/>
        <w:ind w:firstLine="480" w:firstLineChars="200"/>
        <w:rPr>
          <w:rFonts w:ascii="宋体" w:hAnsi="宋体" w:cs="宋体"/>
          <w:color w:val="000000"/>
          <w:sz w:val="24"/>
        </w:rPr>
      </w:pPr>
      <w:r>
        <w:rPr>
          <w:rFonts w:hint="eastAsia" w:ascii="宋体" w:hAnsi="宋体" w:cs="宋体"/>
          <w:color w:val="000000"/>
          <w:sz w:val="24"/>
        </w:rPr>
        <w:t>1.3 法律</w:t>
      </w:r>
    </w:p>
    <w:p w14:paraId="4C7F68D0">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适用于合同的其他规范性文件：</w:t>
      </w:r>
      <w:r>
        <w:rPr>
          <w:rFonts w:hint="eastAsia" w:ascii="宋体" w:hAnsi="宋体" w:cs="宋体"/>
          <w:color w:val="000000"/>
          <w:sz w:val="24"/>
          <w:u w:val="single"/>
        </w:rPr>
        <w:t>浙江省、宁波市、宁海县有关工程建设的法规、规章及规范性文件</w:t>
      </w:r>
      <w:r>
        <w:rPr>
          <w:rFonts w:hint="eastAsia" w:ascii="宋体" w:hAnsi="宋体" w:cs="宋体"/>
          <w:color w:val="000000"/>
          <w:sz w:val="24"/>
        </w:rPr>
        <w:t>。</w:t>
      </w:r>
    </w:p>
    <w:p w14:paraId="248B92A9">
      <w:pPr>
        <w:spacing w:line="360" w:lineRule="auto"/>
        <w:ind w:firstLine="480" w:firstLineChars="200"/>
        <w:rPr>
          <w:rFonts w:ascii="宋体" w:hAnsi="宋体" w:cs="宋体"/>
          <w:color w:val="000000"/>
          <w:sz w:val="24"/>
        </w:rPr>
      </w:pPr>
      <w:r>
        <w:rPr>
          <w:rFonts w:hint="eastAsia" w:ascii="宋体" w:hAnsi="宋体" w:cs="宋体"/>
          <w:color w:val="000000"/>
          <w:sz w:val="24"/>
        </w:rPr>
        <w:t>1.4 标准和规范</w:t>
      </w:r>
    </w:p>
    <w:p w14:paraId="2C2C5D07">
      <w:pPr>
        <w:spacing w:line="360" w:lineRule="auto"/>
        <w:ind w:firstLine="480" w:firstLineChars="200"/>
        <w:rPr>
          <w:rFonts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sz w:val="24"/>
          <w:u w:val="single"/>
        </w:rPr>
        <w:t>国家、浙江省、宁波市有关工程建设相关的施工及验收规范和标准</w:t>
      </w:r>
      <w:r>
        <w:rPr>
          <w:rFonts w:hint="eastAsia" w:ascii="宋体" w:hAnsi="宋体" w:cs="宋体"/>
          <w:color w:val="000000"/>
          <w:sz w:val="24"/>
        </w:rPr>
        <w:t>。</w:t>
      </w:r>
    </w:p>
    <w:p w14:paraId="1F403E2E">
      <w:pPr>
        <w:spacing w:line="360" w:lineRule="auto"/>
        <w:ind w:firstLine="480" w:firstLineChars="200"/>
        <w:rPr>
          <w:rFonts w:ascii="宋体" w:hAnsi="宋体" w:cs="宋体"/>
          <w:color w:val="000000"/>
          <w:sz w:val="24"/>
        </w:rPr>
      </w:pPr>
      <w:r>
        <w:rPr>
          <w:rFonts w:hint="eastAsia" w:ascii="宋体" w:hAnsi="宋体" w:cs="宋体"/>
          <w:color w:val="000000"/>
          <w:sz w:val="24"/>
        </w:rPr>
        <w:t>1.4.2 发包人提供国外标准、规范的名称：</w:t>
      </w:r>
    </w:p>
    <w:p w14:paraId="4187B44F">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3306708E">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sz w:val="24"/>
          <w:u w:val="single"/>
        </w:rPr>
        <w:t xml:space="preserve">           /           </w:t>
      </w:r>
      <w:r>
        <w:rPr>
          <w:rFonts w:hint="eastAsia" w:ascii="宋体" w:hAnsi="宋体" w:cs="宋体"/>
          <w:color w:val="000000"/>
          <w:sz w:val="24"/>
        </w:rPr>
        <w:t>；</w:t>
      </w:r>
    </w:p>
    <w:p w14:paraId="5AF8E5D1">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14:paraId="0809C416">
      <w:pPr>
        <w:spacing w:line="360" w:lineRule="auto"/>
        <w:ind w:firstLine="480" w:firstLineChars="200"/>
        <w:rPr>
          <w:rFonts w:ascii="宋体" w:hAnsi="宋体" w:cs="宋体"/>
          <w:color w:val="000000"/>
          <w:sz w:val="24"/>
        </w:rPr>
      </w:pPr>
      <w:r>
        <w:rPr>
          <w:rFonts w:hint="eastAsia" w:ascii="宋体" w:hAnsi="宋体" w:cs="宋体"/>
          <w:color w:val="000000"/>
          <w:sz w:val="24"/>
        </w:rPr>
        <w:t>1.4.3 发包人对工程的技术标准和功能要求的特殊要求：</w:t>
      </w:r>
    </w:p>
    <w:p w14:paraId="2830DD60">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p w14:paraId="702C0916">
      <w:pPr>
        <w:spacing w:line="360" w:lineRule="auto"/>
        <w:ind w:firstLine="480" w:firstLineChars="200"/>
        <w:rPr>
          <w:rFonts w:ascii="宋体" w:hAnsi="宋体" w:cs="宋体"/>
          <w:color w:val="000000"/>
          <w:sz w:val="24"/>
        </w:rPr>
      </w:pPr>
      <w:r>
        <w:rPr>
          <w:rFonts w:hint="eastAsia" w:ascii="宋体" w:hAnsi="宋体" w:cs="宋体"/>
          <w:color w:val="000000"/>
          <w:sz w:val="24"/>
        </w:rPr>
        <w:t>1.5 合同文件的优先顺序</w:t>
      </w:r>
    </w:p>
    <w:p w14:paraId="3F0E1E0B">
      <w:pPr>
        <w:spacing w:line="360" w:lineRule="auto"/>
        <w:ind w:firstLine="480" w:firstLineChars="200"/>
        <w:rPr>
          <w:rFonts w:ascii="宋体" w:hAnsi="宋体" w:cs="宋体"/>
          <w:color w:val="000000"/>
          <w:sz w:val="24"/>
        </w:rPr>
      </w:pPr>
      <w:r>
        <w:rPr>
          <w:rFonts w:hint="eastAsia" w:ascii="宋体" w:hAnsi="宋体" w:cs="宋体"/>
          <w:color w:val="000000"/>
          <w:sz w:val="24"/>
        </w:rPr>
        <w:t>合同文件组成及优先顺序为：</w:t>
      </w:r>
      <w:r>
        <w:rPr>
          <w:rFonts w:hint="eastAsia" w:ascii="宋体" w:hAnsi="宋体" w:cs="宋体"/>
          <w:color w:val="000000"/>
          <w:sz w:val="24"/>
          <w:u w:val="single"/>
        </w:rPr>
        <w:t>（1）合同协议书；（2）中标通知书；（3）投标函及其附录；（4）专用合同条款及其附件；（5）通用合同条款；（6）技术标准和要求；（7）图纸；（8）预算书；（9）其他合同文件。</w:t>
      </w:r>
    </w:p>
    <w:p w14:paraId="2C97651C">
      <w:pPr>
        <w:spacing w:line="360" w:lineRule="auto"/>
        <w:ind w:firstLine="480" w:firstLineChars="200"/>
        <w:rPr>
          <w:rFonts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14:paraId="39EBFCE1">
      <w:pPr>
        <w:spacing w:line="360" w:lineRule="auto"/>
        <w:ind w:firstLine="480" w:firstLineChars="200"/>
        <w:rPr>
          <w:rFonts w:ascii="宋体" w:hAnsi="宋体" w:cs="宋体"/>
          <w:color w:val="000000"/>
          <w:sz w:val="24"/>
        </w:rPr>
      </w:pPr>
      <w:r>
        <w:rPr>
          <w:rFonts w:hint="eastAsia" w:ascii="宋体" w:hAnsi="宋体" w:cs="宋体"/>
          <w:color w:val="000000"/>
          <w:sz w:val="24"/>
        </w:rPr>
        <w:t>1.6.1 图纸的提供</w:t>
      </w:r>
    </w:p>
    <w:p w14:paraId="2DE48B55">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向承包人发出中标通知书后3天内</w:t>
      </w:r>
      <w:r>
        <w:rPr>
          <w:rFonts w:hint="eastAsia" w:ascii="宋体" w:hAnsi="宋体" w:cs="宋体"/>
          <w:color w:val="000000"/>
          <w:sz w:val="24"/>
        </w:rPr>
        <w:t>；</w:t>
      </w:r>
    </w:p>
    <w:p w14:paraId="3891B5C4">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2套 </w:t>
      </w:r>
      <w:r>
        <w:rPr>
          <w:rFonts w:hint="eastAsia" w:ascii="宋体" w:hAnsi="宋体" w:cs="宋体"/>
          <w:color w:val="000000"/>
          <w:sz w:val="24"/>
        </w:rPr>
        <w:t>；</w:t>
      </w:r>
    </w:p>
    <w:p w14:paraId="4E25D85D">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color w:val="000000"/>
          <w:sz w:val="24"/>
          <w:u w:val="single"/>
        </w:rPr>
        <w:t>工程承包范围内的各专业工程</w:t>
      </w:r>
      <w:r>
        <w:rPr>
          <w:rFonts w:hint="eastAsia" w:ascii="宋体" w:hAnsi="宋体" w:cs="宋体"/>
          <w:color w:val="000000"/>
          <w:sz w:val="24"/>
        </w:rPr>
        <w:t>。</w:t>
      </w:r>
    </w:p>
    <w:p w14:paraId="608D76C3">
      <w:pPr>
        <w:spacing w:line="360" w:lineRule="auto"/>
        <w:ind w:firstLine="480" w:firstLineChars="200"/>
        <w:rPr>
          <w:rFonts w:ascii="宋体" w:hAnsi="宋体" w:cs="宋体"/>
          <w:color w:val="000000"/>
          <w:sz w:val="24"/>
        </w:rPr>
      </w:pPr>
      <w:r>
        <w:rPr>
          <w:rFonts w:hint="eastAsia" w:ascii="宋体" w:hAnsi="宋体" w:cs="宋体"/>
          <w:color w:val="000000"/>
          <w:sz w:val="24"/>
        </w:rPr>
        <w:t>1.6.4 承包人文件</w:t>
      </w:r>
    </w:p>
    <w:p w14:paraId="40EC9497">
      <w:pPr>
        <w:spacing w:line="360" w:lineRule="auto"/>
        <w:ind w:firstLine="480" w:firstLineChars="200"/>
        <w:rPr>
          <w:rFonts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施工组织设计、工程进度计划、专项施工方案、加工图、大样图、协调配合图等</w:t>
      </w:r>
      <w:r>
        <w:rPr>
          <w:rFonts w:hint="eastAsia" w:ascii="宋体" w:hAnsi="宋体" w:cs="宋体"/>
          <w:color w:val="000000"/>
          <w:sz w:val="24"/>
        </w:rPr>
        <w:t>；</w:t>
      </w:r>
    </w:p>
    <w:p w14:paraId="5665D4C3">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施工组织设计、工程进度计划在工程开工前15天，其他文件在相应专项工程或部位施工前5天</w:t>
      </w:r>
      <w:r>
        <w:rPr>
          <w:rFonts w:hint="eastAsia" w:ascii="宋体" w:hAnsi="宋体" w:cs="宋体"/>
          <w:color w:val="000000"/>
          <w:sz w:val="24"/>
        </w:rPr>
        <w:t>；</w:t>
      </w:r>
    </w:p>
    <w:p w14:paraId="51DA0CFE">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一式五套、电子版一套       </w:t>
      </w:r>
      <w:r>
        <w:rPr>
          <w:rFonts w:hint="eastAsia" w:ascii="宋体" w:hAnsi="宋体" w:cs="宋体"/>
          <w:color w:val="000000"/>
          <w:sz w:val="24"/>
        </w:rPr>
        <w:t>；</w:t>
      </w:r>
    </w:p>
    <w:p w14:paraId="3335EECC">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 xml:space="preserve"> 纸质版本及电子版本       </w:t>
      </w:r>
      <w:r>
        <w:rPr>
          <w:rFonts w:hint="eastAsia" w:ascii="宋体" w:hAnsi="宋体" w:cs="宋体"/>
          <w:color w:val="000000"/>
          <w:sz w:val="24"/>
        </w:rPr>
        <w:t>；</w:t>
      </w:r>
    </w:p>
    <w:p w14:paraId="180D21E9">
      <w:pPr>
        <w:spacing w:line="360" w:lineRule="auto"/>
        <w:ind w:firstLine="480" w:firstLineChars="200"/>
        <w:rPr>
          <w:rFonts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               </w:t>
      </w:r>
      <w:r>
        <w:rPr>
          <w:rFonts w:hint="eastAsia" w:ascii="宋体" w:hAnsi="宋体" w:cs="宋体"/>
          <w:color w:val="000000"/>
          <w:sz w:val="24"/>
        </w:rPr>
        <w:t>。</w:t>
      </w:r>
    </w:p>
    <w:p w14:paraId="4895BB13">
      <w:pPr>
        <w:spacing w:line="360" w:lineRule="auto"/>
        <w:ind w:firstLine="480" w:firstLineChars="200"/>
        <w:rPr>
          <w:rFonts w:ascii="宋体" w:hAnsi="宋体" w:cs="宋体"/>
          <w:color w:val="000000"/>
          <w:sz w:val="24"/>
        </w:rPr>
      </w:pPr>
      <w:r>
        <w:rPr>
          <w:rFonts w:hint="eastAsia" w:ascii="宋体" w:hAnsi="宋体" w:cs="宋体"/>
          <w:color w:val="000000"/>
          <w:sz w:val="24"/>
        </w:rPr>
        <w:t>1.6.5 现场图纸准备</w:t>
      </w:r>
    </w:p>
    <w:p w14:paraId="71BD90B7">
      <w:pPr>
        <w:spacing w:line="360" w:lineRule="auto"/>
        <w:ind w:firstLine="480" w:firstLineChars="200"/>
        <w:rPr>
          <w:rFonts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承包人在施工现场保存至少一套完整的图纸和承包人文件</w:t>
      </w:r>
      <w:r>
        <w:rPr>
          <w:rFonts w:hint="eastAsia" w:ascii="宋体" w:hAnsi="宋体" w:cs="宋体"/>
          <w:color w:val="000000"/>
          <w:sz w:val="24"/>
        </w:rPr>
        <w:t>。</w:t>
      </w:r>
    </w:p>
    <w:p w14:paraId="10A5F078">
      <w:pPr>
        <w:spacing w:line="360" w:lineRule="auto"/>
        <w:ind w:firstLine="480" w:firstLineChars="200"/>
        <w:rPr>
          <w:rFonts w:ascii="宋体" w:hAnsi="宋体" w:cs="宋体"/>
          <w:color w:val="000000"/>
          <w:sz w:val="24"/>
        </w:rPr>
      </w:pPr>
      <w:r>
        <w:rPr>
          <w:rFonts w:hint="eastAsia" w:ascii="宋体" w:hAnsi="宋体" w:cs="宋体"/>
          <w:color w:val="000000"/>
          <w:sz w:val="24"/>
        </w:rPr>
        <w:t>1.7 联络</w:t>
      </w:r>
    </w:p>
    <w:p w14:paraId="7D230985">
      <w:pPr>
        <w:spacing w:line="360" w:lineRule="auto"/>
        <w:ind w:firstLine="480" w:firstLineChars="200"/>
        <w:rPr>
          <w:rFonts w:ascii="宋体" w:hAnsi="宋体" w:cs="宋体"/>
          <w:color w:val="000000"/>
          <w:sz w:val="24"/>
        </w:rPr>
      </w:pPr>
      <w:r>
        <w:rPr>
          <w:rFonts w:hint="eastAsia" w:ascii="宋体" w:hAnsi="宋体" w:cs="宋体"/>
          <w:color w:val="000000"/>
          <w:sz w:val="24"/>
        </w:rPr>
        <w:t>1.7.1 发包人和承包人应当在</w:t>
      </w:r>
      <w:r>
        <w:rPr>
          <w:rFonts w:hint="eastAsia" w:ascii="宋体" w:hAnsi="宋体" w:cs="宋体"/>
          <w:color w:val="000000"/>
          <w:sz w:val="24"/>
          <w:u w:val="single"/>
        </w:rPr>
        <w:t xml:space="preserve"> 通用条款规定的时间 </w:t>
      </w:r>
      <w:r>
        <w:rPr>
          <w:rFonts w:hint="eastAsia" w:ascii="宋体" w:hAnsi="宋体" w:cs="宋体"/>
          <w:color w:val="000000"/>
          <w:sz w:val="24"/>
        </w:rPr>
        <w:t>内将与合同有关的通知、批准、证明、证书、指示、指令、要求、请求、同意、意见、确定和决定等书面函件送达对方当事人。</w:t>
      </w:r>
    </w:p>
    <w:p w14:paraId="33A18960">
      <w:pPr>
        <w:spacing w:line="360" w:lineRule="auto"/>
        <w:ind w:firstLine="480" w:firstLineChars="200"/>
        <w:rPr>
          <w:rFonts w:ascii="宋体" w:hAnsi="宋体" w:cs="宋体"/>
          <w:color w:val="000000"/>
          <w:sz w:val="24"/>
        </w:rPr>
      </w:pPr>
      <w:r>
        <w:rPr>
          <w:rFonts w:hint="eastAsia" w:ascii="宋体" w:hAnsi="宋体" w:cs="宋体"/>
          <w:color w:val="000000"/>
          <w:sz w:val="24"/>
        </w:rPr>
        <w:t>1.7.2 发包人接收文件的地点：</w:t>
      </w:r>
      <w:r>
        <w:rPr>
          <w:rFonts w:hint="eastAsia" w:ascii="宋体" w:hAnsi="宋体" w:cs="宋体"/>
          <w:color w:val="000000"/>
          <w:sz w:val="24"/>
          <w:u w:val="single"/>
        </w:rPr>
        <w:t xml:space="preserve"> 发包人驻办公所在地 </w:t>
      </w:r>
      <w:r>
        <w:rPr>
          <w:rFonts w:hint="eastAsia" w:ascii="宋体" w:hAnsi="宋体" w:cs="宋体"/>
          <w:color w:val="000000"/>
          <w:sz w:val="24"/>
        </w:rPr>
        <w:t>；</w:t>
      </w:r>
    </w:p>
    <w:p w14:paraId="5C4741F7">
      <w:pPr>
        <w:spacing w:line="360" w:lineRule="auto"/>
        <w:ind w:firstLine="480" w:firstLineChars="200"/>
        <w:rPr>
          <w:rFonts w:ascii="宋体" w:hAnsi="宋体" w:cs="宋体"/>
          <w:color w:val="000000"/>
          <w:sz w:val="24"/>
        </w:rPr>
      </w:pPr>
      <w:r>
        <w:rPr>
          <w:rFonts w:hint="eastAsia" w:ascii="宋体" w:hAnsi="宋体" w:cs="宋体"/>
          <w:color w:val="000000"/>
          <w:sz w:val="24"/>
        </w:rPr>
        <w:t>发包人指定的接收人为：</w:t>
      </w:r>
      <w:r>
        <w:rPr>
          <w:rFonts w:hint="eastAsia" w:ascii="宋体" w:hAnsi="宋体" w:cs="宋体"/>
          <w:color w:val="000000"/>
          <w:sz w:val="24"/>
          <w:u w:val="single"/>
        </w:rPr>
        <w:t xml:space="preserve">            </w:t>
      </w:r>
      <w:r>
        <w:rPr>
          <w:rFonts w:hint="eastAsia" w:ascii="宋体" w:hAnsi="宋体" w:cs="宋体"/>
          <w:color w:val="000000"/>
          <w:sz w:val="24"/>
        </w:rPr>
        <w:t>。</w:t>
      </w:r>
    </w:p>
    <w:p w14:paraId="3EA0A5AE">
      <w:pPr>
        <w:spacing w:line="360" w:lineRule="auto"/>
        <w:ind w:firstLine="480" w:firstLineChars="200"/>
        <w:rPr>
          <w:rFonts w:ascii="宋体" w:hAnsi="宋体" w:cs="宋体"/>
          <w:color w:val="000000"/>
          <w:sz w:val="24"/>
        </w:rPr>
      </w:pPr>
      <w:r>
        <w:rPr>
          <w:rFonts w:hint="eastAsia" w:ascii="宋体" w:hAnsi="宋体" w:cs="宋体"/>
          <w:color w:val="000000"/>
          <w:sz w:val="24"/>
        </w:rPr>
        <w:t>承包人接收文件的地点：</w:t>
      </w:r>
      <w:r>
        <w:rPr>
          <w:rFonts w:hint="eastAsia" w:ascii="宋体" w:hAnsi="宋体" w:cs="宋体"/>
          <w:color w:val="000000"/>
          <w:sz w:val="24"/>
          <w:u w:val="single"/>
        </w:rPr>
        <w:t xml:space="preserve"> 承包人驻办公所在地   </w:t>
      </w:r>
      <w:r>
        <w:rPr>
          <w:rFonts w:hint="eastAsia" w:ascii="宋体" w:hAnsi="宋体" w:cs="宋体"/>
          <w:color w:val="000000"/>
          <w:sz w:val="24"/>
        </w:rPr>
        <w:t>；</w:t>
      </w:r>
    </w:p>
    <w:p w14:paraId="6B16B65C">
      <w:pPr>
        <w:spacing w:line="360" w:lineRule="auto"/>
        <w:ind w:firstLine="480" w:firstLineChars="200"/>
        <w:rPr>
          <w:rFonts w:ascii="宋体" w:hAnsi="宋体" w:cs="宋体"/>
          <w:color w:val="000000"/>
          <w:sz w:val="24"/>
        </w:rPr>
      </w:pPr>
      <w:r>
        <w:rPr>
          <w:rFonts w:hint="eastAsia" w:ascii="宋体" w:hAnsi="宋体" w:cs="宋体"/>
          <w:color w:val="000000"/>
          <w:sz w:val="24"/>
        </w:rPr>
        <w:t>承包人指定的接收人为：</w:t>
      </w:r>
      <w:r>
        <w:rPr>
          <w:rFonts w:hint="eastAsia" w:ascii="宋体" w:hAnsi="宋体" w:cs="宋体"/>
          <w:color w:val="000000"/>
          <w:sz w:val="24"/>
          <w:u w:val="single"/>
        </w:rPr>
        <w:t>        </w:t>
      </w:r>
      <w:r>
        <w:rPr>
          <w:rFonts w:hint="eastAsia" w:ascii="宋体" w:hAnsi="宋体" w:cs="宋体"/>
          <w:color w:val="000000"/>
          <w:sz w:val="24"/>
        </w:rPr>
        <w:t>。</w:t>
      </w:r>
    </w:p>
    <w:p w14:paraId="7F46B463">
      <w:pPr>
        <w:spacing w:line="360" w:lineRule="auto"/>
        <w:ind w:firstLine="480" w:firstLineChars="200"/>
        <w:rPr>
          <w:rFonts w:ascii="宋体" w:hAnsi="宋体" w:cs="宋体"/>
          <w:color w:val="000000"/>
          <w:sz w:val="24"/>
        </w:rPr>
      </w:pPr>
      <w:r>
        <w:rPr>
          <w:rFonts w:hint="eastAsia" w:ascii="宋体" w:hAnsi="宋体" w:cs="宋体"/>
          <w:color w:val="000000"/>
          <w:sz w:val="24"/>
        </w:rPr>
        <w:t>监理人接收文件的地点：</w:t>
      </w:r>
      <w:r>
        <w:rPr>
          <w:rFonts w:hint="eastAsia" w:ascii="宋体" w:hAnsi="宋体" w:cs="宋体"/>
          <w:color w:val="000000"/>
          <w:sz w:val="24"/>
          <w:u w:val="single"/>
        </w:rPr>
        <w:t xml:space="preserve"> 监理人驻办公所在地     </w:t>
      </w:r>
      <w:r>
        <w:rPr>
          <w:rFonts w:hint="eastAsia" w:ascii="宋体" w:hAnsi="宋体" w:cs="宋体"/>
          <w:color w:val="000000"/>
          <w:sz w:val="24"/>
        </w:rPr>
        <w:t>；</w:t>
      </w:r>
    </w:p>
    <w:p w14:paraId="37D745EB">
      <w:pPr>
        <w:spacing w:line="360" w:lineRule="auto"/>
        <w:ind w:firstLine="480" w:firstLineChars="200"/>
        <w:rPr>
          <w:rFonts w:ascii="宋体" w:hAnsi="宋体" w:cs="宋体"/>
          <w:color w:val="000000"/>
          <w:sz w:val="24"/>
        </w:rPr>
      </w:pPr>
      <w:r>
        <w:rPr>
          <w:rFonts w:hint="eastAsia" w:ascii="宋体" w:hAnsi="宋体" w:cs="宋体"/>
          <w:color w:val="000000"/>
          <w:sz w:val="24"/>
        </w:rPr>
        <w:t>监理人指定的接收人为：</w:t>
      </w:r>
      <w:r>
        <w:rPr>
          <w:rFonts w:hint="eastAsia" w:ascii="宋体" w:hAnsi="宋体" w:cs="宋体"/>
          <w:color w:val="000000"/>
          <w:sz w:val="24"/>
          <w:u w:val="single"/>
        </w:rPr>
        <w:t>        </w:t>
      </w:r>
      <w:r>
        <w:rPr>
          <w:rFonts w:hint="eastAsia" w:ascii="宋体" w:hAnsi="宋体" w:cs="宋体"/>
          <w:color w:val="000000"/>
          <w:sz w:val="24"/>
        </w:rPr>
        <w:t>。</w:t>
      </w:r>
    </w:p>
    <w:p w14:paraId="549149C1">
      <w:pPr>
        <w:spacing w:line="360" w:lineRule="auto"/>
        <w:ind w:firstLine="480" w:firstLineChars="200"/>
        <w:rPr>
          <w:rFonts w:ascii="宋体" w:hAnsi="宋体" w:cs="宋体"/>
          <w:color w:val="000000"/>
          <w:sz w:val="24"/>
        </w:rPr>
      </w:pPr>
      <w:r>
        <w:rPr>
          <w:rFonts w:hint="eastAsia" w:ascii="宋体" w:hAnsi="宋体" w:cs="宋体"/>
          <w:color w:val="000000"/>
          <w:sz w:val="24"/>
        </w:rPr>
        <w:t>1.10 交通运输</w:t>
      </w:r>
    </w:p>
    <w:p w14:paraId="07900F11">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452" w:name="_Toc303539100"/>
      <w:bookmarkStart w:id="453" w:name="_Toc304295521"/>
      <w:bookmarkStart w:id="454" w:name="_Toc318581155"/>
      <w:bookmarkStart w:id="455" w:name="_Toc300934943"/>
      <w:bookmarkStart w:id="456" w:name="_Toc312677986"/>
      <w:r>
        <w:rPr>
          <w:rFonts w:hint="eastAsia" w:ascii="宋体" w:hAnsi="宋体" w:cs="宋体"/>
          <w:color w:val="000000"/>
          <w:sz w:val="24"/>
        </w:rPr>
        <w:t>.10.1 出入现场的权利</w:t>
      </w:r>
    </w:p>
    <w:p w14:paraId="66BEF9A6">
      <w:pPr>
        <w:spacing w:line="360" w:lineRule="auto"/>
        <w:ind w:firstLine="480" w:firstLineChars="200"/>
        <w:rPr>
          <w:rFonts w:ascii="宋体" w:hAnsi="宋体" w:cs="宋体"/>
          <w:color w:val="000000"/>
          <w:sz w:val="24"/>
        </w:rPr>
      </w:pPr>
      <w:r>
        <w:rPr>
          <w:rFonts w:hint="eastAsia" w:ascii="宋体" w:hAnsi="宋体" w:cs="宋体"/>
          <w:color w:val="000000"/>
          <w:sz w:val="24"/>
        </w:rPr>
        <w:t>关于出入现场的权利的约定：</w:t>
      </w:r>
      <w:r>
        <w:rPr>
          <w:rFonts w:hint="eastAsia" w:ascii="宋体" w:hAnsi="宋体" w:cs="宋体"/>
          <w:color w:val="000000"/>
          <w:sz w:val="24"/>
          <w:u w:val="single"/>
        </w:rPr>
        <w:t>   /   </w:t>
      </w:r>
      <w:r>
        <w:rPr>
          <w:rFonts w:hint="eastAsia" w:ascii="宋体" w:hAnsi="宋体" w:cs="宋体"/>
          <w:color w:val="000000"/>
          <w:sz w:val="24"/>
        </w:rPr>
        <w:t>。</w:t>
      </w:r>
    </w:p>
    <w:bookmarkEnd w:id="452"/>
    <w:bookmarkEnd w:id="453"/>
    <w:bookmarkEnd w:id="454"/>
    <w:bookmarkEnd w:id="455"/>
    <w:bookmarkEnd w:id="456"/>
    <w:p w14:paraId="4322408E">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457" w:name="_Toc300934944"/>
      <w:bookmarkStart w:id="458" w:name="_Toc303539101"/>
      <w:bookmarkStart w:id="459" w:name="_Toc318581156"/>
      <w:bookmarkStart w:id="460" w:name="_Toc304295522"/>
      <w:bookmarkStart w:id="461" w:name="_Toc312677987"/>
      <w:r>
        <w:rPr>
          <w:rFonts w:hint="eastAsia" w:ascii="宋体" w:hAnsi="宋体" w:cs="宋体"/>
          <w:color w:val="000000"/>
          <w:sz w:val="24"/>
        </w:rPr>
        <w:t>.10.3 场内交通</w:t>
      </w:r>
    </w:p>
    <w:p w14:paraId="187EC6ED">
      <w:pPr>
        <w:spacing w:line="360" w:lineRule="auto"/>
        <w:ind w:firstLine="480" w:firstLineChars="200"/>
        <w:rPr>
          <w:rFonts w:ascii="宋体" w:hAnsi="宋体" w:cs="宋体"/>
          <w:color w:val="000000"/>
          <w:sz w:val="24"/>
        </w:rPr>
      </w:pPr>
      <w:r>
        <w:rPr>
          <w:rFonts w:hint="eastAsia" w:ascii="宋体" w:hAnsi="宋体" w:cs="宋体"/>
          <w:color w:val="000000"/>
          <w:sz w:val="24"/>
        </w:rPr>
        <w:t>关于场外交通和场内交通的边界的约定：</w:t>
      </w:r>
      <w:r>
        <w:rPr>
          <w:rFonts w:hint="eastAsia" w:ascii="宋体" w:hAnsi="宋体" w:cs="宋体"/>
          <w:color w:val="000000"/>
          <w:sz w:val="24"/>
          <w:u w:val="single"/>
        </w:rPr>
        <w:t xml:space="preserve"> 按本工程规划红线范围及桩号界定</w:t>
      </w:r>
      <w:r>
        <w:rPr>
          <w:rFonts w:hint="eastAsia" w:ascii="宋体" w:hAnsi="宋体" w:cs="宋体"/>
          <w:color w:val="000000"/>
          <w:sz w:val="24"/>
        </w:rPr>
        <w:t>。</w:t>
      </w:r>
    </w:p>
    <w:p w14:paraId="1448382F">
      <w:pPr>
        <w:spacing w:line="360" w:lineRule="auto"/>
        <w:ind w:firstLine="480" w:firstLineChars="200"/>
        <w:rPr>
          <w:rFonts w:ascii="宋体" w:hAnsi="宋体" w:cs="宋体"/>
          <w:color w:val="000000"/>
          <w:sz w:val="24"/>
        </w:rPr>
      </w:pPr>
      <w:r>
        <w:rPr>
          <w:rFonts w:hint="eastAsia" w:ascii="宋体" w:hAnsi="宋体" w:cs="宋体"/>
          <w:color w:val="000000"/>
          <w:sz w:val="24"/>
        </w:rPr>
        <w:t>关于发包人向承包人免费提供满足工程施工需要的场内道路和交通设施的约定：</w:t>
      </w:r>
      <w:r>
        <w:rPr>
          <w:rFonts w:hint="eastAsia" w:ascii="宋体" w:hAnsi="宋体" w:cs="宋体"/>
          <w:color w:val="000000"/>
          <w:sz w:val="24"/>
          <w:u w:val="single"/>
        </w:rPr>
        <w:t>承包人负责修建、维修、养护和管理施工所需的场内临时道路和交通设施，费用由承包人自行负责</w:t>
      </w:r>
      <w:r>
        <w:rPr>
          <w:rFonts w:hint="eastAsia" w:ascii="宋体" w:hAnsi="宋体" w:cs="宋体"/>
          <w:color w:val="000000"/>
          <w:sz w:val="24"/>
        </w:rPr>
        <w:t>。</w:t>
      </w:r>
      <w:bookmarkEnd w:id="457"/>
      <w:bookmarkEnd w:id="458"/>
      <w:bookmarkEnd w:id="459"/>
      <w:bookmarkEnd w:id="460"/>
      <w:bookmarkEnd w:id="461"/>
      <w:bookmarkStart w:id="462" w:name="_Toc318581157"/>
    </w:p>
    <w:p w14:paraId="683A1852">
      <w:pPr>
        <w:spacing w:line="360" w:lineRule="auto"/>
        <w:ind w:firstLine="480" w:firstLineChars="200"/>
        <w:rPr>
          <w:rFonts w:ascii="宋体" w:hAnsi="宋体" w:cs="宋体"/>
          <w:color w:val="000000"/>
          <w:sz w:val="24"/>
        </w:rPr>
      </w:pPr>
      <w:r>
        <w:rPr>
          <w:rFonts w:hint="eastAsia" w:ascii="宋体" w:hAnsi="宋体" w:cs="宋体"/>
          <w:color w:val="000000"/>
          <w:sz w:val="24"/>
        </w:rPr>
        <w:t>1.10.4 超大件和超重件的运输</w:t>
      </w:r>
    </w:p>
    <w:p w14:paraId="11B88B0E">
      <w:pPr>
        <w:spacing w:line="360" w:lineRule="auto"/>
        <w:ind w:firstLine="480" w:firstLineChars="200"/>
        <w:rPr>
          <w:rFonts w:ascii="宋体" w:hAnsi="宋体" w:cs="宋体"/>
          <w:color w:val="000000"/>
          <w:sz w:val="24"/>
        </w:rPr>
      </w:pPr>
      <w:r>
        <w:rPr>
          <w:rFonts w:hint="eastAsia" w:ascii="宋体" w:hAnsi="宋体" w:cs="宋体"/>
          <w:color w:val="000000"/>
          <w:sz w:val="24"/>
        </w:rPr>
        <w:t>运输超大件或超重件所需的道路和桥梁临时加固改造费用和其他有关费用由</w:t>
      </w:r>
      <w:r>
        <w:rPr>
          <w:rFonts w:hint="eastAsia" w:ascii="宋体" w:hAnsi="宋体" w:cs="宋体"/>
          <w:color w:val="000000"/>
          <w:sz w:val="24"/>
          <w:u w:val="single"/>
        </w:rPr>
        <w:t>承包人</w:t>
      </w:r>
      <w:r>
        <w:rPr>
          <w:rFonts w:hint="eastAsia" w:ascii="宋体" w:hAnsi="宋体" w:cs="宋体"/>
          <w:color w:val="000000"/>
          <w:sz w:val="24"/>
        </w:rPr>
        <w:t>承担。</w:t>
      </w:r>
    </w:p>
    <w:bookmarkEnd w:id="462"/>
    <w:p w14:paraId="241DA46D">
      <w:pPr>
        <w:spacing w:line="360" w:lineRule="auto"/>
        <w:ind w:firstLine="480" w:firstLineChars="200"/>
        <w:rPr>
          <w:rFonts w:ascii="宋体" w:hAnsi="宋体" w:cs="宋体"/>
          <w:color w:val="000000"/>
          <w:sz w:val="24"/>
        </w:rPr>
      </w:pPr>
      <w:r>
        <w:rPr>
          <w:rFonts w:hint="eastAsia" w:ascii="宋体" w:hAnsi="宋体" w:cs="宋体"/>
          <w:color w:val="000000"/>
          <w:sz w:val="24"/>
        </w:rPr>
        <w:t>1.11 知识产权</w:t>
      </w:r>
    </w:p>
    <w:p w14:paraId="14C3C38A">
      <w:pPr>
        <w:spacing w:line="360" w:lineRule="auto"/>
        <w:ind w:firstLine="480" w:firstLineChars="200"/>
        <w:rPr>
          <w:rFonts w:ascii="宋体" w:hAnsi="宋体" w:cs="宋体"/>
          <w:color w:val="000000"/>
          <w:sz w:val="24"/>
        </w:rPr>
      </w:pPr>
      <w:r>
        <w:rPr>
          <w:rFonts w:hint="eastAsia" w:ascii="宋体" w:hAnsi="宋体" w:cs="宋体"/>
          <w:color w:val="000000"/>
          <w:sz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5D9C2297">
      <w:pPr>
        <w:spacing w:line="360" w:lineRule="auto"/>
        <w:ind w:firstLine="480" w:firstLineChars="200"/>
        <w:rPr>
          <w:rFonts w:ascii="宋体" w:hAnsi="宋体" w:cs="宋体"/>
          <w:color w:val="000000"/>
          <w:sz w:val="24"/>
        </w:rPr>
      </w:pPr>
      <w:r>
        <w:rPr>
          <w:rFonts w:hint="eastAsia" w:ascii="宋体" w:hAnsi="宋体" w:cs="宋体"/>
          <w:color w:val="000000"/>
          <w:sz w:val="24"/>
        </w:rPr>
        <w:t>关于发包人提供的上述文件的使用限制的要求：</w:t>
      </w:r>
      <w:r>
        <w:rPr>
          <w:rFonts w:hint="eastAsia" w:ascii="宋体" w:hAnsi="宋体" w:cs="宋体"/>
          <w:color w:val="000000"/>
          <w:sz w:val="24"/>
          <w:u w:val="single"/>
        </w:rPr>
        <w:t xml:space="preserve">          /          </w:t>
      </w:r>
      <w:r>
        <w:rPr>
          <w:rFonts w:hint="eastAsia" w:ascii="宋体" w:hAnsi="宋体" w:cs="宋体"/>
          <w:color w:val="000000"/>
          <w:sz w:val="24"/>
        </w:rPr>
        <w:t>。</w:t>
      </w:r>
    </w:p>
    <w:p w14:paraId="5554E1EF">
      <w:pPr>
        <w:spacing w:line="360" w:lineRule="auto"/>
        <w:ind w:firstLine="480" w:firstLineChars="200"/>
        <w:rPr>
          <w:rFonts w:ascii="宋体" w:hAnsi="宋体" w:cs="宋体"/>
          <w:color w:val="000000"/>
          <w:sz w:val="24"/>
        </w:rPr>
      </w:pPr>
      <w:r>
        <w:rPr>
          <w:rFonts w:hint="eastAsia" w:ascii="宋体" w:hAnsi="宋体" w:cs="宋体"/>
          <w:color w:val="000000"/>
          <w:sz w:val="24"/>
        </w:rPr>
        <w:t>1.11.2 关于承包人为实施工程所编制文件的著作权的归属：</w:t>
      </w:r>
      <w:r>
        <w:rPr>
          <w:rFonts w:hint="eastAsia" w:ascii="宋体" w:hAnsi="宋体" w:cs="宋体"/>
          <w:color w:val="000000"/>
          <w:sz w:val="24"/>
          <w:u w:val="single"/>
        </w:rPr>
        <w:t xml:space="preserve">      /        </w:t>
      </w:r>
      <w:r>
        <w:rPr>
          <w:rFonts w:hint="eastAsia" w:ascii="宋体" w:hAnsi="宋体" w:cs="宋体"/>
          <w:color w:val="000000"/>
          <w:sz w:val="24"/>
        </w:rPr>
        <w:t>。</w:t>
      </w:r>
    </w:p>
    <w:p w14:paraId="4F7EDD04">
      <w:pPr>
        <w:spacing w:line="360" w:lineRule="auto"/>
        <w:ind w:firstLine="480" w:firstLineChars="200"/>
        <w:rPr>
          <w:rFonts w:ascii="宋体" w:hAnsi="宋体" w:cs="宋体"/>
          <w:color w:val="000000"/>
          <w:sz w:val="24"/>
        </w:rPr>
      </w:pPr>
      <w:r>
        <w:rPr>
          <w:rFonts w:hint="eastAsia" w:ascii="宋体" w:hAnsi="宋体" w:cs="宋体"/>
          <w:color w:val="000000"/>
          <w:sz w:val="24"/>
        </w:rPr>
        <w:t>关于承包人提供的上述文件的使用限制的要求：</w:t>
      </w:r>
      <w:r>
        <w:rPr>
          <w:rFonts w:hint="eastAsia" w:ascii="宋体" w:hAnsi="宋体" w:cs="宋体"/>
          <w:color w:val="000000"/>
          <w:sz w:val="24"/>
          <w:u w:val="single"/>
        </w:rPr>
        <w:t xml:space="preserve">     /   </w:t>
      </w:r>
      <w:r>
        <w:rPr>
          <w:rFonts w:hint="eastAsia" w:ascii="宋体" w:hAnsi="宋体" w:cs="宋体"/>
          <w:color w:val="000000"/>
          <w:sz w:val="24"/>
        </w:rPr>
        <w:t>。</w:t>
      </w:r>
    </w:p>
    <w:p w14:paraId="655BACFB">
      <w:pPr>
        <w:spacing w:line="360" w:lineRule="auto"/>
        <w:ind w:firstLine="480" w:firstLineChars="200"/>
        <w:rPr>
          <w:rFonts w:ascii="宋体" w:hAnsi="宋体" w:cs="宋体"/>
          <w:color w:val="000000"/>
          <w:sz w:val="24"/>
        </w:rPr>
      </w:pPr>
      <w:r>
        <w:rPr>
          <w:rFonts w:hint="eastAsia" w:ascii="宋体" w:hAnsi="宋体" w:cs="宋体"/>
          <w:color w:val="000000"/>
          <w:sz w:val="24"/>
        </w:rPr>
        <w:t>1.11.4 承包人在施工过程中所采用的专利、专有技术、技术秘密的使用费的承担方式：</w:t>
      </w:r>
      <w:r>
        <w:rPr>
          <w:rFonts w:hint="eastAsia" w:ascii="宋体" w:hAnsi="宋体" w:cs="宋体"/>
          <w:color w:val="000000"/>
          <w:sz w:val="24"/>
          <w:u w:val="single"/>
        </w:rPr>
        <w:t xml:space="preserve">           /                 </w:t>
      </w:r>
      <w:r>
        <w:rPr>
          <w:rFonts w:hint="eastAsia" w:ascii="宋体" w:hAnsi="宋体" w:cs="宋体"/>
          <w:color w:val="000000"/>
          <w:sz w:val="24"/>
        </w:rPr>
        <w:t>。</w:t>
      </w:r>
    </w:p>
    <w:p w14:paraId="17706EEA">
      <w:pPr>
        <w:spacing w:line="360" w:lineRule="auto"/>
        <w:ind w:firstLine="480" w:firstLineChars="200"/>
        <w:rPr>
          <w:rFonts w:ascii="宋体" w:hAnsi="宋体" w:cs="宋体"/>
          <w:color w:val="000000"/>
          <w:sz w:val="24"/>
        </w:rPr>
      </w:pPr>
      <w:bookmarkStart w:id="463" w:name="_Toc351203634"/>
      <w:bookmarkStart w:id="464" w:name="_Toc386638608"/>
      <w:r>
        <w:rPr>
          <w:rFonts w:hint="eastAsia" w:ascii="宋体" w:hAnsi="宋体" w:cs="宋体"/>
          <w:color w:val="000000"/>
          <w:sz w:val="24"/>
        </w:rPr>
        <w:t>1.13 工程量清单错误的修正</w:t>
      </w:r>
    </w:p>
    <w:p w14:paraId="2F55CC86">
      <w:pPr>
        <w:spacing w:line="360" w:lineRule="auto"/>
        <w:ind w:firstLine="480" w:firstLineChars="200"/>
        <w:rPr>
          <w:rFonts w:ascii="宋体" w:hAnsi="宋体" w:cs="宋体"/>
          <w:color w:val="000000"/>
          <w:sz w:val="24"/>
        </w:rPr>
      </w:pPr>
      <w:r>
        <w:rPr>
          <w:rFonts w:hint="eastAsia" w:ascii="宋体" w:hAnsi="宋体" w:cs="宋体"/>
          <w:color w:val="000000"/>
          <w:sz w:val="24"/>
        </w:rPr>
        <w:t>允出现工程量清单错误时，是否调整合同价格：</w:t>
      </w:r>
      <w:r>
        <w:rPr>
          <w:rFonts w:hint="eastAsia" w:ascii="宋体" w:hAnsi="宋体" w:cs="宋体"/>
          <w:color w:val="000000"/>
          <w:sz w:val="24"/>
          <w:u w:val="single"/>
        </w:rPr>
        <w:t xml:space="preserve">   是   </w:t>
      </w:r>
      <w:r>
        <w:rPr>
          <w:rFonts w:hint="eastAsia" w:ascii="宋体" w:hAnsi="宋体" w:cs="宋体"/>
          <w:color w:val="000000"/>
          <w:sz w:val="24"/>
        </w:rPr>
        <w:t>。</w:t>
      </w:r>
    </w:p>
    <w:p w14:paraId="5FB0B7B2">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允许调整合同价格的工程量偏差范围：</w:t>
      </w:r>
      <w:r>
        <w:rPr>
          <w:rFonts w:hint="eastAsia" w:ascii="宋体" w:hAnsi="宋体" w:cs="宋体"/>
          <w:color w:val="000000"/>
          <w:sz w:val="24"/>
          <w:u w:val="single"/>
        </w:rPr>
        <w:t>(1)工程量清单项目缺项、项目多列或重复列项；(2)工程量清单项目数量有误；(3)未按照国家现行计量规范中强制性规定计量的。</w:t>
      </w:r>
    </w:p>
    <w:p w14:paraId="3CE3BA86">
      <w:pPr>
        <w:pStyle w:val="6"/>
        <w:spacing w:before="0" w:after="0" w:line="360" w:lineRule="auto"/>
        <w:rPr>
          <w:rFonts w:ascii="宋体" w:hAnsi="宋体" w:eastAsia="宋体" w:cs="宋体"/>
          <w:b w:val="0"/>
          <w:color w:val="000000"/>
          <w:sz w:val="24"/>
          <w:szCs w:val="24"/>
        </w:rPr>
      </w:pPr>
      <w:r>
        <w:rPr>
          <w:rFonts w:hint="eastAsia" w:ascii="宋体" w:hAnsi="宋体" w:eastAsia="宋体" w:cs="宋体"/>
          <w:b w:val="0"/>
          <w:color w:val="000000"/>
          <w:sz w:val="24"/>
          <w:szCs w:val="24"/>
        </w:rPr>
        <w:t>2</w:t>
      </w:r>
      <w:bookmarkStart w:id="465" w:name="_Toc296890985"/>
      <w:bookmarkStart w:id="466" w:name="_Toc292559362"/>
      <w:bookmarkStart w:id="467" w:name="_Toc296347156"/>
      <w:bookmarkStart w:id="468" w:name="_Toc296891197"/>
      <w:bookmarkStart w:id="469" w:name="_Toc296944496"/>
      <w:bookmarkStart w:id="470" w:name="_Toc297048343"/>
      <w:bookmarkStart w:id="471" w:name="_Toc297120457"/>
      <w:bookmarkStart w:id="472" w:name="_Toc292559867"/>
      <w:bookmarkStart w:id="473" w:name="_Toc296503157"/>
      <w:bookmarkStart w:id="474" w:name="_Toc296346658"/>
      <w:r>
        <w:rPr>
          <w:rFonts w:hint="eastAsia" w:ascii="宋体" w:hAnsi="宋体" w:eastAsia="宋体" w:cs="宋体"/>
          <w:b w:val="0"/>
          <w:color w:val="000000"/>
          <w:sz w:val="24"/>
          <w:szCs w:val="24"/>
        </w:rPr>
        <w:t>. 发包人</w:t>
      </w:r>
      <w:bookmarkEnd w:id="463"/>
      <w:bookmarkEnd w:id="464"/>
    </w:p>
    <w:bookmarkEnd w:id="465"/>
    <w:bookmarkEnd w:id="466"/>
    <w:bookmarkEnd w:id="467"/>
    <w:bookmarkEnd w:id="468"/>
    <w:bookmarkEnd w:id="469"/>
    <w:bookmarkEnd w:id="470"/>
    <w:bookmarkEnd w:id="471"/>
    <w:bookmarkEnd w:id="472"/>
    <w:bookmarkEnd w:id="473"/>
    <w:bookmarkEnd w:id="474"/>
    <w:p w14:paraId="07FE59D9">
      <w:pPr>
        <w:spacing w:line="360" w:lineRule="auto"/>
        <w:ind w:firstLine="480" w:firstLineChars="200"/>
        <w:rPr>
          <w:rFonts w:ascii="宋体" w:hAnsi="宋体" w:cs="宋体"/>
          <w:color w:val="000000"/>
          <w:sz w:val="24"/>
        </w:rPr>
      </w:pPr>
      <w:r>
        <w:rPr>
          <w:rFonts w:hint="eastAsia" w:ascii="宋体" w:hAnsi="宋体" w:cs="宋体"/>
          <w:color w:val="000000"/>
          <w:sz w:val="24"/>
        </w:rPr>
        <w:t>2.2 发包人代表</w:t>
      </w:r>
    </w:p>
    <w:p w14:paraId="432E3318">
      <w:pPr>
        <w:spacing w:line="360" w:lineRule="auto"/>
        <w:ind w:firstLine="480" w:firstLineChars="200"/>
        <w:rPr>
          <w:rFonts w:ascii="宋体" w:hAnsi="宋体" w:cs="宋体"/>
          <w:color w:val="000000"/>
          <w:sz w:val="24"/>
        </w:rPr>
      </w:pPr>
      <w:r>
        <w:rPr>
          <w:rFonts w:hint="eastAsia" w:ascii="宋体" w:hAnsi="宋体" w:cs="宋体"/>
          <w:color w:val="000000"/>
          <w:sz w:val="24"/>
        </w:rPr>
        <w:t>发包人派驻施工现场代表：</w:t>
      </w:r>
    </w:p>
    <w:p w14:paraId="35D25242">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00B2E01D">
      <w:pPr>
        <w:spacing w:line="360" w:lineRule="auto"/>
        <w:ind w:firstLine="480" w:firstLineChars="200"/>
        <w:rPr>
          <w:rFonts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192058E7">
      <w:pPr>
        <w:spacing w:line="360" w:lineRule="auto"/>
        <w:ind w:firstLine="480" w:firstLineChars="200"/>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5DA2BAB1">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 </w:t>
      </w:r>
      <w:r>
        <w:rPr>
          <w:rFonts w:hint="eastAsia" w:ascii="宋体" w:hAnsi="宋体" w:cs="宋体"/>
          <w:color w:val="000000"/>
          <w:sz w:val="24"/>
        </w:rPr>
        <w:t>；</w:t>
      </w:r>
    </w:p>
    <w:p w14:paraId="372BDDDA">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  </w:t>
      </w:r>
      <w:r>
        <w:rPr>
          <w:rFonts w:hint="eastAsia" w:ascii="宋体" w:hAnsi="宋体" w:cs="宋体"/>
          <w:color w:val="000000"/>
          <w:sz w:val="24"/>
        </w:rPr>
        <w:t>；</w:t>
      </w:r>
    </w:p>
    <w:p w14:paraId="5F2DD5FB">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5FAEADAC">
      <w:pPr>
        <w:spacing w:line="360" w:lineRule="auto"/>
        <w:ind w:firstLine="480" w:firstLineChars="200"/>
        <w:rPr>
          <w:rFonts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r>
        <w:rPr>
          <w:rFonts w:hint="eastAsia" w:ascii="宋体" w:hAnsi="宋体" w:cs="宋体"/>
          <w:color w:val="000000"/>
          <w:sz w:val="24"/>
        </w:rPr>
        <w:t>。</w:t>
      </w:r>
    </w:p>
    <w:p w14:paraId="6008960F">
      <w:pPr>
        <w:spacing w:line="360" w:lineRule="auto"/>
        <w:ind w:firstLine="480" w:firstLineChars="200"/>
        <w:rPr>
          <w:rFonts w:ascii="宋体" w:hAnsi="宋体" w:cs="宋体"/>
          <w:color w:val="000000"/>
          <w:sz w:val="24"/>
        </w:rPr>
      </w:pPr>
      <w:r>
        <w:rPr>
          <w:rFonts w:hint="eastAsia" w:ascii="宋体" w:hAnsi="宋体" w:cs="宋体"/>
          <w:color w:val="000000"/>
          <w:sz w:val="24"/>
        </w:rPr>
        <w:t>2.4 施工现场、施工条件和基础资料的提供</w:t>
      </w:r>
    </w:p>
    <w:p w14:paraId="2708C0F4">
      <w:pPr>
        <w:spacing w:line="360" w:lineRule="auto"/>
        <w:ind w:firstLine="480" w:firstLineChars="200"/>
        <w:rPr>
          <w:rFonts w:ascii="宋体" w:hAnsi="宋体" w:cs="宋体"/>
          <w:color w:val="000000"/>
          <w:sz w:val="24"/>
        </w:rPr>
      </w:pPr>
      <w:r>
        <w:rPr>
          <w:rFonts w:hint="eastAsia" w:ascii="宋体" w:hAnsi="宋体" w:cs="宋体"/>
          <w:color w:val="000000"/>
          <w:sz w:val="24"/>
        </w:rPr>
        <w:t>2.4.1 提供施工现场</w:t>
      </w:r>
    </w:p>
    <w:p w14:paraId="5D185C02">
      <w:pPr>
        <w:spacing w:line="360" w:lineRule="auto"/>
        <w:ind w:firstLine="480" w:firstLineChars="200"/>
        <w:rPr>
          <w:rFonts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525E4A3E">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2.4.2 提供施工条件关于发包人应负责提供施工所需要的条件，包括：</w:t>
      </w:r>
      <w:r>
        <w:rPr>
          <w:rFonts w:hint="eastAsia" w:ascii="宋体" w:hAnsi="宋体" w:cs="宋体"/>
          <w:color w:val="000000"/>
          <w:sz w:val="24"/>
          <w:u w:val="single"/>
        </w:rPr>
        <w:t>施工所需水、电接至施工现场；施工场地与公共道路的通道开通；工程地质和地下管线资料；发包人办理的施工所需证件等。</w:t>
      </w:r>
    </w:p>
    <w:p w14:paraId="5D1D8C3B">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2.5 资金来源证明及支付担保：</w:t>
      </w:r>
    </w:p>
    <w:p w14:paraId="243DE7F6">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14:paraId="7CC2EF9D">
      <w:pPr>
        <w:spacing w:line="360" w:lineRule="auto"/>
        <w:ind w:firstLine="480" w:firstLineChars="200"/>
        <w:rPr>
          <w:rFonts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不需提供 </w:t>
      </w:r>
      <w:r>
        <w:rPr>
          <w:rFonts w:hint="eastAsia" w:ascii="宋体" w:hAnsi="宋体" w:cs="宋体"/>
          <w:color w:val="000000"/>
          <w:sz w:val="24"/>
        </w:rPr>
        <w:t>。</w:t>
      </w:r>
    </w:p>
    <w:p w14:paraId="10FF2F0A">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14:paraId="5C11973F">
      <w:pPr>
        <w:pStyle w:val="6"/>
        <w:spacing w:before="0" w:after="0" w:line="360" w:lineRule="auto"/>
        <w:rPr>
          <w:rFonts w:ascii="宋体" w:hAnsi="宋体" w:eastAsia="宋体" w:cs="宋体"/>
          <w:b w:val="0"/>
          <w:color w:val="000000"/>
          <w:sz w:val="24"/>
          <w:szCs w:val="24"/>
        </w:rPr>
      </w:pPr>
      <w:bookmarkStart w:id="475" w:name="_Toc351203635"/>
      <w:bookmarkStart w:id="476" w:name="_Toc386638609"/>
      <w:r>
        <w:rPr>
          <w:rFonts w:hint="eastAsia" w:ascii="宋体" w:hAnsi="宋体" w:eastAsia="宋体" w:cs="宋体"/>
          <w:b w:val="0"/>
          <w:color w:val="000000"/>
          <w:sz w:val="24"/>
          <w:szCs w:val="24"/>
        </w:rPr>
        <w:t>3</w:t>
      </w:r>
      <w:bookmarkStart w:id="477" w:name="_Toc296503158"/>
      <w:bookmarkStart w:id="478" w:name="_Toc292559363"/>
      <w:bookmarkStart w:id="479" w:name="_Toc296944497"/>
      <w:bookmarkStart w:id="480" w:name="_Toc296890986"/>
      <w:bookmarkStart w:id="481" w:name="_Toc297120458"/>
      <w:bookmarkStart w:id="482" w:name="_Toc297048344"/>
      <w:bookmarkStart w:id="483" w:name="_Toc292559868"/>
      <w:bookmarkStart w:id="484" w:name="_Toc296347157"/>
      <w:bookmarkStart w:id="485" w:name="_Toc296891198"/>
      <w:bookmarkStart w:id="486" w:name="_Toc296346659"/>
      <w:r>
        <w:rPr>
          <w:rFonts w:hint="eastAsia" w:ascii="宋体" w:hAnsi="宋体" w:eastAsia="宋体" w:cs="宋体"/>
          <w:b w:val="0"/>
          <w:color w:val="000000"/>
          <w:sz w:val="24"/>
          <w:szCs w:val="24"/>
        </w:rPr>
        <w:t>. 承包人</w:t>
      </w:r>
      <w:bookmarkEnd w:id="475"/>
      <w:bookmarkEnd w:id="476"/>
    </w:p>
    <w:bookmarkEnd w:id="477"/>
    <w:bookmarkEnd w:id="478"/>
    <w:bookmarkEnd w:id="479"/>
    <w:bookmarkEnd w:id="480"/>
    <w:bookmarkEnd w:id="481"/>
    <w:bookmarkEnd w:id="482"/>
    <w:bookmarkEnd w:id="483"/>
    <w:bookmarkEnd w:id="484"/>
    <w:bookmarkEnd w:id="485"/>
    <w:bookmarkEnd w:id="486"/>
    <w:p w14:paraId="34944E70">
      <w:pPr>
        <w:spacing w:line="360" w:lineRule="auto"/>
        <w:ind w:firstLine="480" w:firstLineChars="200"/>
        <w:rPr>
          <w:rFonts w:ascii="宋体" w:hAnsi="宋体" w:cs="宋体"/>
          <w:color w:val="000000"/>
          <w:sz w:val="24"/>
        </w:rPr>
      </w:pPr>
      <w:r>
        <w:rPr>
          <w:rFonts w:hint="eastAsia" w:ascii="宋体" w:hAnsi="宋体" w:cs="宋体"/>
          <w:color w:val="000000"/>
          <w:sz w:val="24"/>
        </w:rPr>
        <w:t>3.1 承包人的一般义务</w:t>
      </w:r>
    </w:p>
    <w:p w14:paraId="2CD922B9">
      <w:pPr>
        <w:spacing w:line="360" w:lineRule="auto"/>
        <w:ind w:firstLine="480" w:firstLineChars="200"/>
        <w:rPr>
          <w:rFonts w:ascii="宋体" w:hAnsi="宋体" w:cs="宋体"/>
          <w:color w:val="000000"/>
          <w:sz w:val="24"/>
        </w:rPr>
      </w:pPr>
      <w:r>
        <w:rPr>
          <w:rFonts w:hint="eastAsia" w:ascii="宋体" w:hAnsi="宋体" w:cs="宋体"/>
          <w:color w:val="000000"/>
          <w:sz w:val="24"/>
        </w:rPr>
        <w:t>（5）承包人提交的竣工资料的内容：</w:t>
      </w:r>
      <w:r>
        <w:rPr>
          <w:rFonts w:hint="eastAsia" w:ascii="宋体" w:hAnsi="宋体" w:cs="宋体"/>
          <w:color w:val="000000"/>
          <w:sz w:val="24"/>
          <w:u w:val="single"/>
        </w:rPr>
        <w:t xml:space="preserve"> 按宁海县城建档案归档要求提交竣工资料 </w:t>
      </w:r>
      <w:r>
        <w:rPr>
          <w:rFonts w:hint="eastAsia" w:ascii="宋体" w:hAnsi="宋体" w:cs="宋体"/>
          <w:color w:val="000000"/>
          <w:sz w:val="24"/>
        </w:rPr>
        <w:t>。</w:t>
      </w:r>
    </w:p>
    <w:p w14:paraId="48FEE19B">
      <w:pPr>
        <w:spacing w:line="360" w:lineRule="auto"/>
        <w:ind w:firstLine="480" w:firstLineChars="200"/>
        <w:rPr>
          <w:rFonts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肆套 </w:t>
      </w:r>
      <w:r>
        <w:rPr>
          <w:rFonts w:hint="eastAsia" w:ascii="宋体" w:hAnsi="宋体" w:cs="宋体"/>
          <w:color w:val="000000"/>
          <w:sz w:val="24"/>
        </w:rPr>
        <w:t>。</w:t>
      </w:r>
    </w:p>
    <w:p w14:paraId="4DAB5F73">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14:paraId="12E6802A">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在具备竣工验收合格条件后2个月内 </w:t>
      </w:r>
      <w:r>
        <w:rPr>
          <w:rFonts w:hint="eastAsia" w:ascii="宋体" w:hAnsi="宋体" w:cs="宋体"/>
          <w:color w:val="000000"/>
          <w:sz w:val="24"/>
        </w:rPr>
        <w:t>。</w:t>
      </w:r>
    </w:p>
    <w:p w14:paraId="66824795">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纸质和电子资料 </w:t>
      </w:r>
      <w:r>
        <w:rPr>
          <w:rFonts w:hint="eastAsia" w:ascii="宋体" w:hAnsi="宋体" w:cs="宋体"/>
          <w:color w:val="000000"/>
          <w:sz w:val="24"/>
        </w:rPr>
        <w:t>。</w:t>
      </w:r>
    </w:p>
    <w:p w14:paraId="3D206106">
      <w:pPr>
        <w:spacing w:line="360" w:lineRule="auto"/>
        <w:ind w:firstLine="480" w:firstLineChars="200"/>
        <w:rPr>
          <w:rFonts w:ascii="宋体" w:hAnsi="宋体" w:cs="宋体"/>
          <w:color w:val="000000"/>
          <w:sz w:val="24"/>
        </w:rPr>
      </w:pPr>
      <w:r>
        <w:rPr>
          <w:rFonts w:hint="eastAsia" w:ascii="宋体" w:hAnsi="宋体" w:cs="宋体"/>
          <w:color w:val="000000"/>
          <w:sz w:val="24"/>
        </w:rPr>
        <w:t>（6）承包人应履行的其他义务：</w:t>
      </w:r>
    </w:p>
    <w:p w14:paraId="678D65BB">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承包人不得擅自更换和撤离项目负责人及项目部关键岗位人员，发生下列情形之一需更换或撤离的，应至少提前7天以书面形式通知发包人，并征得发包人同意。后任继续行使合同文件约定的前任的职权，履行前任的义务。</w:t>
      </w:r>
    </w:p>
    <w:p w14:paraId="2A50AC3E">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(1)因患病等身体原因无法坚持施工现场管理工作的；</w:t>
      </w:r>
    </w:p>
    <w:p w14:paraId="10DF5D35">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(2)退休或离开本单位的；</w:t>
      </w:r>
    </w:p>
    <w:p w14:paraId="71B34BB8">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(3)工程因故停止(或暂停3个月以上)建设或领取中标通知书后未开工达3个月以上的；</w:t>
      </w:r>
    </w:p>
    <w:p w14:paraId="6A51CD73">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(4)被建设主管部门责令停止(暂停)上岗资格、建议吊销或吊销相关证书，或被有关部门依法追究刑事责任的。</w:t>
      </w:r>
    </w:p>
    <w:p w14:paraId="160E3E87">
      <w:pPr>
        <w:spacing w:line="360" w:lineRule="auto"/>
        <w:ind w:firstLine="480" w:firstLineChars="200"/>
        <w:rPr>
          <w:rFonts w:ascii="宋体" w:hAnsi="宋体" w:cs="宋体"/>
          <w:color w:val="000000"/>
          <w:sz w:val="24"/>
        </w:rPr>
      </w:pPr>
      <w:r>
        <w:rPr>
          <w:rFonts w:hint="eastAsia" w:ascii="宋体" w:hAnsi="宋体" w:cs="宋体"/>
          <w:color w:val="000000"/>
          <w:sz w:val="24"/>
        </w:rPr>
        <w:t>3.2 项目负责人</w:t>
      </w:r>
    </w:p>
    <w:p w14:paraId="167E9D3F">
      <w:pPr>
        <w:spacing w:line="360" w:lineRule="auto"/>
        <w:ind w:firstLine="480" w:firstLineChars="200"/>
        <w:rPr>
          <w:rFonts w:ascii="宋体" w:hAnsi="宋体" w:cs="宋体"/>
          <w:color w:val="000000"/>
          <w:sz w:val="24"/>
        </w:rPr>
      </w:pPr>
      <w:r>
        <w:rPr>
          <w:rFonts w:hint="eastAsia" w:ascii="宋体" w:hAnsi="宋体" w:cs="宋体"/>
          <w:color w:val="000000"/>
          <w:sz w:val="24"/>
        </w:rPr>
        <w:t>3.2.1 项目负责人：</w:t>
      </w:r>
    </w:p>
    <w:p w14:paraId="31C0C49B">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 </w:t>
      </w:r>
      <w:r>
        <w:rPr>
          <w:rFonts w:hint="eastAsia" w:ascii="宋体" w:hAnsi="宋体" w:cs="宋体"/>
          <w:color w:val="000000"/>
          <w:sz w:val="24"/>
        </w:rPr>
        <w:t>；</w:t>
      </w:r>
    </w:p>
    <w:p w14:paraId="3A00C50E">
      <w:pPr>
        <w:spacing w:line="360" w:lineRule="auto"/>
        <w:ind w:firstLine="480" w:firstLineChars="200"/>
        <w:rPr>
          <w:rFonts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       </w:t>
      </w:r>
      <w:r>
        <w:rPr>
          <w:rFonts w:hint="eastAsia" w:ascii="宋体" w:hAnsi="宋体" w:cs="宋体"/>
          <w:color w:val="000000"/>
          <w:sz w:val="24"/>
        </w:rPr>
        <w:t>；</w:t>
      </w:r>
    </w:p>
    <w:p w14:paraId="0553A0DC">
      <w:pPr>
        <w:spacing w:line="360" w:lineRule="auto"/>
        <w:ind w:firstLine="480" w:firstLineChars="200"/>
        <w:rPr>
          <w:rFonts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 </w:t>
      </w:r>
      <w:r>
        <w:rPr>
          <w:rFonts w:hint="eastAsia" w:ascii="宋体" w:hAnsi="宋体" w:cs="宋体"/>
          <w:color w:val="000000"/>
          <w:sz w:val="24"/>
        </w:rPr>
        <w:t>；</w:t>
      </w:r>
    </w:p>
    <w:p w14:paraId="699D84B7">
      <w:pPr>
        <w:spacing w:line="360" w:lineRule="auto"/>
        <w:ind w:firstLine="480" w:firstLineChars="200"/>
        <w:rPr>
          <w:rFonts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w:t>
      </w:r>
      <w:r>
        <w:rPr>
          <w:rFonts w:hint="eastAsia" w:ascii="宋体" w:hAnsi="宋体" w:cs="宋体"/>
          <w:color w:val="000000"/>
          <w:sz w:val="24"/>
        </w:rPr>
        <w:t>；</w:t>
      </w:r>
    </w:p>
    <w:p w14:paraId="30C6A2D3">
      <w:pPr>
        <w:spacing w:line="360" w:lineRule="auto"/>
        <w:ind w:firstLine="480" w:firstLineChars="200"/>
        <w:rPr>
          <w:rFonts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w:t>
      </w:r>
      <w:r>
        <w:rPr>
          <w:rFonts w:hint="eastAsia" w:ascii="宋体" w:hAnsi="宋体" w:cs="宋体"/>
          <w:color w:val="000000"/>
          <w:sz w:val="24"/>
        </w:rPr>
        <w:t>；</w:t>
      </w:r>
    </w:p>
    <w:p w14:paraId="265F7DC2">
      <w:pPr>
        <w:spacing w:line="360" w:lineRule="auto"/>
        <w:ind w:firstLine="480" w:firstLineChars="200"/>
        <w:rPr>
          <w:rFonts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w:t>
      </w:r>
      <w:r>
        <w:rPr>
          <w:rFonts w:hint="eastAsia" w:ascii="宋体" w:hAnsi="宋体" w:cs="宋体"/>
          <w:color w:val="000000"/>
          <w:sz w:val="24"/>
        </w:rPr>
        <w:t>；</w:t>
      </w:r>
    </w:p>
    <w:p w14:paraId="0CC1E05A">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 </w:t>
      </w:r>
      <w:r>
        <w:rPr>
          <w:rFonts w:hint="eastAsia" w:ascii="宋体" w:hAnsi="宋体" w:cs="宋体"/>
          <w:color w:val="000000"/>
          <w:sz w:val="24"/>
        </w:rPr>
        <w:t>；</w:t>
      </w:r>
    </w:p>
    <w:p w14:paraId="14070729">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49656405">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4EA14646">
      <w:pPr>
        <w:spacing w:line="360" w:lineRule="auto"/>
        <w:ind w:firstLine="480" w:firstLineChars="200"/>
        <w:rPr>
          <w:rFonts w:ascii="宋体" w:hAnsi="宋体" w:cs="宋体"/>
          <w:color w:val="000000"/>
          <w:sz w:val="24"/>
        </w:rPr>
      </w:pPr>
      <w:r>
        <w:rPr>
          <w:rFonts w:hint="eastAsia" w:ascii="宋体" w:hAnsi="宋体" w:cs="宋体"/>
          <w:color w:val="000000"/>
          <w:sz w:val="24"/>
        </w:rPr>
        <w:t>承包人对项目负责人的授权范围如下：</w:t>
      </w:r>
      <w:r>
        <w:rPr>
          <w:rFonts w:hint="eastAsia" w:ascii="宋体" w:hAnsi="宋体" w:cs="宋体"/>
          <w:color w:val="000000"/>
          <w:sz w:val="24"/>
          <w:u w:val="single"/>
        </w:rPr>
        <w:t>在承包人授权范围内履行承包人的职权，对工程建设的质量、安全、工期以及工程造价控制负责，所有上报给发包人的文件均需项目负责人签字</w:t>
      </w:r>
      <w:r>
        <w:rPr>
          <w:rFonts w:hint="eastAsia" w:ascii="宋体" w:hAnsi="宋体" w:cs="宋体"/>
          <w:color w:val="000000"/>
          <w:sz w:val="24"/>
        </w:rPr>
        <w:t>。</w:t>
      </w:r>
    </w:p>
    <w:p w14:paraId="2DC6CA67">
      <w:pPr>
        <w:spacing w:line="360" w:lineRule="auto"/>
        <w:ind w:firstLine="480" w:firstLineChars="200"/>
        <w:rPr>
          <w:rFonts w:ascii="宋体" w:hAnsi="宋体" w:cs="宋体"/>
          <w:color w:val="000000"/>
          <w:sz w:val="24"/>
        </w:rPr>
      </w:pPr>
      <w:r>
        <w:rPr>
          <w:rFonts w:hint="eastAsia" w:ascii="宋体" w:hAnsi="宋体" w:cs="宋体"/>
          <w:color w:val="000000"/>
          <w:sz w:val="24"/>
        </w:rPr>
        <w:t>关于项目经理每月在施工现场的时间要求：</w:t>
      </w:r>
      <w:r>
        <w:rPr>
          <w:rFonts w:hint="eastAsia" w:ascii="宋体" w:hAnsi="宋体" w:cs="宋体"/>
          <w:color w:val="000000"/>
          <w:sz w:val="24"/>
          <w:u w:val="single"/>
        </w:rPr>
        <w:t>月到位率不少于每月20日历天，</w:t>
      </w:r>
      <w:r>
        <w:rPr>
          <w:rFonts w:hint="eastAsia" w:ascii="宋体" w:hAnsi="宋体" w:cs="宋体"/>
          <w:b/>
          <w:color w:val="000000"/>
          <w:sz w:val="24"/>
          <w:u w:val="single"/>
        </w:rPr>
        <w:t>（除特殊情况外）</w:t>
      </w:r>
      <w:r>
        <w:rPr>
          <w:rFonts w:hint="eastAsia" w:ascii="宋体" w:hAnsi="宋体" w:cs="宋体"/>
          <w:color w:val="000000"/>
          <w:sz w:val="24"/>
          <w:u w:val="single"/>
        </w:rPr>
        <w:t>且重要工程例会及验收环节等必须由项目经理参加，否则处违约金1000元/人/天</w:t>
      </w:r>
      <w:r>
        <w:rPr>
          <w:rFonts w:hint="eastAsia" w:ascii="宋体" w:hAnsi="宋体" w:cs="宋体"/>
          <w:color w:val="000000"/>
          <w:sz w:val="24"/>
        </w:rPr>
        <w:t>。</w:t>
      </w:r>
    </w:p>
    <w:p w14:paraId="4097B5B1">
      <w:pPr>
        <w:spacing w:line="360" w:lineRule="auto"/>
        <w:ind w:firstLine="480" w:firstLineChars="200"/>
        <w:rPr>
          <w:rFonts w:ascii="宋体" w:hAnsi="宋体" w:cs="宋体"/>
          <w:color w:val="000000"/>
          <w:sz w:val="24"/>
        </w:rPr>
      </w:pPr>
      <w:r>
        <w:rPr>
          <w:rFonts w:hint="eastAsia" w:ascii="宋体" w:hAnsi="宋体" w:cs="宋体"/>
          <w:color w:val="000000"/>
          <w:sz w:val="24"/>
        </w:rPr>
        <w:t>承包人未提交劳动合同，以及没有为项目经理缴纳社会保险证明的违约责任：</w:t>
      </w:r>
      <w:r>
        <w:rPr>
          <w:rFonts w:hint="eastAsia" w:ascii="宋体" w:hAnsi="宋体" w:cs="宋体"/>
          <w:color w:val="000000"/>
          <w:sz w:val="24"/>
          <w:u w:val="single"/>
        </w:rPr>
        <w:t>发包人有权解除合同，由此造成的费用增加和工期延误损失均由承包人承担</w:t>
      </w:r>
      <w:r>
        <w:rPr>
          <w:rFonts w:hint="eastAsia" w:ascii="宋体" w:hAnsi="宋体" w:cs="宋体"/>
          <w:color w:val="000000"/>
          <w:sz w:val="24"/>
        </w:rPr>
        <w:t>。</w:t>
      </w:r>
    </w:p>
    <w:p w14:paraId="2D307D28">
      <w:pPr>
        <w:spacing w:line="360" w:lineRule="auto"/>
        <w:ind w:firstLine="480" w:firstLineChars="200"/>
        <w:rPr>
          <w:rFonts w:ascii="宋体" w:hAnsi="宋体" w:cs="宋体"/>
          <w:sz w:val="24"/>
          <w:u w:val="single"/>
        </w:rPr>
      </w:pPr>
      <w:r>
        <w:rPr>
          <w:rFonts w:hint="eastAsia" w:ascii="宋体" w:hAnsi="宋体" w:cs="宋体"/>
          <w:color w:val="000000"/>
          <w:sz w:val="24"/>
        </w:rPr>
        <w:t>3.2.3 承包人擅自更换项目经理的违约责任：</w:t>
      </w:r>
      <w:r>
        <w:rPr>
          <w:rFonts w:hint="eastAsia" w:ascii="宋体" w:hAnsi="宋体" w:cs="宋体"/>
          <w:color w:val="000000"/>
          <w:sz w:val="24"/>
          <w:u w:val="single"/>
        </w:rPr>
        <w:t>处违约金10000元/次，违约金从监理和发包人发现违约情况的当月工程款中扣除。</w:t>
      </w:r>
    </w:p>
    <w:p w14:paraId="792D02CB">
      <w:pPr>
        <w:spacing w:line="360" w:lineRule="auto"/>
        <w:ind w:firstLine="480" w:firstLineChars="200"/>
        <w:rPr>
          <w:rFonts w:ascii="宋体" w:hAnsi="宋体" w:cs="宋体"/>
          <w:color w:val="000000"/>
          <w:sz w:val="24"/>
        </w:rPr>
      </w:pPr>
      <w:r>
        <w:rPr>
          <w:rFonts w:hint="eastAsia" w:ascii="宋体" w:hAnsi="宋体" w:cs="宋体"/>
          <w:color w:val="000000"/>
          <w:sz w:val="24"/>
        </w:rPr>
        <w:t>3.2.4 承包人无正当理由拒绝更换项目经理的违约责任：</w:t>
      </w:r>
      <w:r>
        <w:rPr>
          <w:rFonts w:hint="eastAsia" w:ascii="宋体" w:hAnsi="宋体" w:cs="宋体"/>
          <w:color w:val="000000"/>
          <w:sz w:val="24"/>
          <w:u w:val="single"/>
        </w:rPr>
        <w:t>发包人认为项目经理无法履行职责的，应提供相关证明材料，并签发《整改通知书》，承包人在收到《整改通知书》后仍无改善的，发包人有权要求承包人更换项目经理。情节严重的，发包人有权解除合同，由此造成的一切损失由承包人承担。</w:t>
      </w:r>
    </w:p>
    <w:p w14:paraId="2E034385">
      <w:pPr>
        <w:spacing w:line="360" w:lineRule="auto"/>
        <w:ind w:firstLine="480" w:firstLineChars="200"/>
        <w:rPr>
          <w:rFonts w:ascii="宋体" w:hAnsi="宋体" w:cs="宋体"/>
          <w:color w:val="000000"/>
          <w:sz w:val="24"/>
        </w:rPr>
      </w:pPr>
      <w:r>
        <w:rPr>
          <w:rFonts w:hint="eastAsia" w:ascii="宋体" w:hAnsi="宋体" w:cs="宋体"/>
          <w:color w:val="000000"/>
          <w:sz w:val="24"/>
        </w:rPr>
        <w:t>3.3 承包人人员</w:t>
      </w:r>
    </w:p>
    <w:p w14:paraId="14B7BD96">
      <w:pPr>
        <w:spacing w:line="360" w:lineRule="auto"/>
        <w:ind w:firstLine="480" w:firstLineChars="200"/>
        <w:rPr>
          <w:rFonts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承包人应在合同备案前将项目管理机构及施工现场管理人员报招标代理机构审查，并报发包人备案。</w:t>
      </w:r>
    </w:p>
    <w:p w14:paraId="567BBC1A">
      <w:pPr>
        <w:spacing w:line="360" w:lineRule="auto"/>
        <w:ind w:firstLine="480" w:firstLineChars="200"/>
        <w:rPr>
          <w:rFonts w:ascii="宋体" w:hAnsi="宋体" w:cs="宋体"/>
          <w:color w:val="000000"/>
          <w:sz w:val="24"/>
        </w:rPr>
      </w:pPr>
      <w:r>
        <w:rPr>
          <w:rFonts w:hint="eastAsia" w:ascii="宋体" w:hAnsi="宋体" w:cs="宋体"/>
          <w:color w:val="000000"/>
          <w:sz w:val="24"/>
        </w:rPr>
        <w:t>3.3.3 承包人无正当理由拒绝撤换项目部关键岗位人员的违约责任：</w:t>
      </w:r>
      <w:r>
        <w:rPr>
          <w:rFonts w:hint="eastAsia" w:ascii="宋体" w:hAnsi="宋体" w:cs="宋体"/>
          <w:color w:val="000000"/>
          <w:sz w:val="24"/>
          <w:u w:val="single"/>
        </w:rPr>
        <w:t>发包人认为项目部关键岗位人员（指技术负责人、安全员、施工员、质量员、材料员）无法履行职责的，应提供相关证明材料，并签发《整改通知书》</w:t>
      </w:r>
      <w:r>
        <w:rPr>
          <w:rFonts w:hint="eastAsia" w:ascii="宋体" w:hAnsi="宋体" w:cs="宋体"/>
          <w:color w:val="000000"/>
          <w:sz w:val="24"/>
        </w:rPr>
        <w:t>。</w:t>
      </w:r>
    </w:p>
    <w:p w14:paraId="1EE04D94">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3.3.4 承包人项目部关键岗位人员离开施工现场的批准要求：</w:t>
      </w:r>
      <w:r>
        <w:rPr>
          <w:rFonts w:hint="eastAsia" w:ascii="宋体" w:hAnsi="宋体" w:cs="宋体"/>
          <w:color w:val="000000"/>
          <w:sz w:val="24"/>
          <w:u w:val="single"/>
        </w:rPr>
        <w:t>书面形式，并由发包人及总监工程师签字确认。</w:t>
      </w:r>
    </w:p>
    <w:p w14:paraId="753F4EC6">
      <w:pPr>
        <w:spacing w:line="360" w:lineRule="auto"/>
        <w:ind w:firstLine="480" w:firstLineChars="200"/>
        <w:rPr>
          <w:rFonts w:ascii="宋体" w:hAnsi="宋体" w:cs="宋体"/>
          <w:color w:val="000000"/>
          <w:sz w:val="24"/>
        </w:rPr>
      </w:pPr>
      <w:r>
        <w:rPr>
          <w:rFonts w:hint="eastAsia" w:ascii="宋体" w:hAnsi="宋体" w:cs="宋体"/>
          <w:color w:val="000000"/>
          <w:sz w:val="24"/>
        </w:rPr>
        <w:t>3.3.5 承包人擅自更换项目部关键岗位人员的违约责任：</w:t>
      </w:r>
      <w:r>
        <w:rPr>
          <w:rFonts w:hint="eastAsia" w:ascii="宋体" w:hAnsi="宋体" w:cs="宋体"/>
          <w:color w:val="000000"/>
          <w:sz w:val="24"/>
          <w:u w:val="single"/>
        </w:rPr>
        <w:t xml:space="preserve">   /   。</w:t>
      </w:r>
    </w:p>
    <w:p w14:paraId="57003210">
      <w:pPr>
        <w:spacing w:line="360" w:lineRule="auto"/>
        <w:ind w:firstLine="480" w:firstLineChars="200"/>
        <w:rPr>
          <w:rFonts w:ascii="宋体" w:hAnsi="宋体" w:cs="宋体"/>
          <w:color w:val="000000"/>
          <w:sz w:val="24"/>
        </w:rPr>
      </w:pPr>
      <w:r>
        <w:rPr>
          <w:rFonts w:hint="eastAsia" w:ascii="宋体" w:hAnsi="宋体" w:cs="宋体"/>
          <w:color w:val="000000"/>
          <w:sz w:val="24"/>
        </w:rPr>
        <w:t>3</w:t>
      </w:r>
      <w:bookmarkStart w:id="487" w:name="_Toc303539102"/>
      <w:bookmarkStart w:id="488" w:name="_Toc300934945"/>
      <w:bookmarkStart w:id="489" w:name="_Toc304295523"/>
      <w:bookmarkStart w:id="490" w:name="_Toc296891199"/>
      <w:bookmarkStart w:id="491" w:name="_Toc297048345"/>
      <w:bookmarkStart w:id="492" w:name="_Toc292559364"/>
      <w:bookmarkStart w:id="493" w:name="_Toc296944498"/>
      <w:bookmarkStart w:id="494" w:name="_Toc296347158"/>
      <w:bookmarkStart w:id="495" w:name="_Toc296346660"/>
      <w:bookmarkStart w:id="496" w:name="_Toc296503159"/>
      <w:bookmarkStart w:id="497" w:name="_Toc296890987"/>
      <w:bookmarkStart w:id="498" w:name="_Toc297123492"/>
      <w:bookmarkStart w:id="499" w:name="_Toc297216151"/>
      <w:bookmarkStart w:id="500" w:name="_Toc297120459"/>
      <w:bookmarkStart w:id="501" w:name="_Toc292559869"/>
      <w:bookmarkStart w:id="502" w:name="_Toc312677988"/>
      <w:r>
        <w:rPr>
          <w:rFonts w:hint="eastAsia" w:ascii="宋体" w:hAnsi="宋体" w:cs="宋体"/>
          <w:color w:val="000000"/>
          <w:sz w:val="24"/>
        </w:rPr>
        <w:t>.5 分包</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14:paraId="47FD0402">
      <w:pPr>
        <w:spacing w:line="360" w:lineRule="auto"/>
        <w:ind w:firstLine="480" w:firstLineChars="200"/>
        <w:rPr>
          <w:rFonts w:ascii="宋体" w:hAnsi="宋体" w:cs="宋体"/>
          <w:color w:val="000000"/>
          <w:sz w:val="24"/>
        </w:rPr>
      </w:pPr>
      <w:r>
        <w:rPr>
          <w:rFonts w:hint="eastAsia" w:ascii="宋体" w:hAnsi="宋体" w:cs="宋体"/>
          <w:color w:val="000000"/>
          <w:sz w:val="24"/>
        </w:rPr>
        <w:t>3</w:t>
      </w:r>
      <w:bookmarkStart w:id="503" w:name="_Toc312677989"/>
      <w:bookmarkStart w:id="504" w:name="_Toc296346661"/>
      <w:bookmarkStart w:id="505" w:name="_Toc296503160"/>
      <w:bookmarkStart w:id="506" w:name="_Toc296891200"/>
      <w:bookmarkStart w:id="507" w:name="_Toc296944499"/>
      <w:bookmarkStart w:id="508" w:name="_Toc296890988"/>
      <w:bookmarkStart w:id="509" w:name="_Toc304295524"/>
      <w:bookmarkStart w:id="510" w:name="_Toc318581158"/>
      <w:bookmarkStart w:id="511" w:name="_Toc292559870"/>
      <w:bookmarkStart w:id="512" w:name="_Toc303539103"/>
      <w:bookmarkStart w:id="513" w:name="_Toc297123493"/>
      <w:bookmarkStart w:id="514" w:name="_Toc297048346"/>
      <w:bookmarkStart w:id="515" w:name="_Toc296347159"/>
      <w:bookmarkStart w:id="516" w:name="_Toc297120460"/>
      <w:bookmarkStart w:id="517" w:name="_Toc300934946"/>
      <w:bookmarkStart w:id="518" w:name="_Toc292559365"/>
      <w:bookmarkStart w:id="519" w:name="_Toc297216152"/>
      <w:r>
        <w:rPr>
          <w:rFonts w:hint="eastAsia" w:ascii="宋体" w:hAnsi="宋体" w:cs="宋体"/>
          <w:color w:val="000000"/>
          <w:sz w:val="24"/>
        </w:rPr>
        <w:t>.5.1 分包的一般约定</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Pr>
          <w:rFonts w:hint="eastAsia" w:ascii="宋体" w:hAnsi="宋体" w:cs="宋体"/>
          <w:color w:val="000000"/>
          <w:sz w:val="24"/>
        </w:rPr>
        <w:t>：</w:t>
      </w:r>
    </w:p>
    <w:p w14:paraId="4D67384A">
      <w:pPr>
        <w:spacing w:line="360" w:lineRule="auto"/>
        <w:ind w:firstLine="480" w:firstLineChars="200"/>
        <w:rPr>
          <w:rFonts w:ascii="宋体" w:hAnsi="宋体" w:cs="宋体"/>
          <w:color w:val="000000"/>
          <w:sz w:val="24"/>
        </w:rPr>
      </w:pPr>
      <w:r>
        <w:rPr>
          <w:rFonts w:hint="eastAsia" w:ascii="宋体" w:hAnsi="宋体" w:cs="宋体"/>
          <w:color w:val="000000"/>
          <w:sz w:val="24"/>
        </w:rPr>
        <w:t>禁止分包的工程包括：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3F2ED7E4">
      <w:pPr>
        <w:spacing w:line="360" w:lineRule="auto"/>
        <w:ind w:firstLine="480" w:firstLineChars="200"/>
        <w:rPr>
          <w:rFonts w:ascii="宋体" w:hAnsi="宋体" w:cs="宋体"/>
          <w:color w:val="000000"/>
          <w:sz w:val="24"/>
        </w:rPr>
      </w:pPr>
      <w:r>
        <w:rPr>
          <w:rFonts w:hint="eastAsia" w:ascii="宋体" w:hAnsi="宋体" w:cs="宋体"/>
          <w:color w:val="000000"/>
          <w:sz w:val="24"/>
        </w:rPr>
        <w:t>主体结构、关键性工作的范围：</w:t>
      </w:r>
      <w:r>
        <w:rPr>
          <w:rFonts w:hint="eastAsia" w:ascii="宋体" w:hAnsi="宋体" w:cs="宋体"/>
          <w:color w:val="000000"/>
          <w:sz w:val="24"/>
          <w:u w:val="single"/>
        </w:rPr>
        <w:t xml:space="preserve">         /             </w:t>
      </w:r>
      <w:r>
        <w:rPr>
          <w:rFonts w:hint="eastAsia" w:ascii="宋体" w:hAnsi="宋体" w:cs="宋体"/>
          <w:color w:val="000000"/>
          <w:sz w:val="24"/>
        </w:rPr>
        <w:t>。</w:t>
      </w:r>
    </w:p>
    <w:p w14:paraId="1FB4E40F">
      <w:pPr>
        <w:spacing w:line="360" w:lineRule="auto"/>
        <w:ind w:firstLine="480" w:firstLineChars="200"/>
        <w:rPr>
          <w:rFonts w:ascii="宋体" w:hAnsi="宋体" w:cs="宋体"/>
          <w:color w:val="000000"/>
          <w:sz w:val="24"/>
        </w:rPr>
      </w:pPr>
      <w:r>
        <w:rPr>
          <w:rFonts w:hint="eastAsia" w:ascii="宋体" w:hAnsi="宋体" w:cs="宋体"/>
          <w:color w:val="000000"/>
          <w:sz w:val="24"/>
        </w:rPr>
        <w:t>3</w:t>
      </w:r>
      <w:bookmarkStart w:id="520" w:name="_Toc312677990"/>
      <w:bookmarkStart w:id="521" w:name="_Toc318581159"/>
      <w:r>
        <w:rPr>
          <w:rFonts w:hint="eastAsia" w:ascii="宋体" w:hAnsi="宋体" w:cs="宋体"/>
          <w:color w:val="000000"/>
          <w:sz w:val="24"/>
        </w:rPr>
        <w:t>.5.2 分包的确定</w:t>
      </w:r>
    </w:p>
    <w:p w14:paraId="45148A84">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允许分包的专业工程包括：</w:t>
      </w:r>
      <w:r>
        <w:rPr>
          <w:rFonts w:hint="eastAsia" w:ascii="宋体" w:hAnsi="宋体" w:cs="宋体"/>
          <w:color w:val="000000"/>
          <w:sz w:val="24"/>
          <w:u w:val="single"/>
        </w:rPr>
        <w:t xml:space="preserve">    /       </w:t>
      </w:r>
      <w:r>
        <w:rPr>
          <w:rFonts w:hint="eastAsia" w:ascii="宋体" w:hAnsi="宋体" w:cs="宋体"/>
          <w:color w:val="000000"/>
          <w:sz w:val="24"/>
        </w:rPr>
        <w:t>。</w:t>
      </w:r>
    </w:p>
    <w:p w14:paraId="36498836">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其他关于分包的约定：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520"/>
    <w:bookmarkEnd w:id="521"/>
    <w:p w14:paraId="29C65B97">
      <w:pPr>
        <w:spacing w:line="360" w:lineRule="auto"/>
        <w:ind w:firstLine="480" w:firstLineChars="200"/>
        <w:rPr>
          <w:rFonts w:ascii="宋体" w:hAnsi="宋体" w:cs="宋体"/>
          <w:color w:val="000000"/>
          <w:sz w:val="24"/>
        </w:rPr>
      </w:pPr>
      <w:r>
        <w:rPr>
          <w:rFonts w:hint="eastAsia" w:ascii="宋体" w:hAnsi="宋体" w:cs="宋体"/>
          <w:color w:val="000000"/>
          <w:sz w:val="24"/>
        </w:rPr>
        <w:t>3.6 工程照管与成品、半成品保护</w:t>
      </w:r>
    </w:p>
    <w:p w14:paraId="1802988D">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承包人负责照管工程及工程相关的材料、工程设备的起始时间：</w:t>
      </w:r>
      <w:r>
        <w:rPr>
          <w:rFonts w:hint="eastAsia" w:ascii="宋体" w:hAnsi="宋体" w:cs="宋体"/>
          <w:color w:val="000000"/>
          <w:sz w:val="24"/>
          <w:u w:val="single"/>
        </w:rPr>
        <w:t>工程开工令发布之日</w:t>
      </w:r>
      <w:r>
        <w:rPr>
          <w:rFonts w:hint="eastAsia" w:ascii="宋体" w:hAnsi="宋体" w:cs="宋体"/>
          <w:color w:val="000000"/>
          <w:sz w:val="24"/>
        </w:rPr>
        <w:t>。</w:t>
      </w:r>
    </w:p>
    <w:p w14:paraId="4EDEE3A8">
      <w:pPr>
        <w:spacing w:line="360" w:lineRule="auto"/>
        <w:ind w:firstLine="480" w:firstLineChars="200"/>
        <w:rPr>
          <w:rFonts w:ascii="宋体" w:hAnsi="宋体" w:cs="宋体"/>
          <w:color w:val="000000"/>
          <w:sz w:val="24"/>
        </w:rPr>
      </w:pPr>
      <w:bookmarkStart w:id="522" w:name="_Toc386638610"/>
      <w:bookmarkStart w:id="523" w:name="_Toc351203636"/>
      <w:r>
        <w:rPr>
          <w:rFonts w:hint="eastAsia" w:ascii="宋体" w:hAnsi="宋体" w:cs="宋体"/>
          <w:color w:val="000000"/>
          <w:sz w:val="24"/>
        </w:rPr>
        <w:t>3.7 履约担保</w:t>
      </w:r>
    </w:p>
    <w:p w14:paraId="150BE192">
      <w:pPr>
        <w:spacing w:line="360" w:lineRule="auto"/>
        <w:ind w:firstLine="480" w:firstLineChars="200"/>
        <w:rPr>
          <w:rFonts w:ascii="宋体" w:hAnsi="宋体" w:cs="宋体"/>
          <w:sz w:val="24"/>
        </w:rPr>
      </w:pPr>
      <w:r>
        <w:rPr>
          <w:rFonts w:hint="eastAsia" w:ascii="宋体" w:hAnsi="宋体" w:cs="宋体"/>
          <w:sz w:val="24"/>
        </w:rPr>
        <w:t>承包人是否提供履约担保：</w:t>
      </w:r>
      <w:r>
        <w:rPr>
          <w:rFonts w:hint="eastAsia" w:ascii="宋体" w:hAnsi="宋体" w:cs="宋体"/>
          <w:sz w:val="24"/>
          <w:u w:val="single"/>
        </w:rPr>
        <w:t xml:space="preserve">      是      </w:t>
      </w:r>
      <w:r>
        <w:rPr>
          <w:rFonts w:hint="eastAsia" w:ascii="宋体" w:hAnsi="宋体" w:cs="宋体"/>
          <w:sz w:val="24"/>
        </w:rPr>
        <w:t>。</w:t>
      </w:r>
    </w:p>
    <w:p w14:paraId="1E4BE5D9">
      <w:pPr>
        <w:spacing w:line="360" w:lineRule="auto"/>
        <w:ind w:firstLine="480" w:firstLineChars="200"/>
        <w:rPr>
          <w:rFonts w:ascii="宋体" w:hAnsi="宋体" w:cs="宋体"/>
          <w:sz w:val="24"/>
          <w:szCs w:val="24"/>
          <w:u w:val="single"/>
        </w:rPr>
      </w:pPr>
      <w:r>
        <w:rPr>
          <w:rFonts w:hint="eastAsia" w:ascii="宋体" w:hAnsi="宋体" w:cs="宋体"/>
          <w:sz w:val="24"/>
        </w:rPr>
        <w:t>承包人提供履约担保的形式、金额及期限的约定：</w:t>
      </w:r>
      <w:bookmarkStart w:id="524" w:name="_Hlk89720919"/>
      <w:r>
        <w:rPr>
          <w:rFonts w:hint="eastAsia" w:ascii="宋体" w:hAnsi="宋体" w:cs="宋体"/>
          <w:sz w:val="24"/>
          <w:szCs w:val="24"/>
          <w:u w:val="single"/>
        </w:rPr>
        <w:t>履约保证金金额：合同金额的1%；履约保证金形式：</w:t>
      </w:r>
      <w:r>
        <w:rPr>
          <w:rFonts w:hint="eastAsia" w:ascii="宋体" w:hAnsi="宋体" w:eastAsia="宋体" w:cs="宋体"/>
          <w:color w:val="000000"/>
          <w:kern w:val="0"/>
          <w:sz w:val="24"/>
          <w:szCs w:val="24"/>
          <w:highlight w:val="none"/>
          <w:u w:val="single"/>
        </w:rPr>
        <w:t>履约保证金的形式为电汇、银行或保险公司出具的履约保函</w:t>
      </w:r>
      <w:r>
        <w:rPr>
          <w:rFonts w:hint="eastAsia" w:ascii="宋体" w:hAnsi="宋体" w:cs="宋体"/>
          <w:sz w:val="24"/>
          <w:szCs w:val="24"/>
          <w:u w:val="single"/>
        </w:rPr>
        <w:t>等形式；履约保证金的退取：项目验收合格后，根据实际履约情况扣除相应违约金后无息退还履约保证金（但如承包人未能履行合同规定的任何义务，发包人有权从履约保证金中得到补偿）。</w:t>
      </w:r>
    </w:p>
    <w:bookmarkEnd w:id="524"/>
    <w:p w14:paraId="2DCC7BF2">
      <w:pPr>
        <w:pStyle w:val="6"/>
        <w:spacing w:before="0" w:after="0" w:line="360" w:lineRule="auto"/>
        <w:rPr>
          <w:rFonts w:ascii="宋体" w:hAnsi="宋体" w:eastAsia="宋体" w:cs="宋体"/>
          <w:b w:val="0"/>
          <w:color w:val="000000"/>
          <w:sz w:val="24"/>
          <w:szCs w:val="24"/>
        </w:rPr>
      </w:pPr>
      <w:r>
        <w:rPr>
          <w:rFonts w:hint="eastAsia" w:ascii="宋体" w:hAnsi="宋体" w:eastAsia="宋体" w:cs="宋体"/>
          <w:b w:val="0"/>
          <w:color w:val="000000"/>
          <w:sz w:val="24"/>
          <w:szCs w:val="24"/>
        </w:rPr>
        <w:t>4</w:t>
      </w:r>
      <w:bookmarkStart w:id="525" w:name="_Toc292559366"/>
      <w:bookmarkStart w:id="526" w:name="_Toc296347161"/>
      <w:bookmarkStart w:id="527" w:name="_Toc296890990"/>
      <w:bookmarkStart w:id="528" w:name="_Toc267251413"/>
      <w:bookmarkStart w:id="529" w:name="_Toc297120462"/>
      <w:bookmarkStart w:id="530" w:name="_Toc296503162"/>
      <w:bookmarkStart w:id="531" w:name="_Toc296891202"/>
      <w:bookmarkStart w:id="532" w:name="_Toc297048348"/>
      <w:bookmarkStart w:id="533" w:name="_Toc292559871"/>
      <w:bookmarkStart w:id="534" w:name="_Toc296944501"/>
      <w:bookmarkStart w:id="535" w:name="_Toc296346663"/>
      <w:r>
        <w:rPr>
          <w:rFonts w:hint="eastAsia" w:ascii="宋体" w:hAnsi="宋体" w:eastAsia="宋体" w:cs="宋体"/>
          <w:b w:val="0"/>
          <w:color w:val="000000"/>
          <w:sz w:val="24"/>
          <w:szCs w:val="24"/>
        </w:rPr>
        <w:t>. 监</w:t>
      </w:r>
      <w:bookmarkEnd w:id="525"/>
      <w:bookmarkEnd w:id="526"/>
      <w:bookmarkEnd w:id="527"/>
      <w:bookmarkEnd w:id="528"/>
      <w:bookmarkEnd w:id="529"/>
      <w:bookmarkEnd w:id="530"/>
      <w:bookmarkEnd w:id="531"/>
      <w:bookmarkEnd w:id="532"/>
      <w:bookmarkEnd w:id="533"/>
      <w:bookmarkEnd w:id="534"/>
      <w:bookmarkEnd w:id="535"/>
      <w:r>
        <w:rPr>
          <w:rFonts w:hint="eastAsia" w:ascii="宋体" w:hAnsi="宋体" w:eastAsia="宋体" w:cs="宋体"/>
          <w:b w:val="0"/>
          <w:color w:val="000000"/>
          <w:sz w:val="24"/>
          <w:szCs w:val="24"/>
        </w:rPr>
        <w:t>理人</w:t>
      </w:r>
      <w:bookmarkEnd w:id="522"/>
      <w:bookmarkEnd w:id="523"/>
    </w:p>
    <w:p w14:paraId="2576FDD8">
      <w:pPr>
        <w:spacing w:line="360" w:lineRule="auto"/>
        <w:ind w:firstLine="480" w:firstLineChars="200"/>
        <w:rPr>
          <w:rFonts w:ascii="宋体" w:hAnsi="宋体" w:cs="宋体"/>
          <w:color w:val="000000"/>
          <w:sz w:val="24"/>
        </w:rPr>
      </w:pPr>
      <w:r>
        <w:rPr>
          <w:rFonts w:hint="eastAsia" w:ascii="宋体" w:hAnsi="宋体" w:cs="宋体"/>
          <w:color w:val="000000"/>
          <w:sz w:val="24"/>
        </w:rPr>
        <w:t>4.1 监理人的一般规定</w:t>
      </w:r>
    </w:p>
    <w:p w14:paraId="3689869E">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工程建设监理合同授予监理人的权利</w:t>
      </w:r>
      <w:r>
        <w:rPr>
          <w:rFonts w:hint="eastAsia" w:ascii="宋体" w:hAnsi="宋体" w:cs="宋体"/>
          <w:color w:val="000000"/>
          <w:sz w:val="24"/>
        </w:rPr>
        <w:t>。</w:t>
      </w:r>
    </w:p>
    <w:p w14:paraId="5076BADB">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涉及费用、工期、图纸更改等工程变更指令和付款、暂停工程施工指令的下达权需取得发包人书面批准后方可执行</w:t>
      </w:r>
      <w:r>
        <w:rPr>
          <w:rFonts w:hint="eastAsia" w:ascii="宋体" w:hAnsi="宋体" w:cs="宋体"/>
          <w:color w:val="000000"/>
          <w:sz w:val="24"/>
        </w:rPr>
        <w:t>。</w:t>
      </w:r>
    </w:p>
    <w:p w14:paraId="3D2CC596">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关于监理人在施工现场的办公场所、生活场所的提供和费用承担的约定：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EAC425C">
      <w:pPr>
        <w:spacing w:line="360" w:lineRule="auto"/>
        <w:ind w:firstLine="480" w:firstLineChars="200"/>
        <w:rPr>
          <w:rFonts w:ascii="宋体" w:hAnsi="宋体" w:cs="宋体"/>
          <w:color w:val="000000"/>
          <w:sz w:val="24"/>
        </w:rPr>
      </w:pPr>
      <w:r>
        <w:rPr>
          <w:rFonts w:hint="eastAsia" w:ascii="宋体" w:hAnsi="宋体" w:cs="宋体"/>
          <w:color w:val="000000"/>
          <w:sz w:val="24"/>
        </w:rPr>
        <w:t>4.2 监理人员</w:t>
      </w:r>
    </w:p>
    <w:p w14:paraId="245C6F7F">
      <w:pPr>
        <w:spacing w:line="360" w:lineRule="auto"/>
        <w:ind w:firstLine="480" w:firstLineChars="200"/>
        <w:rPr>
          <w:rFonts w:ascii="宋体" w:hAnsi="宋体" w:cs="宋体"/>
          <w:color w:val="000000"/>
          <w:sz w:val="24"/>
        </w:rPr>
      </w:pPr>
      <w:r>
        <w:rPr>
          <w:rFonts w:hint="eastAsia" w:ascii="宋体" w:hAnsi="宋体" w:cs="宋体"/>
          <w:color w:val="000000"/>
          <w:sz w:val="24"/>
        </w:rPr>
        <w:t>总监理工程师：</w:t>
      </w:r>
    </w:p>
    <w:p w14:paraId="43D0B468">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 </w:t>
      </w:r>
      <w:r>
        <w:rPr>
          <w:rFonts w:hint="eastAsia" w:ascii="宋体" w:hAnsi="宋体" w:cs="宋体"/>
          <w:color w:val="000000"/>
          <w:sz w:val="24"/>
        </w:rPr>
        <w:t>；</w:t>
      </w:r>
    </w:p>
    <w:p w14:paraId="671C5791">
      <w:pPr>
        <w:spacing w:line="360" w:lineRule="auto"/>
        <w:ind w:firstLine="480" w:firstLineChars="200"/>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 </w:t>
      </w:r>
      <w:r>
        <w:rPr>
          <w:rFonts w:hint="eastAsia" w:ascii="宋体" w:hAnsi="宋体" w:cs="宋体"/>
          <w:color w:val="000000"/>
          <w:sz w:val="24"/>
        </w:rPr>
        <w:t>；</w:t>
      </w:r>
    </w:p>
    <w:p w14:paraId="5F8686FA">
      <w:pPr>
        <w:spacing w:line="360" w:lineRule="auto"/>
        <w:ind w:firstLine="480" w:firstLineChars="200"/>
        <w:rPr>
          <w:rFonts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w:t>
      </w:r>
      <w:r>
        <w:rPr>
          <w:rFonts w:hint="eastAsia" w:ascii="宋体" w:hAnsi="宋体" w:cs="宋体"/>
          <w:color w:val="000000"/>
          <w:sz w:val="24"/>
        </w:rPr>
        <w:t>；</w:t>
      </w:r>
    </w:p>
    <w:p w14:paraId="76312B06">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 </w:t>
      </w:r>
      <w:r>
        <w:rPr>
          <w:rFonts w:hint="eastAsia" w:ascii="宋体" w:hAnsi="宋体" w:cs="宋体"/>
          <w:color w:val="000000"/>
          <w:sz w:val="24"/>
        </w:rPr>
        <w:t>；</w:t>
      </w:r>
    </w:p>
    <w:p w14:paraId="524A9733">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 </w:t>
      </w:r>
      <w:r>
        <w:rPr>
          <w:rFonts w:hint="eastAsia" w:ascii="宋体" w:hAnsi="宋体" w:cs="宋体"/>
          <w:color w:val="000000"/>
          <w:sz w:val="24"/>
        </w:rPr>
        <w:t>；</w:t>
      </w:r>
    </w:p>
    <w:p w14:paraId="642F4A8F">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 </w:t>
      </w:r>
      <w:r>
        <w:rPr>
          <w:rFonts w:hint="eastAsia" w:ascii="宋体" w:hAnsi="宋体" w:cs="宋体"/>
          <w:color w:val="000000"/>
          <w:sz w:val="24"/>
        </w:rPr>
        <w:t>；</w:t>
      </w:r>
    </w:p>
    <w:p w14:paraId="6695693A">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 </w:t>
      </w:r>
      <w:r>
        <w:rPr>
          <w:rFonts w:hint="eastAsia" w:ascii="宋体" w:hAnsi="宋体" w:cs="宋体"/>
          <w:color w:val="000000"/>
          <w:sz w:val="24"/>
        </w:rPr>
        <w:t>。</w:t>
      </w:r>
    </w:p>
    <w:p w14:paraId="6DCE07D3">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4.4 商定或确定：</w:t>
      </w:r>
    </w:p>
    <w:p w14:paraId="4154670F">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在发包人和承包人不能通过协商达成一致意见时，总监理工程师应按照合同约定作出公正确定，应在合同发包人会商之日起7天内提供书面确定意见。</w:t>
      </w:r>
    </w:p>
    <w:p w14:paraId="615BC2A1">
      <w:pPr>
        <w:pStyle w:val="6"/>
        <w:spacing w:before="0" w:after="0" w:line="360" w:lineRule="auto"/>
        <w:rPr>
          <w:rFonts w:ascii="宋体" w:hAnsi="宋体" w:eastAsia="宋体" w:cs="宋体"/>
          <w:b w:val="0"/>
          <w:color w:val="000000"/>
          <w:sz w:val="24"/>
          <w:szCs w:val="24"/>
        </w:rPr>
      </w:pPr>
      <w:bookmarkStart w:id="536" w:name="_Toc267251418"/>
      <w:bookmarkStart w:id="537" w:name="_Toc386638611"/>
      <w:bookmarkStart w:id="538" w:name="_Toc351203637"/>
      <w:r>
        <w:rPr>
          <w:rFonts w:hint="eastAsia" w:ascii="宋体" w:hAnsi="宋体" w:eastAsia="宋体" w:cs="宋体"/>
          <w:b w:val="0"/>
          <w:color w:val="000000"/>
          <w:sz w:val="24"/>
          <w:szCs w:val="24"/>
        </w:rPr>
        <w:t>5</w:t>
      </w:r>
      <w:bookmarkEnd w:id="536"/>
      <w:r>
        <w:rPr>
          <w:rFonts w:hint="eastAsia" w:ascii="宋体" w:hAnsi="宋体" w:eastAsia="宋体" w:cs="宋体"/>
          <w:b w:val="0"/>
          <w:color w:val="000000"/>
          <w:sz w:val="24"/>
          <w:szCs w:val="24"/>
        </w:rPr>
        <w:t>. 工程质量</w:t>
      </w:r>
      <w:bookmarkEnd w:id="537"/>
      <w:bookmarkEnd w:id="538"/>
    </w:p>
    <w:p w14:paraId="4420CDA4">
      <w:pPr>
        <w:spacing w:line="360" w:lineRule="auto"/>
        <w:ind w:firstLine="480" w:firstLineChars="200"/>
        <w:rPr>
          <w:rFonts w:ascii="宋体" w:hAnsi="宋体" w:cs="宋体"/>
          <w:color w:val="000000"/>
          <w:sz w:val="24"/>
        </w:rPr>
      </w:pPr>
      <w:r>
        <w:rPr>
          <w:rFonts w:hint="eastAsia" w:ascii="宋体" w:hAnsi="宋体" w:cs="宋体"/>
          <w:color w:val="000000"/>
          <w:sz w:val="24"/>
        </w:rPr>
        <w:t>5.1 质量要求</w:t>
      </w:r>
    </w:p>
    <w:p w14:paraId="0B09AB71">
      <w:pPr>
        <w:spacing w:line="360" w:lineRule="auto"/>
        <w:ind w:firstLine="480" w:firstLineChars="200"/>
        <w:rPr>
          <w:rFonts w:ascii="宋体" w:hAnsi="宋体" w:cs="宋体"/>
          <w:color w:val="000000"/>
          <w:sz w:val="24"/>
          <w:u w:val="single"/>
        </w:rPr>
      </w:pPr>
      <w:r>
        <w:rPr>
          <w:rFonts w:hint="eastAsia" w:ascii="宋体" w:hAnsi="宋体" w:cs="宋体"/>
          <w:bCs/>
          <w:color w:val="000000"/>
          <w:sz w:val="24"/>
        </w:rPr>
        <w:t xml:space="preserve">5.1.1 </w:t>
      </w:r>
      <w:r>
        <w:rPr>
          <w:rFonts w:hint="eastAsia" w:ascii="宋体" w:hAnsi="宋体" w:cs="宋体"/>
          <w:color w:val="000000"/>
          <w:sz w:val="24"/>
        </w:rPr>
        <w:t>质量</w:t>
      </w:r>
      <w:r>
        <w:rPr>
          <w:rFonts w:hint="eastAsia" w:ascii="宋体" w:hAnsi="宋体" w:cs="宋体"/>
          <w:bCs/>
          <w:color w:val="000000"/>
          <w:sz w:val="24"/>
        </w:rPr>
        <w:t>要求：</w:t>
      </w:r>
      <w:r>
        <w:rPr>
          <w:rFonts w:hint="eastAsia" w:ascii="宋体" w:hAnsi="宋体" w:cs="宋体"/>
          <w:color w:val="000000"/>
          <w:sz w:val="24"/>
          <w:u w:val="single"/>
        </w:rPr>
        <w:t>符合现行国家有关工程施工质量验收规范和标准要求，验收合格。</w:t>
      </w:r>
    </w:p>
    <w:p w14:paraId="74699FA1">
      <w:pPr>
        <w:spacing w:line="360" w:lineRule="auto"/>
        <w:ind w:firstLine="480" w:firstLineChars="200"/>
        <w:rPr>
          <w:rFonts w:ascii="宋体" w:hAnsi="宋体" w:cs="宋体"/>
          <w:color w:val="000000"/>
          <w:sz w:val="24"/>
        </w:rPr>
      </w:pPr>
      <w:r>
        <w:rPr>
          <w:rFonts w:hint="eastAsia" w:ascii="宋体" w:hAnsi="宋体" w:cs="宋体"/>
          <w:color w:val="000000"/>
          <w:sz w:val="24"/>
        </w:rPr>
        <w:t>5</w:t>
      </w:r>
      <w:bookmarkStart w:id="539" w:name="_Toc312677997"/>
      <w:bookmarkStart w:id="540" w:name="_Toc300934949"/>
      <w:bookmarkStart w:id="541" w:name="_Toc304295527"/>
      <w:bookmarkStart w:id="542" w:name="_Toc318581164"/>
      <w:bookmarkStart w:id="543" w:name="_Toc303539106"/>
      <w:bookmarkStart w:id="544" w:name="_Toc297123496"/>
      <w:bookmarkStart w:id="545" w:name="_Toc297216155"/>
      <w:r>
        <w:rPr>
          <w:rFonts w:hint="eastAsia" w:ascii="宋体" w:hAnsi="宋体" w:cs="宋体"/>
          <w:color w:val="000000"/>
          <w:sz w:val="24"/>
        </w:rPr>
        <w:t>.1.2 特殊质量标准和要求：</w:t>
      </w:r>
      <w:r>
        <w:rPr>
          <w:rFonts w:hint="eastAsia" w:ascii="宋体" w:hAnsi="宋体" w:cs="宋体"/>
          <w:color w:val="000000"/>
          <w:sz w:val="24"/>
          <w:u w:val="single"/>
        </w:rPr>
        <w:t xml:space="preserve">    /      </w:t>
      </w:r>
      <w:r>
        <w:rPr>
          <w:rFonts w:hint="eastAsia" w:ascii="宋体" w:hAnsi="宋体" w:cs="宋体"/>
          <w:color w:val="000000"/>
          <w:sz w:val="24"/>
        </w:rPr>
        <w:t>。</w:t>
      </w:r>
    </w:p>
    <w:p w14:paraId="0BCCC29E">
      <w:pPr>
        <w:spacing w:line="360" w:lineRule="auto"/>
        <w:ind w:firstLine="480" w:firstLineChars="200"/>
        <w:rPr>
          <w:rFonts w:ascii="宋体" w:hAnsi="宋体" w:cs="宋体"/>
          <w:color w:val="000000"/>
          <w:sz w:val="24"/>
        </w:rPr>
      </w:pPr>
      <w:r>
        <w:rPr>
          <w:rFonts w:hint="eastAsia" w:ascii="宋体" w:hAnsi="宋体" w:cs="宋体"/>
          <w:color w:val="000000"/>
          <w:sz w:val="24"/>
        </w:rPr>
        <w:t>关于工程奖项的约定：</w:t>
      </w:r>
      <w:r>
        <w:rPr>
          <w:rFonts w:hint="eastAsia" w:ascii="宋体" w:hAnsi="宋体" w:cs="宋体"/>
          <w:color w:val="000000"/>
          <w:sz w:val="24"/>
          <w:u w:val="single"/>
        </w:rPr>
        <w:t xml:space="preserve">      无     </w:t>
      </w:r>
      <w:r>
        <w:rPr>
          <w:rFonts w:hint="eastAsia" w:ascii="宋体" w:hAnsi="宋体" w:cs="宋体"/>
          <w:color w:val="000000"/>
          <w:sz w:val="24"/>
        </w:rPr>
        <w:t>。</w:t>
      </w:r>
    </w:p>
    <w:p w14:paraId="67F45510">
      <w:pPr>
        <w:spacing w:line="360" w:lineRule="auto"/>
        <w:ind w:firstLine="480" w:firstLineChars="200"/>
        <w:rPr>
          <w:rFonts w:ascii="宋体" w:hAnsi="宋体" w:cs="宋体"/>
          <w:color w:val="000000"/>
          <w:sz w:val="24"/>
        </w:rPr>
      </w:pPr>
      <w:r>
        <w:rPr>
          <w:rFonts w:hint="eastAsia" w:ascii="宋体" w:hAnsi="宋体" w:cs="宋体"/>
          <w:color w:val="000000"/>
          <w:sz w:val="24"/>
        </w:rPr>
        <w:t>5.3 隐蔽工程检查</w:t>
      </w:r>
    </w:p>
    <w:p w14:paraId="76D74B17">
      <w:pPr>
        <w:spacing w:line="360" w:lineRule="auto"/>
        <w:ind w:firstLine="480" w:firstLineChars="200"/>
        <w:rPr>
          <w:rFonts w:ascii="宋体" w:hAnsi="宋体" w:cs="宋体"/>
          <w:color w:val="000000"/>
          <w:sz w:val="24"/>
        </w:rPr>
      </w:pPr>
      <w:r>
        <w:rPr>
          <w:rFonts w:hint="eastAsia" w:ascii="宋体" w:hAnsi="宋体" w:cs="宋体"/>
          <w:color w:val="000000"/>
          <w:sz w:val="24"/>
        </w:rPr>
        <w:t>5.3.2 承包人提前通知监理人隐蔽工程检查的期限的约定：</w:t>
      </w:r>
      <w:r>
        <w:rPr>
          <w:rFonts w:hint="eastAsia" w:ascii="宋体" w:hAnsi="宋体" w:cs="宋体"/>
          <w:color w:val="000000"/>
          <w:sz w:val="24"/>
          <w:u w:val="single"/>
        </w:rPr>
        <w:t>承包人应在共同检查前48小时书面通知监理人检查</w:t>
      </w:r>
      <w:r>
        <w:rPr>
          <w:rFonts w:hint="eastAsia" w:ascii="宋体" w:hAnsi="宋体" w:cs="宋体"/>
          <w:color w:val="000000"/>
          <w:sz w:val="24"/>
        </w:rPr>
        <w:t>。</w:t>
      </w:r>
    </w:p>
    <w:p w14:paraId="5F1462A5">
      <w:pPr>
        <w:spacing w:line="360" w:lineRule="auto"/>
        <w:ind w:firstLine="480" w:firstLineChars="200"/>
        <w:rPr>
          <w:rFonts w:ascii="宋体" w:hAnsi="宋体" w:cs="宋体"/>
          <w:color w:val="000000"/>
          <w:sz w:val="24"/>
        </w:rPr>
      </w:pPr>
      <w:r>
        <w:rPr>
          <w:rFonts w:hint="eastAsia" w:ascii="宋体" w:hAnsi="宋体" w:cs="宋体"/>
          <w:color w:val="000000"/>
          <w:sz w:val="24"/>
        </w:rPr>
        <w:t>监理人不能按时进行检查时，应提前</w:t>
      </w:r>
      <w:r>
        <w:rPr>
          <w:rFonts w:hint="eastAsia" w:ascii="宋体" w:hAnsi="宋体" w:cs="宋体"/>
          <w:color w:val="000000"/>
          <w:sz w:val="24"/>
          <w:u w:val="single"/>
        </w:rPr>
        <w:t>24</w:t>
      </w:r>
      <w:r>
        <w:rPr>
          <w:rFonts w:hint="eastAsia" w:ascii="宋体" w:hAnsi="宋体" w:cs="宋体"/>
          <w:color w:val="000000"/>
          <w:sz w:val="24"/>
        </w:rPr>
        <w:t>小时提交书面延期要求。</w:t>
      </w:r>
    </w:p>
    <w:p w14:paraId="4307B67E">
      <w:pPr>
        <w:spacing w:line="360" w:lineRule="auto"/>
        <w:ind w:firstLine="480" w:firstLineChars="200"/>
        <w:rPr>
          <w:rFonts w:ascii="宋体" w:hAnsi="宋体" w:cs="宋体"/>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3F1B39C7">
      <w:pPr>
        <w:pStyle w:val="6"/>
        <w:spacing w:before="0" w:after="0" w:line="360" w:lineRule="auto"/>
        <w:rPr>
          <w:rFonts w:ascii="宋体" w:hAnsi="宋体" w:eastAsia="宋体" w:cs="宋体"/>
          <w:b w:val="0"/>
          <w:color w:val="000000"/>
          <w:sz w:val="24"/>
          <w:szCs w:val="24"/>
        </w:rPr>
      </w:pPr>
      <w:bookmarkStart w:id="546" w:name="_Toc386638612"/>
      <w:bookmarkStart w:id="547" w:name="_Toc351203638"/>
      <w:r>
        <w:rPr>
          <w:rFonts w:hint="eastAsia" w:ascii="宋体" w:hAnsi="宋体" w:eastAsia="宋体" w:cs="宋体"/>
          <w:b w:val="0"/>
          <w:color w:val="000000"/>
          <w:sz w:val="24"/>
          <w:szCs w:val="24"/>
        </w:rPr>
        <w:t>6. 安全文明施工与环境保护</w:t>
      </w:r>
      <w:bookmarkEnd w:id="546"/>
      <w:bookmarkEnd w:id="547"/>
    </w:p>
    <w:p w14:paraId="0A970A1F">
      <w:pPr>
        <w:spacing w:line="360" w:lineRule="auto"/>
        <w:ind w:firstLine="480" w:firstLineChars="200"/>
        <w:rPr>
          <w:rFonts w:ascii="宋体" w:hAnsi="宋体" w:cs="宋体"/>
          <w:color w:val="000000"/>
          <w:sz w:val="24"/>
        </w:rPr>
      </w:pPr>
      <w:r>
        <w:rPr>
          <w:rFonts w:hint="eastAsia" w:ascii="宋体" w:hAnsi="宋体" w:cs="宋体"/>
          <w:color w:val="000000"/>
          <w:sz w:val="24"/>
        </w:rPr>
        <w:t>6.1 安全文明施工</w:t>
      </w:r>
    </w:p>
    <w:p w14:paraId="15D134A7">
      <w:pPr>
        <w:spacing w:line="360" w:lineRule="auto"/>
        <w:ind w:firstLine="480" w:firstLineChars="200"/>
        <w:rPr>
          <w:rFonts w:ascii="宋体" w:hAnsi="宋体" w:cs="宋体"/>
          <w:color w:val="000000"/>
          <w:sz w:val="24"/>
        </w:rPr>
      </w:pPr>
      <w:r>
        <w:rPr>
          <w:rFonts w:hint="eastAsia" w:ascii="宋体" w:hAnsi="宋体" w:cs="宋体"/>
          <w:color w:val="000000"/>
          <w:sz w:val="24"/>
        </w:rPr>
        <w:t>6.1.1 项目安全生产的达标目标及相应事项的约定：</w:t>
      </w:r>
      <w:r>
        <w:rPr>
          <w:rFonts w:hint="eastAsia" w:ascii="宋体" w:hAnsi="宋体" w:cs="宋体"/>
          <w:color w:val="000000"/>
          <w:sz w:val="24"/>
          <w:u w:val="single"/>
        </w:rPr>
        <w:t>合格，若有工伤事故、工料损失和其他任何损失，概由乙方负责</w:t>
      </w:r>
      <w:r>
        <w:rPr>
          <w:rFonts w:hint="eastAsia" w:ascii="宋体" w:hAnsi="宋体" w:cs="宋体"/>
          <w:color w:val="000000"/>
          <w:sz w:val="24"/>
        </w:rPr>
        <w:t>。</w:t>
      </w:r>
    </w:p>
    <w:p w14:paraId="0F2F8AEF">
      <w:pPr>
        <w:spacing w:line="360" w:lineRule="auto"/>
        <w:ind w:firstLine="480" w:firstLineChars="200"/>
        <w:rPr>
          <w:rFonts w:ascii="宋体" w:hAnsi="宋体" w:cs="宋体"/>
          <w:color w:val="000000"/>
          <w:sz w:val="24"/>
        </w:rPr>
      </w:pPr>
      <w:r>
        <w:rPr>
          <w:rFonts w:hint="eastAsia" w:ascii="宋体" w:hAnsi="宋体" w:cs="宋体"/>
          <w:color w:val="000000"/>
          <w:sz w:val="24"/>
        </w:rPr>
        <w:t>6.1.4 关于治安保卫的特别约定：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4E449932">
      <w:pPr>
        <w:spacing w:line="360" w:lineRule="auto"/>
        <w:ind w:firstLine="480" w:firstLineChars="200"/>
        <w:rPr>
          <w:rFonts w:ascii="宋体" w:hAnsi="宋体" w:cs="宋体"/>
          <w:color w:val="000000"/>
          <w:sz w:val="24"/>
        </w:rPr>
      </w:pPr>
      <w:r>
        <w:rPr>
          <w:rFonts w:hint="eastAsia" w:ascii="宋体" w:hAnsi="宋体" w:cs="宋体"/>
          <w:color w:val="000000"/>
          <w:sz w:val="24"/>
        </w:rPr>
        <w:t>关于编制施工场地治安管理计划的约定：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445F5D4">
      <w:pPr>
        <w:spacing w:line="360" w:lineRule="auto"/>
        <w:ind w:firstLine="480" w:firstLineChars="200"/>
        <w:rPr>
          <w:rFonts w:ascii="宋体" w:hAnsi="宋体" w:cs="宋体"/>
          <w:color w:val="000000"/>
          <w:sz w:val="24"/>
        </w:rPr>
      </w:pPr>
      <w:r>
        <w:rPr>
          <w:rFonts w:hint="eastAsia" w:ascii="宋体" w:hAnsi="宋体" w:cs="宋体"/>
          <w:color w:val="000000"/>
          <w:sz w:val="24"/>
        </w:rPr>
        <w:t>6.1.5 文明施工</w:t>
      </w:r>
    </w:p>
    <w:p w14:paraId="6D021E7F">
      <w:pPr>
        <w:spacing w:line="360" w:lineRule="auto"/>
        <w:ind w:firstLine="480" w:firstLineChars="200"/>
        <w:rPr>
          <w:rFonts w:ascii="宋体" w:hAnsi="宋体" w:cs="宋体"/>
          <w:color w:val="000000"/>
          <w:sz w:val="24"/>
        </w:rPr>
      </w:pPr>
      <w:r>
        <w:rPr>
          <w:rFonts w:hint="eastAsia" w:ascii="宋体" w:hAnsi="宋体" w:cs="宋体"/>
          <w:color w:val="000000"/>
          <w:sz w:val="24"/>
        </w:rPr>
        <w:t>合同当事人对文明施工的要求：</w:t>
      </w:r>
      <w:r>
        <w:rPr>
          <w:rFonts w:hint="eastAsia" w:ascii="宋体" w:hAnsi="宋体" w:cs="宋体"/>
          <w:color w:val="000000"/>
          <w:sz w:val="24"/>
          <w:u w:val="single"/>
        </w:rPr>
        <w:t>按《宁波市建设工程文明施工管理规定》(宁波建筑府令第195号)、《关于印发宁海县建筑工地扬尘综合整治专项实施方案的通知》(宁建［2013］62号)文件要求执行</w:t>
      </w:r>
      <w:r>
        <w:rPr>
          <w:rFonts w:hint="eastAsia" w:ascii="宋体" w:hAnsi="宋体" w:cs="宋体"/>
          <w:color w:val="000000"/>
          <w:sz w:val="24"/>
        </w:rPr>
        <w:t>。</w:t>
      </w:r>
    </w:p>
    <w:bookmarkEnd w:id="539"/>
    <w:bookmarkEnd w:id="540"/>
    <w:bookmarkEnd w:id="541"/>
    <w:bookmarkEnd w:id="542"/>
    <w:bookmarkEnd w:id="543"/>
    <w:bookmarkEnd w:id="544"/>
    <w:bookmarkEnd w:id="545"/>
    <w:p w14:paraId="0DC2CA08">
      <w:pPr>
        <w:pStyle w:val="6"/>
        <w:spacing w:before="0" w:after="0" w:line="360" w:lineRule="auto"/>
        <w:rPr>
          <w:rFonts w:ascii="宋体" w:hAnsi="宋体" w:eastAsia="宋体" w:cs="宋体"/>
          <w:b w:val="0"/>
          <w:color w:val="000000"/>
          <w:sz w:val="24"/>
          <w:szCs w:val="24"/>
        </w:rPr>
      </w:pPr>
      <w:bookmarkStart w:id="548" w:name="_Toc386638613"/>
      <w:bookmarkStart w:id="549" w:name="_Toc351203639"/>
      <w:r>
        <w:rPr>
          <w:rFonts w:hint="eastAsia" w:ascii="宋体" w:hAnsi="宋体" w:eastAsia="宋体" w:cs="宋体"/>
          <w:b w:val="0"/>
          <w:color w:val="000000"/>
          <w:sz w:val="24"/>
          <w:szCs w:val="24"/>
        </w:rPr>
        <w:t>7. 工期和进度</w:t>
      </w:r>
      <w:bookmarkEnd w:id="548"/>
      <w:bookmarkEnd w:id="549"/>
    </w:p>
    <w:p w14:paraId="46C5E3CA">
      <w:pPr>
        <w:spacing w:line="360" w:lineRule="auto"/>
        <w:ind w:firstLine="480" w:firstLineChars="200"/>
        <w:rPr>
          <w:rFonts w:ascii="宋体" w:hAnsi="宋体" w:cs="宋体"/>
          <w:color w:val="000000"/>
          <w:sz w:val="24"/>
        </w:rPr>
      </w:pPr>
      <w:r>
        <w:rPr>
          <w:rFonts w:hint="eastAsia" w:ascii="宋体" w:hAnsi="宋体" w:cs="宋体"/>
          <w:color w:val="000000"/>
          <w:sz w:val="24"/>
        </w:rPr>
        <w:t>7.1 施工组织设计</w:t>
      </w:r>
    </w:p>
    <w:p w14:paraId="63D0942D">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7.1.1 合同当事人约定的施工组织设计应包括的其他内容：</w:t>
      </w:r>
      <w:r>
        <w:rPr>
          <w:rFonts w:hint="eastAsia" w:ascii="宋体" w:hAnsi="宋体" w:cs="宋体"/>
          <w:color w:val="000000"/>
          <w:sz w:val="24"/>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000000"/>
          <w:sz w:val="24"/>
        </w:rPr>
        <w:t>。</w:t>
      </w:r>
    </w:p>
    <w:p w14:paraId="2B4965E3">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7.1.2 施工组织设计的提交和修改</w:t>
      </w:r>
    </w:p>
    <w:p w14:paraId="3A30858A">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承包人提交详细施工组织设计的期限的约定：</w:t>
      </w:r>
      <w:r>
        <w:rPr>
          <w:rFonts w:hint="eastAsia" w:ascii="宋体" w:hAnsi="宋体" w:cs="宋体"/>
          <w:color w:val="000000"/>
          <w:sz w:val="24"/>
          <w:u w:val="single"/>
        </w:rPr>
        <w:t>合同签订后14天内，但至迟不得晚于开工前7天</w:t>
      </w:r>
      <w:r>
        <w:rPr>
          <w:rFonts w:hint="eastAsia" w:ascii="宋体" w:hAnsi="宋体" w:cs="宋体"/>
          <w:color w:val="000000"/>
          <w:sz w:val="24"/>
        </w:rPr>
        <w:t>。</w:t>
      </w:r>
    </w:p>
    <w:p w14:paraId="4D9F039F">
      <w:pPr>
        <w:spacing w:line="360" w:lineRule="auto"/>
        <w:ind w:firstLine="480" w:firstLineChars="200"/>
        <w:rPr>
          <w:rFonts w:ascii="宋体" w:hAnsi="宋体" w:cs="宋体"/>
          <w:color w:val="000000"/>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4D4B65AD">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50" w:name="_Toc300934966"/>
      <w:bookmarkStart w:id="551" w:name="_Toc303539123"/>
      <w:bookmarkStart w:id="552" w:name="_Toc297216173"/>
      <w:bookmarkStart w:id="553" w:name="_Toc297123514"/>
      <w:bookmarkStart w:id="554" w:name="_Toc304295541"/>
      <w:bookmarkStart w:id="555" w:name="_Toc312677479"/>
      <w:bookmarkStart w:id="556" w:name="_Toc312678005"/>
      <w:r>
        <w:rPr>
          <w:rFonts w:hint="eastAsia" w:ascii="宋体" w:hAnsi="宋体" w:cs="宋体"/>
          <w:color w:val="000000"/>
          <w:sz w:val="24"/>
        </w:rPr>
        <w:t>.2 施工进度计划</w:t>
      </w:r>
    </w:p>
    <w:p w14:paraId="22BE2D6F">
      <w:pPr>
        <w:spacing w:line="360" w:lineRule="auto"/>
        <w:ind w:firstLine="480" w:firstLineChars="200"/>
        <w:rPr>
          <w:rFonts w:ascii="宋体" w:hAnsi="宋体" w:cs="宋体"/>
          <w:color w:val="000000"/>
          <w:sz w:val="24"/>
        </w:rPr>
      </w:pPr>
      <w:r>
        <w:rPr>
          <w:rFonts w:hint="eastAsia" w:ascii="宋体" w:hAnsi="宋体" w:cs="宋体"/>
          <w:color w:val="000000"/>
          <w:sz w:val="24"/>
        </w:rPr>
        <w:t>7.2.2 施工进度计划的修订</w:t>
      </w:r>
    </w:p>
    <w:p w14:paraId="1E258915">
      <w:pPr>
        <w:spacing w:line="360" w:lineRule="auto"/>
        <w:ind w:firstLine="480" w:firstLineChars="200"/>
        <w:rPr>
          <w:rFonts w:ascii="宋体" w:hAnsi="宋体" w:cs="宋体"/>
          <w:color w:val="000000"/>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color w:val="000000"/>
          <w:sz w:val="24"/>
          <w:u w:val="single"/>
        </w:rPr>
        <w:t>收到7天内</w:t>
      </w:r>
      <w:r>
        <w:rPr>
          <w:rFonts w:hint="eastAsia" w:ascii="宋体" w:hAnsi="宋体" w:cs="宋体"/>
          <w:color w:val="000000"/>
          <w:sz w:val="24"/>
        </w:rPr>
        <w:t>。</w:t>
      </w:r>
    </w:p>
    <w:p w14:paraId="1633A756">
      <w:pPr>
        <w:spacing w:line="360" w:lineRule="auto"/>
        <w:ind w:firstLine="480" w:firstLineChars="200"/>
        <w:rPr>
          <w:rFonts w:ascii="宋体" w:hAnsi="宋体" w:cs="宋体"/>
          <w:color w:val="000000"/>
          <w:sz w:val="24"/>
        </w:rPr>
      </w:pPr>
      <w:r>
        <w:rPr>
          <w:rFonts w:hint="eastAsia" w:ascii="宋体" w:hAnsi="宋体" w:cs="宋体"/>
          <w:color w:val="000000"/>
          <w:sz w:val="24"/>
        </w:rPr>
        <w:t>7.3 开工</w:t>
      </w:r>
    </w:p>
    <w:p w14:paraId="41A1F135">
      <w:pPr>
        <w:spacing w:line="360" w:lineRule="auto"/>
        <w:ind w:firstLine="480" w:firstLineChars="200"/>
        <w:rPr>
          <w:rFonts w:ascii="宋体" w:hAnsi="宋体" w:cs="宋体"/>
          <w:color w:val="000000"/>
          <w:sz w:val="24"/>
        </w:rPr>
      </w:pPr>
      <w:r>
        <w:rPr>
          <w:rFonts w:hint="eastAsia" w:ascii="宋体" w:hAnsi="宋体" w:cs="宋体"/>
          <w:color w:val="000000"/>
          <w:sz w:val="24"/>
        </w:rPr>
        <w:t>7.3.1 开工准备</w:t>
      </w:r>
    </w:p>
    <w:p w14:paraId="3EBEA48C">
      <w:pPr>
        <w:spacing w:line="360" w:lineRule="auto"/>
        <w:ind w:firstLine="480" w:firstLineChars="200"/>
        <w:rPr>
          <w:rFonts w:ascii="宋体" w:hAnsi="宋体" w:cs="宋体"/>
          <w:color w:val="000000"/>
          <w:sz w:val="24"/>
        </w:rPr>
      </w:pPr>
      <w:r>
        <w:rPr>
          <w:rFonts w:hint="eastAsia" w:ascii="宋体" w:hAnsi="宋体" w:cs="宋体"/>
          <w:color w:val="000000"/>
          <w:sz w:val="24"/>
        </w:rPr>
        <w:t>发包人应按约定完成开工准备工作。</w:t>
      </w:r>
    </w:p>
    <w:p w14:paraId="44913547">
      <w:pPr>
        <w:spacing w:line="360" w:lineRule="auto"/>
        <w:ind w:firstLine="480" w:firstLineChars="200"/>
        <w:rPr>
          <w:rFonts w:ascii="宋体" w:hAnsi="宋体" w:cs="宋体"/>
          <w:color w:val="000000"/>
          <w:sz w:val="24"/>
        </w:rPr>
      </w:pPr>
      <w:r>
        <w:rPr>
          <w:rFonts w:hint="eastAsia" w:ascii="宋体" w:hAnsi="宋体" w:cs="宋体"/>
          <w:color w:val="000000"/>
          <w:sz w:val="24"/>
        </w:rPr>
        <w:t>7.3.2 开工通知</w:t>
      </w:r>
    </w:p>
    <w:p w14:paraId="08939923">
      <w:pPr>
        <w:spacing w:line="360" w:lineRule="auto"/>
        <w:ind w:firstLine="480" w:firstLineChars="200"/>
        <w:rPr>
          <w:rFonts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90 </w:t>
      </w:r>
      <w:r>
        <w:rPr>
          <w:rFonts w:hint="eastAsia" w:ascii="宋体" w:hAnsi="宋体" w:cs="宋体"/>
          <w:color w:val="000000"/>
          <w:sz w:val="24"/>
        </w:rPr>
        <w:t>天内发出开工通知的，承包人有权提出价格调整要求，或者解除合同。</w:t>
      </w:r>
    </w:p>
    <w:bookmarkEnd w:id="550"/>
    <w:bookmarkEnd w:id="551"/>
    <w:bookmarkEnd w:id="552"/>
    <w:bookmarkEnd w:id="553"/>
    <w:bookmarkEnd w:id="554"/>
    <w:bookmarkEnd w:id="555"/>
    <w:bookmarkEnd w:id="556"/>
    <w:p w14:paraId="5374D5D6">
      <w:pPr>
        <w:spacing w:line="360" w:lineRule="auto"/>
        <w:ind w:firstLine="480" w:firstLineChars="200"/>
        <w:rPr>
          <w:rFonts w:ascii="宋体" w:hAnsi="宋体" w:cs="宋体"/>
          <w:color w:val="000000"/>
          <w:sz w:val="24"/>
        </w:rPr>
      </w:pPr>
      <w:r>
        <w:rPr>
          <w:rFonts w:hint="eastAsia" w:ascii="宋体" w:hAnsi="宋体" w:cs="宋体"/>
          <w:color w:val="000000"/>
          <w:sz w:val="24"/>
        </w:rPr>
        <w:t>7.4 测量放线</w:t>
      </w:r>
    </w:p>
    <w:p w14:paraId="3181DFDE">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7.4.1 发包人通过监理人向承包人提供测量基准点、基准线和水准点及其书面资料的期限：</w:t>
      </w:r>
      <w:r>
        <w:rPr>
          <w:rFonts w:hint="eastAsia" w:ascii="宋体" w:hAnsi="宋体" w:cs="宋体"/>
          <w:color w:val="000000"/>
          <w:sz w:val="24"/>
          <w:u w:val="single"/>
        </w:rPr>
        <w:t>不得晚于开工通知中载明的开工日期前7天</w:t>
      </w:r>
      <w:r>
        <w:rPr>
          <w:rFonts w:hint="eastAsia" w:ascii="宋体" w:hAnsi="宋体" w:cs="宋体"/>
          <w:color w:val="000000"/>
          <w:sz w:val="24"/>
        </w:rPr>
        <w:t>。</w:t>
      </w:r>
    </w:p>
    <w:p w14:paraId="0BBE96D0">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57" w:name="_Toc297216175"/>
      <w:bookmarkStart w:id="558" w:name="_Toc312678010"/>
      <w:bookmarkStart w:id="559" w:name="_Toc303539125"/>
      <w:bookmarkStart w:id="560" w:name="_Toc312677484"/>
      <w:bookmarkStart w:id="561" w:name="_Toc297123516"/>
      <w:bookmarkStart w:id="562" w:name="_Toc304295546"/>
      <w:bookmarkStart w:id="563" w:name="_Toc300934968"/>
      <w:r>
        <w:rPr>
          <w:rFonts w:hint="eastAsia" w:ascii="宋体" w:hAnsi="宋体" w:cs="宋体"/>
          <w:color w:val="000000"/>
          <w:sz w:val="24"/>
        </w:rPr>
        <w:t>.5 工期延误</w:t>
      </w:r>
    </w:p>
    <w:bookmarkEnd w:id="557"/>
    <w:bookmarkEnd w:id="558"/>
    <w:bookmarkEnd w:id="559"/>
    <w:bookmarkEnd w:id="560"/>
    <w:bookmarkEnd w:id="561"/>
    <w:bookmarkEnd w:id="562"/>
    <w:bookmarkEnd w:id="563"/>
    <w:p w14:paraId="0863FF05">
      <w:pPr>
        <w:spacing w:line="360" w:lineRule="auto"/>
        <w:ind w:firstLine="480" w:firstLineChars="200"/>
        <w:rPr>
          <w:rFonts w:ascii="宋体" w:hAnsi="宋体" w:cs="宋体"/>
          <w:color w:val="000000"/>
          <w:sz w:val="24"/>
        </w:rPr>
      </w:pPr>
      <w:r>
        <w:rPr>
          <w:rFonts w:hint="eastAsia" w:ascii="宋体" w:hAnsi="宋体" w:cs="宋体"/>
          <w:color w:val="000000"/>
          <w:sz w:val="24"/>
        </w:rPr>
        <w:t>7.5.1 因发包人原因导致工期延误</w:t>
      </w:r>
    </w:p>
    <w:p w14:paraId="24A1557D">
      <w:pPr>
        <w:spacing w:line="360" w:lineRule="auto"/>
        <w:ind w:firstLine="480" w:firstLineChars="200"/>
        <w:rPr>
          <w:rFonts w:ascii="宋体" w:hAnsi="宋体" w:cs="宋体"/>
          <w:color w:val="000000"/>
          <w:sz w:val="24"/>
        </w:rPr>
      </w:pPr>
      <w:r>
        <w:rPr>
          <w:rFonts w:hint="eastAsia" w:ascii="宋体" w:hAnsi="宋体" w:cs="宋体"/>
          <w:color w:val="000000"/>
          <w:sz w:val="24"/>
        </w:rPr>
        <w:t>（7）因发包人原因导致工期延误的其他情形：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59445DA4">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64" w:name="_Toc312677486"/>
      <w:bookmarkStart w:id="565" w:name="_Toc312678012"/>
      <w:bookmarkStart w:id="566" w:name="_Toc318581169"/>
      <w:bookmarkStart w:id="567" w:name="_Toc297123518"/>
      <w:bookmarkStart w:id="568" w:name="_Toc304295548"/>
      <w:bookmarkStart w:id="569" w:name="_Toc297216177"/>
      <w:bookmarkStart w:id="570" w:name="_Toc303539127"/>
      <w:bookmarkStart w:id="571" w:name="_Toc300934970"/>
      <w:r>
        <w:rPr>
          <w:rFonts w:hint="eastAsia" w:ascii="宋体" w:hAnsi="宋体" w:cs="宋体"/>
          <w:color w:val="000000"/>
          <w:sz w:val="24"/>
        </w:rPr>
        <w:t>.5.2 因承包人原因导致工期延误</w:t>
      </w:r>
    </w:p>
    <w:bookmarkEnd w:id="564"/>
    <w:bookmarkEnd w:id="565"/>
    <w:bookmarkEnd w:id="566"/>
    <w:p w14:paraId="31AB1BE2">
      <w:pPr>
        <w:spacing w:line="360" w:lineRule="auto"/>
        <w:ind w:firstLine="480" w:firstLineChars="200"/>
        <w:rPr>
          <w:rFonts w:ascii="宋体" w:hAnsi="宋体" w:cs="宋体"/>
          <w:color w:val="000000"/>
          <w:sz w:val="24"/>
        </w:rPr>
      </w:pPr>
      <w:r>
        <w:rPr>
          <w:rFonts w:hint="eastAsia" w:ascii="宋体" w:hAnsi="宋体" w:cs="宋体"/>
          <w:color w:val="000000"/>
          <w:sz w:val="24"/>
        </w:rPr>
        <w:t>因</w:t>
      </w:r>
      <w:bookmarkStart w:id="572" w:name="_Toc312678013"/>
      <w:bookmarkStart w:id="573" w:name="_Toc312677487"/>
      <w:bookmarkStart w:id="574" w:name="_Toc318581170"/>
      <w:r>
        <w:rPr>
          <w:rFonts w:hint="eastAsia" w:ascii="宋体" w:hAnsi="宋体" w:cs="宋体"/>
          <w:color w:val="000000"/>
          <w:sz w:val="24"/>
        </w:rPr>
        <w:t>承包人原因造成工期延误，逾期竣工违约金的计算方法为：</w:t>
      </w:r>
      <w:r>
        <w:rPr>
          <w:rFonts w:hint="eastAsia" w:ascii="宋体" w:hAnsi="宋体" w:cs="宋体"/>
          <w:color w:val="000000"/>
          <w:sz w:val="24"/>
          <w:u w:val="single"/>
        </w:rPr>
        <w:t>1000元/天</w:t>
      </w:r>
      <w:r>
        <w:rPr>
          <w:rFonts w:hint="eastAsia" w:ascii="宋体" w:hAnsi="宋体" w:cs="宋体"/>
          <w:color w:val="000000"/>
          <w:sz w:val="24"/>
        </w:rPr>
        <w:t>。</w:t>
      </w:r>
      <w:bookmarkEnd w:id="567"/>
      <w:bookmarkEnd w:id="568"/>
      <w:bookmarkEnd w:id="569"/>
      <w:bookmarkEnd w:id="570"/>
      <w:bookmarkEnd w:id="571"/>
      <w:bookmarkEnd w:id="572"/>
      <w:bookmarkEnd w:id="573"/>
    </w:p>
    <w:bookmarkEnd w:id="574"/>
    <w:p w14:paraId="7F841EFB">
      <w:pPr>
        <w:spacing w:line="360" w:lineRule="auto"/>
        <w:ind w:firstLine="480" w:firstLineChars="200"/>
        <w:rPr>
          <w:rFonts w:ascii="宋体" w:hAnsi="宋体" w:cs="宋体"/>
          <w:color w:val="000000"/>
          <w:sz w:val="24"/>
        </w:rPr>
      </w:pPr>
      <w:r>
        <w:rPr>
          <w:rFonts w:hint="eastAsia" w:ascii="宋体" w:hAnsi="宋体" w:cs="宋体"/>
          <w:color w:val="000000"/>
          <w:sz w:val="24"/>
        </w:rPr>
        <w:t>因承包人原因造成工期延误，逾</w:t>
      </w:r>
      <w:bookmarkStart w:id="575" w:name="_Toc318581171"/>
      <w:bookmarkStart w:id="576" w:name="_Toc312678014"/>
      <w:r>
        <w:rPr>
          <w:rFonts w:hint="eastAsia" w:ascii="宋体" w:hAnsi="宋体" w:cs="宋体"/>
          <w:color w:val="000000"/>
          <w:sz w:val="24"/>
        </w:rPr>
        <w:t>期竣工违约金的上限：</w:t>
      </w:r>
      <w:r>
        <w:rPr>
          <w:rFonts w:hint="eastAsia" w:ascii="宋体" w:hAnsi="宋体" w:cs="宋体"/>
          <w:color w:val="000000"/>
          <w:sz w:val="24"/>
          <w:u w:val="single"/>
        </w:rPr>
        <w:t xml:space="preserve"> 合同价款的10%</w:t>
      </w:r>
      <w:r>
        <w:rPr>
          <w:rFonts w:hint="eastAsia" w:ascii="宋体" w:hAnsi="宋体" w:cs="宋体"/>
          <w:sz w:val="24"/>
          <w:u w:val="single"/>
        </w:rPr>
        <w:t xml:space="preserve"> </w:t>
      </w:r>
      <w:r>
        <w:rPr>
          <w:rFonts w:hint="eastAsia" w:ascii="宋体" w:hAnsi="宋体" w:cs="宋体"/>
          <w:color w:val="000000"/>
          <w:sz w:val="24"/>
        </w:rPr>
        <w:t>。</w:t>
      </w:r>
    </w:p>
    <w:bookmarkEnd w:id="575"/>
    <w:bookmarkEnd w:id="576"/>
    <w:p w14:paraId="6F52409F">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77" w:name="_Toc297216178"/>
      <w:bookmarkStart w:id="578" w:name="_Toc297123519"/>
      <w:bookmarkStart w:id="579" w:name="_Toc312678015"/>
      <w:bookmarkStart w:id="580" w:name="_Toc300934971"/>
      <w:bookmarkStart w:id="581" w:name="_Toc303539128"/>
      <w:bookmarkStart w:id="582" w:name="_Toc304295549"/>
      <w:r>
        <w:rPr>
          <w:rFonts w:hint="eastAsia" w:ascii="宋体" w:hAnsi="宋体" w:cs="宋体"/>
          <w:color w:val="000000"/>
          <w:sz w:val="24"/>
        </w:rPr>
        <w:t>.6 不</w:t>
      </w:r>
      <w:bookmarkEnd w:id="577"/>
      <w:bookmarkEnd w:id="578"/>
      <w:bookmarkEnd w:id="579"/>
      <w:bookmarkEnd w:id="580"/>
      <w:bookmarkEnd w:id="581"/>
      <w:bookmarkEnd w:id="582"/>
      <w:r>
        <w:rPr>
          <w:rFonts w:hint="eastAsia" w:ascii="宋体" w:hAnsi="宋体" w:cs="宋体"/>
          <w:color w:val="000000"/>
          <w:sz w:val="24"/>
        </w:rPr>
        <w:t>利物质条件</w:t>
      </w:r>
    </w:p>
    <w:p w14:paraId="42C3CA0E">
      <w:pPr>
        <w:spacing w:line="360" w:lineRule="auto"/>
        <w:ind w:firstLine="480" w:firstLineChars="200"/>
        <w:rPr>
          <w:rFonts w:ascii="宋体" w:hAnsi="宋体" w:cs="宋体"/>
          <w:color w:val="000000"/>
          <w:sz w:val="24"/>
          <w:u w:val="single"/>
        </w:rPr>
      </w:pPr>
      <w:bookmarkStart w:id="583" w:name="_Toc303539129"/>
      <w:bookmarkStart w:id="584" w:name="_Toc318581172"/>
      <w:bookmarkStart w:id="585" w:name="_Toc300934972"/>
      <w:bookmarkStart w:id="586" w:name="_Toc297123520"/>
      <w:bookmarkStart w:id="587" w:name="_Toc304295550"/>
      <w:bookmarkStart w:id="588" w:name="_Toc312678016"/>
      <w:bookmarkStart w:id="589" w:name="_Toc297216179"/>
      <w:r>
        <w:rPr>
          <w:rFonts w:hint="eastAsia" w:ascii="宋体" w:hAnsi="宋体" w:cs="宋体"/>
          <w:color w:val="000000"/>
          <w:sz w:val="24"/>
        </w:rPr>
        <w:t>不利物质条件的其他情形和有关约定：</w:t>
      </w:r>
      <w:bookmarkEnd w:id="583"/>
      <w:bookmarkEnd w:id="584"/>
      <w:bookmarkEnd w:id="585"/>
      <w:bookmarkEnd w:id="586"/>
      <w:bookmarkEnd w:id="587"/>
      <w:bookmarkEnd w:id="588"/>
      <w:bookmarkEnd w:id="589"/>
      <w:r>
        <w:rPr>
          <w:rFonts w:hint="eastAsia" w:ascii="宋体" w:hAnsi="宋体" w:cs="宋体"/>
          <w:color w:val="000000"/>
          <w:sz w:val="24"/>
          <w:u w:val="single"/>
        </w:rPr>
        <w:t xml:space="preserve">            /              </w:t>
      </w:r>
      <w:r>
        <w:rPr>
          <w:rFonts w:hint="eastAsia" w:ascii="宋体" w:hAnsi="宋体" w:cs="宋体"/>
          <w:color w:val="000000"/>
          <w:sz w:val="24"/>
        </w:rPr>
        <w:t>。</w:t>
      </w:r>
    </w:p>
    <w:p w14:paraId="4EBF0FEA">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590" w:name="_Toc297123521"/>
      <w:bookmarkStart w:id="591" w:name="_Toc312678017"/>
      <w:bookmarkStart w:id="592" w:name="_Toc303539130"/>
      <w:bookmarkStart w:id="593" w:name="_Toc297216180"/>
      <w:bookmarkStart w:id="594" w:name="_Toc304295551"/>
      <w:bookmarkStart w:id="595" w:name="_Toc300934973"/>
      <w:r>
        <w:rPr>
          <w:rFonts w:hint="eastAsia" w:ascii="宋体" w:hAnsi="宋体" w:cs="宋体"/>
          <w:color w:val="000000"/>
          <w:sz w:val="24"/>
        </w:rPr>
        <w:t>.7 异常恶劣的气候条件</w:t>
      </w:r>
      <w:bookmarkEnd w:id="590"/>
      <w:bookmarkEnd w:id="591"/>
      <w:bookmarkEnd w:id="592"/>
      <w:bookmarkEnd w:id="593"/>
      <w:bookmarkEnd w:id="594"/>
      <w:bookmarkEnd w:id="595"/>
      <w:r>
        <w:rPr>
          <w:rFonts w:hint="eastAsia" w:ascii="宋体" w:hAnsi="宋体" w:cs="宋体"/>
          <w:color w:val="000000"/>
          <w:sz w:val="24"/>
          <w:u w:val="single"/>
        </w:rPr>
        <w:t xml:space="preserve">                /                      </w:t>
      </w:r>
      <w:r>
        <w:rPr>
          <w:rFonts w:hint="eastAsia" w:ascii="宋体" w:hAnsi="宋体" w:cs="宋体"/>
          <w:color w:val="000000"/>
          <w:sz w:val="24"/>
        </w:rPr>
        <w:t>。</w:t>
      </w:r>
    </w:p>
    <w:p w14:paraId="3795638E">
      <w:pPr>
        <w:spacing w:line="360" w:lineRule="auto"/>
        <w:ind w:firstLine="480" w:firstLineChars="200"/>
        <w:rPr>
          <w:rFonts w:ascii="宋体" w:hAnsi="宋体" w:cs="宋体"/>
          <w:color w:val="000000"/>
          <w:sz w:val="24"/>
        </w:rPr>
      </w:pPr>
      <w:r>
        <w:rPr>
          <w:rFonts w:hint="eastAsia" w:ascii="宋体" w:hAnsi="宋体" w:cs="宋体"/>
          <w:color w:val="000000"/>
          <w:sz w:val="24"/>
        </w:rPr>
        <w:t>7.9 提前竣工的奖励</w:t>
      </w:r>
    </w:p>
    <w:p w14:paraId="182014AD">
      <w:pPr>
        <w:spacing w:line="360" w:lineRule="auto"/>
        <w:ind w:firstLine="480" w:firstLineChars="200"/>
        <w:rPr>
          <w:rFonts w:ascii="宋体" w:hAnsi="宋体" w:cs="宋体"/>
          <w:color w:val="000000"/>
          <w:sz w:val="24"/>
        </w:rPr>
      </w:pPr>
      <w:r>
        <w:rPr>
          <w:rFonts w:hint="eastAsia" w:ascii="宋体" w:hAnsi="宋体" w:cs="宋体"/>
          <w:color w:val="000000"/>
          <w:sz w:val="24"/>
        </w:rPr>
        <w:t>7.9.2 提前竣工的奖励：</w:t>
      </w:r>
      <w:r>
        <w:rPr>
          <w:rFonts w:hint="eastAsia" w:ascii="宋体" w:hAnsi="宋体" w:cs="宋体"/>
          <w:color w:val="000000"/>
          <w:sz w:val="24"/>
          <w:u w:val="single"/>
        </w:rPr>
        <w:t xml:space="preserve">                  /                    </w:t>
      </w:r>
      <w:r>
        <w:rPr>
          <w:rFonts w:hint="eastAsia" w:ascii="宋体" w:hAnsi="宋体" w:cs="宋体"/>
          <w:color w:val="000000"/>
          <w:sz w:val="24"/>
        </w:rPr>
        <w:t>。</w:t>
      </w:r>
    </w:p>
    <w:p w14:paraId="63577F44">
      <w:pPr>
        <w:pStyle w:val="6"/>
        <w:keepNext w:val="0"/>
        <w:keepLines w:val="0"/>
        <w:spacing w:before="0" w:after="0" w:line="360" w:lineRule="auto"/>
        <w:rPr>
          <w:rFonts w:ascii="宋体" w:hAnsi="宋体" w:eastAsia="宋体" w:cs="宋体"/>
          <w:b w:val="0"/>
          <w:color w:val="000000"/>
          <w:sz w:val="24"/>
          <w:szCs w:val="24"/>
        </w:rPr>
      </w:pPr>
      <w:bookmarkStart w:id="596" w:name="_Toc351203640"/>
      <w:bookmarkStart w:id="597" w:name="_Toc386638614"/>
      <w:r>
        <w:rPr>
          <w:rFonts w:hint="eastAsia" w:ascii="宋体" w:hAnsi="宋体" w:eastAsia="宋体" w:cs="宋体"/>
          <w:b w:val="0"/>
          <w:color w:val="000000"/>
          <w:sz w:val="24"/>
          <w:szCs w:val="24"/>
        </w:rPr>
        <w:t>8. 材料与设备</w:t>
      </w:r>
      <w:bookmarkEnd w:id="596"/>
      <w:bookmarkEnd w:id="597"/>
    </w:p>
    <w:bookmarkEnd w:id="430"/>
    <w:bookmarkEnd w:id="431"/>
    <w:bookmarkEnd w:id="432"/>
    <w:bookmarkEnd w:id="433"/>
    <w:bookmarkEnd w:id="434"/>
    <w:bookmarkEnd w:id="435"/>
    <w:bookmarkEnd w:id="436"/>
    <w:bookmarkEnd w:id="437"/>
    <w:bookmarkEnd w:id="438"/>
    <w:bookmarkEnd w:id="439"/>
    <w:p w14:paraId="14057ACF">
      <w:pPr>
        <w:spacing w:line="360" w:lineRule="auto"/>
        <w:ind w:firstLine="480" w:firstLineChars="200"/>
        <w:rPr>
          <w:rFonts w:ascii="宋体" w:hAnsi="宋体" w:cs="宋体"/>
          <w:color w:val="000000"/>
          <w:sz w:val="24"/>
        </w:rPr>
      </w:pPr>
      <w:r>
        <w:rPr>
          <w:rFonts w:hint="eastAsia" w:ascii="宋体" w:hAnsi="宋体" w:cs="宋体"/>
          <w:color w:val="000000"/>
          <w:sz w:val="24"/>
        </w:rPr>
        <w:t>8</w:t>
      </w:r>
      <w:bookmarkStart w:id="598" w:name="_Toc297216186"/>
      <w:bookmarkStart w:id="599" w:name="_Toc292559877"/>
      <w:bookmarkStart w:id="600" w:name="_Toc300934979"/>
      <w:bookmarkStart w:id="601" w:name="_Toc304295556"/>
      <w:bookmarkStart w:id="602" w:name="_Toc296346668"/>
      <w:bookmarkStart w:id="603" w:name="_Toc297123527"/>
      <w:bookmarkStart w:id="604" w:name="_Toc296503167"/>
      <w:bookmarkStart w:id="605" w:name="_Toc292559372"/>
      <w:bookmarkStart w:id="606" w:name="_Toc312677493"/>
      <w:bookmarkStart w:id="607" w:name="_Toc312678019"/>
      <w:bookmarkStart w:id="608" w:name="_Toc296891207"/>
      <w:bookmarkStart w:id="609" w:name="_Toc296890995"/>
      <w:bookmarkStart w:id="610" w:name="_Toc296944506"/>
      <w:bookmarkStart w:id="611" w:name="_Toc280868654"/>
      <w:bookmarkStart w:id="612" w:name="_Toc296347166"/>
      <w:bookmarkStart w:id="613" w:name="_Toc297120467"/>
      <w:bookmarkStart w:id="614" w:name="_Toc297048353"/>
      <w:bookmarkStart w:id="615" w:name="_Toc303539136"/>
      <w:bookmarkStart w:id="616" w:name="_Toc267251424"/>
      <w:bookmarkStart w:id="617" w:name="_Toc280868656"/>
      <w:bookmarkStart w:id="618" w:name="_Toc280868655"/>
      <w:r>
        <w:rPr>
          <w:rFonts w:hint="eastAsia" w:ascii="宋体" w:hAnsi="宋体" w:cs="宋体"/>
          <w:color w:val="000000"/>
          <w:sz w:val="24"/>
        </w:rPr>
        <w:t>.4 材料与工程设备的保管与使用</w:t>
      </w:r>
    </w:p>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14:paraId="5C426591">
      <w:pPr>
        <w:spacing w:line="360" w:lineRule="auto"/>
        <w:ind w:firstLine="480" w:firstLineChars="200"/>
        <w:rPr>
          <w:rFonts w:ascii="宋体" w:hAnsi="宋体" w:cs="宋体"/>
          <w:color w:val="000000"/>
          <w:sz w:val="24"/>
        </w:rPr>
      </w:pPr>
      <w:r>
        <w:rPr>
          <w:rFonts w:hint="eastAsia" w:ascii="宋体" w:hAnsi="宋体" w:cs="宋体"/>
          <w:color w:val="000000"/>
          <w:sz w:val="24"/>
        </w:rPr>
        <w:t>8</w:t>
      </w:r>
      <w:bookmarkStart w:id="619" w:name="_Toc292559878"/>
      <w:bookmarkStart w:id="620" w:name="_Toc292559373"/>
      <w:bookmarkStart w:id="621" w:name="_Toc300934980"/>
      <w:bookmarkStart w:id="622" w:name="_Toc296944507"/>
      <w:bookmarkStart w:id="623" w:name="_Toc296347167"/>
      <w:bookmarkStart w:id="624" w:name="_Toc303539137"/>
      <w:bookmarkStart w:id="625" w:name="_Toc296503168"/>
      <w:bookmarkStart w:id="626" w:name="_Toc297123528"/>
      <w:bookmarkStart w:id="627" w:name="_Toc297216187"/>
      <w:bookmarkStart w:id="628" w:name="_Toc312678020"/>
      <w:bookmarkStart w:id="629" w:name="_Toc296890996"/>
      <w:bookmarkStart w:id="630" w:name="_Toc304295557"/>
      <w:bookmarkStart w:id="631" w:name="_Toc318581173"/>
      <w:bookmarkStart w:id="632" w:name="_Toc312677494"/>
      <w:bookmarkStart w:id="633" w:name="_Toc296891208"/>
      <w:bookmarkStart w:id="634" w:name="_Toc297120468"/>
      <w:bookmarkStart w:id="635" w:name="_Toc297048354"/>
      <w:bookmarkStart w:id="636" w:name="_Toc296346669"/>
      <w:r>
        <w:rPr>
          <w:rFonts w:hint="eastAsia" w:ascii="宋体" w:hAnsi="宋体" w:cs="宋体"/>
          <w:color w:val="000000"/>
          <w:sz w:val="24"/>
        </w:rPr>
        <w:t>.4.1 发包人供应的材料设备的保管费用的承担：</w:t>
      </w:r>
      <w:r>
        <w:rPr>
          <w:rFonts w:hint="eastAsia" w:ascii="宋体" w:hAnsi="宋体" w:cs="宋体"/>
          <w:color w:val="000000"/>
          <w:sz w:val="24"/>
          <w:u w:val="single"/>
        </w:rPr>
        <w:t xml:space="preserve">        /        </w:t>
      </w:r>
      <w:r>
        <w:rPr>
          <w:rFonts w:hint="eastAsia" w:ascii="宋体" w:hAnsi="宋体" w:cs="宋体"/>
          <w:color w:val="000000"/>
          <w:sz w:val="24"/>
        </w:rPr>
        <w:t>。</w:t>
      </w:r>
      <w:bookmarkEnd w:id="619"/>
      <w:bookmarkEnd w:id="620"/>
    </w:p>
    <w:p w14:paraId="0DF5A8DA">
      <w:pPr>
        <w:spacing w:line="360" w:lineRule="auto"/>
        <w:ind w:firstLine="480" w:firstLineChars="200"/>
        <w:rPr>
          <w:rFonts w:ascii="宋体" w:hAnsi="宋体" w:cs="宋体"/>
          <w:color w:val="000000"/>
          <w:sz w:val="24"/>
        </w:rPr>
      </w:pPr>
      <w:r>
        <w:rPr>
          <w:rFonts w:hint="eastAsia" w:ascii="宋体" w:hAnsi="宋体" w:cs="宋体"/>
          <w:color w:val="000000"/>
          <w:sz w:val="24"/>
        </w:rPr>
        <w:t>8.6 样品</w:t>
      </w:r>
    </w:p>
    <w:p w14:paraId="377C6C7E">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8.6.1 样品的报送与封存</w:t>
      </w:r>
    </w:p>
    <w:p w14:paraId="11B9624B">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需要承包人报送样品的材料或工程设备，样品的种类、名称、规格、数量要求：</w:t>
      </w:r>
    </w:p>
    <w:p w14:paraId="2C9B0226">
      <w:pPr>
        <w:autoSpaceDE w:val="0"/>
        <w:autoSpaceDN w:val="0"/>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 xml:space="preserve">                     /                                </w:t>
      </w:r>
    </w:p>
    <w:p w14:paraId="0E8841C0">
      <w:pPr>
        <w:spacing w:line="360" w:lineRule="auto"/>
        <w:ind w:firstLine="480" w:firstLineChars="200"/>
        <w:rPr>
          <w:rFonts w:ascii="宋体" w:hAnsi="宋体" w:cs="宋体"/>
          <w:color w:val="000000"/>
          <w:sz w:val="24"/>
        </w:rPr>
      </w:pPr>
      <w:r>
        <w:rPr>
          <w:rFonts w:hint="eastAsia" w:ascii="宋体" w:hAnsi="宋体" w:cs="宋体"/>
          <w:color w:val="000000"/>
          <w:sz w:val="24"/>
        </w:rPr>
        <w:t>8.8 施工设备和临时设施</w:t>
      </w:r>
    </w:p>
    <w:p w14:paraId="482A8F23">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8.8.1 承包人提供的施工设备和临时设施</w:t>
      </w:r>
    </w:p>
    <w:p w14:paraId="633DB232">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关于修建临时设施费用承担的约定：</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1DFDD91C">
      <w:pPr>
        <w:pStyle w:val="6"/>
        <w:keepNext w:val="0"/>
        <w:keepLines w:val="0"/>
        <w:spacing w:before="0" w:after="0" w:line="360" w:lineRule="auto"/>
        <w:rPr>
          <w:rFonts w:ascii="宋体" w:hAnsi="宋体" w:eastAsia="宋体" w:cs="宋体"/>
          <w:b w:val="0"/>
          <w:color w:val="000000"/>
          <w:sz w:val="24"/>
          <w:szCs w:val="24"/>
        </w:rPr>
      </w:pPr>
      <w:bookmarkStart w:id="637" w:name="_Toc351203641"/>
      <w:bookmarkStart w:id="638" w:name="_Toc386638615"/>
      <w:r>
        <w:rPr>
          <w:rFonts w:hint="eastAsia" w:ascii="宋体" w:hAnsi="宋体" w:eastAsia="宋体" w:cs="宋体"/>
          <w:b w:val="0"/>
          <w:color w:val="000000"/>
          <w:sz w:val="24"/>
          <w:szCs w:val="24"/>
        </w:rPr>
        <w:t>9</w:t>
      </w:r>
      <w:bookmarkEnd w:id="616"/>
      <w:bookmarkEnd w:id="617"/>
      <w:bookmarkEnd w:id="618"/>
      <w:bookmarkStart w:id="639" w:name="_Toc303539139"/>
      <w:bookmarkStart w:id="640" w:name="_Toc297216192"/>
      <w:bookmarkStart w:id="641" w:name="_Toc312678021"/>
      <w:bookmarkStart w:id="642" w:name="_Toc312677495"/>
      <w:bookmarkStart w:id="643" w:name="_Toc297123533"/>
      <w:bookmarkStart w:id="644" w:name="_Toc300934982"/>
      <w:bookmarkStart w:id="645" w:name="_Toc304295559"/>
      <w:bookmarkStart w:id="646" w:name="_Toc297048359"/>
      <w:bookmarkStart w:id="647" w:name="_Toc296891213"/>
      <w:bookmarkStart w:id="648" w:name="_Toc296944512"/>
      <w:bookmarkStart w:id="649" w:name="_Toc296891001"/>
      <w:bookmarkStart w:id="650" w:name="_Toc267251427"/>
      <w:bookmarkStart w:id="651" w:name="_Toc292559883"/>
      <w:bookmarkStart w:id="652" w:name="_Toc296346674"/>
      <w:bookmarkStart w:id="653" w:name="_Toc296347172"/>
      <w:bookmarkStart w:id="654" w:name="_Toc297120473"/>
      <w:bookmarkStart w:id="655" w:name="_Toc267251428"/>
      <w:bookmarkStart w:id="656" w:name="_Toc292559378"/>
      <w:bookmarkStart w:id="657" w:name="_Toc296503173"/>
      <w:r>
        <w:rPr>
          <w:rFonts w:hint="eastAsia" w:ascii="宋体" w:hAnsi="宋体" w:eastAsia="宋体" w:cs="宋体"/>
          <w:b w:val="0"/>
          <w:color w:val="000000"/>
          <w:sz w:val="24"/>
          <w:szCs w:val="24"/>
        </w:rPr>
        <w:t>. 试验与检验</w:t>
      </w:r>
      <w:bookmarkEnd w:id="637"/>
      <w:bookmarkEnd w:id="638"/>
    </w:p>
    <w:bookmarkEnd w:id="639"/>
    <w:bookmarkEnd w:id="640"/>
    <w:bookmarkEnd w:id="641"/>
    <w:bookmarkEnd w:id="642"/>
    <w:bookmarkEnd w:id="643"/>
    <w:bookmarkEnd w:id="644"/>
    <w:bookmarkEnd w:id="645"/>
    <w:p w14:paraId="3E8F7275">
      <w:pPr>
        <w:spacing w:line="360" w:lineRule="auto"/>
        <w:ind w:firstLine="480" w:firstLineChars="200"/>
        <w:rPr>
          <w:rFonts w:ascii="宋体" w:hAnsi="宋体" w:cs="宋体"/>
          <w:color w:val="000000"/>
          <w:sz w:val="24"/>
        </w:rPr>
      </w:pPr>
      <w:r>
        <w:rPr>
          <w:rFonts w:hint="eastAsia" w:ascii="宋体" w:hAnsi="宋体" w:cs="宋体"/>
          <w:color w:val="000000"/>
          <w:sz w:val="24"/>
        </w:rPr>
        <w:t>9</w:t>
      </w:r>
      <w:bookmarkStart w:id="658" w:name="_Toc303539140"/>
      <w:bookmarkStart w:id="659" w:name="_Toc297123534"/>
      <w:bookmarkStart w:id="660" w:name="_Toc297216193"/>
      <w:bookmarkStart w:id="661" w:name="_Toc312678022"/>
      <w:bookmarkStart w:id="662" w:name="_Toc300934983"/>
      <w:bookmarkStart w:id="663" w:name="_Toc312677496"/>
      <w:bookmarkStart w:id="664" w:name="_Toc304295560"/>
      <w:r>
        <w:rPr>
          <w:rFonts w:hint="eastAsia" w:ascii="宋体" w:hAnsi="宋体" w:cs="宋体"/>
          <w:color w:val="000000"/>
          <w:sz w:val="24"/>
        </w:rPr>
        <w:t>.1 试验设备与试验人员</w:t>
      </w:r>
    </w:p>
    <w:bookmarkEnd w:id="658"/>
    <w:bookmarkEnd w:id="659"/>
    <w:bookmarkEnd w:id="660"/>
    <w:bookmarkEnd w:id="661"/>
    <w:bookmarkEnd w:id="662"/>
    <w:bookmarkEnd w:id="663"/>
    <w:bookmarkEnd w:id="664"/>
    <w:p w14:paraId="72235670">
      <w:pPr>
        <w:spacing w:line="360" w:lineRule="auto"/>
        <w:ind w:firstLine="480" w:firstLineChars="200"/>
        <w:rPr>
          <w:rFonts w:ascii="宋体" w:hAnsi="宋体" w:cs="宋体"/>
          <w:color w:val="000000"/>
          <w:sz w:val="24"/>
        </w:rPr>
      </w:pPr>
      <w:r>
        <w:rPr>
          <w:rFonts w:hint="eastAsia" w:ascii="宋体" w:hAnsi="宋体" w:cs="宋体"/>
          <w:color w:val="000000"/>
          <w:sz w:val="24"/>
        </w:rPr>
        <w:t>9</w:t>
      </w:r>
      <w:bookmarkStart w:id="665" w:name="_Toc297216194"/>
      <w:bookmarkStart w:id="666" w:name="_Toc312678023"/>
      <w:bookmarkStart w:id="667" w:name="_Toc297123535"/>
      <w:bookmarkStart w:id="668" w:name="_Toc303539141"/>
      <w:bookmarkStart w:id="669" w:name="_Toc300934984"/>
      <w:bookmarkStart w:id="670" w:name="_Toc312677497"/>
      <w:bookmarkStart w:id="671" w:name="_Toc304295561"/>
      <w:bookmarkStart w:id="672" w:name="_Toc318581174"/>
      <w:r>
        <w:rPr>
          <w:rFonts w:hint="eastAsia" w:ascii="宋体" w:hAnsi="宋体" w:cs="宋体"/>
          <w:color w:val="000000"/>
          <w:sz w:val="24"/>
        </w:rPr>
        <w:t>.1.2 试验设备</w:t>
      </w:r>
    </w:p>
    <w:p w14:paraId="7B697D4D">
      <w:pPr>
        <w:spacing w:line="360" w:lineRule="auto"/>
        <w:ind w:firstLine="480" w:firstLineChars="200"/>
        <w:rPr>
          <w:rFonts w:ascii="宋体" w:hAnsi="宋体" w:cs="宋体"/>
          <w:color w:val="000000"/>
          <w:sz w:val="24"/>
        </w:rPr>
      </w:pPr>
      <w:r>
        <w:rPr>
          <w:rFonts w:hint="eastAsia" w:ascii="宋体" w:hAnsi="宋体" w:cs="宋体"/>
          <w:color w:val="000000"/>
          <w:sz w:val="24"/>
        </w:rPr>
        <w:t>施工现场需要配置的试验场所：</w:t>
      </w:r>
      <w:bookmarkEnd w:id="665"/>
      <w:bookmarkEnd w:id="666"/>
      <w:bookmarkEnd w:id="667"/>
      <w:bookmarkEnd w:id="668"/>
      <w:bookmarkEnd w:id="669"/>
      <w:bookmarkEnd w:id="670"/>
      <w:bookmarkEnd w:id="671"/>
      <w:bookmarkStart w:id="673" w:name="_Toc304295562"/>
      <w:bookmarkStart w:id="674" w:name="_Toc312677498"/>
      <w:bookmarkStart w:id="675" w:name="_Toc297216195"/>
      <w:bookmarkStart w:id="676" w:name="_Toc312678024"/>
      <w:bookmarkStart w:id="677" w:name="_Toc300934985"/>
      <w:bookmarkStart w:id="678" w:name="_Toc303539142"/>
      <w:bookmarkStart w:id="679" w:name="_Toc297123536"/>
      <w:r>
        <w:rPr>
          <w:rFonts w:hint="eastAsia" w:ascii="宋体" w:hAnsi="宋体" w:cs="宋体"/>
          <w:color w:val="000000"/>
          <w:sz w:val="24"/>
          <w:u w:val="single"/>
        </w:rPr>
        <w:t xml:space="preserve">        /           </w:t>
      </w:r>
      <w:r>
        <w:rPr>
          <w:rFonts w:hint="eastAsia" w:ascii="宋体" w:hAnsi="宋体" w:cs="宋体"/>
          <w:color w:val="000000"/>
          <w:sz w:val="24"/>
        </w:rPr>
        <w:t>。</w:t>
      </w:r>
    </w:p>
    <w:p w14:paraId="65651C52">
      <w:pPr>
        <w:spacing w:line="360" w:lineRule="auto"/>
        <w:ind w:firstLine="480" w:firstLineChars="200"/>
        <w:rPr>
          <w:rFonts w:ascii="宋体" w:hAnsi="宋体" w:cs="宋体"/>
          <w:color w:val="000000"/>
          <w:sz w:val="24"/>
        </w:rPr>
      </w:pPr>
      <w:r>
        <w:rPr>
          <w:rFonts w:hint="eastAsia" w:ascii="宋体" w:hAnsi="宋体" w:cs="宋体"/>
          <w:color w:val="000000"/>
          <w:sz w:val="24"/>
        </w:rPr>
        <w:t>施工现场需要配备的试验设备：</w:t>
      </w:r>
      <w:r>
        <w:rPr>
          <w:rFonts w:hint="eastAsia" w:ascii="宋体" w:hAnsi="宋体" w:cs="宋体"/>
          <w:color w:val="000000"/>
          <w:sz w:val="24"/>
          <w:u w:val="single"/>
        </w:rPr>
        <w:t xml:space="preserve">         /          </w:t>
      </w:r>
      <w:r>
        <w:rPr>
          <w:rFonts w:hint="eastAsia" w:ascii="宋体" w:hAnsi="宋体" w:cs="宋体"/>
          <w:color w:val="000000"/>
          <w:sz w:val="24"/>
        </w:rPr>
        <w:t>。</w:t>
      </w:r>
    </w:p>
    <w:p w14:paraId="53C7759B">
      <w:pPr>
        <w:spacing w:line="360" w:lineRule="auto"/>
        <w:ind w:firstLine="480" w:firstLineChars="200"/>
        <w:rPr>
          <w:rFonts w:ascii="宋体" w:hAnsi="宋体" w:cs="宋体"/>
          <w:color w:val="000000"/>
          <w:sz w:val="24"/>
        </w:rPr>
      </w:pPr>
      <w:r>
        <w:rPr>
          <w:rFonts w:hint="eastAsia" w:ascii="宋体" w:hAnsi="宋体" w:cs="宋体"/>
          <w:color w:val="000000"/>
          <w:sz w:val="24"/>
        </w:rPr>
        <w:t>施工现场需要具备的其他试验条件：</w:t>
      </w:r>
      <w:r>
        <w:rPr>
          <w:rFonts w:hint="eastAsia" w:ascii="宋体" w:hAnsi="宋体" w:cs="宋体"/>
          <w:color w:val="000000"/>
          <w:sz w:val="24"/>
          <w:u w:val="single"/>
        </w:rPr>
        <w:t xml:space="preserve">       /        </w:t>
      </w:r>
      <w:r>
        <w:rPr>
          <w:rFonts w:hint="eastAsia" w:ascii="宋体" w:hAnsi="宋体" w:cs="宋体"/>
          <w:color w:val="000000"/>
          <w:sz w:val="24"/>
        </w:rPr>
        <w:t>。</w:t>
      </w:r>
    </w:p>
    <w:p w14:paraId="1D7CC965">
      <w:pPr>
        <w:spacing w:line="360" w:lineRule="auto"/>
        <w:ind w:firstLine="480" w:firstLineChars="200"/>
        <w:rPr>
          <w:rFonts w:ascii="宋体" w:hAnsi="宋体" w:cs="宋体"/>
          <w:color w:val="000000"/>
          <w:sz w:val="24"/>
        </w:rPr>
      </w:pPr>
      <w:r>
        <w:rPr>
          <w:rFonts w:hint="eastAsia" w:ascii="宋体" w:hAnsi="宋体" w:cs="宋体"/>
          <w:color w:val="000000"/>
          <w:sz w:val="24"/>
        </w:rPr>
        <w:t>9.4 现场工艺试验</w:t>
      </w:r>
    </w:p>
    <w:p w14:paraId="0765D1F5">
      <w:pPr>
        <w:spacing w:line="360" w:lineRule="auto"/>
        <w:ind w:firstLine="480" w:firstLineChars="200"/>
        <w:rPr>
          <w:rFonts w:ascii="宋体" w:hAnsi="宋体" w:cs="宋体"/>
          <w:color w:val="000000"/>
          <w:sz w:val="24"/>
        </w:rPr>
      </w:pPr>
      <w:r>
        <w:rPr>
          <w:rFonts w:hint="eastAsia" w:ascii="宋体" w:hAnsi="宋体" w:cs="宋体"/>
          <w:color w:val="000000"/>
          <w:sz w:val="24"/>
        </w:rPr>
        <w:t>现场工艺试验的有关约定：</w:t>
      </w:r>
      <w:r>
        <w:rPr>
          <w:rFonts w:hint="eastAsia" w:ascii="宋体" w:hAnsi="宋体" w:cs="宋体"/>
          <w:color w:val="000000"/>
          <w:sz w:val="24"/>
          <w:u w:val="single"/>
        </w:rPr>
        <w:t xml:space="preserve">           /            </w:t>
      </w:r>
      <w:r>
        <w:rPr>
          <w:rFonts w:hint="eastAsia" w:ascii="宋体" w:hAnsi="宋体" w:cs="宋体"/>
          <w:color w:val="000000"/>
          <w:sz w:val="24"/>
        </w:rPr>
        <w:t>。</w:t>
      </w:r>
    </w:p>
    <w:bookmarkEnd w:id="646"/>
    <w:bookmarkEnd w:id="647"/>
    <w:bookmarkEnd w:id="648"/>
    <w:bookmarkEnd w:id="649"/>
    <w:bookmarkEnd w:id="650"/>
    <w:bookmarkEnd w:id="651"/>
    <w:bookmarkEnd w:id="652"/>
    <w:bookmarkEnd w:id="653"/>
    <w:bookmarkEnd w:id="654"/>
    <w:bookmarkEnd w:id="655"/>
    <w:bookmarkEnd w:id="656"/>
    <w:bookmarkEnd w:id="657"/>
    <w:bookmarkEnd w:id="672"/>
    <w:bookmarkEnd w:id="673"/>
    <w:bookmarkEnd w:id="674"/>
    <w:bookmarkEnd w:id="675"/>
    <w:bookmarkEnd w:id="676"/>
    <w:bookmarkEnd w:id="677"/>
    <w:bookmarkEnd w:id="678"/>
    <w:bookmarkEnd w:id="679"/>
    <w:p w14:paraId="0BD26FCB">
      <w:pPr>
        <w:pStyle w:val="6"/>
        <w:keepNext w:val="0"/>
        <w:keepLines w:val="0"/>
        <w:spacing w:before="0" w:after="0" w:line="360" w:lineRule="auto"/>
        <w:rPr>
          <w:rFonts w:ascii="宋体" w:hAnsi="宋体" w:eastAsia="宋体" w:cs="宋体"/>
          <w:b w:val="0"/>
          <w:color w:val="000000"/>
          <w:sz w:val="24"/>
          <w:szCs w:val="24"/>
        </w:rPr>
      </w:pPr>
      <w:bookmarkStart w:id="680" w:name="_Toc351203642"/>
      <w:bookmarkStart w:id="681" w:name="_Toc386638616"/>
      <w:bookmarkStart w:id="682" w:name="_Toc267251442"/>
      <w:bookmarkStart w:id="683" w:name="_Toc267251433"/>
      <w:bookmarkStart w:id="684" w:name="_Toc267251437"/>
      <w:bookmarkStart w:id="685" w:name="_Toc267251439"/>
      <w:bookmarkStart w:id="686" w:name="_Toc267251441"/>
      <w:bookmarkStart w:id="687" w:name="_Toc267251435"/>
      <w:bookmarkStart w:id="688" w:name="_Toc267251440"/>
      <w:r>
        <w:rPr>
          <w:rFonts w:hint="eastAsia" w:ascii="宋体" w:hAnsi="宋体" w:eastAsia="宋体" w:cs="宋体"/>
          <w:b w:val="0"/>
          <w:color w:val="000000"/>
          <w:sz w:val="24"/>
          <w:szCs w:val="24"/>
        </w:rPr>
        <w:t>1</w:t>
      </w:r>
      <w:bookmarkStart w:id="689" w:name="_Toc296944532"/>
      <w:bookmarkStart w:id="690" w:name="_Toc297123540"/>
      <w:bookmarkStart w:id="691" w:name="_Toc297048379"/>
      <w:bookmarkStart w:id="692" w:name="_Toc296346694"/>
      <w:bookmarkStart w:id="693" w:name="_Toc297216199"/>
      <w:bookmarkStart w:id="694" w:name="_Toc296891021"/>
      <w:bookmarkStart w:id="695" w:name="_Toc296503193"/>
      <w:bookmarkStart w:id="696" w:name="_Toc297120493"/>
      <w:bookmarkStart w:id="697" w:name="_Toc304295566"/>
      <w:bookmarkStart w:id="698" w:name="_Toc296891233"/>
      <w:bookmarkStart w:id="699" w:name="_Toc300934989"/>
      <w:bookmarkStart w:id="700" w:name="_Toc292559903"/>
      <w:bookmarkStart w:id="701" w:name="_Toc303539146"/>
      <w:bookmarkStart w:id="702" w:name="_Toc296347192"/>
      <w:bookmarkStart w:id="703" w:name="_Toc292559398"/>
      <w:bookmarkStart w:id="704" w:name="_Toc312678025"/>
      <w:bookmarkStart w:id="705" w:name="_Toc312677499"/>
      <w:r>
        <w:rPr>
          <w:rFonts w:hint="eastAsia" w:ascii="宋体" w:hAnsi="宋体" w:eastAsia="宋体" w:cs="宋体"/>
          <w:b w:val="0"/>
          <w:color w:val="000000"/>
          <w:sz w:val="24"/>
          <w:szCs w:val="24"/>
        </w:rPr>
        <w:t>0. 变更</w:t>
      </w:r>
      <w:bookmarkEnd w:id="680"/>
      <w:bookmarkEnd w:id="681"/>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bookmarkEnd w:id="704"/>
    <w:bookmarkEnd w:id="705"/>
    <w:p w14:paraId="7750A825">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706" w:name="_Toc312678026"/>
      <w:bookmarkStart w:id="707" w:name="_Toc296944533"/>
      <w:bookmarkStart w:id="708" w:name="_Toc297048380"/>
      <w:bookmarkStart w:id="709" w:name="_Toc297123541"/>
      <w:bookmarkStart w:id="710" w:name="_Toc296346695"/>
      <w:bookmarkStart w:id="711" w:name="_Toc296503194"/>
      <w:bookmarkStart w:id="712" w:name="_Toc296347193"/>
      <w:bookmarkStart w:id="713" w:name="_Toc292559399"/>
      <w:bookmarkStart w:id="714" w:name="_Toc304295567"/>
      <w:bookmarkStart w:id="715" w:name="_Toc312677500"/>
      <w:bookmarkStart w:id="716" w:name="_Toc300934990"/>
      <w:bookmarkStart w:id="717" w:name="_Toc297120494"/>
      <w:bookmarkStart w:id="718" w:name="_Toc292559904"/>
      <w:bookmarkStart w:id="719" w:name="_Toc303539147"/>
      <w:bookmarkStart w:id="720" w:name="_Toc297216200"/>
      <w:bookmarkStart w:id="721" w:name="_Toc296891022"/>
      <w:bookmarkStart w:id="722" w:name="_Toc296891234"/>
      <w:r>
        <w:rPr>
          <w:rFonts w:hint="eastAsia" w:ascii="宋体" w:hAnsi="宋体" w:cs="宋体"/>
          <w:color w:val="000000"/>
          <w:sz w:val="24"/>
        </w:rPr>
        <w:t>0.1 变更的范围</w:t>
      </w:r>
    </w:p>
    <w:p w14:paraId="4C13C0BF">
      <w:pPr>
        <w:spacing w:line="360" w:lineRule="auto"/>
        <w:ind w:firstLine="480" w:firstLineChars="200"/>
        <w:rPr>
          <w:rFonts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除了通用合同条款明确的以外还包括：工程质量、规模标准（等级）的改变调整；工程施工内容增、减、取消；设计图纸的修改（包括</w:t>
      </w:r>
      <w:r>
        <w:rPr>
          <w:rFonts w:hint="eastAsia" w:ascii="宋体" w:hAnsi="宋体" w:cs="宋体"/>
          <w:color w:val="000000"/>
          <w:sz w:val="24"/>
          <w:u w:val="single"/>
          <w:shd w:val="clear" w:color="auto" w:fill="FFFFFF"/>
        </w:rPr>
        <w:t>功能或构造、</w:t>
      </w:r>
      <w:r>
        <w:rPr>
          <w:rFonts w:hint="eastAsia" w:ascii="宋体" w:hAnsi="宋体" w:cs="宋体"/>
          <w:color w:val="000000"/>
          <w:sz w:val="24"/>
          <w:u w:val="single"/>
        </w:rPr>
        <w:t>工艺或做法、技术指标等工程设计上的优化或时间、顺序的改变）；施工条件以及施工组织设计上的改变；材料与设备的换用以及材料暂定价格的调整；其他实质性变更</w:t>
      </w:r>
      <w:r>
        <w:rPr>
          <w:rFonts w:hint="eastAsia" w:ascii="宋体" w:hAnsi="宋体" w:cs="宋体"/>
          <w:color w:val="000000"/>
          <w:sz w:val="24"/>
        </w:rPr>
        <w:t>。</w:t>
      </w:r>
    </w:p>
    <w:bookmarkEnd w:id="682"/>
    <w:bookmarkEnd w:id="683"/>
    <w:bookmarkEnd w:id="684"/>
    <w:bookmarkEnd w:id="685"/>
    <w:bookmarkEnd w:id="686"/>
    <w:bookmarkEnd w:id="687"/>
    <w:bookmarkEnd w:id="688"/>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14:paraId="16800BFF">
      <w:pPr>
        <w:spacing w:line="360" w:lineRule="auto"/>
        <w:ind w:firstLine="480" w:firstLineChars="200"/>
        <w:rPr>
          <w:rFonts w:ascii="宋体" w:hAnsi="宋体" w:cs="宋体"/>
          <w:sz w:val="24"/>
        </w:rPr>
      </w:pPr>
      <w:bookmarkStart w:id="723" w:name="_Toc386638619"/>
      <w:bookmarkStart w:id="724" w:name="_Toc351203645"/>
      <w:bookmarkStart w:id="725" w:name="_Toc297120519"/>
      <w:bookmarkStart w:id="726" w:name="_Toc296503219"/>
      <w:bookmarkStart w:id="727" w:name="_Toc300935015"/>
      <w:bookmarkStart w:id="728" w:name="_Toc296944558"/>
      <w:bookmarkStart w:id="729" w:name="_Toc292559929"/>
      <w:bookmarkStart w:id="730" w:name="_Toc296891259"/>
      <w:bookmarkStart w:id="731" w:name="_Toc312678053"/>
      <w:bookmarkStart w:id="732" w:name="_Toc297048405"/>
      <w:bookmarkStart w:id="733" w:name="_Toc303539172"/>
      <w:bookmarkStart w:id="734" w:name="_Toc304295593"/>
      <w:bookmarkStart w:id="735" w:name="_Toc296891047"/>
      <w:bookmarkStart w:id="736" w:name="_Toc292559424"/>
      <w:bookmarkStart w:id="737" w:name="_Toc296346720"/>
      <w:bookmarkStart w:id="738" w:name="_Toc297123564"/>
      <w:bookmarkStart w:id="739" w:name="_Toc297216223"/>
      <w:bookmarkStart w:id="740" w:name="_Toc296347218"/>
      <w:r>
        <w:rPr>
          <w:rFonts w:hint="eastAsia" w:ascii="宋体" w:hAnsi="宋体" w:cs="宋体"/>
          <w:sz w:val="24"/>
        </w:rPr>
        <w:t>10.4 变更估价</w:t>
      </w:r>
    </w:p>
    <w:p w14:paraId="66FCA04C">
      <w:pPr>
        <w:spacing w:line="360" w:lineRule="auto"/>
        <w:ind w:firstLine="480" w:firstLineChars="200"/>
        <w:rPr>
          <w:rFonts w:ascii="宋体" w:hAnsi="宋体" w:cs="宋体"/>
          <w:sz w:val="24"/>
        </w:rPr>
      </w:pPr>
      <w:r>
        <w:rPr>
          <w:rFonts w:hint="eastAsia" w:ascii="宋体" w:hAnsi="宋体" w:cs="宋体"/>
          <w:sz w:val="24"/>
        </w:rPr>
        <w:t>10.4.1 变更估价原则</w:t>
      </w:r>
    </w:p>
    <w:p w14:paraId="40EF5C6E">
      <w:pPr>
        <w:spacing w:line="360" w:lineRule="auto"/>
        <w:ind w:firstLine="480" w:firstLineChars="200"/>
        <w:rPr>
          <w:rFonts w:ascii="宋体" w:hAnsi="宋体" w:cs="宋体"/>
          <w:sz w:val="24"/>
        </w:rPr>
      </w:pPr>
      <w:bookmarkStart w:id="741" w:name="_Toc351203643"/>
      <w:bookmarkStart w:id="742" w:name="_Toc386638617"/>
      <w:r>
        <w:rPr>
          <w:rFonts w:hint="eastAsia" w:ascii="宋体" w:hAnsi="宋体" w:cs="宋体"/>
          <w:sz w:val="24"/>
        </w:rPr>
        <w:t xml:space="preserve">关于变更估价的约定: </w:t>
      </w:r>
    </w:p>
    <w:p w14:paraId="1E031CFA">
      <w:pPr>
        <w:spacing w:line="360" w:lineRule="auto"/>
        <w:ind w:firstLine="504" w:firstLineChars="210"/>
        <w:rPr>
          <w:rFonts w:ascii="宋体" w:hAnsi="宋体" w:cs="宋体"/>
          <w:sz w:val="24"/>
        </w:rPr>
      </w:pPr>
      <w:r>
        <w:rPr>
          <w:rFonts w:hint="eastAsia" w:ascii="宋体" w:hAnsi="宋体" w:cs="宋体"/>
          <w:sz w:val="24"/>
        </w:rPr>
        <w:t xml:space="preserve">合同履行过程中，发生下列情况之一的，工程量清单项目及其工程量均应按实调整： </w:t>
      </w:r>
    </w:p>
    <w:p w14:paraId="018B6474">
      <w:pPr>
        <w:spacing w:line="360" w:lineRule="auto"/>
        <w:ind w:firstLine="504" w:firstLineChars="210"/>
        <w:rPr>
          <w:rFonts w:ascii="宋体" w:hAnsi="宋体" w:cs="宋体"/>
          <w:sz w:val="24"/>
        </w:rPr>
      </w:pPr>
      <w:r>
        <w:rPr>
          <w:rFonts w:hint="eastAsia" w:ascii="宋体" w:hAnsi="宋体" w:cs="宋体"/>
          <w:sz w:val="24"/>
        </w:rPr>
        <w:t>（1）设计变更引起新增清单项目或取消原有项目；</w:t>
      </w:r>
    </w:p>
    <w:p w14:paraId="5AE6B12C">
      <w:pPr>
        <w:spacing w:line="360" w:lineRule="auto"/>
        <w:ind w:firstLine="504" w:firstLineChars="210"/>
        <w:rPr>
          <w:rFonts w:ascii="宋体" w:hAnsi="宋体" w:cs="宋体"/>
          <w:sz w:val="24"/>
        </w:rPr>
      </w:pPr>
      <w:r>
        <w:rPr>
          <w:rFonts w:hint="eastAsia" w:ascii="宋体" w:hAnsi="宋体" w:cs="宋体"/>
          <w:sz w:val="24"/>
        </w:rPr>
        <w:t>（2）设计变更引起的工程量清单项目数量的增减。</w:t>
      </w:r>
    </w:p>
    <w:p w14:paraId="63E3624A">
      <w:pPr>
        <w:spacing w:line="360" w:lineRule="auto"/>
        <w:ind w:firstLine="504" w:firstLineChars="210"/>
        <w:rPr>
          <w:rFonts w:ascii="宋体" w:hAnsi="宋体" w:cs="宋体"/>
          <w:sz w:val="24"/>
        </w:rPr>
      </w:pPr>
      <w:r>
        <w:rPr>
          <w:rFonts w:hint="eastAsia" w:ascii="宋体" w:hAnsi="宋体" w:cs="宋体"/>
          <w:sz w:val="24"/>
        </w:rPr>
        <w:t>合同履行过程中，如出现工程量偏差达到合同约定幅度、工程量清单项目特征描述与施工图不符、工程量清单缺项、工程变更引起原清单项目特征描述变化以及增加的清单项目时，其相应综合单价按以下原则确定：</w:t>
      </w:r>
    </w:p>
    <w:p w14:paraId="6D3632B7">
      <w:pPr>
        <w:spacing w:line="360" w:lineRule="auto"/>
        <w:ind w:firstLine="506" w:firstLineChars="210"/>
        <w:rPr>
          <w:rFonts w:ascii="宋体" w:hAnsi="宋体" w:cs="宋体"/>
          <w:b/>
          <w:sz w:val="24"/>
        </w:rPr>
      </w:pPr>
      <w:r>
        <w:rPr>
          <w:rFonts w:hint="eastAsia" w:ascii="宋体" w:hAnsi="宋体" w:cs="宋体"/>
          <w:b/>
          <w:sz w:val="24"/>
        </w:rPr>
        <w:t>10.4.1.1</w:t>
      </w:r>
    </w:p>
    <w:p w14:paraId="079D55E9">
      <w:pPr>
        <w:spacing w:line="360" w:lineRule="auto"/>
        <w:ind w:firstLine="360" w:firstLineChars="150"/>
        <w:rPr>
          <w:rFonts w:ascii="宋体" w:hAnsi="宋体" w:cs="宋体"/>
          <w:sz w:val="24"/>
        </w:rPr>
      </w:pPr>
      <w:r>
        <w:rPr>
          <w:rFonts w:hint="eastAsia" w:ascii="宋体" w:hAnsi="宋体" w:cs="宋体"/>
          <w:sz w:val="24"/>
        </w:rPr>
        <w:t xml:space="preserve">（1）非承包人原因引起的工程量偏差，该项工程量变化幅度在规定范围以内的，应执行合同原有的综合单价；  </w:t>
      </w:r>
    </w:p>
    <w:p w14:paraId="3D106B96">
      <w:pPr>
        <w:spacing w:line="360" w:lineRule="auto"/>
        <w:ind w:firstLine="504" w:firstLineChars="210"/>
        <w:rPr>
          <w:rFonts w:ascii="宋体" w:hAnsi="宋体" w:cs="宋体"/>
          <w:sz w:val="24"/>
        </w:rPr>
      </w:pPr>
      <w:r>
        <w:rPr>
          <w:rFonts w:hint="eastAsia" w:ascii="宋体" w:hAnsi="宋体" w:cs="宋体"/>
          <w:sz w:val="24"/>
        </w:rPr>
        <w:t>合价金额占合同总价2%及以上的分部分项清单项目其工程量增减超过本项工程量15%及以上，或合价金额占合同总价不到2%的分部分项清单项目，但其工程量增减超过本项目工程数量25%及以上时，则超过部分应重新确定综合单价。综合单价由承包人按合同约定(招标文件)的计价依据并取费结合《关于明确政府投资建设工程要素价格风险的通知》(宁发改［2014］24 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2）安全文明施工基本费、二次搬运费、冬雨季施工增加费、行车、行人干扰增加费、企业管理费、利润等弹性费率取中值。（3）规费：规费按标准费率的30%计取。（4）采用一般计税法，税率按9%计取。]</w:t>
      </w:r>
    </w:p>
    <w:p w14:paraId="0E53BF55">
      <w:pPr>
        <w:spacing w:line="360" w:lineRule="auto"/>
        <w:ind w:firstLine="504" w:firstLineChars="210"/>
        <w:rPr>
          <w:rFonts w:ascii="宋体" w:hAnsi="宋体" w:cs="宋体"/>
          <w:sz w:val="24"/>
        </w:rPr>
      </w:pPr>
      <w:r>
        <w:rPr>
          <w:rFonts w:hint="eastAsia" w:ascii="宋体" w:hAnsi="宋体" w:cs="宋体"/>
          <w:sz w:val="24"/>
        </w:rPr>
        <w:t>［减少后剩余部分工程量是指工程量减少超过15%以上部分。例：原清单某项工程量为100m3，①实际结算工程量为65m3，即减少超过15%以上部份工程量20m3；②实际结算工程量零，即减少超过15%工程量为85m3］</w:t>
      </w:r>
    </w:p>
    <w:p w14:paraId="3D35FFDF">
      <w:pPr>
        <w:spacing w:line="360" w:lineRule="auto"/>
        <w:ind w:firstLine="504" w:firstLineChars="210"/>
        <w:rPr>
          <w:rFonts w:ascii="宋体" w:hAnsi="宋体" w:cs="宋体"/>
          <w:sz w:val="24"/>
        </w:rPr>
      </w:pPr>
      <w:r>
        <w:rPr>
          <w:rFonts w:hint="eastAsia" w:ascii="宋体" w:hAnsi="宋体" w:cs="宋体"/>
          <w:sz w:val="24"/>
        </w:rPr>
        <w:t>（2）因施工中出现施工图纸与工程量清单项目特征描述不符、分部分项工程量清单项目缺项(或漏项)、非承包人原因的工程变更等，引起新的工程项目，其相应的综合单价按以下方法确定：</w:t>
      </w:r>
    </w:p>
    <w:p w14:paraId="22B41C9B">
      <w:pPr>
        <w:spacing w:line="360" w:lineRule="auto"/>
        <w:ind w:firstLine="504" w:firstLineChars="210"/>
        <w:rPr>
          <w:rFonts w:ascii="宋体" w:hAnsi="宋体" w:cs="宋体"/>
          <w:sz w:val="24"/>
        </w:rPr>
      </w:pPr>
      <w:r>
        <w:rPr>
          <w:rFonts w:hint="eastAsia" w:ascii="宋体" w:hAnsi="宋体" w:cs="宋体"/>
          <w:sz w:val="24"/>
        </w:rPr>
        <w:t>①已标价工程量清单中存在适用于变更工程项目的，采用该项目的单价；</w:t>
      </w:r>
    </w:p>
    <w:p w14:paraId="68680B08">
      <w:pPr>
        <w:spacing w:line="360" w:lineRule="auto"/>
        <w:ind w:firstLine="504" w:firstLineChars="210"/>
        <w:rPr>
          <w:rFonts w:ascii="宋体" w:hAnsi="宋体" w:cs="宋体"/>
          <w:sz w:val="24"/>
        </w:rPr>
      </w:pPr>
      <w:r>
        <w:rPr>
          <w:rFonts w:hint="eastAsia" w:ascii="宋体" w:hAnsi="宋体" w:cs="宋体"/>
          <w:sz w:val="24"/>
        </w:rPr>
        <w:t>②已标价工程量清单中不存在适用单价但存在与变更工程类似项目价格的，可以参照类似项目的单价；如</w:t>
      </w:r>
      <w:r>
        <w:rPr>
          <w:rFonts w:hint="eastAsia" w:ascii="宋体" w:hAnsi="宋体" w:cs="宋体"/>
          <w:kern w:val="0"/>
          <w:sz w:val="24"/>
        </w:rPr>
        <w:t>某种材料（或半成品及成品）等级、标准变化的，清单组合子目不变，仅调整不同的材料价格；清单项目某一特征或工程内容变化，不影响其他特征及工程内容价格的，其他特征组合标准不变，仅调整发生变化的组合子目价格</w:t>
      </w:r>
      <w:r>
        <w:rPr>
          <w:rFonts w:hint="eastAsia" w:ascii="宋体" w:hAnsi="宋体" w:cs="宋体"/>
          <w:sz w:val="24"/>
        </w:rPr>
        <w:t>；</w:t>
      </w:r>
    </w:p>
    <w:p w14:paraId="130E3C28">
      <w:pPr>
        <w:spacing w:line="360" w:lineRule="auto"/>
        <w:ind w:firstLine="504" w:firstLineChars="210"/>
        <w:rPr>
          <w:rFonts w:ascii="宋体" w:hAnsi="宋体" w:cs="宋体"/>
          <w:sz w:val="24"/>
        </w:rPr>
      </w:pPr>
      <w:r>
        <w:rPr>
          <w:rFonts w:hint="eastAsia" w:ascii="宋体" w:hAnsi="宋体" w:cs="宋体"/>
          <w:sz w:val="24"/>
        </w:rPr>
        <w:t xml:space="preserve"> ③已标价工程量清单中不存在适用的价格也没有类似的变更工程项目价格的(一般指新增项目)，则由承包人按照变更工程资料、合同约定或者招标文件采用的计价依据、取费结合《关于明确政府投资建设工程要素价格风险的通知》(宁发改［2014］24号)文件按承包人的中标下浮率（下浮</w:t>
      </w:r>
      <w:r>
        <w:rPr>
          <w:rFonts w:hint="eastAsia" w:ascii="宋体" w:hAnsi="宋体" w:cs="宋体"/>
          <w:sz w:val="24"/>
          <w:u w:val="single"/>
        </w:rPr>
        <w:t xml:space="preserve">    %</w:t>
      </w:r>
      <w:r>
        <w:rPr>
          <w:rFonts w:hint="eastAsia" w:ascii="宋体" w:hAnsi="宋体" w:cs="宋体"/>
          <w:sz w:val="24"/>
        </w:rPr>
        <w:t>）组价后提出，经发包人确认后调整[工程类别：按房屋建筑及构筑物工程取费，弹性费率按中值计取。安全文明施工费弹性费率取中值。（3）规费：规费按标准费率的30%计取。（4）采用一般计税法，税率按9%计取。]</w:t>
      </w:r>
    </w:p>
    <w:p w14:paraId="7EA40DA3">
      <w:pPr>
        <w:spacing w:line="360" w:lineRule="auto"/>
        <w:ind w:firstLine="504" w:firstLineChars="210"/>
        <w:rPr>
          <w:rFonts w:ascii="宋体" w:hAnsi="宋体" w:cs="宋体"/>
          <w:sz w:val="24"/>
        </w:rPr>
      </w:pPr>
      <w:r>
        <w:rPr>
          <w:rFonts w:hint="eastAsia" w:ascii="宋体" w:hAnsi="宋体" w:cs="宋体"/>
          <w:sz w:val="24"/>
        </w:rPr>
        <w:t>（3）投标综合单价异常的处理</w:t>
      </w:r>
    </w:p>
    <w:p w14:paraId="3DB4E672">
      <w:pPr>
        <w:spacing w:line="360" w:lineRule="auto"/>
        <w:ind w:firstLine="504" w:firstLineChars="21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 MERGEFORMAT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综合单价异常的判定，投标报价的综合单价与合同规定计价依据（即招标控制价编制的计价依据）计算出来的综合单价相比较偏差+-30%以上；虽然综合单价正常，但组成综合单价的人、材、机消耗量或单价与按合同规定计价依据计算的人、材、机消耗量或单价相比偏差+-30%以上；其他异常情况。</w:t>
      </w:r>
    </w:p>
    <w:p w14:paraId="7530B7B4">
      <w:pPr>
        <w:spacing w:line="360" w:lineRule="auto"/>
        <w:ind w:firstLine="504" w:firstLineChars="21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 MERGEFORMAT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在工程竣工结算阶段，如发现已标价综合单价异常，则工程量增、减在本项工程量15%以内的，均按原综合单价执行；综合单价异常的清单子目、工程量增加超过本项目工程量15%以上部分工程量的综合单价按以上约定原则重新确定综合单价；工程量减少超过15%以上部分工程量，按以上约定原则重新确定综合单价，计算合价后，在该项目合价中扣除。</w:t>
      </w:r>
    </w:p>
    <w:p w14:paraId="64D63E98">
      <w:pPr>
        <w:spacing w:line="360" w:lineRule="auto"/>
        <w:ind w:firstLine="480" w:firstLineChars="200"/>
        <w:rPr>
          <w:rFonts w:ascii="宋体" w:hAnsi="宋体" w:cs="宋体"/>
          <w:kern w:val="0"/>
          <w:sz w:val="24"/>
        </w:rPr>
      </w:pPr>
      <w:r>
        <w:rPr>
          <w:rFonts w:hint="eastAsia" w:ascii="宋体" w:hAnsi="宋体" w:cs="宋体"/>
          <w:kern w:val="0"/>
          <w:sz w:val="24"/>
        </w:rPr>
        <w:t>10.4.1.3 关于变更措施项目费的约定：</w:t>
      </w:r>
    </w:p>
    <w:p w14:paraId="6FCAEDAB">
      <w:pPr>
        <w:spacing w:line="360" w:lineRule="auto"/>
        <w:ind w:firstLine="480" w:firstLineChars="200"/>
        <w:rPr>
          <w:rFonts w:ascii="宋体" w:hAnsi="宋体" w:cs="宋体"/>
          <w:kern w:val="0"/>
          <w:sz w:val="24"/>
        </w:rPr>
      </w:pPr>
      <w:r>
        <w:rPr>
          <w:rFonts w:hint="eastAsia" w:ascii="宋体" w:hAnsi="宋体" w:cs="宋体"/>
          <w:kern w:val="0"/>
          <w:sz w:val="24"/>
        </w:rPr>
        <w:t>分部分项工程量清单非承包人原因的工程变更，造成施工组织设计或施工方案变更，以及分部分项工程量变化，引起措施项目数量、内容发生变化，措施项目费按以下原则调整：</w:t>
      </w:r>
    </w:p>
    <w:p w14:paraId="499B4B6C">
      <w:pPr>
        <w:spacing w:line="360" w:lineRule="auto"/>
        <w:ind w:firstLine="480" w:firstLineChars="200"/>
        <w:rPr>
          <w:rFonts w:ascii="宋体" w:hAnsi="宋体" w:cs="宋体"/>
          <w:kern w:val="0"/>
          <w:sz w:val="24"/>
          <w:u w:val="single"/>
        </w:rPr>
      </w:pPr>
      <w:r>
        <w:rPr>
          <w:rFonts w:hint="eastAsia" w:ascii="宋体" w:hAnsi="宋体" w:cs="宋体"/>
          <w:kern w:val="0"/>
          <w:sz w:val="24"/>
        </w:rPr>
        <w:t>（1）施工组织措施费（按取费定额计取部分）按</w:t>
      </w:r>
      <w:r>
        <w:rPr>
          <w:rFonts w:hint="eastAsia" w:ascii="宋体" w:hAnsi="宋体" w:cs="宋体"/>
          <w:sz w:val="24"/>
        </w:rPr>
        <w:t>已标价工程量清单中的所列</w:t>
      </w:r>
      <w:r>
        <w:rPr>
          <w:rFonts w:hint="eastAsia" w:ascii="宋体" w:hAnsi="宋体" w:cs="宋体"/>
          <w:kern w:val="0"/>
          <w:sz w:val="24"/>
        </w:rPr>
        <w:t>费用包干使用，结算时无论工程量增减是否超过15%或新增项目均不作调整；新增的单项或单位工程施工组织措施费按相应工程计取。</w:t>
      </w:r>
    </w:p>
    <w:p w14:paraId="094DA62F">
      <w:pPr>
        <w:spacing w:line="360" w:lineRule="auto"/>
        <w:ind w:firstLine="480" w:firstLineChars="200"/>
        <w:rPr>
          <w:rFonts w:ascii="宋体" w:hAnsi="宋体" w:cs="宋体"/>
          <w:kern w:val="0"/>
          <w:sz w:val="24"/>
        </w:rPr>
      </w:pPr>
      <w:r>
        <w:rPr>
          <w:rFonts w:hint="eastAsia" w:ascii="宋体" w:hAnsi="宋体" w:cs="宋体"/>
          <w:kern w:val="0"/>
          <w:sz w:val="24"/>
        </w:rPr>
        <w:t>（2）大型机械设备进退场费及安拆费按</w:t>
      </w:r>
      <w:r>
        <w:rPr>
          <w:rFonts w:hint="eastAsia" w:ascii="宋体" w:hAnsi="宋体" w:cs="宋体"/>
          <w:sz w:val="24"/>
        </w:rPr>
        <w:t>已标价工程量清单中</w:t>
      </w:r>
      <w:r>
        <w:rPr>
          <w:rFonts w:hint="eastAsia" w:ascii="宋体" w:hAnsi="宋体" w:cs="宋体"/>
          <w:kern w:val="0"/>
          <w:sz w:val="24"/>
        </w:rPr>
        <w:t>施工技术措施清单所列数量包干使用，结算时不作调整；</w:t>
      </w:r>
    </w:p>
    <w:p w14:paraId="371038C1">
      <w:pPr>
        <w:spacing w:line="360" w:lineRule="auto"/>
        <w:ind w:firstLine="480" w:firstLineChars="200"/>
        <w:rPr>
          <w:rFonts w:ascii="宋体" w:hAnsi="宋体" w:cs="宋体"/>
          <w:sz w:val="24"/>
        </w:rPr>
      </w:pPr>
      <w:r>
        <w:rPr>
          <w:rFonts w:hint="eastAsia" w:ascii="宋体" w:hAnsi="宋体" w:cs="宋体"/>
          <w:kern w:val="0"/>
          <w:sz w:val="24"/>
        </w:rPr>
        <w:t>（3）施工技术措施项目（按现行定额部分）</w:t>
      </w:r>
      <w:r>
        <w:rPr>
          <w:rFonts w:hint="eastAsia" w:ascii="宋体" w:hAnsi="宋体" w:cs="宋体"/>
          <w:sz w:val="24"/>
          <w:u w:val="single"/>
        </w:rPr>
        <w:t>按工程量清单项目结算办法结算</w:t>
      </w:r>
      <w:r>
        <w:rPr>
          <w:rFonts w:hint="eastAsia" w:ascii="宋体" w:hAnsi="宋体" w:cs="宋体"/>
          <w:sz w:val="24"/>
        </w:rPr>
        <w:t>。</w:t>
      </w:r>
    </w:p>
    <w:p w14:paraId="732365B2">
      <w:pPr>
        <w:spacing w:line="360" w:lineRule="auto"/>
        <w:ind w:firstLine="480" w:firstLineChars="200"/>
        <w:rPr>
          <w:rFonts w:ascii="宋体" w:hAnsi="宋体" w:cs="宋体"/>
          <w:sz w:val="24"/>
        </w:rPr>
      </w:pPr>
      <w:r>
        <w:rPr>
          <w:rFonts w:hint="eastAsia" w:ascii="宋体" w:hAnsi="宋体" w:cs="宋体"/>
          <w:sz w:val="24"/>
        </w:rPr>
        <w:t>1</w:t>
      </w:r>
      <w:bookmarkStart w:id="743" w:name="_Toc292559907"/>
      <w:bookmarkStart w:id="744" w:name="_Toc297216203"/>
      <w:bookmarkStart w:id="745" w:name="_Toc292559402"/>
      <w:bookmarkStart w:id="746" w:name="_Toc296347196"/>
      <w:bookmarkStart w:id="747" w:name="_Toc300934993"/>
      <w:bookmarkStart w:id="748" w:name="_Toc297120497"/>
      <w:bookmarkStart w:id="749" w:name="_Toc297123544"/>
      <w:bookmarkStart w:id="750" w:name="_Toc297048383"/>
      <w:bookmarkStart w:id="751" w:name="_Toc296944536"/>
      <w:bookmarkStart w:id="752" w:name="_Toc296891025"/>
      <w:bookmarkStart w:id="753" w:name="_Toc296346698"/>
      <w:bookmarkStart w:id="754" w:name="_Toc296891237"/>
      <w:bookmarkStart w:id="755" w:name="_Toc303539150"/>
      <w:bookmarkStart w:id="756" w:name="_Toc296503197"/>
      <w:bookmarkStart w:id="757" w:name="_Toc312678029"/>
      <w:bookmarkStart w:id="758" w:name="_Toc304295570"/>
      <w:bookmarkStart w:id="759" w:name="_Toc312677503"/>
      <w:r>
        <w:rPr>
          <w:rFonts w:hint="eastAsia" w:ascii="宋体" w:hAnsi="宋体" w:cs="宋体"/>
          <w:sz w:val="24"/>
        </w:rPr>
        <w:t>0.5承</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Start w:id="760" w:name="_Toc297216204"/>
      <w:bookmarkStart w:id="761" w:name="_Toc297048389"/>
      <w:bookmarkStart w:id="762" w:name="_Toc296347202"/>
      <w:bookmarkStart w:id="763" w:name="_Toc296891243"/>
      <w:bookmarkStart w:id="764" w:name="_Toc296891031"/>
      <w:bookmarkStart w:id="765" w:name="_Toc296944542"/>
      <w:bookmarkStart w:id="766" w:name="_Toc296346704"/>
      <w:bookmarkStart w:id="767" w:name="_Toc297123545"/>
      <w:bookmarkStart w:id="768" w:name="_Toc297120503"/>
      <w:bookmarkStart w:id="769" w:name="_Toc296503203"/>
      <w:bookmarkStart w:id="770" w:name="_Toc300934994"/>
      <w:bookmarkStart w:id="771" w:name="_Toc292559408"/>
      <w:bookmarkStart w:id="772" w:name="_Toc303539151"/>
      <w:bookmarkStart w:id="773" w:name="_Toc292559913"/>
      <w:r>
        <w:rPr>
          <w:rFonts w:hint="eastAsia" w:ascii="宋体" w:hAnsi="宋体" w:cs="宋体"/>
          <w:sz w:val="24"/>
        </w:rPr>
        <w:t>包人的合理化建议</w:t>
      </w:r>
    </w:p>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14:paraId="62977264">
      <w:pPr>
        <w:spacing w:line="360" w:lineRule="auto"/>
        <w:ind w:firstLine="480" w:firstLineChars="200"/>
        <w:jc w:val="left"/>
        <w:rPr>
          <w:rFonts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   </w:t>
      </w:r>
      <w:r>
        <w:rPr>
          <w:rFonts w:hint="eastAsia" w:ascii="宋体" w:hAnsi="宋体" w:cs="宋体"/>
          <w:sz w:val="24"/>
        </w:rPr>
        <w:t>。</w:t>
      </w:r>
    </w:p>
    <w:p w14:paraId="54DB1F34">
      <w:pPr>
        <w:spacing w:line="360" w:lineRule="auto"/>
        <w:ind w:firstLine="480" w:firstLineChars="200"/>
        <w:jc w:val="left"/>
        <w:rPr>
          <w:rFonts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   /   </w:t>
      </w:r>
      <w:r>
        <w:rPr>
          <w:rFonts w:hint="eastAsia" w:ascii="宋体" w:hAnsi="宋体" w:cs="宋体"/>
          <w:sz w:val="24"/>
        </w:rPr>
        <w:t>。</w:t>
      </w:r>
    </w:p>
    <w:p w14:paraId="1CCDEF76">
      <w:pPr>
        <w:spacing w:line="360" w:lineRule="auto"/>
        <w:ind w:firstLine="480" w:firstLineChars="200"/>
        <w:jc w:val="left"/>
        <w:rPr>
          <w:rFonts w:ascii="宋体" w:hAnsi="宋体" w:cs="宋体"/>
          <w:sz w:val="24"/>
          <w:u w:val="single"/>
        </w:rPr>
      </w:pPr>
      <w:r>
        <w:rPr>
          <w:rFonts w:hint="eastAsia" w:ascii="宋体" w:hAnsi="宋体" w:cs="宋体"/>
          <w:sz w:val="24"/>
        </w:rPr>
        <w:t>承</w:t>
      </w:r>
      <w:bookmarkStart w:id="774" w:name="_Toc296891032"/>
      <w:bookmarkStart w:id="775" w:name="_Toc297120504"/>
      <w:bookmarkStart w:id="776" w:name="_Toc292559409"/>
      <w:bookmarkStart w:id="777" w:name="_Toc296346705"/>
      <w:bookmarkStart w:id="778" w:name="_Toc300934995"/>
      <w:bookmarkStart w:id="779" w:name="_Toc296347203"/>
      <w:bookmarkStart w:id="780" w:name="_Toc296944543"/>
      <w:bookmarkStart w:id="781" w:name="_Toc296503204"/>
      <w:bookmarkStart w:id="782" w:name="_Toc296891244"/>
      <w:bookmarkStart w:id="783" w:name="_Toc312677504"/>
      <w:bookmarkStart w:id="784" w:name="_Toc312678030"/>
      <w:bookmarkStart w:id="785" w:name="_Toc297216205"/>
      <w:bookmarkStart w:id="786" w:name="_Toc297123546"/>
      <w:bookmarkStart w:id="787" w:name="_Toc318581175"/>
      <w:bookmarkStart w:id="788" w:name="_Toc292559914"/>
      <w:bookmarkStart w:id="789" w:name="_Toc304295571"/>
      <w:bookmarkStart w:id="790" w:name="_Toc297048390"/>
      <w:bookmarkStart w:id="791" w:name="_Toc303539152"/>
      <w:r>
        <w:rPr>
          <w:rFonts w:hint="eastAsia" w:ascii="宋体" w:hAnsi="宋体" w:cs="宋体"/>
          <w:sz w:val="24"/>
        </w:rPr>
        <w:t>包人提出的合理化建议降低了合同价格或者提高了工程经济效益的奖励的方法和金额为：</w:t>
      </w:r>
      <w:r>
        <w:rPr>
          <w:rFonts w:hint="eastAsia" w:ascii="宋体" w:hAnsi="宋体" w:cs="宋体"/>
          <w:kern w:val="0"/>
          <w:sz w:val="24"/>
        </w:rPr>
        <w:t>奖励由承包人的合理化建议带给发包人利益的</w:t>
      </w:r>
      <w:r>
        <w:rPr>
          <w:rFonts w:hint="eastAsia" w:ascii="宋体" w:hAnsi="宋体" w:cs="宋体"/>
          <w:kern w:val="0"/>
          <w:sz w:val="24"/>
          <w:u w:val="single"/>
        </w:rPr>
        <w:t xml:space="preserve">   /   </w:t>
      </w:r>
      <w:r>
        <w:rPr>
          <w:rFonts w:hint="eastAsia" w:ascii="宋体" w:hAnsi="宋体" w:cs="宋体"/>
          <w:kern w:val="0"/>
          <w:sz w:val="24"/>
        </w:rPr>
        <w:t>。</w:t>
      </w:r>
    </w:p>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14:paraId="19A3C364">
      <w:pPr>
        <w:pStyle w:val="6"/>
        <w:spacing w:before="0" w:after="0" w:line="360" w:lineRule="auto"/>
        <w:rPr>
          <w:rFonts w:ascii="宋体" w:hAnsi="宋体" w:eastAsia="宋体" w:cs="宋体"/>
          <w:b w:val="0"/>
          <w:color w:val="000000"/>
          <w:sz w:val="24"/>
          <w:szCs w:val="24"/>
        </w:rPr>
      </w:pPr>
      <w:r>
        <w:rPr>
          <w:rFonts w:hint="eastAsia" w:ascii="宋体" w:hAnsi="宋体" w:eastAsia="宋体" w:cs="宋体"/>
          <w:b w:val="0"/>
          <w:color w:val="000000"/>
          <w:sz w:val="24"/>
          <w:szCs w:val="24"/>
        </w:rPr>
        <w:t>11. 价格调整</w:t>
      </w:r>
      <w:bookmarkEnd w:id="741"/>
      <w:bookmarkEnd w:id="742"/>
    </w:p>
    <w:p w14:paraId="28D62979">
      <w:pPr>
        <w:spacing w:line="360" w:lineRule="auto"/>
        <w:ind w:firstLine="480" w:firstLineChars="200"/>
        <w:rPr>
          <w:rFonts w:ascii="宋体" w:hAnsi="宋体" w:cs="宋体"/>
          <w:sz w:val="24"/>
        </w:rPr>
      </w:pPr>
      <w:bookmarkStart w:id="792" w:name="_Toc312678039"/>
      <w:bookmarkStart w:id="793" w:name="_Toc296944540"/>
      <w:bookmarkStart w:id="794" w:name="_Toc292559406"/>
      <w:bookmarkStart w:id="795" w:name="_Toc303539157"/>
      <w:bookmarkStart w:id="796" w:name="_Toc296346702"/>
      <w:bookmarkStart w:id="797" w:name="_Toc296891241"/>
      <w:bookmarkStart w:id="798" w:name="_Toc296347200"/>
      <w:bookmarkStart w:id="799" w:name="_Toc304295577"/>
      <w:bookmarkStart w:id="800" w:name="_Toc297216209"/>
      <w:bookmarkStart w:id="801" w:name="_Toc297120501"/>
      <w:bookmarkStart w:id="802" w:name="_Toc292559911"/>
      <w:bookmarkStart w:id="803" w:name="_Toc300935000"/>
      <w:bookmarkStart w:id="804" w:name="_Toc297048387"/>
      <w:bookmarkStart w:id="805" w:name="_Toc296891029"/>
      <w:bookmarkStart w:id="806" w:name="_Toc296503201"/>
      <w:bookmarkStart w:id="807" w:name="_Toc297123550"/>
      <w:r>
        <w:rPr>
          <w:rFonts w:hint="eastAsia" w:ascii="宋体" w:hAnsi="宋体" w:cs="宋体"/>
          <w:sz w:val="24"/>
        </w:rPr>
        <w:t>11.1 市场价格波动引起的调整</w:t>
      </w:r>
    </w:p>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14:paraId="367FB32C">
      <w:pPr>
        <w:pStyle w:val="6"/>
        <w:spacing w:before="0" w:after="0" w:line="360" w:lineRule="auto"/>
        <w:ind w:left="874" w:leftChars="176" w:hanging="504" w:hangingChars="210"/>
        <w:rPr>
          <w:rFonts w:ascii="宋体" w:hAnsi="宋体" w:eastAsia="宋体" w:cs="宋体"/>
          <w:b w:val="0"/>
          <w:sz w:val="24"/>
          <w:szCs w:val="24"/>
        </w:rPr>
      </w:pPr>
      <w:bookmarkStart w:id="808" w:name="_Toc296347204"/>
      <w:bookmarkStart w:id="809" w:name="_Toc296944544"/>
      <w:bookmarkStart w:id="810" w:name="_Toc296891033"/>
      <w:bookmarkStart w:id="811" w:name="_Toc296346706"/>
      <w:bookmarkStart w:id="812" w:name="_Toc296891245"/>
      <w:bookmarkStart w:id="813" w:name="_Toc292559410"/>
      <w:bookmarkStart w:id="814" w:name="_Toc296503205"/>
      <w:bookmarkStart w:id="815" w:name="_Toc297048391"/>
      <w:bookmarkStart w:id="816" w:name="_Toc297120505"/>
      <w:bookmarkStart w:id="817" w:name="_Toc292559915"/>
      <w:bookmarkStart w:id="818" w:name="_Toc351203644"/>
      <w:bookmarkStart w:id="819" w:name="_Toc386638618"/>
      <w:bookmarkStart w:id="820" w:name="_Toc300935002"/>
      <w:bookmarkStart w:id="821" w:name="_Toc304295579"/>
      <w:bookmarkStart w:id="822" w:name="_Toc297216211"/>
      <w:bookmarkStart w:id="823" w:name="_Toc312678040"/>
      <w:bookmarkStart w:id="824" w:name="_Toc297123552"/>
      <w:bookmarkStart w:id="825" w:name="_Toc303539159"/>
      <w:bookmarkStart w:id="826" w:name="_Toc303539161"/>
      <w:bookmarkStart w:id="827" w:name="_Toc304295581"/>
      <w:bookmarkStart w:id="828" w:name="_Toc297216213"/>
      <w:bookmarkStart w:id="829" w:name="_Toc297123554"/>
      <w:bookmarkStart w:id="830" w:name="_Toc300935004"/>
      <w:bookmarkStart w:id="831" w:name="_Toc312678042"/>
      <w:bookmarkStart w:id="832" w:name="_Toc292559917"/>
      <w:bookmarkStart w:id="833" w:name="_Toc296346708"/>
      <w:bookmarkStart w:id="834" w:name="_Toc297120507"/>
      <w:bookmarkStart w:id="835" w:name="_Toc296891247"/>
      <w:bookmarkStart w:id="836" w:name="_Toc296347206"/>
      <w:bookmarkStart w:id="837" w:name="_Toc296503207"/>
      <w:bookmarkStart w:id="838" w:name="_Toc292559412"/>
      <w:bookmarkStart w:id="839" w:name="_Toc296944546"/>
      <w:bookmarkStart w:id="840" w:name="_Toc297048393"/>
      <w:bookmarkStart w:id="841" w:name="_Toc296891035"/>
      <w:r>
        <w:rPr>
          <w:rFonts w:hint="eastAsia" w:ascii="宋体" w:hAnsi="宋体" w:eastAsia="宋体" w:cs="宋体"/>
          <w:b w:val="0"/>
          <w:sz w:val="24"/>
          <w:szCs w:val="24"/>
        </w:rPr>
        <w:t>市场价格波动是否调整合同价格的约定：</w:t>
      </w:r>
      <w:r>
        <w:rPr>
          <w:rFonts w:hint="eastAsia" w:ascii="宋体" w:hAnsi="宋体" w:eastAsia="宋体" w:cs="宋体"/>
          <w:b w:val="0"/>
          <w:sz w:val="24"/>
          <w:szCs w:val="24"/>
          <w:u w:val="single"/>
        </w:rPr>
        <w:t>不调整。</w:t>
      </w:r>
    </w:p>
    <w:p w14:paraId="151429AD">
      <w:pPr>
        <w:pStyle w:val="6"/>
        <w:spacing w:before="0" w:after="0" w:line="360" w:lineRule="auto"/>
        <w:jc w:val="left"/>
        <w:rPr>
          <w:rFonts w:ascii="宋体" w:hAnsi="宋体" w:eastAsia="宋体" w:cs="宋体"/>
          <w:b w:val="0"/>
          <w:sz w:val="24"/>
          <w:szCs w:val="24"/>
          <w:u w:val="single"/>
        </w:rPr>
      </w:pPr>
      <w:r>
        <w:rPr>
          <w:rFonts w:hint="eastAsia" w:ascii="宋体" w:hAnsi="宋体" w:eastAsia="宋体" w:cs="宋体"/>
          <w:b w:val="0"/>
          <w:sz w:val="24"/>
          <w:szCs w:val="24"/>
          <w:u w:val="single"/>
        </w:rPr>
        <w:t>如国家的法律、法规、规章和政策发生变化影响工程造价的，应按其规定调整合同价款。</w:t>
      </w:r>
    </w:p>
    <w:p w14:paraId="6CD93601">
      <w:pPr>
        <w:spacing w:line="360" w:lineRule="auto"/>
        <w:ind w:firstLine="480" w:firstLineChars="200"/>
        <w:rPr>
          <w:rFonts w:ascii="宋体" w:hAnsi="宋体" w:cs="宋体"/>
          <w:sz w:val="24"/>
        </w:rPr>
      </w:pPr>
      <w:r>
        <w:rPr>
          <w:rFonts w:hint="eastAsia" w:ascii="宋体" w:hAnsi="宋体" w:cs="宋体"/>
          <w:sz w:val="24"/>
        </w:rPr>
        <w:t>11.2 法律变化引起的调整</w:t>
      </w:r>
    </w:p>
    <w:p w14:paraId="482224F4">
      <w:pPr>
        <w:pStyle w:val="6"/>
        <w:spacing w:before="0" w:after="0" w:line="360" w:lineRule="auto"/>
        <w:ind w:left="874" w:leftChars="176" w:hanging="504" w:hangingChars="210"/>
        <w:rPr>
          <w:rFonts w:ascii="宋体" w:hAnsi="宋体" w:eastAsia="宋体" w:cs="宋体"/>
          <w:b w:val="0"/>
          <w:sz w:val="24"/>
          <w:szCs w:val="24"/>
        </w:rPr>
      </w:pPr>
      <w:r>
        <w:rPr>
          <w:rFonts w:hint="eastAsia" w:ascii="宋体" w:hAnsi="宋体" w:eastAsia="宋体" w:cs="宋体"/>
          <w:b w:val="0"/>
          <w:sz w:val="24"/>
          <w:szCs w:val="24"/>
        </w:rPr>
        <w:t>合同当事人关于本条的补充约定：</w:t>
      </w:r>
    </w:p>
    <w:p w14:paraId="58825E7A">
      <w:pPr>
        <w:spacing w:line="360" w:lineRule="auto"/>
        <w:ind w:firstLine="480" w:firstLineChars="200"/>
        <w:rPr>
          <w:rFonts w:ascii="宋体" w:hAnsi="宋体" w:cs="宋体"/>
          <w:sz w:val="24"/>
        </w:rPr>
      </w:pPr>
      <w:r>
        <w:rPr>
          <w:rFonts w:hint="eastAsia" w:ascii="宋体" w:hAnsi="宋体" w:cs="宋体"/>
          <w:sz w:val="24"/>
        </w:rPr>
        <w:t>（1）本条所称的法律包括法律、法规、规章及规范性文件。</w:t>
      </w:r>
    </w:p>
    <w:p w14:paraId="1A1CF444">
      <w:pPr>
        <w:spacing w:line="360" w:lineRule="auto"/>
        <w:ind w:firstLine="480" w:firstLineChars="200"/>
        <w:rPr>
          <w:rFonts w:ascii="宋体" w:hAnsi="宋体" w:cs="宋体"/>
          <w:sz w:val="24"/>
        </w:rPr>
      </w:pPr>
      <w:r>
        <w:rPr>
          <w:rFonts w:hint="eastAsia" w:ascii="宋体" w:hAnsi="宋体" w:cs="宋体"/>
          <w:sz w:val="24"/>
        </w:rPr>
        <w:t>基准日期后，法律变化引起工程造价增减变化的，发包人和承包人双方应按照省级或行业建设主管部门或其授权的工程造价管理机构据此发布的规定调整合同价款。</w:t>
      </w:r>
    </w:p>
    <w:p w14:paraId="734808CD">
      <w:pPr>
        <w:spacing w:line="360" w:lineRule="auto"/>
        <w:ind w:firstLine="480" w:firstLineChars="200"/>
        <w:rPr>
          <w:rFonts w:ascii="宋体" w:hAnsi="宋体" w:cs="宋体"/>
          <w:sz w:val="24"/>
        </w:rPr>
      </w:pPr>
      <w:r>
        <w:rPr>
          <w:rFonts w:hint="eastAsia" w:ascii="宋体" w:hAnsi="宋体" w:cs="宋体"/>
          <w:sz w:val="24"/>
        </w:rPr>
        <w:t xml:space="preserve">12. </w:t>
      </w:r>
      <w:bookmarkEnd w:id="808"/>
      <w:bookmarkEnd w:id="809"/>
      <w:bookmarkEnd w:id="810"/>
      <w:bookmarkEnd w:id="811"/>
      <w:bookmarkEnd w:id="812"/>
      <w:bookmarkEnd w:id="813"/>
      <w:bookmarkEnd w:id="814"/>
      <w:bookmarkEnd w:id="815"/>
      <w:bookmarkEnd w:id="816"/>
      <w:bookmarkEnd w:id="817"/>
      <w:r>
        <w:rPr>
          <w:rFonts w:hint="eastAsia" w:ascii="宋体" w:hAnsi="宋体" w:cs="宋体"/>
          <w:sz w:val="24"/>
        </w:rPr>
        <w:t>合同价格、计量与支付</w:t>
      </w:r>
      <w:bookmarkEnd w:id="818"/>
      <w:bookmarkEnd w:id="819"/>
    </w:p>
    <w:bookmarkEnd w:id="820"/>
    <w:bookmarkEnd w:id="821"/>
    <w:bookmarkEnd w:id="822"/>
    <w:bookmarkEnd w:id="823"/>
    <w:bookmarkEnd w:id="824"/>
    <w:bookmarkEnd w:id="825"/>
    <w:p w14:paraId="410F9F5A">
      <w:pPr>
        <w:spacing w:line="360" w:lineRule="auto"/>
        <w:ind w:firstLine="480" w:firstLineChars="200"/>
        <w:rPr>
          <w:rFonts w:ascii="宋体" w:hAnsi="宋体" w:cs="宋体"/>
          <w:sz w:val="24"/>
        </w:rPr>
      </w:pPr>
      <w:bookmarkStart w:id="842" w:name="_Toc292559916"/>
      <w:bookmarkStart w:id="843" w:name="_Toc267251461"/>
      <w:bookmarkStart w:id="844" w:name="_Toc292559411"/>
      <w:bookmarkStart w:id="845" w:name="_Toc297120506"/>
      <w:bookmarkStart w:id="846" w:name="_Toc297048392"/>
      <w:bookmarkStart w:id="847" w:name="_Toc296944545"/>
      <w:bookmarkStart w:id="848" w:name="_Toc296503206"/>
      <w:bookmarkStart w:id="849" w:name="_Toc296346707"/>
      <w:bookmarkStart w:id="850" w:name="_Toc296347205"/>
      <w:bookmarkStart w:id="851" w:name="_Toc296891034"/>
      <w:bookmarkStart w:id="852" w:name="_Toc296891246"/>
      <w:bookmarkStart w:id="853" w:name="_Toc297123553"/>
      <w:bookmarkStart w:id="854" w:name="_Toc300935003"/>
      <w:bookmarkStart w:id="855" w:name="_Toc304295580"/>
      <w:bookmarkStart w:id="856" w:name="_Toc297216212"/>
      <w:bookmarkStart w:id="857" w:name="_Toc303539160"/>
      <w:bookmarkStart w:id="858" w:name="_Toc312678041"/>
      <w:r>
        <w:rPr>
          <w:rFonts w:hint="eastAsia" w:ascii="宋体" w:hAnsi="宋体" w:cs="宋体"/>
          <w:sz w:val="24"/>
        </w:rPr>
        <w:t>12.1 合</w:t>
      </w:r>
      <w:bookmarkEnd w:id="842"/>
      <w:bookmarkEnd w:id="843"/>
      <w:bookmarkEnd w:id="844"/>
      <w:r>
        <w:rPr>
          <w:rFonts w:hint="eastAsia" w:ascii="宋体" w:hAnsi="宋体" w:cs="宋体"/>
          <w:sz w:val="24"/>
        </w:rPr>
        <w:t>同价</w:t>
      </w:r>
      <w:bookmarkEnd w:id="845"/>
      <w:bookmarkEnd w:id="846"/>
      <w:bookmarkEnd w:id="847"/>
      <w:bookmarkEnd w:id="848"/>
      <w:bookmarkEnd w:id="849"/>
      <w:bookmarkEnd w:id="850"/>
      <w:bookmarkEnd w:id="851"/>
      <w:bookmarkEnd w:id="852"/>
      <w:r>
        <w:rPr>
          <w:rFonts w:hint="eastAsia" w:ascii="宋体" w:hAnsi="宋体" w:cs="宋体"/>
          <w:sz w:val="24"/>
        </w:rPr>
        <w:t>格形式</w:t>
      </w:r>
    </w:p>
    <w:bookmarkEnd w:id="853"/>
    <w:bookmarkEnd w:id="854"/>
    <w:bookmarkEnd w:id="855"/>
    <w:bookmarkEnd w:id="856"/>
    <w:bookmarkEnd w:id="857"/>
    <w:bookmarkEnd w:id="858"/>
    <w:p w14:paraId="1E2EE0E7">
      <w:pPr>
        <w:spacing w:line="360" w:lineRule="auto"/>
        <w:ind w:firstLine="480" w:firstLineChars="200"/>
        <w:rPr>
          <w:rFonts w:ascii="宋体" w:hAnsi="宋体" w:cs="宋体"/>
          <w:b/>
          <w:kern w:val="0"/>
          <w:sz w:val="24"/>
          <w:u w:val="single"/>
        </w:rPr>
      </w:pPr>
      <w:r>
        <w:rPr>
          <w:rFonts w:hint="eastAsia" w:ascii="宋体" w:hAnsi="宋体" w:cs="宋体"/>
          <w:kern w:val="0"/>
          <w:sz w:val="24"/>
        </w:rPr>
        <w:t>1、本合同采用合同当事人签订的合同协议书中约定的价格形式，即：</w:t>
      </w:r>
      <w:r>
        <w:rPr>
          <w:rFonts w:hint="eastAsia" w:ascii="宋体" w:hAnsi="宋体" w:cs="宋体"/>
          <w:b/>
          <w:kern w:val="0"/>
          <w:sz w:val="24"/>
          <w:u w:val="single"/>
        </w:rPr>
        <w:t>单价合同。</w:t>
      </w:r>
    </w:p>
    <w:p w14:paraId="05C19C4D">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（1）综合单价包含的风险范围：</w:t>
      </w:r>
      <w:r>
        <w:rPr>
          <w:rFonts w:hint="eastAsia" w:ascii="宋体" w:hAnsi="宋体" w:cs="宋体"/>
          <w:color w:val="000000"/>
          <w:sz w:val="24"/>
          <w:u w:val="single"/>
        </w:rPr>
        <w:t>综合单价不做调整。</w:t>
      </w:r>
    </w:p>
    <w:p w14:paraId="00AD18D1">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（2）人工价差调整的结算期及方法：</w:t>
      </w:r>
      <w:r>
        <w:rPr>
          <w:rFonts w:hint="eastAsia" w:ascii="宋体" w:hAnsi="宋体" w:cs="宋体"/>
          <w:color w:val="000000"/>
          <w:sz w:val="24"/>
          <w:u w:val="single"/>
        </w:rPr>
        <w:t>人工价差不做调整。</w:t>
      </w:r>
    </w:p>
    <w:p w14:paraId="7CC18CD1">
      <w:pPr>
        <w:spacing w:line="360" w:lineRule="auto"/>
        <w:ind w:firstLine="480" w:firstLineChars="200"/>
        <w:rPr>
          <w:rFonts w:ascii="宋体" w:hAnsi="宋体" w:cs="宋体"/>
          <w:color w:val="000000"/>
          <w:sz w:val="24"/>
        </w:rPr>
      </w:pPr>
      <w:r>
        <w:rPr>
          <w:rFonts w:hint="eastAsia" w:ascii="宋体" w:hAnsi="宋体" w:cs="宋体"/>
          <w:color w:val="000000"/>
          <w:sz w:val="24"/>
        </w:rPr>
        <w:t>（3）材料价差调整的结算期及方法：</w:t>
      </w:r>
      <w:r>
        <w:rPr>
          <w:rFonts w:hint="eastAsia" w:ascii="宋体" w:hAnsi="宋体" w:cs="宋体"/>
          <w:color w:val="000000"/>
          <w:sz w:val="24"/>
          <w:u w:val="single"/>
        </w:rPr>
        <w:t>材料价差不做调整。</w:t>
      </w:r>
    </w:p>
    <w:p w14:paraId="3CC158D1">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（4</w:t>
      </w:r>
      <w:r>
        <w:rPr>
          <w:rFonts w:hint="eastAsia" w:ascii="宋体" w:hAnsi="宋体" w:cs="宋体"/>
          <w:color w:val="000000"/>
          <w:sz w:val="24"/>
          <w:u w:val="single"/>
        </w:rPr>
        <w:t>）如因发包人原因造成工期延误的，延误期间遇人工、单项材料上涨时，按实际工期月份结合《关于明确政府投资建设工程要素价格风险的通知》（宁发改[2014]24号）文件的市场信息价的算术平均值计取价差；反之，遇人工、单项材料下降时，按合同工期月份结合《关于明确政府投资建设工程要素价格风险的通知》（宁发改[2014]24号）文件的市场信息价的算术平均值计取价差。因承包人原因造成工期延误的，延误期间遇材料人工、单项材料上涨时，按合同工期月份的市场信息价的算术平均值计取价差；反之，遇人工、单项材料下降时，按实际工期月份《关于明确政府投资建设工程要素价格风险的通知》（宁发改[2014]24号）文件的市场信息价的算术平均值计取价差。以上发生的材料、人工的价差，只计取价差和税金，不计取其他任何费用。</w:t>
      </w:r>
    </w:p>
    <w:p w14:paraId="53088D22">
      <w:pPr>
        <w:spacing w:line="360" w:lineRule="auto"/>
        <w:ind w:firstLine="440" w:firstLineChars="200"/>
      </w:pPr>
      <w:r>
        <w:rPr>
          <w:rFonts w:hint="eastAsia" w:ascii="宋体" w:hAnsi="宋体" w:cs="宋体"/>
          <w:kern w:val="0"/>
          <w:sz w:val="22"/>
          <w:szCs w:val="22"/>
        </w:rPr>
        <w:t>不论工程量变更多少，工程量变更部分以建设单位签证为准，其单价不变。</w:t>
      </w:r>
    </w:p>
    <w:p w14:paraId="26888BFE">
      <w:pPr>
        <w:spacing w:line="360" w:lineRule="auto"/>
        <w:ind w:firstLine="480" w:firstLineChars="200"/>
        <w:rPr>
          <w:rFonts w:ascii="宋体" w:hAnsi="宋体" w:cs="宋体"/>
          <w:color w:val="000000"/>
          <w:sz w:val="24"/>
        </w:rPr>
      </w:pPr>
      <w:r>
        <w:rPr>
          <w:rFonts w:hint="eastAsia" w:ascii="宋体" w:hAnsi="宋体" w:cs="宋体"/>
          <w:color w:val="000000"/>
          <w:sz w:val="24"/>
        </w:rPr>
        <w:t>本合同采用的计价依据：</w:t>
      </w:r>
      <w:r>
        <w:rPr>
          <w:rFonts w:hint="eastAsia" w:ascii="宋体" w:hAnsi="宋体" w:cs="宋体"/>
          <w:color w:val="000000"/>
          <w:sz w:val="24"/>
          <w:u w:val="single"/>
        </w:rPr>
        <w:t>《浙江省建设工程计价规则（2018版）》、《浙江省房屋建筑与装饰工程预算定额（2018）版》、《浙江省通用安装工程预算定额（2018）版》、《浙江省建设工程机械台班</w:t>
      </w:r>
      <w:r>
        <w:rPr>
          <w:rFonts w:hint="eastAsia" w:ascii="宋体" w:hAnsi="宋体" w:cs="宋体"/>
          <w:color w:val="000000"/>
          <w:sz w:val="24"/>
        </w:rPr>
        <w:t>费用定额（2018版）》，以及其他现行，合法的有关规定、政策性文件和定额。</w:t>
      </w:r>
    </w:p>
    <w:p w14:paraId="0E537165">
      <w:pPr>
        <w:spacing w:line="360" w:lineRule="auto"/>
        <w:ind w:firstLine="480" w:firstLineChars="200"/>
        <w:rPr>
          <w:rFonts w:ascii="宋体" w:hAnsi="宋体" w:cs="宋体"/>
          <w:color w:val="000000"/>
          <w:sz w:val="24"/>
        </w:rPr>
      </w:pPr>
      <w:r>
        <w:rPr>
          <w:rFonts w:hint="eastAsia" w:ascii="宋体" w:hAnsi="宋体" w:cs="宋体"/>
          <w:color w:val="000000"/>
          <w:sz w:val="24"/>
        </w:rPr>
        <w:t>12.2 预付款</w:t>
      </w:r>
    </w:p>
    <w:bookmarkEnd w:id="826"/>
    <w:bookmarkEnd w:id="827"/>
    <w:bookmarkEnd w:id="828"/>
    <w:bookmarkEnd w:id="829"/>
    <w:bookmarkEnd w:id="830"/>
    <w:bookmarkEnd w:id="831"/>
    <w:p w14:paraId="735891D6">
      <w:pPr>
        <w:spacing w:line="360" w:lineRule="auto"/>
        <w:ind w:firstLine="480" w:firstLineChars="200"/>
        <w:rPr>
          <w:rFonts w:ascii="宋体" w:hAnsi="宋体" w:cs="宋体"/>
          <w:sz w:val="24"/>
        </w:rPr>
      </w:pPr>
      <w:r>
        <w:rPr>
          <w:rFonts w:hint="eastAsia" w:ascii="宋体" w:hAnsi="宋体" w:cs="宋体"/>
          <w:sz w:val="24"/>
        </w:rPr>
        <w:t>12.2.1 预付款的支付</w:t>
      </w:r>
    </w:p>
    <w:p w14:paraId="35EFC0BE">
      <w:pPr>
        <w:spacing w:line="360" w:lineRule="auto"/>
        <w:ind w:firstLine="480" w:firstLineChars="200"/>
        <w:rPr>
          <w:rFonts w:hint="eastAsia" w:ascii="宋体" w:hAnsi="宋体" w:cs="宋体"/>
          <w:sz w:val="24"/>
        </w:rPr>
      </w:pPr>
      <w:r>
        <w:rPr>
          <w:rFonts w:hint="eastAsia" w:ascii="宋体" w:hAnsi="宋体" w:cs="宋体"/>
          <w:sz w:val="24"/>
        </w:rPr>
        <w:t>预付款支付比例或期限：在签订施工合同后，开工报告批准后 7 个工作日内，发包人支付给承包人合同价的</w:t>
      </w:r>
      <w:r>
        <w:rPr>
          <w:rFonts w:hint="eastAsia" w:ascii="宋体" w:hAnsi="宋体" w:cs="宋体"/>
          <w:sz w:val="24"/>
          <w:u w:val="single"/>
        </w:rPr>
        <w:t xml:space="preserve"> 40 %</w:t>
      </w:r>
      <w:r>
        <w:rPr>
          <w:rFonts w:hint="eastAsia" w:ascii="宋体" w:hAnsi="宋体" w:cs="宋体"/>
          <w:sz w:val="24"/>
        </w:rPr>
        <w:t>作为工程预付款。</w:t>
      </w:r>
    </w:p>
    <w:p w14:paraId="1A7711EC">
      <w:pPr>
        <w:spacing w:line="360" w:lineRule="auto"/>
        <w:ind w:firstLine="480" w:firstLineChars="200"/>
        <w:rPr>
          <w:rFonts w:ascii="宋体" w:hAnsi="宋体" w:cs="宋体"/>
          <w:color w:val="000000"/>
          <w:sz w:val="24"/>
        </w:rPr>
      </w:pPr>
      <w:r>
        <w:rPr>
          <w:rFonts w:hint="eastAsia" w:ascii="宋体" w:hAnsi="宋体" w:cs="宋体"/>
          <w:sz w:val="24"/>
        </w:rPr>
        <w:t>预付款扣回的方式(时间、金额)：</w:t>
      </w:r>
      <w:r>
        <w:rPr>
          <w:rFonts w:hint="eastAsia" w:ascii="宋体" w:hAnsi="宋体" w:cs="宋体"/>
          <w:sz w:val="24"/>
          <w:u w:val="single"/>
        </w:rPr>
        <w:t xml:space="preserve">不扣回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color w:val="000000"/>
          <w:sz w:val="24"/>
        </w:rPr>
        <w:t>。</w:t>
      </w:r>
    </w:p>
    <w:p w14:paraId="4043889C">
      <w:pPr>
        <w:spacing w:line="360" w:lineRule="auto"/>
        <w:ind w:firstLine="480" w:firstLineChars="200"/>
        <w:rPr>
          <w:rFonts w:ascii="宋体" w:hAnsi="宋体" w:cs="宋体"/>
          <w:color w:val="000000"/>
          <w:sz w:val="24"/>
        </w:rPr>
      </w:pPr>
      <w:r>
        <w:rPr>
          <w:rFonts w:hint="eastAsia" w:ascii="宋体" w:hAnsi="宋体" w:cs="宋体"/>
          <w:color w:val="000000"/>
          <w:sz w:val="24"/>
        </w:rPr>
        <w:t>12.2.2 预付款担保</w:t>
      </w:r>
    </w:p>
    <w:p w14:paraId="4F4C2930">
      <w:pPr>
        <w:spacing w:line="360" w:lineRule="auto"/>
        <w:ind w:firstLine="480" w:firstLineChars="200"/>
        <w:rPr>
          <w:rFonts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14:paraId="4AC6A29A">
      <w:pPr>
        <w:spacing w:line="360" w:lineRule="auto"/>
        <w:ind w:firstLine="480" w:firstLineChars="200"/>
        <w:rPr>
          <w:rFonts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832"/>
    <w:bookmarkEnd w:id="833"/>
    <w:bookmarkEnd w:id="834"/>
    <w:bookmarkEnd w:id="835"/>
    <w:bookmarkEnd w:id="836"/>
    <w:bookmarkEnd w:id="837"/>
    <w:bookmarkEnd w:id="838"/>
    <w:bookmarkEnd w:id="839"/>
    <w:bookmarkEnd w:id="840"/>
    <w:bookmarkEnd w:id="841"/>
    <w:p w14:paraId="62C2DD48">
      <w:pPr>
        <w:spacing w:line="360" w:lineRule="auto"/>
        <w:ind w:firstLine="480" w:firstLineChars="200"/>
        <w:rPr>
          <w:rFonts w:ascii="宋体" w:hAnsi="宋体" w:cs="宋体"/>
          <w:color w:val="000000"/>
          <w:sz w:val="24"/>
        </w:rPr>
      </w:pPr>
      <w:r>
        <w:rPr>
          <w:rFonts w:hint="eastAsia" w:ascii="宋体" w:hAnsi="宋体" w:cs="宋体"/>
          <w:color w:val="000000"/>
          <w:sz w:val="24"/>
        </w:rPr>
        <w:t>12.3 计量</w:t>
      </w:r>
    </w:p>
    <w:p w14:paraId="722506FC">
      <w:pPr>
        <w:spacing w:line="360" w:lineRule="auto"/>
        <w:ind w:firstLine="480" w:firstLineChars="200"/>
        <w:rPr>
          <w:rFonts w:ascii="宋体" w:hAnsi="宋体" w:cs="宋体"/>
          <w:color w:val="000000"/>
          <w:sz w:val="24"/>
        </w:rPr>
      </w:pPr>
      <w:r>
        <w:rPr>
          <w:rFonts w:hint="eastAsia" w:ascii="宋体" w:hAnsi="宋体" w:cs="宋体"/>
          <w:color w:val="000000"/>
          <w:sz w:val="24"/>
        </w:rPr>
        <w:t>12.3.1 计量原则</w:t>
      </w:r>
    </w:p>
    <w:p w14:paraId="449CEC36">
      <w:pPr>
        <w:spacing w:line="360" w:lineRule="auto"/>
        <w:ind w:firstLine="480" w:firstLineChars="200"/>
        <w:rPr>
          <w:rFonts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按现行的工程量计算规则执行 </w:t>
      </w:r>
      <w:r>
        <w:rPr>
          <w:rFonts w:hint="eastAsia" w:ascii="宋体" w:hAnsi="宋体" w:cs="宋体"/>
          <w:color w:val="000000"/>
          <w:sz w:val="24"/>
        </w:rPr>
        <w:t>。</w:t>
      </w:r>
    </w:p>
    <w:p w14:paraId="036303AD">
      <w:pPr>
        <w:spacing w:line="360" w:lineRule="auto"/>
        <w:ind w:firstLine="480" w:firstLineChars="200"/>
        <w:rPr>
          <w:rFonts w:ascii="宋体" w:hAnsi="宋体" w:cs="宋体"/>
          <w:color w:val="000000"/>
          <w:sz w:val="24"/>
        </w:rPr>
      </w:pPr>
      <w:r>
        <w:rPr>
          <w:rFonts w:hint="eastAsia" w:ascii="宋体" w:hAnsi="宋体" w:cs="宋体"/>
          <w:color w:val="000000"/>
          <w:sz w:val="24"/>
        </w:rPr>
        <w:t>12.3.2 计量周期</w:t>
      </w:r>
    </w:p>
    <w:p w14:paraId="413817A3">
      <w:pPr>
        <w:spacing w:line="360" w:lineRule="auto"/>
        <w:ind w:firstLine="480" w:firstLineChars="200"/>
        <w:rPr>
          <w:rFonts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 xml:space="preserve">      按进度进行        </w:t>
      </w:r>
      <w:r>
        <w:rPr>
          <w:rFonts w:hint="eastAsia" w:ascii="宋体" w:hAnsi="宋体" w:cs="宋体"/>
          <w:color w:val="000000"/>
          <w:sz w:val="24"/>
        </w:rPr>
        <w:t>。</w:t>
      </w:r>
    </w:p>
    <w:p w14:paraId="0FCA7ED3">
      <w:pPr>
        <w:spacing w:line="360" w:lineRule="auto"/>
        <w:ind w:firstLine="480" w:firstLineChars="200"/>
        <w:rPr>
          <w:rFonts w:ascii="宋体" w:hAnsi="宋体" w:cs="宋体"/>
          <w:color w:val="000000"/>
          <w:sz w:val="24"/>
        </w:rPr>
      </w:pPr>
      <w:r>
        <w:rPr>
          <w:rFonts w:hint="eastAsia" w:ascii="宋体" w:hAnsi="宋体" w:cs="宋体"/>
          <w:color w:val="000000"/>
          <w:sz w:val="24"/>
        </w:rPr>
        <w:t>12.3.3 单价合同的计量</w:t>
      </w:r>
    </w:p>
    <w:p w14:paraId="71887AA3">
      <w:pPr>
        <w:spacing w:line="360" w:lineRule="auto"/>
        <w:ind w:firstLine="480" w:firstLineChars="200"/>
        <w:rPr>
          <w:rFonts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7FA45E73">
      <w:pPr>
        <w:spacing w:line="360" w:lineRule="auto"/>
        <w:ind w:firstLine="480" w:firstLineChars="200"/>
        <w:rPr>
          <w:rFonts w:ascii="宋体" w:hAnsi="宋体" w:cs="宋体"/>
          <w:sz w:val="24"/>
        </w:rPr>
      </w:pPr>
      <w:r>
        <w:rPr>
          <w:rFonts w:hint="eastAsia" w:ascii="宋体" w:hAnsi="宋体" w:cs="宋体"/>
          <w:sz w:val="24"/>
        </w:rPr>
        <w:t>12.3.4 总价合同的计量</w:t>
      </w:r>
    </w:p>
    <w:p w14:paraId="18202596">
      <w:pPr>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274EF5D2">
      <w:pPr>
        <w:spacing w:line="360" w:lineRule="auto"/>
        <w:ind w:firstLine="480" w:firstLineChars="200"/>
        <w:rPr>
          <w:rFonts w:ascii="宋体" w:hAnsi="宋体" w:cs="宋体"/>
          <w:sz w:val="24"/>
        </w:rPr>
      </w:pPr>
      <w:r>
        <w:rPr>
          <w:rFonts w:hint="eastAsia" w:ascii="宋体" w:hAnsi="宋体" w:cs="宋体"/>
          <w:sz w:val="24"/>
        </w:rPr>
        <w:t>12.3.5总价合同采用支付分解表计量支付的，是否适用第12.3.4 项〔总价合同的计量〕约定进行计量：</w:t>
      </w:r>
      <w:r>
        <w:rPr>
          <w:rFonts w:hint="eastAsia" w:ascii="宋体" w:hAnsi="宋体" w:cs="宋体"/>
          <w:sz w:val="24"/>
          <w:u w:val="single"/>
        </w:rPr>
        <w:t xml:space="preserve">       /              </w:t>
      </w:r>
      <w:r>
        <w:rPr>
          <w:rFonts w:hint="eastAsia" w:ascii="宋体" w:hAnsi="宋体" w:cs="宋体"/>
          <w:sz w:val="24"/>
        </w:rPr>
        <w:t>。</w:t>
      </w:r>
    </w:p>
    <w:p w14:paraId="338A03C7">
      <w:pPr>
        <w:spacing w:line="360" w:lineRule="auto"/>
        <w:ind w:firstLine="480" w:firstLineChars="200"/>
        <w:rPr>
          <w:rFonts w:ascii="宋体" w:hAnsi="宋体" w:cs="宋体"/>
          <w:sz w:val="24"/>
        </w:rPr>
      </w:pPr>
      <w:r>
        <w:rPr>
          <w:rFonts w:hint="eastAsia" w:ascii="宋体" w:hAnsi="宋体" w:cs="宋体"/>
          <w:sz w:val="24"/>
        </w:rPr>
        <w:t>12.3.6 其他价格形式合同的计量</w:t>
      </w:r>
    </w:p>
    <w:p w14:paraId="1C6E43F1">
      <w:pPr>
        <w:spacing w:line="360" w:lineRule="auto"/>
        <w:ind w:firstLine="480" w:firstLineChars="200"/>
        <w:rPr>
          <w:rFonts w:ascii="宋体" w:hAnsi="宋体" w:cs="宋体"/>
          <w:sz w:val="24"/>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7C248792">
      <w:pPr>
        <w:spacing w:line="360" w:lineRule="auto"/>
        <w:ind w:firstLine="480" w:firstLineChars="200"/>
        <w:rPr>
          <w:rFonts w:ascii="宋体" w:hAnsi="宋体" w:cs="宋体"/>
          <w:sz w:val="24"/>
        </w:rPr>
      </w:pPr>
      <w:r>
        <w:rPr>
          <w:rFonts w:hint="eastAsia" w:ascii="宋体" w:hAnsi="宋体" w:cs="宋体"/>
          <w:sz w:val="24"/>
        </w:rPr>
        <w:t>12.4 工程进度款支付</w:t>
      </w:r>
    </w:p>
    <w:p w14:paraId="181A2B65">
      <w:pPr>
        <w:widowControl/>
        <w:spacing w:line="360" w:lineRule="auto"/>
        <w:ind w:firstLine="470" w:firstLineChars="196"/>
        <w:rPr>
          <w:rFonts w:ascii="宋体" w:hAnsi="宋体" w:cs="宋体"/>
          <w:sz w:val="24"/>
        </w:rPr>
      </w:pPr>
      <w:r>
        <w:rPr>
          <w:rFonts w:hint="eastAsia" w:ascii="宋体" w:hAnsi="宋体" w:cs="宋体"/>
          <w:sz w:val="24"/>
        </w:rPr>
        <w:t>关于进度款支付程序、支付比例和期限的约定：</w:t>
      </w:r>
    </w:p>
    <w:p w14:paraId="7D9FDF9A">
      <w:pPr>
        <w:widowControl/>
        <w:spacing w:line="360" w:lineRule="auto"/>
        <w:ind w:firstLine="470" w:firstLineChars="196"/>
        <w:rPr>
          <w:rFonts w:ascii="宋体" w:hAnsi="宋体" w:cs="宋体"/>
          <w:sz w:val="24"/>
          <w:u w:val="single"/>
        </w:rPr>
      </w:pPr>
      <w:r>
        <w:rPr>
          <w:rFonts w:hint="eastAsia" w:ascii="宋体" w:hAnsi="宋体" w:cs="宋体"/>
          <w:sz w:val="24"/>
          <w:u w:val="single"/>
        </w:rPr>
        <w:t>合同生效及具备实施条件后7个工作日内，采购人支付合同总价的40%；工程验收合格后7个工作日内，采购人支付至合同总价的80%；工程竣工验收（终验）合格后，根据相关部门核准的决算价，付清尾款。注：具体条款以双方签订的合同约定为准。每次付款前，供应商提供正规的发票。供应商如有更优惠的付款方式欢迎提供。</w:t>
      </w:r>
    </w:p>
    <w:p w14:paraId="19D38C96">
      <w:pPr>
        <w:spacing w:line="360" w:lineRule="auto"/>
        <w:ind w:firstLine="480" w:firstLineChars="200"/>
        <w:rPr>
          <w:rFonts w:ascii="宋体" w:hAnsi="宋体" w:cs="宋体"/>
          <w:color w:val="000000"/>
          <w:sz w:val="24"/>
        </w:rPr>
      </w:pPr>
      <w:r>
        <w:rPr>
          <w:rFonts w:hint="eastAsia" w:ascii="宋体" w:hAnsi="宋体" w:cs="宋体"/>
          <w:color w:val="000000"/>
          <w:sz w:val="24"/>
        </w:rPr>
        <w:t>13. 验收和工程试车</w:t>
      </w:r>
      <w:bookmarkEnd w:id="723"/>
      <w:bookmarkEnd w:id="724"/>
    </w:p>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14:paraId="6D865903">
      <w:pPr>
        <w:spacing w:line="360" w:lineRule="auto"/>
        <w:ind w:firstLine="480" w:firstLineChars="200"/>
        <w:rPr>
          <w:rFonts w:ascii="宋体" w:hAnsi="宋体" w:cs="宋体"/>
          <w:color w:val="000000"/>
          <w:sz w:val="24"/>
        </w:rPr>
      </w:pPr>
      <w:r>
        <w:rPr>
          <w:rFonts w:hint="eastAsia" w:ascii="宋体" w:hAnsi="宋体" w:cs="宋体"/>
          <w:color w:val="000000"/>
          <w:sz w:val="24"/>
        </w:rPr>
        <w:t>13.1 分部分项工程验收</w:t>
      </w:r>
    </w:p>
    <w:p w14:paraId="49B02310">
      <w:pPr>
        <w:spacing w:line="360" w:lineRule="auto"/>
        <w:ind w:firstLine="480" w:firstLineChars="200"/>
        <w:rPr>
          <w:rFonts w:ascii="宋体" w:hAnsi="宋体" w:cs="宋体"/>
          <w:color w:val="000000"/>
          <w:sz w:val="24"/>
        </w:rPr>
      </w:pPr>
      <w:r>
        <w:rPr>
          <w:rFonts w:hint="eastAsia" w:ascii="宋体" w:hAnsi="宋体" w:cs="宋体"/>
          <w:color w:val="000000"/>
          <w:sz w:val="24"/>
        </w:rPr>
        <w:t>13.1.2监理人不能按时进行验收时，应提前</w:t>
      </w:r>
      <w:r>
        <w:rPr>
          <w:rFonts w:hint="eastAsia" w:ascii="宋体" w:hAnsi="宋体" w:cs="宋体"/>
          <w:color w:val="000000"/>
          <w:sz w:val="24"/>
          <w:u w:val="single"/>
        </w:rPr>
        <w:t xml:space="preserve"> 24 </w:t>
      </w:r>
      <w:r>
        <w:rPr>
          <w:rFonts w:hint="eastAsia" w:ascii="宋体" w:hAnsi="宋体" w:cs="宋体"/>
          <w:color w:val="000000"/>
          <w:sz w:val="24"/>
        </w:rPr>
        <w:t>小时提交书面延期要求。</w:t>
      </w:r>
    </w:p>
    <w:p w14:paraId="17CA0831">
      <w:pPr>
        <w:spacing w:line="360" w:lineRule="auto"/>
        <w:ind w:firstLine="480" w:firstLineChars="200"/>
        <w:rPr>
          <w:rFonts w:ascii="宋体" w:hAnsi="宋体" w:cs="宋体"/>
          <w:b/>
          <w:color w:val="000000"/>
          <w:sz w:val="24"/>
        </w:rPr>
      </w:pPr>
      <w:r>
        <w:rPr>
          <w:rFonts w:hint="eastAsia" w:ascii="宋体" w:hAnsi="宋体" w:cs="宋体"/>
          <w:color w:val="000000"/>
          <w:sz w:val="24"/>
        </w:rPr>
        <w:t>关于延期最长不得超过：</w:t>
      </w:r>
      <w:r>
        <w:rPr>
          <w:rFonts w:hint="eastAsia" w:ascii="宋体" w:hAnsi="宋体" w:cs="宋体"/>
          <w:color w:val="000000"/>
          <w:sz w:val="24"/>
          <w:u w:val="single"/>
        </w:rPr>
        <w:t>48</w:t>
      </w:r>
      <w:r>
        <w:rPr>
          <w:rFonts w:hint="eastAsia" w:ascii="宋体" w:hAnsi="宋体" w:cs="宋体"/>
          <w:color w:val="000000"/>
          <w:sz w:val="24"/>
        </w:rPr>
        <w:t>小时。</w:t>
      </w:r>
    </w:p>
    <w:p w14:paraId="15895E0E">
      <w:pPr>
        <w:spacing w:line="360" w:lineRule="auto"/>
        <w:ind w:firstLine="480" w:firstLineChars="200"/>
        <w:rPr>
          <w:rFonts w:ascii="宋体" w:hAnsi="宋体" w:cs="宋体"/>
          <w:color w:val="000000"/>
          <w:sz w:val="24"/>
        </w:rPr>
      </w:pPr>
      <w:bookmarkStart w:id="859" w:name="_Toc296891051"/>
      <w:bookmarkStart w:id="860" w:name="_Toc297123565"/>
      <w:bookmarkStart w:id="861" w:name="_Toc303539173"/>
      <w:bookmarkStart w:id="862" w:name="_Toc292559428"/>
      <w:bookmarkStart w:id="863" w:name="_Toc296944562"/>
      <w:bookmarkStart w:id="864" w:name="_Toc297120523"/>
      <w:bookmarkStart w:id="865" w:name="_Toc292559933"/>
      <w:bookmarkStart w:id="866" w:name="_Toc296503223"/>
      <w:bookmarkStart w:id="867" w:name="_Toc304295596"/>
      <w:bookmarkStart w:id="868" w:name="_Toc296347222"/>
      <w:bookmarkStart w:id="869" w:name="_Toc312678056"/>
      <w:bookmarkStart w:id="870" w:name="_Toc296891263"/>
      <w:bookmarkStart w:id="871" w:name="_Toc297048409"/>
      <w:bookmarkStart w:id="872" w:name="_Toc300935016"/>
      <w:bookmarkStart w:id="873" w:name="_Toc297216224"/>
      <w:bookmarkStart w:id="874" w:name="_Toc296346724"/>
      <w:bookmarkStart w:id="875" w:name="_Toc267251473"/>
      <w:bookmarkStart w:id="876" w:name="_Toc267251476"/>
      <w:bookmarkStart w:id="877" w:name="_Toc267251474"/>
      <w:bookmarkStart w:id="878" w:name="_Toc267251470"/>
      <w:bookmarkStart w:id="879" w:name="_Toc267251475"/>
      <w:bookmarkStart w:id="880" w:name="_Toc267251472"/>
      <w:bookmarkStart w:id="881" w:name="_Toc267251471"/>
      <w:r>
        <w:rPr>
          <w:rFonts w:hint="eastAsia" w:ascii="宋体" w:hAnsi="宋体" w:cs="宋体"/>
          <w:color w:val="000000"/>
          <w:sz w:val="24"/>
        </w:rPr>
        <w:t>13.2 竣工验收</w:t>
      </w:r>
    </w:p>
    <w:p w14:paraId="7F494C51">
      <w:pPr>
        <w:spacing w:line="360" w:lineRule="auto"/>
        <w:ind w:firstLine="480" w:firstLineChars="200"/>
        <w:rPr>
          <w:rFonts w:ascii="宋体" w:hAnsi="宋体" w:cs="宋体"/>
          <w:color w:val="000000"/>
          <w:sz w:val="24"/>
        </w:rPr>
      </w:pPr>
      <w:r>
        <w:rPr>
          <w:rFonts w:hint="eastAsia" w:ascii="宋体" w:hAnsi="宋体" w:cs="宋体"/>
          <w:color w:val="000000"/>
          <w:sz w:val="24"/>
        </w:rPr>
        <w:t>13.2.1竣工验收条件</w:t>
      </w:r>
    </w:p>
    <w:p w14:paraId="3806B889">
      <w:pPr>
        <w:spacing w:line="360" w:lineRule="auto"/>
        <w:ind w:firstLine="480" w:firstLineChars="200"/>
        <w:rPr>
          <w:rFonts w:ascii="宋体" w:hAnsi="宋体" w:cs="宋体"/>
          <w:color w:val="000000"/>
          <w:sz w:val="24"/>
        </w:rPr>
      </w:pPr>
      <w:r>
        <w:rPr>
          <w:rFonts w:hint="eastAsia" w:ascii="宋体" w:hAnsi="宋体" w:cs="宋体"/>
          <w:color w:val="000000"/>
          <w:sz w:val="24"/>
        </w:rPr>
        <w:t>工程具备以下条件的，承包人可以申请竣工验收：</w:t>
      </w:r>
    </w:p>
    <w:p w14:paraId="25AA2D38">
      <w:pPr>
        <w:spacing w:line="360" w:lineRule="auto"/>
        <w:ind w:firstLine="480" w:firstLineChars="200"/>
        <w:rPr>
          <w:rFonts w:ascii="宋体" w:hAnsi="宋体" w:cs="宋体"/>
          <w:color w:val="000000"/>
          <w:sz w:val="24"/>
        </w:rPr>
      </w:pPr>
      <w:r>
        <w:rPr>
          <w:rFonts w:hint="eastAsia" w:ascii="宋体" w:hAnsi="宋体" w:cs="宋体"/>
          <w:color w:val="000000"/>
          <w:sz w:val="24"/>
        </w:rPr>
        <w:t>（1）除发包人同意的甩项工作和缺陷修补工作外，合同范围内的全部工程以及有关工作，包括合同要求的试验、试运行以及检验均已完成，并符合合同要求；</w:t>
      </w:r>
    </w:p>
    <w:p w14:paraId="30487B9C">
      <w:pPr>
        <w:spacing w:line="360" w:lineRule="auto"/>
        <w:ind w:firstLine="480" w:firstLineChars="200"/>
        <w:rPr>
          <w:rFonts w:ascii="宋体" w:hAnsi="宋体" w:cs="宋体"/>
          <w:color w:val="000000"/>
          <w:sz w:val="24"/>
        </w:rPr>
      </w:pPr>
      <w:r>
        <w:rPr>
          <w:rFonts w:hint="eastAsia" w:ascii="宋体" w:hAnsi="宋体" w:cs="宋体"/>
          <w:color w:val="000000"/>
          <w:sz w:val="24"/>
        </w:rPr>
        <w:t>（2）已按合同约定编制了甩项工作和缺陷修补工作清单以及相应的施工计划；</w:t>
      </w:r>
    </w:p>
    <w:p w14:paraId="30862A91">
      <w:pPr>
        <w:spacing w:line="360" w:lineRule="auto"/>
        <w:ind w:firstLine="480" w:firstLineChars="200"/>
        <w:rPr>
          <w:rFonts w:ascii="宋体" w:hAnsi="宋体" w:cs="宋体"/>
          <w:color w:val="000000"/>
          <w:sz w:val="24"/>
        </w:rPr>
      </w:pPr>
      <w:r>
        <w:rPr>
          <w:rFonts w:hint="eastAsia" w:ascii="宋体" w:hAnsi="宋体" w:cs="宋体"/>
          <w:color w:val="000000"/>
          <w:sz w:val="24"/>
        </w:rPr>
        <w:t>（3）已按合同约定的内容和份数备齐竣工资料。</w:t>
      </w:r>
    </w:p>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14:paraId="5F92BD4E">
      <w:pPr>
        <w:spacing w:line="360" w:lineRule="auto"/>
        <w:ind w:firstLine="480" w:firstLineChars="200"/>
        <w:rPr>
          <w:rFonts w:ascii="宋体" w:hAnsi="宋体" w:cs="宋体"/>
          <w:color w:val="000000"/>
          <w:sz w:val="24"/>
        </w:rPr>
      </w:pPr>
      <w:bookmarkStart w:id="882" w:name="_Toc280868704"/>
      <w:bookmarkStart w:id="883" w:name="_Toc280868705"/>
      <w:bookmarkStart w:id="884" w:name="_Toc280868706"/>
      <w:bookmarkStart w:id="885" w:name="_Toc280868707"/>
      <w:bookmarkStart w:id="886" w:name="_Toc280868708"/>
      <w:bookmarkStart w:id="887" w:name="_Toc280868709"/>
      <w:r>
        <w:rPr>
          <w:rFonts w:hint="eastAsia" w:ascii="宋体" w:hAnsi="宋体" w:cs="宋体"/>
          <w:color w:val="000000"/>
          <w:sz w:val="24"/>
        </w:rPr>
        <w:t>13.2.2竣工验收程序</w:t>
      </w:r>
    </w:p>
    <w:bookmarkEnd w:id="882"/>
    <w:p w14:paraId="6AE175E7">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关于竣工验收程序的约定：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55FF7F9">
      <w:pPr>
        <w:widowControl/>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发包人不按照本项约定组织竣工验收、颁发工程接收证书的违约金的计算方法：</w:t>
      </w:r>
    </w:p>
    <w:p w14:paraId="42C18942">
      <w:pPr>
        <w:spacing w:line="360" w:lineRule="auto"/>
        <w:ind w:firstLine="480" w:firstLineChars="200"/>
        <w:rPr>
          <w:rFonts w:ascii="宋体" w:hAnsi="宋体" w:cs="宋体"/>
          <w:color w:val="000000"/>
          <w:sz w:val="24"/>
        </w:rPr>
      </w:pPr>
      <w:r>
        <w:rPr>
          <w:rFonts w:hint="eastAsia" w:ascii="宋体" w:hAnsi="宋体" w:cs="宋体"/>
          <w:color w:val="000000"/>
          <w:sz w:val="24"/>
          <w:u w:val="single"/>
        </w:rPr>
        <w:t xml:space="preserve">         /         </w:t>
      </w:r>
      <w:r>
        <w:rPr>
          <w:rFonts w:hint="eastAsia" w:ascii="宋体" w:hAnsi="宋体" w:cs="宋体"/>
          <w:color w:val="000000"/>
          <w:sz w:val="24"/>
        </w:rPr>
        <w:t>。</w:t>
      </w:r>
    </w:p>
    <w:bookmarkEnd w:id="883"/>
    <w:p w14:paraId="0AC45B46">
      <w:pPr>
        <w:spacing w:line="360" w:lineRule="auto"/>
        <w:ind w:firstLine="480" w:firstLineChars="200"/>
        <w:rPr>
          <w:rFonts w:ascii="宋体" w:hAnsi="宋体" w:cs="宋体"/>
          <w:color w:val="000000"/>
          <w:sz w:val="24"/>
        </w:rPr>
      </w:pPr>
      <w:r>
        <w:rPr>
          <w:rFonts w:hint="eastAsia" w:ascii="宋体" w:hAnsi="宋体" w:cs="宋体"/>
          <w:color w:val="000000"/>
          <w:sz w:val="24"/>
        </w:rPr>
        <w:t>13.2.5移交、接收全部与部分工程</w:t>
      </w:r>
    </w:p>
    <w:bookmarkEnd w:id="884"/>
    <w:p w14:paraId="4EFAFEEC">
      <w:pPr>
        <w:spacing w:line="360" w:lineRule="auto"/>
        <w:ind w:firstLine="480" w:firstLineChars="200"/>
        <w:rPr>
          <w:rFonts w:ascii="宋体" w:hAnsi="宋体" w:cs="宋体"/>
          <w:color w:val="000000"/>
          <w:sz w:val="24"/>
        </w:rPr>
      </w:pPr>
      <w:r>
        <w:rPr>
          <w:rFonts w:hint="eastAsia" w:ascii="宋体" w:hAnsi="宋体" w:cs="宋体"/>
          <w:color w:val="000000"/>
          <w:sz w:val="24"/>
        </w:rPr>
        <w:t>承包人向发包人移交工程的期限：在颁发工程接收证书后</w:t>
      </w:r>
      <w:r>
        <w:rPr>
          <w:rFonts w:hint="eastAsia" w:ascii="宋体" w:hAnsi="宋体" w:cs="宋体"/>
          <w:color w:val="000000"/>
          <w:sz w:val="24"/>
          <w:u w:val="single"/>
        </w:rPr>
        <w:t xml:space="preserve"> 7 </w:t>
      </w:r>
      <w:r>
        <w:rPr>
          <w:rFonts w:hint="eastAsia" w:ascii="宋体" w:hAnsi="宋体" w:cs="宋体"/>
          <w:color w:val="000000"/>
          <w:sz w:val="24"/>
        </w:rPr>
        <w:t>天内完成工程的移交。</w:t>
      </w:r>
    </w:p>
    <w:p w14:paraId="3CDAB752">
      <w:pPr>
        <w:spacing w:line="360" w:lineRule="auto"/>
        <w:ind w:firstLine="480" w:firstLineChars="200"/>
        <w:rPr>
          <w:rFonts w:ascii="宋体" w:hAnsi="宋体" w:cs="宋体"/>
          <w:color w:val="000000"/>
          <w:sz w:val="24"/>
        </w:rPr>
      </w:pPr>
      <w:r>
        <w:rPr>
          <w:rFonts w:hint="eastAsia" w:ascii="宋体" w:hAnsi="宋体" w:cs="宋体"/>
          <w:color w:val="000000"/>
          <w:sz w:val="24"/>
        </w:rPr>
        <w:t>发包人未按本合同约定接收全部或部分工程的，违约金的计算方法为：除承担自应接收工程之日起的工程照管、成本保护、保管等与工程有关的各项费用外，应当按本专用条款约定的提前竣工奖励的</w:t>
      </w:r>
      <w:r>
        <w:rPr>
          <w:rFonts w:hint="eastAsia" w:ascii="宋体" w:hAnsi="宋体" w:cs="宋体"/>
          <w:color w:val="000000"/>
          <w:sz w:val="24"/>
          <w:u w:val="single"/>
        </w:rPr>
        <w:t xml:space="preserve">  /  </w:t>
      </w:r>
      <w:r>
        <w:rPr>
          <w:rFonts w:hint="eastAsia" w:ascii="宋体" w:hAnsi="宋体" w:cs="宋体"/>
          <w:color w:val="000000"/>
          <w:sz w:val="24"/>
        </w:rPr>
        <w:t>倍标准向承包人支付逾期接收工程的违约金。</w:t>
      </w:r>
    </w:p>
    <w:p w14:paraId="1D2E4C3D">
      <w:pPr>
        <w:spacing w:line="360" w:lineRule="auto"/>
        <w:ind w:firstLine="480" w:firstLineChars="200"/>
        <w:rPr>
          <w:rFonts w:ascii="宋体" w:hAnsi="宋体" w:cs="宋体"/>
          <w:color w:val="000000"/>
          <w:sz w:val="24"/>
        </w:rPr>
      </w:pPr>
      <w:r>
        <w:rPr>
          <w:rFonts w:hint="eastAsia" w:ascii="宋体" w:hAnsi="宋体" w:cs="宋体"/>
          <w:color w:val="000000"/>
          <w:sz w:val="24"/>
        </w:rPr>
        <w:t>承包人未按时移交工程的，违约金的计算方法为：除承担自应接收工程之日起的工程照管、成本保护、保管等与工程有关的各项费用外，应当按本合同约定的工期延误赔偿标准</w:t>
      </w:r>
      <w:r>
        <w:rPr>
          <w:rFonts w:hint="eastAsia" w:ascii="宋体" w:hAnsi="宋体" w:cs="宋体"/>
          <w:color w:val="000000"/>
          <w:sz w:val="24"/>
          <w:u w:val="single"/>
        </w:rPr>
        <w:t xml:space="preserve">  /  </w:t>
      </w:r>
      <w:r>
        <w:rPr>
          <w:rFonts w:hint="eastAsia" w:ascii="宋体" w:hAnsi="宋体" w:cs="宋体"/>
          <w:color w:val="000000"/>
          <w:sz w:val="24"/>
        </w:rPr>
        <w:t>倍向发包人支付逾期移交工程的违约金。</w:t>
      </w:r>
    </w:p>
    <w:bookmarkEnd w:id="885"/>
    <w:p w14:paraId="0395573A">
      <w:pPr>
        <w:spacing w:line="360" w:lineRule="auto"/>
        <w:ind w:firstLine="480" w:firstLineChars="200"/>
        <w:rPr>
          <w:rFonts w:ascii="宋体" w:hAnsi="宋体" w:cs="宋体"/>
          <w:color w:val="000000"/>
          <w:sz w:val="24"/>
        </w:rPr>
      </w:pPr>
      <w:r>
        <w:rPr>
          <w:rFonts w:hint="eastAsia" w:ascii="宋体" w:hAnsi="宋体" w:cs="宋体"/>
          <w:color w:val="000000"/>
          <w:sz w:val="24"/>
        </w:rPr>
        <w:t>13.3 工程试车</w:t>
      </w:r>
    </w:p>
    <w:bookmarkEnd w:id="886"/>
    <w:p w14:paraId="7EF6DA9F">
      <w:pPr>
        <w:spacing w:line="360" w:lineRule="auto"/>
        <w:ind w:firstLine="480" w:firstLineChars="200"/>
        <w:rPr>
          <w:rFonts w:ascii="宋体" w:hAnsi="宋体" w:cs="宋体"/>
          <w:color w:val="000000"/>
          <w:sz w:val="24"/>
        </w:rPr>
      </w:pPr>
      <w:r>
        <w:rPr>
          <w:rFonts w:hint="eastAsia" w:ascii="宋体" w:hAnsi="宋体" w:cs="宋体"/>
          <w:color w:val="000000"/>
          <w:sz w:val="24"/>
        </w:rPr>
        <w:t>13.3.1 试车程序</w:t>
      </w:r>
    </w:p>
    <w:p w14:paraId="1C5B2DDC">
      <w:pPr>
        <w:spacing w:line="360" w:lineRule="auto"/>
        <w:ind w:firstLine="480" w:firstLineChars="200"/>
        <w:rPr>
          <w:rFonts w:ascii="宋体" w:hAnsi="宋体" w:cs="宋体"/>
          <w:color w:val="000000"/>
          <w:sz w:val="24"/>
        </w:rPr>
      </w:pPr>
      <w:r>
        <w:rPr>
          <w:rFonts w:hint="eastAsia" w:ascii="宋体" w:hAnsi="宋体" w:cs="宋体"/>
          <w:color w:val="000000"/>
          <w:sz w:val="24"/>
        </w:rPr>
        <w:t>工程试车内容：</w:t>
      </w:r>
      <w:r>
        <w:rPr>
          <w:rFonts w:hint="eastAsia" w:ascii="宋体" w:hAnsi="宋体" w:cs="宋体"/>
          <w:color w:val="000000"/>
          <w:sz w:val="24"/>
          <w:u w:val="single"/>
        </w:rPr>
        <w:t xml:space="preserve">              /           </w:t>
      </w:r>
      <w:r>
        <w:rPr>
          <w:rFonts w:hint="eastAsia" w:ascii="宋体" w:hAnsi="宋体" w:cs="宋体"/>
          <w:color w:val="000000"/>
          <w:sz w:val="24"/>
        </w:rPr>
        <w:t>。</w:t>
      </w:r>
    </w:p>
    <w:p w14:paraId="3F422266">
      <w:pPr>
        <w:spacing w:line="360" w:lineRule="auto"/>
        <w:ind w:firstLine="480" w:firstLineChars="200"/>
        <w:rPr>
          <w:rFonts w:ascii="宋体" w:hAnsi="宋体" w:cs="宋体"/>
          <w:color w:val="000000"/>
          <w:sz w:val="24"/>
        </w:rPr>
      </w:pPr>
      <w:r>
        <w:rPr>
          <w:rFonts w:hint="eastAsia" w:ascii="宋体" w:hAnsi="宋体" w:cs="宋体"/>
          <w:color w:val="00000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28437687">
      <w:pPr>
        <w:spacing w:line="360" w:lineRule="auto"/>
        <w:ind w:firstLine="480" w:firstLineChars="200"/>
        <w:rPr>
          <w:rFonts w:ascii="宋体" w:hAnsi="宋体" w:cs="宋体"/>
          <w:color w:val="000000"/>
          <w:sz w:val="24"/>
        </w:rPr>
      </w:pPr>
      <w:r>
        <w:rPr>
          <w:rFonts w:hint="eastAsia" w:ascii="宋体" w:hAnsi="宋体" w:cs="宋体"/>
          <w:color w:val="00000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sz w:val="24"/>
        </w:rPr>
        <w:t>承担。</w:t>
      </w:r>
    </w:p>
    <w:p w14:paraId="1BED861A">
      <w:pPr>
        <w:spacing w:line="360" w:lineRule="auto"/>
        <w:ind w:firstLine="480" w:firstLineChars="200"/>
        <w:rPr>
          <w:rFonts w:ascii="宋体" w:hAnsi="宋体" w:cs="宋体"/>
          <w:color w:val="000000"/>
          <w:sz w:val="24"/>
        </w:rPr>
      </w:pPr>
      <w:r>
        <w:rPr>
          <w:rFonts w:hint="eastAsia" w:ascii="宋体" w:hAnsi="宋体" w:cs="宋体"/>
          <w:color w:val="000000"/>
          <w:sz w:val="24"/>
        </w:rPr>
        <w:t>13.3.3 投料试车</w:t>
      </w:r>
    </w:p>
    <w:p w14:paraId="7C017470">
      <w:pPr>
        <w:spacing w:line="360" w:lineRule="auto"/>
        <w:ind w:firstLine="480" w:firstLineChars="200"/>
        <w:rPr>
          <w:rFonts w:ascii="宋体" w:hAnsi="宋体" w:cs="宋体"/>
          <w:color w:val="000000"/>
          <w:sz w:val="24"/>
        </w:rPr>
      </w:pPr>
      <w:r>
        <w:rPr>
          <w:rFonts w:hint="eastAsia" w:ascii="宋体" w:hAnsi="宋体" w:cs="宋体"/>
          <w:color w:val="00000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87052A3">
      <w:pPr>
        <w:spacing w:line="360" w:lineRule="auto"/>
        <w:ind w:firstLine="480" w:firstLineChars="200"/>
        <w:rPr>
          <w:rFonts w:ascii="宋体" w:hAnsi="宋体" w:cs="宋体"/>
          <w:color w:val="000000"/>
          <w:sz w:val="24"/>
        </w:rPr>
      </w:pPr>
      <w:r>
        <w:rPr>
          <w:rFonts w:hint="eastAsia" w:ascii="宋体" w:hAnsi="宋体" w:cs="宋体"/>
          <w:color w:val="000000"/>
          <w:sz w:val="24"/>
        </w:rPr>
        <w:t>13.6 竣工退场</w:t>
      </w:r>
    </w:p>
    <w:p w14:paraId="6A5C9265">
      <w:pPr>
        <w:spacing w:line="360" w:lineRule="auto"/>
        <w:ind w:firstLine="480" w:firstLineChars="200"/>
        <w:rPr>
          <w:rFonts w:ascii="宋体" w:hAnsi="宋体" w:cs="宋体"/>
          <w:color w:val="000000"/>
          <w:sz w:val="24"/>
        </w:rPr>
      </w:pPr>
      <w:r>
        <w:rPr>
          <w:rFonts w:hint="eastAsia" w:ascii="宋体" w:hAnsi="宋体" w:cs="宋体"/>
          <w:color w:val="000000"/>
          <w:sz w:val="24"/>
        </w:rPr>
        <w:t>13.6.1 竣工退场</w:t>
      </w:r>
    </w:p>
    <w:p w14:paraId="2F124387">
      <w:pPr>
        <w:spacing w:line="360" w:lineRule="auto"/>
        <w:ind w:firstLine="480" w:firstLineChars="200"/>
        <w:rPr>
          <w:rFonts w:ascii="宋体" w:hAnsi="宋体" w:cs="宋体"/>
          <w:color w:val="000000"/>
          <w:sz w:val="24"/>
        </w:rPr>
      </w:pPr>
      <w:r>
        <w:rPr>
          <w:rFonts w:hint="eastAsia" w:ascii="宋体" w:hAnsi="宋体" w:cs="宋体"/>
          <w:color w:val="000000"/>
          <w:sz w:val="24"/>
        </w:rPr>
        <w:t>承包人完成竣工退场的期限：承包人应当在发包人颁发工程接收证书后</w:t>
      </w:r>
      <w:r>
        <w:rPr>
          <w:rFonts w:hint="eastAsia" w:ascii="宋体" w:hAnsi="宋体" w:cs="宋体"/>
          <w:color w:val="000000"/>
          <w:sz w:val="24"/>
          <w:u w:val="single"/>
        </w:rPr>
        <w:t>14</w:t>
      </w:r>
      <w:r>
        <w:rPr>
          <w:rFonts w:hint="eastAsia" w:ascii="宋体" w:hAnsi="宋体" w:cs="宋体"/>
          <w:color w:val="000000"/>
          <w:sz w:val="24"/>
        </w:rPr>
        <w:t>天内完成竣工退场，逾期未完成的，按通用条款执行。</w:t>
      </w:r>
    </w:p>
    <w:bookmarkEnd w:id="875"/>
    <w:bookmarkEnd w:id="876"/>
    <w:bookmarkEnd w:id="877"/>
    <w:bookmarkEnd w:id="878"/>
    <w:bookmarkEnd w:id="879"/>
    <w:bookmarkEnd w:id="880"/>
    <w:bookmarkEnd w:id="881"/>
    <w:bookmarkEnd w:id="887"/>
    <w:p w14:paraId="0A00851B">
      <w:pPr>
        <w:spacing w:line="360" w:lineRule="auto"/>
        <w:ind w:firstLine="480" w:firstLineChars="200"/>
        <w:rPr>
          <w:rFonts w:ascii="宋体" w:hAnsi="宋体" w:cs="宋体"/>
          <w:color w:val="000000"/>
          <w:sz w:val="24"/>
        </w:rPr>
      </w:pPr>
      <w:bookmarkStart w:id="888" w:name="_Toc386638620"/>
      <w:bookmarkStart w:id="889" w:name="_Toc351203646"/>
      <w:bookmarkStart w:id="890" w:name="_Toc351203647"/>
      <w:bookmarkStart w:id="891" w:name="_Toc386638621"/>
      <w:bookmarkStart w:id="892" w:name="_Toc267251483"/>
      <w:bookmarkStart w:id="893" w:name="_Toc267251482"/>
      <w:bookmarkStart w:id="894" w:name="_Toc267251484"/>
      <w:bookmarkStart w:id="895" w:name="_Toc267251485"/>
      <w:bookmarkStart w:id="896" w:name="_Toc267251486"/>
      <w:bookmarkStart w:id="897" w:name="_Toc267251490"/>
      <w:bookmarkStart w:id="898" w:name="_Toc267251489"/>
      <w:bookmarkStart w:id="899" w:name="_Toc267251488"/>
      <w:bookmarkStart w:id="900" w:name="_Toc267251501"/>
      <w:bookmarkStart w:id="901" w:name="_Toc267251495"/>
      <w:bookmarkStart w:id="902" w:name="_Toc267251492"/>
      <w:bookmarkStart w:id="903" w:name="_Toc267251498"/>
      <w:bookmarkStart w:id="904" w:name="_Toc267251496"/>
      <w:bookmarkStart w:id="905" w:name="_Toc267251503"/>
      <w:bookmarkStart w:id="906" w:name="_Toc267251499"/>
      <w:bookmarkStart w:id="907" w:name="_Toc267251494"/>
      <w:bookmarkStart w:id="908" w:name="_Toc267251502"/>
      <w:bookmarkStart w:id="909" w:name="_Toc267251497"/>
      <w:bookmarkStart w:id="910" w:name="_Toc267251493"/>
      <w:bookmarkStart w:id="911" w:name="_Toc267251491"/>
      <w:bookmarkStart w:id="912" w:name="_Toc267251511"/>
      <w:bookmarkStart w:id="913" w:name="_Toc267251504"/>
      <w:bookmarkStart w:id="914" w:name="_Toc267251514"/>
      <w:bookmarkStart w:id="915" w:name="_Toc267251513"/>
      <w:bookmarkStart w:id="916" w:name="_Toc267251506"/>
      <w:bookmarkStart w:id="917" w:name="_Toc267251508"/>
      <w:bookmarkStart w:id="918" w:name="_Toc267251507"/>
      <w:bookmarkStart w:id="919" w:name="_Toc267251510"/>
      <w:bookmarkStart w:id="920" w:name="_Toc267251509"/>
      <w:bookmarkStart w:id="921" w:name="_Toc267251515"/>
      <w:r>
        <w:rPr>
          <w:rFonts w:hint="eastAsia" w:ascii="宋体" w:hAnsi="宋体" w:cs="宋体"/>
          <w:color w:val="000000"/>
          <w:sz w:val="24"/>
        </w:rPr>
        <w:t>14. 竣工结算</w:t>
      </w:r>
      <w:bookmarkEnd w:id="888"/>
      <w:bookmarkEnd w:id="889"/>
    </w:p>
    <w:p w14:paraId="1E8680E5">
      <w:pPr>
        <w:spacing w:line="360" w:lineRule="auto"/>
        <w:ind w:firstLine="480" w:firstLineChars="200"/>
        <w:rPr>
          <w:rFonts w:ascii="宋体" w:hAnsi="宋体" w:cs="宋体"/>
          <w:color w:val="000000"/>
          <w:sz w:val="24"/>
        </w:rPr>
      </w:pPr>
      <w:r>
        <w:rPr>
          <w:rFonts w:hint="eastAsia" w:ascii="宋体" w:hAnsi="宋体" w:cs="宋体"/>
          <w:color w:val="000000"/>
          <w:sz w:val="24"/>
        </w:rPr>
        <w:t>14.1竣工结算款的申请</w:t>
      </w:r>
    </w:p>
    <w:p w14:paraId="6062CC2D">
      <w:pPr>
        <w:pStyle w:val="969"/>
        <w:spacing w:line="360" w:lineRule="auto"/>
        <w:ind w:firstLine="480" w:firstLineChars="200"/>
        <w:rPr>
          <w:rFonts w:hAnsi="宋体" w:cs="宋体"/>
          <w:b w:val="0"/>
          <w:color w:val="000000"/>
          <w:szCs w:val="24"/>
        </w:rPr>
      </w:pPr>
      <w:r>
        <w:rPr>
          <w:rFonts w:hint="eastAsia" w:hAnsi="宋体" w:cs="宋体"/>
          <w:b w:val="0"/>
          <w:color w:val="000000"/>
          <w:szCs w:val="24"/>
        </w:rPr>
        <w:t>承包人应在工程竣工结算审核完成、竣工验收并取得《建筑工程竣工档案专项验收意见书》、竣工结算审核结论及相关资料备案后</w:t>
      </w:r>
      <w:r>
        <w:rPr>
          <w:rFonts w:hint="eastAsia" w:hAnsi="宋体" w:cs="宋体"/>
          <w:b w:val="0"/>
          <w:color w:val="000000"/>
          <w:szCs w:val="24"/>
          <w:u w:val="single"/>
        </w:rPr>
        <w:t xml:space="preserve"> 7 </w:t>
      </w:r>
      <w:r>
        <w:rPr>
          <w:rFonts w:hint="eastAsia" w:hAnsi="宋体" w:cs="宋体"/>
          <w:b w:val="0"/>
          <w:color w:val="000000"/>
          <w:szCs w:val="24"/>
        </w:rPr>
        <w:t>天内向发包人提交竣工结算申请单（附相关结算资料）。</w:t>
      </w:r>
    </w:p>
    <w:p w14:paraId="5567EE4E">
      <w:pPr>
        <w:spacing w:line="360" w:lineRule="auto"/>
        <w:ind w:firstLine="480" w:firstLineChars="200"/>
        <w:rPr>
          <w:rFonts w:ascii="宋体" w:hAnsi="宋体" w:cs="宋体"/>
          <w:color w:val="000000"/>
          <w:sz w:val="24"/>
        </w:rPr>
      </w:pPr>
      <w:r>
        <w:rPr>
          <w:rFonts w:hint="eastAsia" w:ascii="宋体" w:hAnsi="宋体" w:cs="宋体"/>
          <w:color w:val="000000"/>
          <w:sz w:val="24"/>
        </w:rPr>
        <w:t>14.2竣工结算书的提交和核对</w:t>
      </w:r>
    </w:p>
    <w:p w14:paraId="1855EA91">
      <w:pPr>
        <w:spacing w:line="360" w:lineRule="auto"/>
        <w:ind w:firstLine="480" w:firstLineChars="200"/>
        <w:rPr>
          <w:rFonts w:ascii="宋体" w:hAnsi="宋体" w:cs="宋体"/>
          <w:color w:val="000000"/>
          <w:sz w:val="24"/>
        </w:rPr>
      </w:pPr>
      <w:r>
        <w:rPr>
          <w:rFonts w:hint="eastAsia" w:ascii="宋体" w:hAnsi="宋体" w:cs="宋体"/>
          <w:color w:val="000000"/>
          <w:sz w:val="24"/>
        </w:rPr>
        <w:t>承包人应当在工程竣工验收合格后</w:t>
      </w:r>
      <w:r>
        <w:rPr>
          <w:rFonts w:hint="eastAsia" w:ascii="宋体" w:hAnsi="宋体" w:cs="宋体"/>
          <w:color w:val="000000"/>
          <w:sz w:val="24"/>
          <w:u w:val="single"/>
        </w:rPr>
        <w:t xml:space="preserve"> 60 </w:t>
      </w:r>
      <w:r>
        <w:rPr>
          <w:rFonts w:hint="eastAsia" w:ascii="宋体" w:hAnsi="宋体" w:cs="宋体"/>
          <w:color w:val="000000"/>
          <w:kern w:val="0"/>
          <w:sz w:val="24"/>
        </w:rPr>
        <w:t>天</w:t>
      </w:r>
      <w:r>
        <w:rPr>
          <w:rFonts w:hint="eastAsia" w:ascii="宋体" w:hAnsi="宋体" w:cs="宋体"/>
          <w:color w:val="000000"/>
          <w:sz w:val="24"/>
        </w:rPr>
        <w:t>内向发包人提交工程竣工结算书及其完整的结算资料</w:t>
      </w:r>
      <w:r>
        <w:rPr>
          <w:rFonts w:hint="eastAsia" w:ascii="宋体" w:hAnsi="宋体" w:cs="宋体"/>
          <w:color w:val="000000"/>
          <w:sz w:val="24"/>
          <w:u w:val="single"/>
        </w:rPr>
        <w:t xml:space="preserve"> 叁 </w:t>
      </w:r>
      <w:r>
        <w:rPr>
          <w:rFonts w:hint="eastAsia" w:ascii="宋体" w:hAnsi="宋体" w:cs="宋体"/>
          <w:color w:val="000000"/>
          <w:sz w:val="24"/>
        </w:rPr>
        <w:t>份。发包人对竣工结算书有异议或者结算资料不符合要求的，有权并以书面形式要求承包人进行修正和提供补充资料。承包人应当按照发包人的意见提交修正后的竣工结算书或结算资料，则发包人对工程竣工结算书进行核对的期限从提交修正后的竣工结算书或结算资料起计算。发包人应从收到承包人提交的工程竣工结算书之日起的</w:t>
      </w:r>
      <w:r>
        <w:rPr>
          <w:rFonts w:hint="eastAsia" w:ascii="宋体" w:hAnsi="宋体" w:cs="宋体"/>
          <w:color w:val="000000"/>
          <w:sz w:val="24"/>
          <w:u w:val="single"/>
        </w:rPr>
        <w:t xml:space="preserve"> 60 </w:t>
      </w:r>
      <w:r>
        <w:rPr>
          <w:rFonts w:hint="eastAsia" w:ascii="宋体" w:hAnsi="宋体" w:cs="宋体"/>
          <w:color w:val="000000"/>
          <w:sz w:val="24"/>
        </w:rPr>
        <w:t>日内完成对竣工结算书的核对。</w:t>
      </w:r>
    </w:p>
    <w:p w14:paraId="3E7B9A00">
      <w:pPr>
        <w:spacing w:line="360" w:lineRule="auto"/>
        <w:ind w:firstLine="480" w:firstLineChars="200"/>
        <w:rPr>
          <w:rFonts w:ascii="宋体" w:hAnsi="宋体" w:cs="宋体"/>
          <w:color w:val="000000"/>
          <w:sz w:val="24"/>
        </w:rPr>
      </w:pPr>
      <w:r>
        <w:rPr>
          <w:rFonts w:hint="eastAsia" w:ascii="宋体" w:hAnsi="宋体" w:cs="宋体"/>
          <w:color w:val="000000"/>
          <w:sz w:val="24"/>
        </w:rPr>
        <w:t>14.3 竣工结算审核</w:t>
      </w:r>
    </w:p>
    <w:p w14:paraId="4E0702A3">
      <w:pPr>
        <w:spacing w:line="360" w:lineRule="auto"/>
        <w:ind w:firstLine="480" w:firstLineChars="200"/>
        <w:rPr>
          <w:rFonts w:ascii="宋体" w:hAnsi="宋体" w:cs="宋体"/>
          <w:color w:val="000000"/>
          <w:sz w:val="24"/>
        </w:rPr>
      </w:pPr>
      <w:r>
        <w:rPr>
          <w:rFonts w:hint="eastAsia" w:ascii="宋体" w:hAnsi="宋体" w:cs="宋体"/>
          <w:sz w:val="24"/>
          <w:lang w:bidi="ar"/>
        </w:rPr>
        <w:t>本工程的竣工结算由发包人核对后委托具有相应资质的工程造价咨询企业审核，作为支付工程价款最终结算支付的依据。</w:t>
      </w:r>
    </w:p>
    <w:p w14:paraId="79D06CD5">
      <w:pPr>
        <w:spacing w:line="360" w:lineRule="auto"/>
        <w:ind w:firstLine="480" w:firstLineChars="200"/>
        <w:rPr>
          <w:rFonts w:ascii="宋体" w:hAnsi="宋体" w:cs="宋体"/>
          <w:color w:val="000000"/>
          <w:sz w:val="24"/>
        </w:rPr>
      </w:pPr>
      <w:r>
        <w:rPr>
          <w:rFonts w:hint="eastAsia" w:ascii="宋体" w:hAnsi="宋体" w:cs="宋体"/>
          <w:color w:val="000000"/>
          <w:sz w:val="24"/>
        </w:rPr>
        <w:t>14.4 最终结清</w:t>
      </w:r>
    </w:p>
    <w:p w14:paraId="24A169B4">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14.4.1 最终结清申请单</w:t>
      </w:r>
    </w:p>
    <w:p w14:paraId="071C5193">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3份   </w:t>
      </w:r>
      <w:r>
        <w:rPr>
          <w:rFonts w:hint="eastAsia" w:ascii="宋体" w:hAnsi="宋体" w:cs="宋体"/>
          <w:color w:val="000000"/>
          <w:sz w:val="24"/>
        </w:rPr>
        <w:t>。</w:t>
      </w:r>
    </w:p>
    <w:p w14:paraId="233584B2">
      <w:pPr>
        <w:spacing w:line="360" w:lineRule="auto"/>
        <w:ind w:firstLine="480" w:firstLineChars="200"/>
        <w:rPr>
          <w:rFonts w:ascii="宋体" w:hAnsi="宋体" w:cs="宋体"/>
          <w:color w:val="000000"/>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承包人应在缺陷责任期终止证书颁发后7天内提交</w:t>
      </w:r>
      <w:r>
        <w:rPr>
          <w:rFonts w:hint="eastAsia" w:ascii="宋体" w:hAnsi="宋体" w:cs="宋体"/>
          <w:color w:val="000000"/>
          <w:sz w:val="24"/>
        </w:rPr>
        <w:t>。</w:t>
      </w:r>
    </w:p>
    <w:p w14:paraId="3366C791">
      <w:pPr>
        <w:spacing w:line="360" w:lineRule="auto"/>
        <w:ind w:firstLine="480" w:firstLineChars="200"/>
        <w:rPr>
          <w:rFonts w:ascii="宋体" w:hAnsi="宋体" w:cs="宋体"/>
          <w:color w:val="000000"/>
          <w:sz w:val="24"/>
        </w:rPr>
      </w:pPr>
      <w:r>
        <w:rPr>
          <w:rFonts w:hint="eastAsia" w:ascii="宋体" w:hAnsi="宋体" w:cs="宋体"/>
          <w:color w:val="000000"/>
          <w:sz w:val="24"/>
        </w:rPr>
        <w:t>发包人对最终结结算申请单内容有异议的，有权要求承包人进行修正和提供补充资料，但应当出具书面意见。承包人应当按照发包人的书面意见提交修正后的最终结算申请单。</w:t>
      </w:r>
    </w:p>
    <w:p w14:paraId="6A0657D8">
      <w:pPr>
        <w:spacing w:line="360" w:lineRule="auto"/>
        <w:ind w:firstLine="480" w:firstLineChars="200"/>
        <w:rPr>
          <w:rFonts w:ascii="宋体" w:hAnsi="宋体" w:cs="宋体"/>
          <w:color w:val="000000"/>
          <w:sz w:val="24"/>
        </w:rPr>
      </w:pPr>
      <w:r>
        <w:rPr>
          <w:rFonts w:hint="eastAsia" w:ascii="宋体" w:hAnsi="宋体" w:cs="宋体"/>
          <w:color w:val="000000"/>
          <w:sz w:val="24"/>
        </w:rPr>
        <w:t>14.4.2 最终结清证书和支付</w:t>
      </w:r>
    </w:p>
    <w:p w14:paraId="60E904B8">
      <w:pPr>
        <w:spacing w:line="360" w:lineRule="auto"/>
        <w:ind w:firstLine="480" w:firstLineChars="200"/>
        <w:rPr>
          <w:rFonts w:ascii="宋体" w:hAnsi="宋体" w:cs="宋体"/>
          <w:color w:val="000000"/>
          <w:sz w:val="24"/>
        </w:rPr>
      </w:pPr>
      <w:r>
        <w:rPr>
          <w:rFonts w:hint="eastAsia" w:ascii="宋体" w:hAnsi="宋体" w:cs="宋体"/>
          <w:color w:val="000000"/>
          <w:sz w:val="24"/>
        </w:rPr>
        <w:t>（1）发包人完成最终结清申请单的审批并颁发最终结清证书的期限：发包人应在收到承包人提交的最终结清申请单后</w:t>
      </w:r>
      <w:r>
        <w:rPr>
          <w:rFonts w:hint="eastAsia" w:ascii="宋体" w:hAnsi="宋体" w:cs="宋体"/>
          <w:color w:val="000000"/>
          <w:sz w:val="24"/>
          <w:u w:val="single"/>
        </w:rPr>
        <w:t xml:space="preserve"> 14</w:t>
      </w:r>
      <w:r>
        <w:rPr>
          <w:rFonts w:hint="eastAsia" w:ascii="宋体" w:hAnsi="宋体" w:cs="宋体"/>
          <w:color w:val="000000"/>
          <w:kern w:val="0"/>
          <w:sz w:val="24"/>
          <w:u w:val="single"/>
        </w:rPr>
        <w:t xml:space="preserve"> </w:t>
      </w:r>
      <w:r>
        <w:rPr>
          <w:rFonts w:hint="eastAsia" w:ascii="宋体" w:hAnsi="宋体" w:cs="宋体"/>
          <w:color w:val="000000"/>
          <w:sz w:val="24"/>
        </w:rPr>
        <w:t>天内完成审批并向承包人颁发最终结清证书。发包人逾期未完成审批，又未提出修改意见的，视为发包人同意承包人提交的最终结清申请单并已颁发最终结清证书。</w:t>
      </w:r>
    </w:p>
    <w:p w14:paraId="0DBC556B">
      <w:pPr>
        <w:spacing w:line="360" w:lineRule="auto"/>
        <w:ind w:firstLine="480" w:firstLineChars="200"/>
        <w:rPr>
          <w:rFonts w:ascii="宋体" w:hAnsi="宋体" w:cs="宋体"/>
          <w:color w:val="000000"/>
          <w:sz w:val="24"/>
        </w:rPr>
      </w:pPr>
      <w:r>
        <w:rPr>
          <w:rFonts w:hint="eastAsia" w:ascii="宋体" w:hAnsi="宋体" w:cs="宋体"/>
          <w:color w:val="000000"/>
          <w:sz w:val="24"/>
        </w:rPr>
        <w:t>（2）发包人完成支付的期限：</w:t>
      </w:r>
    </w:p>
    <w:p w14:paraId="40259AB4">
      <w:pPr>
        <w:spacing w:line="360" w:lineRule="auto"/>
        <w:ind w:firstLine="480" w:firstLineChars="200"/>
        <w:rPr>
          <w:rFonts w:ascii="宋体" w:hAnsi="宋体" w:cs="宋体"/>
          <w:color w:val="000000"/>
          <w:sz w:val="24"/>
        </w:rPr>
      </w:pPr>
      <w:r>
        <w:rPr>
          <w:rFonts w:hint="eastAsia" w:ascii="宋体" w:hAnsi="宋体" w:cs="宋体"/>
          <w:color w:val="000000"/>
          <w:sz w:val="24"/>
        </w:rPr>
        <w:t>发包人应在颁发最终结清证书后</w:t>
      </w:r>
      <w:r>
        <w:rPr>
          <w:rFonts w:hint="eastAsia" w:ascii="宋体" w:hAnsi="宋体" w:cs="宋体"/>
          <w:color w:val="000000"/>
          <w:sz w:val="24"/>
          <w:u w:val="single"/>
        </w:rPr>
        <w:t xml:space="preserve"> 14 </w:t>
      </w:r>
      <w:r>
        <w:rPr>
          <w:rFonts w:hint="eastAsia" w:ascii="宋体" w:hAnsi="宋体" w:cs="宋体"/>
          <w:color w:val="000000"/>
          <w:kern w:val="0"/>
          <w:sz w:val="24"/>
        </w:rPr>
        <w:t>天</w:t>
      </w:r>
      <w:r>
        <w:rPr>
          <w:rFonts w:hint="eastAsia" w:ascii="宋体" w:hAnsi="宋体" w:cs="宋体"/>
          <w:color w:val="000000"/>
          <w:sz w:val="24"/>
        </w:rPr>
        <w:t>内完成支付。发包人逾期支付的违约责任按通用条款执行。</w:t>
      </w:r>
    </w:p>
    <w:p w14:paraId="0E713B8F">
      <w:pPr>
        <w:spacing w:line="360" w:lineRule="auto"/>
        <w:ind w:firstLine="480" w:firstLineChars="200"/>
        <w:rPr>
          <w:rFonts w:ascii="宋体" w:hAnsi="宋体" w:cs="宋体"/>
          <w:color w:val="000000"/>
          <w:sz w:val="24"/>
        </w:rPr>
      </w:pPr>
      <w:r>
        <w:rPr>
          <w:rFonts w:hint="eastAsia" w:ascii="宋体" w:hAnsi="宋体" w:cs="宋体"/>
          <w:color w:val="000000"/>
          <w:sz w:val="24"/>
        </w:rPr>
        <w:t>15. 缺陷责任期与保修</w:t>
      </w:r>
      <w:bookmarkEnd w:id="890"/>
      <w:bookmarkEnd w:id="891"/>
    </w:p>
    <w:p w14:paraId="1E3FBA85">
      <w:pPr>
        <w:spacing w:line="360" w:lineRule="auto"/>
        <w:ind w:firstLine="480" w:firstLineChars="200"/>
        <w:rPr>
          <w:rFonts w:ascii="宋体" w:hAnsi="宋体" w:cs="宋体"/>
          <w:color w:val="000000"/>
          <w:sz w:val="24"/>
        </w:rPr>
      </w:pPr>
      <w:r>
        <w:rPr>
          <w:rFonts w:hint="eastAsia" w:ascii="宋体" w:hAnsi="宋体" w:cs="宋体"/>
          <w:color w:val="000000"/>
          <w:sz w:val="24"/>
        </w:rPr>
        <w:t>15.2缺陷责任期</w:t>
      </w:r>
      <w:bookmarkEnd w:id="892"/>
    </w:p>
    <w:p w14:paraId="229A3BC3">
      <w:pPr>
        <w:spacing w:line="360" w:lineRule="auto"/>
        <w:ind w:firstLine="480" w:firstLineChars="200"/>
        <w:rPr>
          <w:rFonts w:ascii="宋体" w:hAnsi="宋体" w:cs="宋体"/>
          <w:color w:val="000000"/>
          <w:sz w:val="24"/>
        </w:rPr>
      </w:pPr>
      <w:r>
        <w:rPr>
          <w:rFonts w:hint="eastAsia" w:ascii="宋体" w:hAnsi="宋体" w:cs="宋体"/>
          <w:color w:val="000000"/>
          <w:sz w:val="24"/>
        </w:rPr>
        <w:t>15.2.1 本合同缺陷责任期为</w:t>
      </w:r>
      <w:r>
        <w:rPr>
          <w:rFonts w:hint="eastAsia" w:ascii="宋体" w:hAnsi="宋体" w:cs="宋体"/>
          <w:color w:val="000000"/>
          <w:sz w:val="24"/>
          <w:u w:val="single"/>
        </w:rPr>
        <w:t>12</w:t>
      </w:r>
      <w:r>
        <w:rPr>
          <w:rFonts w:hint="eastAsia" w:ascii="宋体" w:hAnsi="宋体" w:cs="宋体"/>
          <w:color w:val="000000"/>
          <w:sz w:val="24"/>
        </w:rPr>
        <w:t>个月。</w:t>
      </w:r>
    </w:p>
    <w:p w14:paraId="4394C1B2">
      <w:pPr>
        <w:spacing w:line="360" w:lineRule="auto"/>
        <w:ind w:firstLine="480" w:firstLineChars="200"/>
        <w:rPr>
          <w:rFonts w:ascii="宋体" w:hAnsi="宋体" w:cs="宋体"/>
          <w:color w:val="000000"/>
          <w:sz w:val="24"/>
        </w:rPr>
      </w:pPr>
      <w:r>
        <w:rPr>
          <w:rFonts w:hint="eastAsia" w:ascii="宋体" w:hAnsi="宋体" w:cs="宋体"/>
          <w:color w:val="000000"/>
          <w:sz w:val="24"/>
        </w:rPr>
        <w:t>工程竣工验收合格后，因施承包人原因导致的缺陷使工程或某项主要设备不能按原定目的使用的，发包人有权在原缺陷责任期届满前要求施工承包人延长缺陷责任期，延长的缺陷责任期为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bookmarkEnd w:id="893"/>
    <w:bookmarkEnd w:id="894"/>
    <w:p w14:paraId="4C699392">
      <w:pPr>
        <w:spacing w:line="360" w:lineRule="auto"/>
        <w:ind w:firstLine="480" w:firstLineChars="200"/>
        <w:rPr>
          <w:rFonts w:ascii="宋体" w:hAnsi="宋体" w:cs="宋体"/>
          <w:color w:val="000000"/>
          <w:sz w:val="24"/>
        </w:rPr>
      </w:pPr>
      <w:r>
        <w:rPr>
          <w:rFonts w:hint="eastAsia" w:ascii="宋体" w:hAnsi="宋体" w:cs="宋体"/>
          <w:color w:val="000000"/>
          <w:sz w:val="24"/>
        </w:rPr>
        <w:t>15.3 质量保证金</w:t>
      </w:r>
    </w:p>
    <w:p w14:paraId="2BAA87A3">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关于是否扣留质量保证金的约定：</w:t>
      </w:r>
    </w:p>
    <w:p w14:paraId="26DF14D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（1）承包人提供的质量保证担保形式为银行保函或保险机构保证保险保单或现金。</w:t>
      </w:r>
    </w:p>
    <w:p w14:paraId="5D19D3A7">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（2）质量保证金保函担保时间或质量保证金扣留期限与第15.2款约定的缺陷责任期保持一致。</w:t>
      </w:r>
    </w:p>
    <w:p w14:paraId="6040AC92">
      <w:pPr>
        <w:spacing w:line="360" w:lineRule="auto"/>
        <w:ind w:firstLine="480" w:firstLineChars="200"/>
        <w:rPr>
          <w:rFonts w:hint="eastAsia" w:ascii="宋体" w:hAnsi="宋体" w:cs="宋体"/>
          <w:color w:val="000000"/>
          <w:sz w:val="24"/>
          <w:lang w:eastAsia="zh-CN"/>
        </w:rPr>
      </w:pPr>
      <w:r>
        <w:rPr>
          <w:rFonts w:hint="eastAsia" w:ascii="宋体" w:hAnsi="宋体" w:cs="宋体"/>
          <w:color w:val="000000"/>
          <w:sz w:val="24"/>
        </w:rPr>
        <w:t>（3）质量保证金额为</w:t>
      </w:r>
      <w:r>
        <w:rPr>
          <w:rFonts w:hint="eastAsia" w:ascii="宋体" w:hAnsi="宋体" w:cs="宋体"/>
          <w:color w:val="000000"/>
          <w:sz w:val="24"/>
          <w:lang w:eastAsia="zh-CN"/>
        </w:rPr>
        <w:t>工程结算价</w:t>
      </w:r>
      <w:r>
        <w:rPr>
          <w:rFonts w:hint="eastAsia" w:ascii="宋体" w:hAnsi="宋体" w:cs="宋体"/>
          <w:color w:val="000000"/>
          <w:sz w:val="24"/>
        </w:rPr>
        <w:t>的</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1%</w:t>
      </w:r>
      <w:r>
        <w:rPr>
          <w:rFonts w:hint="eastAsia" w:ascii="宋体" w:hAnsi="宋体" w:cs="宋体"/>
          <w:color w:val="000000"/>
          <w:sz w:val="24"/>
          <w:u w:val="single"/>
        </w:rPr>
        <w:t xml:space="preserve">   </w:t>
      </w:r>
      <w:r>
        <w:rPr>
          <w:rFonts w:hint="eastAsia" w:ascii="宋体" w:hAnsi="宋体" w:cs="宋体"/>
          <w:color w:val="000000"/>
          <w:sz w:val="24"/>
          <w:lang w:eastAsia="zh-CN"/>
        </w:rPr>
        <w:t>。</w:t>
      </w:r>
    </w:p>
    <w:p w14:paraId="2FE8E289">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（4）承包人与质量保证担保有关的任何利息或其它类似的费用或者收益由承包人承担；因承包人原因导致缺陷责任期延长的，继续提供质量保证担保所增加的费用由承包人承担。</w:t>
      </w:r>
    </w:p>
    <w:p w14:paraId="6B2349B9">
      <w:pPr>
        <w:spacing w:line="360" w:lineRule="auto"/>
        <w:ind w:firstLine="480" w:firstLineChars="200"/>
        <w:rPr>
          <w:rFonts w:ascii="宋体" w:hAnsi="宋体" w:cs="宋体"/>
          <w:color w:val="000000"/>
          <w:sz w:val="24"/>
        </w:rPr>
      </w:pPr>
      <w:r>
        <w:rPr>
          <w:rFonts w:hint="eastAsia" w:ascii="宋体" w:hAnsi="宋体" w:cs="宋体"/>
          <w:color w:val="000000"/>
          <w:sz w:val="24"/>
        </w:rPr>
        <w:t>15.4 保修</w:t>
      </w:r>
    </w:p>
    <w:bookmarkEnd w:id="895"/>
    <w:p w14:paraId="48FE2922">
      <w:pPr>
        <w:spacing w:line="360" w:lineRule="auto"/>
        <w:ind w:firstLine="480" w:firstLineChars="200"/>
        <w:rPr>
          <w:rFonts w:ascii="宋体" w:hAnsi="宋体" w:cs="宋体"/>
          <w:color w:val="000000"/>
          <w:sz w:val="24"/>
        </w:rPr>
      </w:pPr>
      <w:r>
        <w:rPr>
          <w:rFonts w:hint="eastAsia" w:ascii="宋体" w:hAnsi="宋体" w:cs="宋体"/>
          <w:color w:val="000000"/>
          <w:sz w:val="24"/>
        </w:rPr>
        <w:t>15.4.1 保修责任</w:t>
      </w:r>
    </w:p>
    <w:p w14:paraId="599900E9">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工程保修期为：</w:t>
      </w:r>
    </w:p>
    <w:p w14:paraId="4BA2F727">
      <w:pPr>
        <w:spacing w:line="360" w:lineRule="auto"/>
        <w:ind w:firstLine="480" w:firstLineChars="200"/>
        <w:rPr>
          <w:rFonts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69A245A0">
      <w:pPr>
        <w:spacing w:line="360" w:lineRule="auto"/>
        <w:ind w:firstLine="480" w:firstLineChars="200"/>
        <w:rPr>
          <w:rFonts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09295935">
      <w:pPr>
        <w:spacing w:line="360" w:lineRule="auto"/>
        <w:ind w:firstLine="480" w:firstLineChars="200"/>
        <w:rPr>
          <w:rFonts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89A3AFA">
      <w:pPr>
        <w:spacing w:line="360" w:lineRule="auto"/>
        <w:ind w:firstLine="480" w:firstLineChars="200"/>
        <w:rPr>
          <w:rFonts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09C61DCD">
      <w:pPr>
        <w:spacing w:line="360" w:lineRule="auto"/>
        <w:ind w:firstLine="480" w:firstLineChars="200"/>
        <w:rPr>
          <w:rFonts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3DB16947">
      <w:pPr>
        <w:spacing w:line="360" w:lineRule="auto"/>
        <w:ind w:firstLine="480" w:firstLineChars="200"/>
        <w:rPr>
          <w:rFonts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2F3A3708">
      <w:pPr>
        <w:spacing w:line="360" w:lineRule="auto"/>
        <w:ind w:firstLine="480" w:firstLineChars="200"/>
        <w:rPr>
          <w:rFonts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p>
    <w:p w14:paraId="6B0964A5">
      <w:pPr>
        <w:spacing w:line="360" w:lineRule="auto"/>
        <w:ind w:firstLine="480" w:firstLineChars="200"/>
        <w:rPr>
          <w:rFonts w:ascii="宋体" w:hAnsi="宋体" w:cs="宋体"/>
          <w:color w:val="000000"/>
          <w:sz w:val="24"/>
        </w:rPr>
      </w:pPr>
      <w:r>
        <w:rPr>
          <w:rFonts w:hint="eastAsia" w:ascii="宋体" w:hAnsi="宋体" w:cs="宋体"/>
          <w:color w:val="000000"/>
          <w:sz w:val="24"/>
        </w:rPr>
        <w:t>15.4.3 修复通知</w:t>
      </w:r>
    </w:p>
    <w:p w14:paraId="7476F8CE">
      <w:pPr>
        <w:spacing w:line="360" w:lineRule="auto"/>
        <w:ind w:firstLine="480" w:firstLineChars="200"/>
        <w:rPr>
          <w:rFonts w:ascii="宋体" w:hAnsi="宋体" w:cs="宋体"/>
          <w:color w:val="000000"/>
          <w:sz w:val="24"/>
        </w:rPr>
      </w:pPr>
      <w:r>
        <w:rPr>
          <w:rFonts w:hint="eastAsia" w:ascii="宋体" w:hAnsi="宋体" w:cs="宋体"/>
          <w:color w:val="000000"/>
          <w:sz w:val="24"/>
        </w:rPr>
        <w:t>承包人收到保修通知并到达工程现场的合理时间：</w:t>
      </w:r>
      <w:r>
        <w:rPr>
          <w:rFonts w:hint="eastAsia" w:ascii="宋体" w:hAnsi="宋体" w:cs="宋体"/>
          <w:color w:val="000000"/>
          <w:sz w:val="24"/>
          <w:u w:val="single"/>
        </w:rPr>
        <w:t xml:space="preserve"> 48小时内(含48小时)     </w:t>
      </w:r>
      <w:r>
        <w:rPr>
          <w:rFonts w:hint="eastAsia" w:ascii="宋体" w:hAnsi="宋体" w:cs="宋体"/>
          <w:color w:val="000000"/>
          <w:sz w:val="24"/>
        </w:rPr>
        <w:t>。</w:t>
      </w:r>
    </w:p>
    <w:bookmarkEnd w:id="896"/>
    <w:bookmarkEnd w:id="897"/>
    <w:bookmarkEnd w:id="898"/>
    <w:bookmarkEnd w:id="899"/>
    <w:p w14:paraId="1DD04B12">
      <w:pPr>
        <w:spacing w:line="360" w:lineRule="auto"/>
        <w:ind w:firstLine="480" w:firstLineChars="200"/>
        <w:rPr>
          <w:rFonts w:ascii="宋体" w:hAnsi="宋体" w:cs="宋体"/>
          <w:color w:val="000000"/>
          <w:sz w:val="24"/>
        </w:rPr>
      </w:pPr>
      <w:bookmarkStart w:id="922" w:name="_Toc386638622"/>
      <w:bookmarkStart w:id="923" w:name="_Toc351203648"/>
      <w:bookmarkStart w:id="924" w:name="_Toc280868717"/>
      <w:bookmarkStart w:id="925" w:name="_Toc280868718"/>
      <w:r>
        <w:rPr>
          <w:rFonts w:hint="eastAsia" w:ascii="宋体" w:hAnsi="宋体" w:cs="宋体"/>
          <w:color w:val="000000"/>
          <w:sz w:val="24"/>
        </w:rPr>
        <w:t>16. 违约</w:t>
      </w:r>
      <w:bookmarkEnd w:id="922"/>
      <w:bookmarkEnd w:id="923"/>
    </w:p>
    <w:p w14:paraId="05414701">
      <w:pPr>
        <w:spacing w:line="360" w:lineRule="auto"/>
        <w:ind w:firstLine="480" w:firstLineChars="200"/>
        <w:rPr>
          <w:rFonts w:ascii="宋体" w:hAnsi="宋体" w:cs="宋体"/>
          <w:color w:val="000000"/>
          <w:sz w:val="24"/>
        </w:rPr>
      </w:pPr>
      <w:r>
        <w:rPr>
          <w:rFonts w:hint="eastAsia" w:ascii="宋体" w:hAnsi="宋体" w:cs="宋体"/>
          <w:color w:val="000000"/>
          <w:sz w:val="24"/>
        </w:rPr>
        <w:t>16.1 发包人违约</w:t>
      </w:r>
    </w:p>
    <w:p w14:paraId="2072E474">
      <w:pPr>
        <w:spacing w:line="360" w:lineRule="auto"/>
        <w:ind w:firstLine="480" w:firstLineChars="200"/>
        <w:rPr>
          <w:rFonts w:ascii="宋体" w:hAnsi="宋体" w:cs="宋体"/>
          <w:color w:val="000000"/>
          <w:sz w:val="24"/>
        </w:rPr>
      </w:pPr>
      <w:r>
        <w:rPr>
          <w:rFonts w:hint="eastAsia" w:ascii="宋体" w:hAnsi="宋体" w:cs="宋体"/>
          <w:color w:val="000000"/>
          <w:sz w:val="24"/>
        </w:rPr>
        <w:t>16.1.1 发包人违约的情形</w:t>
      </w:r>
    </w:p>
    <w:p w14:paraId="77FCAA3F">
      <w:pPr>
        <w:spacing w:line="360" w:lineRule="auto"/>
        <w:ind w:firstLine="480" w:firstLineChars="200"/>
        <w:rPr>
          <w:rFonts w:ascii="宋体" w:hAnsi="宋体" w:cs="宋体"/>
          <w:color w:val="000000"/>
          <w:sz w:val="24"/>
        </w:rPr>
      </w:pPr>
      <w:r>
        <w:rPr>
          <w:rFonts w:hint="eastAsia" w:ascii="宋体" w:hAnsi="宋体" w:cs="宋体"/>
          <w:color w:val="000000"/>
          <w:sz w:val="24"/>
        </w:rPr>
        <w:t>发包人违约的其他情形：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0009C541">
      <w:pPr>
        <w:spacing w:line="360" w:lineRule="auto"/>
        <w:ind w:firstLine="480" w:firstLineChars="200"/>
        <w:rPr>
          <w:rFonts w:ascii="宋体" w:hAnsi="宋体" w:cs="宋体"/>
          <w:color w:val="000000"/>
          <w:sz w:val="24"/>
        </w:rPr>
      </w:pPr>
      <w:r>
        <w:rPr>
          <w:rFonts w:hint="eastAsia" w:ascii="宋体" w:hAnsi="宋体" w:cs="宋体"/>
          <w:color w:val="000000"/>
          <w:sz w:val="24"/>
        </w:rPr>
        <w:t>16.1.2 发包人违约的责任</w:t>
      </w:r>
    </w:p>
    <w:p w14:paraId="6E781F4B">
      <w:pPr>
        <w:spacing w:line="360" w:lineRule="auto"/>
        <w:ind w:firstLine="480" w:firstLineChars="200"/>
        <w:rPr>
          <w:rFonts w:ascii="宋体" w:hAnsi="宋体" w:cs="宋体"/>
          <w:color w:val="000000"/>
          <w:sz w:val="24"/>
        </w:rPr>
      </w:pPr>
      <w:r>
        <w:rPr>
          <w:rFonts w:hint="eastAsia" w:ascii="宋体" w:hAnsi="宋体" w:cs="宋体"/>
          <w:color w:val="000000"/>
          <w:sz w:val="24"/>
        </w:rPr>
        <w:t>发包人违约责任的承担方式和计算方法：</w:t>
      </w:r>
    </w:p>
    <w:p w14:paraId="28A164DF">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（1）因发包人原因未能在计划开工日期前7天内下达开工通知的违约责任：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0C633219">
      <w:pPr>
        <w:spacing w:line="360" w:lineRule="auto"/>
        <w:ind w:firstLine="480" w:firstLineChars="200"/>
        <w:rPr>
          <w:rFonts w:ascii="宋体" w:hAnsi="宋体" w:cs="宋体"/>
          <w:color w:val="000000"/>
          <w:sz w:val="24"/>
        </w:rPr>
      </w:pPr>
      <w:r>
        <w:rPr>
          <w:rFonts w:hint="eastAsia" w:ascii="宋体" w:hAnsi="宋体" w:cs="宋体"/>
          <w:color w:val="000000"/>
          <w:sz w:val="24"/>
        </w:rPr>
        <w:t>（2）因发包人原因未能按合同约定支付合同价款的违约责任：</w:t>
      </w:r>
      <w:r>
        <w:rPr>
          <w:rFonts w:hint="eastAsia" w:ascii="宋体" w:hAnsi="宋体" w:cs="宋体"/>
          <w:color w:val="000000"/>
          <w:sz w:val="24"/>
          <w:u w:val="single"/>
        </w:rPr>
        <w:t xml:space="preserve">/    </w:t>
      </w:r>
      <w:r>
        <w:rPr>
          <w:rFonts w:hint="eastAsia" w:ascii="宋体" w:hAnsi="宋体" w:cs="宋体"/>
          <w:color w:val="000000"/>
          <w:sz w:val="24"/>
        </w:rPr>
        <w:t>。</w:t>
      </w:r>
    </w:p>
    <w:p w14:paraId="53319CB8">
      <w:pPr>
        <w:spacing w:line="360" w:lineRule="auto"/>
        <w:ind w:firstLine="480" w:firstLineChars="200"/>
        <w:rPr>
          <w:rFonts w:ascii="宋体" w:hAnsi="宋体" w:cs="宋体"/>
          <w:color w:val="000000"/>
          <w:sz w:val="24"/>
        </w:rPr>
      </w:pPr>
      <w:r>
        <w:rPr>
          <w:rFonts w:hint="eastAsia" w:ascii="宋体" w:hAnsi="宋体" w:cs="宋体"/>
          <w:color w:val="000000"/>
          <w:sz w:val="24"/>
        </w:rPr>
        <w:t>（3）发包人违反第10.1款〔变更的范围〕第（2）项约定，自行实施被取消的工作或转由他人实施的违约责任：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95373E2">
      <w:pPr>
        <w:spacing w:line="360" w:lineRule="auto"/>
        <w:ind w:firstLine="480" w:firstLineChars="200"/>
        <w:rPr>
          <w:rFonts w:ascii="宋体" w:hAnsi="宋体" w:cs="宋体"/>
          <w:color w:val="000000"/>
          <w:sz w:val="24"/>
        </w:rPr>
      </w:pPr>
      <w:r>
        <w:rPr>
          <w:rFonts w:hint="eastAsia" w:ascii="宋体" w:hAnsi="宋体" w:cs="宋体"/>
          <w:color w:val="00000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8ADE974">
      <w:pPr>
        <w:spacing w:line="360" w:lineRule="auto"/>
        <w:ind w:firstLine="480" w:firstLineChars="200"/>
        <w:rPr>
          <w:rFonts w:ascii="宋体" w:hAnsi="宋体" w:cs="宋体"/>
          <w:color w:val="000000"/>
          <w:sz w:val="24"/>
        </w:rPr>
      </w:pPr>
      <w:r>
        <w:rPr>
          <w:rFonts w:hint="eastAsia" w:ascii="宋体" w:hAnsi="宋体" w:cs="宋体"/>
          <w:color w:val="000000"/>
          <w:sz w:val="24"/>
        </w:rPr>
        <w:t>（5）因发包人违反合同约定造成暂停施工的违约责任：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32804D96">
      <w:pPr>
        <w:spacing w:line="360" w:lineRule="auto"/>
        <w:ind w:firstLine="480" w:firstLineChars="200"/>
        <w:rPr>
          <w:rFonts w:ascii="宋体" w:hAnsi="宋体" w:cs="宋体"/>
          <w:color w:val="000000"/>
          <w:sz w:val="24"/>
        </w:rPr>
      </w:pPr>
      <w:r>
        <w:rPr>
          <w:rFonts w:hint="eastAsia" w:ascii="宋体" w:hAnsi="宋体" w:cs="宋体"/>
          <w:color w:val="000000"/>
          <w:sz w:val="24"/>
        </w:rPr>
        <w:t>（6）发包人无正当理由没有在约定期限内发出复工指示，导致承包人无法复工的违约责任：</w:t>
      </w:r>
      <w:r>
        <w:rPr>
          <w:rFonts w:hint="eastAsia" w:ascii="宋体" w:hAnsi="宋体" w:cs="宋体"/>
          <w:color w:val="000000"/>
          <w:sz w:val="24"/>
          <w:u w:val="single"/>
        </w:rPr>
        <w:t xml:space="preserve">               /                </w:t>
      </w:r>
      <w:r>
        <w:rPr>
          <w:rFonts w:hint="eastAsia" w:ascii="宋体" w:hAnsi="宋体" w:cs="宋体"/>
          <w:color w:val="000000"/>
          <w:sz w:val="24"/>
        </w:rPr>
        <w:t>。</w:t>
      </w:r>
    </w:p>
    <w:p w14:paraId="27EF4E49">
      <w:pPr>
        <w:spacing w:line="360" w:lineRule="auto"/>
        <w:ind w:firstLine="480" w:firstLineChars="200"/>
        <w:rPr>
          <w:rFonts w:ascii="宋体" w:hAnsi="宋体" w:cs="宋体"/>
          <w:color w:val="000000"/>
          <w:sz w:val="24"/>
        </w:rPr>
      </w:pPr>
      <w:r>
        <w:rPr>
          <w:rFonts w:hint="eastAsia" w:ascii="宋体" w:hAnsi="宋体" w:cs="宋体"/>
          <w:color w:val="000000"/>
          <w:sz w:val="24"/>
        </w:rPr>
        <w:t>（7）其他：</w:t>
      </w:r>
      <w:r>
        <w:rPr>
          <w:rFonts w:hint="eastAsia" w:ascii="宋体" w:hAnsi="宋体" w:cs="宋体"/>
          <w:color w:val="000000"/>
          <w:sz w:val="24"/>
          <w:u w:val="single"/>
        </w:rPr>
        <w:t xml:space="preserve">                   /                       </w:t>
      </w:r>
      <w:r>
        <w:rPr>
          <w:rFonts w:hint="eastAsia" w:ascii="宋体" w:hAnsi="宋体" w:cs="宋体"/>
          <w:color w:val="000000"/>
          <w:sz w:val="24"/>
        </w:rPr>
        <w:t>。</w:t>
      </w:r>
    </w:p>
    <w:p w14:paraId="6D141FC0">
      <w:pPr>
        <w:spacing w:line="360" w:lineRule="auto"/>
        <w:ind w:firstLine="480" w:firstLineChars="200"/>
        <w:rPr>
          <w:rFonts w:ascii="宋体" w:hAnsi="宋体" w:cs="宋体"/>
          <w:color w:val="000000"/>
          <w:sz w:val="24"/>
        </w:rPr>
      </w:pPr>
      <w:r>
        <w:rPr>
          <w:rFonts w:hint="eastAsia" w:ascii="宋体" w:hAnsi="宋体" w:cs="宋体"/>
          <w:color w:val="000000"/>
          <w:sz w:val="24"/>
        </w:rPr>
        <w:t>16.1.3 因发包人违约解除合同</w:t>
      </w:r>
    </w:p>
    <w:p w14:paraId="7F266E47">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承包人按16.1.1项〔发包人违约的情形〕约定暂停施工满</w:t>
      </w:r>
      <w:r>
        <w:rPr>
          <w:rFonts w:hint="eastAsia" w:ascii="宋体" w:hAnsi="宋体" w:cs="宋体"/>
          <w:color w:val="000000"/>
          <w:sz w:val="24"/>
          <w:u w:val="single"/>
        </w:rPr>
        <w:t xml:space="preserve"> 28 </w:t>
      </w:r>
      <w:r>
        <w:rPr>
          <w:rFonts w:hint="eastAsia" w:ascii="宋体" w:hAnsi="宋体" w:cs="宋体"/>
          <w:color w:val="000000"/>
          <w:sz w:val="24"/>
        </w:rPr>
        <w:t>天后发包人仍不纠正其违约行为并致使合同目的不能实现的，承包人有权解除合同。</w:t>
      </w:r>
    </w:p>
    <w:p w14:paraId="58CE19AC">
      <w:pPr>
        <w:spacing w:line="360" w:lineRule="auto"/>
        <w:ind w:firstLine="480" w:firstLineChars="200"/>
        <w:rPr>
          <w:rFonts w:ascii="宋体" w:hAnsi="宋体" w:cs="宋体"/>
          <w:color w:val="000000"/>
          <w:sz w:val="24"/>
        </w:rPr>
      </w:pPr>
      <w:r>
        <w:rPr>
          <w:rFonts w:hint="eastAsia" w:ascii="宋体" w:hAnsi="宋体" w:cs="宋体"/>
          <w:color w:val="000000"/>
          <w:sz w:val="24"/>
        </w:rPr>
        <w:t>16.2 承包人违约</w:t>
      </w:r>
    </w:p>
    <w:p w14:paraId="05F08306">
      <w:pPr>
        <w:spacing w:line="360" w:lineRule="auto"/>
        <w:ind w:firstLine="480" w:firstLineChars="200"/>
        <w:rPr>
          <w:rFonts w:ascii="宋体" w:hAnsi="宋体" w:cs="宋体"/>
          <w:color w:val="000000"/>
          <w:sz w:val="24"/>
        </w:rPr>
      </w:pPr>
      <w:r>
        <w:rPr>
          <w:rFonts w:hint="eastAsia" w:ascii="宋体" w:hAnsi="宋体" w:cs="宋体"/>
          <w:color w:val="000000"/>
          <w:sz w:val="24"/>
        </w:rPr>
        <w:t>16.2.1 承包人违约的情形、承担方式和计算方法</w:t>
      </w:r>
    </w:p>
    <w:p w14:paraId="52765A42">
      <w:pPr>
        <w:spacing w:line="360" w:lineRule="auto"/>
        <w:ind w:firstLine="480" w:firstLineChars="200"/>
        <w:rPr>
          <w:rFonts w:ascii="宋体" w:hAnsi="宋体" w:cs="宋体"/>
          <w:color w:val="000000"/>
          <w:sz w:val="24"/>
        </w:rPr>
      </w:pPr>
      <w:r>
        <w:rPr>
          <w:rFonts w:hint="eastAsia" w:ascii="宋体" w:hAnsi="宋体" w:cs="宋体"/>
          <w:color w:val="000000"/>
          <w:sz w:val="24"/>
        </w:rPr>
        <w:t>（1）发生下列情况之一，视作承包人违约，并承担相应金额违约金，违约金从工程款中扣除。</w:t>
      </w:r>
    </w:p>
    <w:p w14:paraId="20DC77F5">
      <w:pPr>
        <w:spacing w:line="360" w:lineRule="auto"/>
        <w:ind w:firstLine="480" w:firstLineChars="200"/>
        <w:rPr>
          <w:rFonts w:ascii="宋体" w:hAnsi="宋体" w:cs="宋体"/>
          <w:color w:val="000000"/>
          <w:sz w:val="24"/>
        </w:rPr>
      </w:pPr>
      <w:r>
        <w:rPr>
          <w:rFonts w:hint="eastAsia" w:ascii="宋体" w:hAnsi="宋体" w:cs="宋体"/>
          <w:color w:val="000000"/>
          <w:sz w:val="24"/>
        </w:rPr>
        <w:t>①未达到工程质量验收合格标准违约金为中标价的2.5%；</w:t>
      </w:r>
    </w:p>
    <w:p w14:paraId="7EE2AF7D">
      <w:pPr>
        <w:spacing w:line="360" w:lineRule="auto"/>
        <w:ind w:firstLine="480" w:firstLineChars="200"/>
        <w:rPr>
          <w:rFonts w:ascii="宋体" w:hAnsi="宋体" w:cs="宋体"/>
          <w:color w:val="000000"/>
          <w:sz w:val="24"/>
        </w:rPr>
      </w:pPr>
      <w:r>
        <w:rPr>
          <w:rFonts w:hint="eastAsia" w:ascii="宋体" w:hAnsi="宋体" w:cs="宋体"/>
          <w:color w:val="000000"/>
          <w:sz w:val="24"/>
        </w:rPr>
        <w:t>②未履行安全文明施工承诺违约金为中标价的2.5%；</w:t>
      </w:r>
    </w:p>
    <w:p w14:paraId="14181D2B">
      <w:pPr>
        <w:spacing w:line="360" w:lineRule="auto"/>
        <w:ind w:firstLine="480" w:firstLineChars="200"/>
        <w:rPr>
          <w:rFonts w:ascii="宋体" w:hAnsi="宋体" w:cs="宋体"/>
          <w:color w:val="000000"/>
          <w:sz w:val="24"/>
        </w:rPr>
      </w:pPr>
      <w:r>
        <w:rPr>
          <w:rFonts w:hint="eastAsia" w:ascii="宋体" w:hAnsi="宋体" w:cs="宋体"/>
          <w:color w:val="000000"/>
          <w:sz w:val="24"/>
        </w:rPr>
        <w:t>③主要机械设备：未履行按竞包文件配备施工所需的主要机械设备到场承诺的，承担违约金为中标价1%。</w:t>
      </w:r>
    </w:p>
    <w:p w14:paraId="22F79B17">
      <w:pPr>
        <w:spacing w:line="360" w:lineRule="auto"/>
        <w:ind w:firstLine="480" w:firstLineChars="200"/>
        <w:rPr>
          <w:rFonts w:ascii="宋体" w:hAnsi="宋体" w:cs="宋体"/>
          <w:color w:val="000000"/>
          <w:sz w:val="24"/>
        </w:rPr>
      </w:pPr>
      <w:r>
        <w:rPr>
          <w:rFonts w:hint="eastAsia" w:ascii="宋体" w:hAnsi="宋体" w:cs="宋体"/>
          <w:color w:val="000000"/>
          <w:sz w:val="24"/>
        </w:rPr>
        <w:t>（2）发生下列情况之一，视作承包人违约：实际施工期到位率以监理和发包人当月统计情况为准，违约金从月报工程款中扣除。</w:t>
      </w:r>
    </w:p>
    <w:p w14:paraId="4D81D131">
      <w:pPr>
        <w:spacing w:line="360" w:lineRule="auto"/>
        <w:ind w:firstLine="480" w:firstLineChars="200"/>
        <w:rPr>
          <w:rFonts w:ascii="宋体" w:hAnsi="宋体" w:cs="宋体"/>
          <w:color w:val="000000"/>
          <w:kern w:val="0"/>
          <w:sz w:val="24"/>
        </w:rPr>
      </w:pPr>
      <w:r>
        <w:rPr>
          <w:rFonts w:hint="eastAsia" w:ascii="宋体" w:hAnsi="宋体" w:cs="宋体"/>
          <w:color w:val="000000"/>
          <w:sz w:val="24"/>
        </w:rPr>
        <w:t>1、未履行项目经理及项目部关键岗位人员月实际施工期到场承诺违约金</w:t>
      </w:r>
      <w:r>
        <w:rPr>
          <w:rFonts w:hint="eastAsia" w:ascii="宋体" w:hAnsi="宋体" w:cs="宋体"/>
          <w:color w:val="000000"/>
          <w:sz w:val="24"/>
          <w:u w:val="single"/>
        </w:rPr>
        <w:t>1000</w:t>
      </w:r>
      <w:r>
        <w:rPr>
          <w:rFonts w:hint="eastAsia" w:ascii="宋体" w:hAnsi="宋体" w:cs="宋体"/>
          <w:color w:val="000000"/>
          <w:sz w:val="24"/>
        </w:rPr>
        <w:t>元/人/天。</w:t>
      </w:r>
    </w:p>
    <w:p w14:paraId="056A5915">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2、承包人擅自更换项目负责人违约金</w:t>
      </w:r>
      <w:r>
        <w:rPr>
          <w:rFonts w:hint="eastAsia" w:ascii="宋体" w:hAnsi="宋体" w:cs="宋体"/>
          <w:color w:val="000000"/>
          <w:kern w:val="0"/>
          <w:sz w:val="24"/>
          <w:u w:val="single"/>
        </w:rPr>
        <w:t>10000</w:t>
      </w:r>
      <w:r>
        <w:rPr>
          <w:rFonts w:hint="eastAsia" w:ascii="宋体" w:hAnsi="宋体" w:cs="宋体"/>
          <w:color w:val="000000"/>
          <w:kern w:val="0"/>
          <w:sz w:val="24"/>
        </w:rPr>
        <w:t>元/次。</w:t>
      </w:r>
    </w:p>
    <w:p w14:paraId="660956B2">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3、承包人擅自更换项目部其余关键岗位人员违约金</w:t>
      </w:r>
      <w:r>
        <w:rPr>
          <w:rFonts w:hint="eastAsia" w:ascii="宋体" w:hAnsi="宋体" w:cs="宋体"/>
          <w:color w:val="000000"/>
          <w:kern w:val="0"/>
          <w:sz w:val="24"/>
          <w:u w:val="single"/>
        </w:rPr>
        <w:t>5000</w:t>
      </w:r>
      <w:r>
        <w:rPr>
          <w:rFonts w:hint="eastAsia" w:ascii="宋体" w:hAnsi="宋体" w:cs="宋体"/>
          <w:color w:val="000000"/>
          <w:kern w:val="0"/>
          <w:sz w:val="24"/>
        </w:rPr>
        <w:t>元/人/次。</w:t>
      </w:r>
    </w:p>
    <w:p w14:paraId="54518677">
      <w:pPr>
        <w:spacing w:line="360" w:lineRule="auto"/>
        <w:ind w:firstLine="480" w:firstLineChars="200"/>
        <w:rPr>
          <w:rFonts w:ascii="宋体" w:hAnsi="宋体" w:cs="宋体"/>
          <w:color w:val="000000"/>
          <w:sz w:val="24"/>
        </w:rPr>
      </w:pPr>
      <w:r>
        <w:rPr>
          <w:rFonts w:hint="eastAsia" w:ascii="宋体" w:hAnsi="宋体" w:cs="宋体"/>
          <w:color w:val="000000"/>
          <w:sz w:val="24"/>
        </w:rPr>
        <w:t>16.2.3 因承包人违约解除合同</w:t>
      </w:r>
    </w:p>
    <w:p w14:paraId="16580C2F">
      <w:pPr>
        <w:spacing w:line="360" w:lineRule="auto"/>
        <w:ind w:firstLine="480" w:firstLineChars="200"/>
        <w:rPr>
          <w:rFonts w:ascii="宋体" w:hAnsi="宋体" w:cs="宋体"/>
          <w:color w:val="000000"/>
          <w:sz w:val="24"/>
        </w:rPr>
      </w:pPr>
      <w:r>
        <w:rPr>
          <w:rFonts w:hint="eastAsia" w:ascii="宋体" w:hAnsi="宋体" w:cs="宋体"/>
          <w:color w:val="000000"/>
          <w:sz w:val="24"/>
        </w:rPr>
        <w:t>关于承包人违约解除合同的特别约定：</w:t>
      </w:r>
      <w:r>
        <w:rPr>
          <w:rFonts w:hint="eastAsia" w:ascii="宋体" w:hAnsi="宋体" w:cs="宋体"/>
          <w:color w:val="000000"/>
          <w:sz w:val="24"/>
          <w:u w:val="single"/>
        </w:rPr>
        <w:t xml:space="preserve">       /           </w:t>
      </w:r>
      <w:r>
        <w:rPr>
          <w:rFonts w:hint="eastAsia" w:ascii="宋体" w:hAnsi="宋体" w:cs="宋体"/>
          <w:color w:val="000000"/>
          <w:sz w:val="24"/>
        </w:rPr>
        <w:t>。</w:t>
      </w:r>
    </w:p>
    <w:p w14:paraId="69CECD00">
      <w:pPr>
        <w:spacing w:line="360" w:lineRule="auto"/>
        <w:ind w:firstLine="480" w:firstLineChars="200"/>
        <w:rPr>
          <w:rFonts w:ascii="宋体" w:hAnsi="宋体" w:cs="宋体"/>
          <w:color w:val="000000"/>
          <w:sz w:val="24"/>
        </w:rPr>
      </w:pPr>
      <w:r>
        <w:rPr>
          <w:rFonts w:hint="eastAsia" w:ascii="宋体" w:hAnsi="宋体" w:cs="宋体"/>
          <w:color w:val="000000"/>
          <w:sz w:val="24"/>
        </w:rPr>
        <w:t>发包人继续使用承包人在施工现场的材料、设备、临时工程、承包人文件和由承包人或以其名义编制的其他文件的费用承担方式：</w:t>
      </w:r>
      <w:r>
        <w:rPr>
          <w:rFonts w:hint="eastAsia" w:ascii="宋体" w:hAnsi="宋体" w:cs="宋体"/>
          <w:color w:val="000000"/>
          <w:sz w:val="24"/>
          <w:u w:val="single"/>
        </w:rPr>
        <w:t>产生的费用未超过承包人应承担的违约赔偿限额的，由承包人承担；产生的费用超出承包人应承担的违约赔偿限额部分，由发包人承担</w:t>
      </w:r>
      <w:r>
        <w:rPr>
          <w:rFonts w:hint="eastAsia" w:ascii="宋体" w:hAnsi="宋体" w:cs="宋体"/>
          <w:color w:val="000000"/>
          <w:sz w:val="24"/>
        </w:rPr>
        <w:t>。</w:t>
      </w:r>
    </w:p>
    <w:p w14:paraId="2BFD8468">
      <w:pPr>
        <w:spacing w:line="360" w:lineRule="auto"/>
        <w:ind w:firstLine="480" w:firstLineChars="200"/>
        <w:rPr>
          <w:rFonts w:ascii="宋体" w:hAnsi="宋体" w:cs="宋体"/>
          <w:color w:val="000000"/>
          <w:sz w:val="24"/>
        </w:rPr>
      </w:pPr>
      <w:bookmarkStart w:id="926" w:name="_Toc386638623"/>
      <w:bookmarkStart w:id="927" w:name="_Toc351203649"/>
      <w:r>
        <w:rPr>
          <w:rFonts w:hint="eastAsia" w:ascii="宋体" w:hAnsi="宋体" w:cs="宋体"/>
          <w:color w:val="000000"/>
          <w:sz w:val="24"/>
        </w:rPr>
        <w:t>17. 不可抗力</w:t>
      </w:r>
      <w:bookmarkEnd w:id="924"/>
      <w:bookmarkEnd w:id="926"/>
      <w:bookmarkEnd w:id="927"/>
    </w:p>
    <w:p w14:paraId="0D63F2E9">
      <w:pPr>
        <w:spacing w:line="360" w:lineRule="auto"/>
        <w:ind w:firstLine="480" w:firstLineChars="200"/>
        <w:rPr>
          <w:rFonts w:ascii="宋体" w:hAnsi="宋体" w:cs="宋体"/>
          <w:color w:val="000000"/>
          <w:sz w:val="24"/>
        </w:rPr>
      </w:pPr>
      <w:r>
        <w:rPr>
          <w:rFonts w:hint="eastAsia" w:ascii="宋体" w:hAnsi="宋体" w:cs="宋体"/>
          <w:color w:val="000000"/>
          <w:sz w:val="24"/>
        </w:rPr>
        <w:t>17.1 不可抗力的确认</w:t>
      </w:r>
    </w:p>
    <w:p w14:paraId="68731B7E">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 xml:space="preserve">  /  </w:t>
      </w:r>
      <w:r>
        <w:rPr>
          <w:rFonts w:hint="eastAsia" w:ascii="宋体" w:hAnsi="宋体" w:cs="宋体"/>
          <w:color w:val="000000"/>
          <w:sz w:val="24"/>
        </w:rPr>
        <w:t>。</w:t>
      </w:r>
    </w:p>
    <w:p w14:paraId="6265E024">
      <w:pPr>
        <w:spacing w:line="360" w:lineRule="auto"/>
        <w:ind w:firstLine="480" w:firstLineChars="200"/>
        <w:rPr>
          <w:rFonts w:ascii="宋体" w:hAnsi="宋体" w:cs="宋体"/>
          <w:color w:val="000000"/>
          <w:sz w:val="24"/>
        </w:rPr>
      </w:pPr>
      <w:r>
        <w:rPr>
          <w:rFonts w:hint="eastAsia" w:ascii="宋体" w:hAnsi="宋体" w:cs="宋体"/>
          <w:color w:val="000000"/>
          <w:sz w:val="24"/>
        </w:rPr>
        <w:t>17.4 因不可抗力解除合同</w:t>
      </w:r>
    </w:p>
    <w:p w14:paraId="44A49B7F">
      <w:pPr>
        <w:spacing w:line="360" w:lineRule="auto"/>
        <w:ind w:firstLine="480" w:firstLineChars="200"/>
        <w:rPr>
          <w:rFonts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14:paraId="7BC49822">
      <w:pPr>
        <w:spacing w:line="360" w:lineRule="auto"/>
        <w:ind w:firstLine="480" w:firstLineChars="200"/>
        <w:rPr>
          <w:rFonts w:ascii="宋体" w:hAnsi="宋体" w:cs="宋体"/>
          <w:color w:val="000000"/>
          <w:sz w:val="24"/>
        </w:rPr>
      </w:pPr>
      <w:bookmarkStart w:id="928" w:name="_Toc351203650"/>
      <w:bookmarkStart w:id="929" w:name="_Toc386638624"/>
      <w:r>
        <w:rPr>
          <w:rFonts w:hint="eastAsia" w:ascii="宋体" w:hAnsi="宋体" w:cs="宋体"/>
          <w:color w:val="000000"/>
          <w:sz w:val="24"/>
        </w:rPr>
        <w:t>18. 保险</w:t>
      </w:r>
      <w:bookmarkEnd w:id="928"/>
      <w:bookmarkEnd w:id="929"/>
    </w:p>
    <w:bookmarkEnd w:id="900"/>
    <w:bookmarkEnd w:id="901"/>
    <w:bookmarkEnd w:id="902"/>
    <w:bookmarkEnd w:id="903"/>
    <w:bookmarkEnd w:id="904"/>
    <w:bookmarkEnd w:id="905"/>
    <w:bookmarkEnd w:id="906"/>
    <w:bookmarkEnd w:id="907"/>
    <w:bookmarkEnd w:id="908"/>
    <w:bookmarkEnd w:id="909"/>
    <w:bookmarkEnd w:id="910"/>
    <w:bookmarkEnd w:id="911"/>
    <w:bookmarkEnd w:id="925"/>
    <w:p w14:paraId="70955945">
      <w:pPr>
        <w:spacing w:line="360" w:lineRule="auto"/>
        <w:ind w:firstLine="480" w:firstLineChars="200"/>
        <w:rPr>
          <w:rFonts w:ascii="宋体" w:hAnsi="宋体" w:cs="宋体"/>
          <w:color w:val="000000"/>
          <w:sz w:val="24"/>
        </w:rPr>
      </w:pPr>
      <w:bookmarkStart w:id="930" w:name="_Toc351203651"/>
      <w:bookmarkStart w:id="931" w:name="_Toc386638625"/>
      <w:r>
        <w:rPr>
          <w:rFonts w:hint="eastAsia" w:ascii="宋体" w:hAnsi="宋体" w:cs="宋体"/>
          <w:color w:val="000000"/>
          <w:sz w:val="24"/>
        </w:rPr>
        <w:t>18.1 工程保险</w:t>
      </w:r>
    </w:p>
    <w:p w14:paraId="4D8679D8">
      <w:pPr>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      /      </w:t>
      </w:r>
      <w:r>
        <w:rPr>
          <w:rFonts w:hint="eastAsia" w:ascii="宋体" w:hAnsi="宋体" w:cs="宋体"/>
          <w:kern w:val="0"/>
          <w:sz w:val="24"/>
        </w:rPr>
        <w:t>。</w:t>
      </w:r>
    </w:p>
    <w:p w14:paraId="3A7A94BF">
      <w:pPr>
        <w:spacing w:line="360" w:lineRule="auto"/>
        <w:ind w:firstLine="480" w:firstLineChars="200"/>
        <w:rPr>
          <w:rFonts w:ascii="宋体" w:hAnsi="宋体" w:cs="宋体"/>
          <w:sz w:val="24"/>
        </w:rPr>
      </w:pPr>
      <w:r>
        <w:rPr>
          <w:rFonts w:hint="eastAsia" w:ascii="宋体" w:hAnsi="宋体" w:cs="宋体"/>
          <w:sz w:val="24"/>
        </w:rPr>
        <w:t>18.3 其他保险</w:t>
      </w:r>
    </w:p>
    <w:p w14:paraId="7ECEAF20">
      <w:pPr>
        <w:spacing w:line="360" w:lineRule="auto"/>
        <w:ind w:firstLine="480" w:firstLineChars="200"/>
        <w:rPr>
          <w:rFonts w:ascii="宋体" w:hAnsi="宋体" w:cs="宋体"/>
          <w:kern w:val="0"/>
          <w:sz w:val="24"/>
        </w:rPr>
      </w:pPr>
      <w:r>
        <w:rPr>
          <w:rFonts w:hint="eastAsia" w:ascii="宋体" w:hAnsi="宋体" w:cs="宋体"/>
          <w:sz w:val="24"/>
        </w:rPr>
        <w:t>关于其他保险的约定：</w:t>
      </w:r>
      <w:r>
        <w:rPr>
          <w:rFonts w:hint="eastAsia" w:ascii="宋体" w:hAnsi="宋体" w:cs="宋体"/>
          <w:kern w:val="0"/>
          <w:sz w:val="24"/>
          <w:u w:val="single"/>
        </w:rPr>
        <w:t xml:space="preserve"> 民工工伤保险 </w:t>
      </w:r>
      <w:r>
        <w:rPr>
          <w:rFonts w:hint="eastAsia" w:ascii="宋体" w:hAnsi="宋体" w:cs="宋体"/>
          <w:kern w:val="0"/>
          <w:sz w:val="24"/>
        </w:rPr>
        <w:t>。</w:t>
      </w:r>
    </w:p>
    <w:p w14:paraId="1D366544">
      <w:pPr>
        <w:spacing w:line="360" w:lineRule="auto"/>
        <w:ind w:firstLine="480" w:firstLineChars="200"/>
        <w:rPr>
          <w:rFonts w:ascii="宋体" w:hAnsi="宋体" w:cs="宋体"/>
          <w:kern w:val="0"/>
          <w:sz w:val="24"/>
        </w:rPr>
      </w:pPr>
      <w:r>
        <w:rPr>
          <w:rFonts w:hint="eastAsia" w:ascii="宋体" w:hAnsi="宋体" w:cs="宋体"/>
          <w:sz w:val="24"/>
        </w:rPr>
        <w:t>承包人是否应为其施工设备等办理财产保险：承包人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01FAE093">
      <w:pPr>
        <w:spacing w:line="360" w:lineRule="auto"/>
        <w:ind w:firstLine="480" w:firstLineChars="200"/>
        <w:rPr>
          <w:rFonts w:ascii="宋体" w:hAnsi="宋体" w:cs="宋体"/>
          <w:sz w:val="24"/>
        </w:rPr>
      </w:pPr>
      <w:r>
        <w:rPr>
          <w:rFonts w:hint="eastAsia" w:ascii="宋体" w:hAnsi="宋体" w:cs="宋体"/>
          <w:sz w:val="24"/>
        </w:rPr>
        <w:t>18.7 通知义务</w:t>
      </w:r>
    </w:p>
    <w:p w14:paraId="44701FFB">
      <w:pPr>
        <w:spacing w:line="360" w:lineRule="auto"/>
        <w:ind w:firstLine="480" w:firstLineChars="200"/>
        <w:rPr>
          <w:rFonts w:ascii="宋体" w:hAnsi="宋体" w:cs="宋体"/>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        </w:t>
      </w:r>
      <w:r>
        <w:rPr>
          <w:rFonts w:hint="eastAsia" w:ascii="宋体" w:hAnsi="宋体" w:cs="宋体"/>
          <w:sz w:val="24"/>
        </w:rPr>
        <w:t>。</w:t>
      </w:r>
    </w:p>
    <w:p w14:paraId="575085EC">
      <w:pPr>
        <w:spacing w:line="360" w:lineRule="auto"/>
        <w:ind w:firstLine="482" w:firstLineChars="200"/>
        <w:rPr>
          <w:rFonts w:ascii="宋体" w:hAnsi="宋体" w:cs="宋体"/>
          <w:b/>
          <w:sz w:val="24"/>
        </w:rPr>
      </w:pPr>
      <w:r>
        <w:rPr>
          <w:rFonts w:hint="eastAsia" w:ascii="宋体" w:hAnsi="宋体" w:cs="宋体"/>
          <w:b/>
          <w:sz w:val="24"/>
        </w:rPr>
        <w:t>本工程的民工工伤保险和建筑施工人员团体意外伤害保险由承包人一次性支付。</w:t>
      </w:r>
    </w:p>
    <w:p w14:paraId="5591A515">
      <w:pPr>
        <w:spacing w:line="360" w:lineRule="auto"/>
        <w:ind w:firstLine="480" w:firstLineChars="200"/>
        <w:rPr>
          <w:rFonts w:ascii="宋体" w:hAnsi="宋体" w:cs="宋体"/>
          <w:sz w:val="24"/>
        </w:rPr>
      </w:pPr>
      <w:r>
        <w:rPr>
          <w:rFonts w:hint="eastAsia" w:ascii="宋体" w:hAnsi="宋体" w:cs="宋体"/>
          <w:sz w:val="24"/>
        </w:rPr>
        <w:t>承包人在与分包单位签订分包合同时，应当同时按《宁波市建筑施工企业从业人员参加工伤保险暂行办法》（甬人社发[2014]170号文件）规定签订《建设项目从业人员工伤保险费代缴协议》，作为分包合同的组成部分。</w:t>
      </w:r>
    </w:p>
    <w:p w14:paraId="7DB275EC">
      <w:pPr>
        <w:spacing w:line="360" w:lineRule="auto"/>
        <w:ind w:firstLine="480" w:firstLineChars="200"/>
        <w:rPr>
          <w:rFonts w:ascii="宋体" w:hAnsi="宋体" w:cs="宋体"/>
          <w:sz w:val="24"/>
        </w:rPr>
      </w:pPr>
      <w:r>
        <w:rPr>
          <w:rFonts w:hint="eastAsia" w:ascii="宋体" w:hAnsi="宋体" w:cs="宋体"/>
          <w:sz w:val="24"/>
        </w:rPr>
        <w:t>承包人为建设项目缴纳工伤保险费后，应当将《建设项目工伤保险参保登记表》和《建设项目从业人员工伤保险费代缴协议》发送给本建设项目中各分包单位。</w:t>
      </w:r>
    </w:p>
    <w:p w14:paraId="172C00D0">
      <w:pPr>
        <w:spacing w:line="360" w:lineRule="auto"/>
        <w:ind w:firstLine="482" w:firstLineChars="200"/>
        <w:rPr>
          <w:rFonts w:ascii="宋体" w:hAnsi="宋体" w:cs="宋体"/>
          <w:b/>
          <w:sz w:val="24"/>
        </w:rPr>
      </w:pPr>
      <w:r>
        <w:rPr>
          <w:rFonts w:hint="eastAsia" w:ascii="宋体" w:hAnsi="宋体" w:cs="宋体"/>
          <w:b/>
          <w:sz w:val="24"/>
        </w:rPr>
        <w:t>承包人缴纳建筑施工人员团体意外伤害保险时应按照《团体建筑工人意外伤害保险条款（2012版）》规定采用按总造价计算保险费用的方法缴纳。</w:t>
      </w:r>
    </w:p>
    <w:p w14:paraId="7C1844FD">
      <w:pPr>
        <w:spacing w:line="360" w:lineRule="auto"/>
        <w:ind w:firstLine="480" w:firstLineChars="200"/>
        <w:rPr>
          <w:rFonts w:ascii="宋体" w:hAnsi="宋体" w:cs="宋体"/>
          <w:sz w:val="24"/>
        </w:rPr>
      </w:pPr>
      <w:r>
        <w:rPr>
          <w:rFonts w:hint="eastAsia" w:ascii="宋体" w:hAnsi="宋体" w:cs="宋体"/>
          <w:sz w:val="24"/>
        </w:rPr>
        <w:t>为其施工设备等办理财产保险：承包人</w:t>
      </w:r>
      <w:r>
        <w:rPr>
          <w:rFonts w:hint="eastAsia" w:ascii="宋体" w:hAnsi="宋体" w:cs="宋体"/>
          <w:sz w:val="24"/>
          <w:u w:val="single"/>
        </w:rPr>
        <w:t xml:space="preserve"> 应当 </w:t>
      </w:r>
      <w:r>
        <w:rPr>
          <w:rFonts w:hint="eastAsia" w:ascii="宋体" w:hAnsi="宋体" w:cs="宋体"/>
          <w:sz w:val="24"/>
        </w:rPr>
        <w:t>为其施工设备等办理财产保险</w:t>
      </w:r>
    </w:p>
    <w:p w14:paraId="552A54C4">
      <w:pPr>
        <w:spacing w:line="360" w:lineRule="auto"/>
        <w:ind w:firstLine="480" w:firstLineChars="200"/>
        <w:rPr>
          <w:rFonts w:ascii="宋体" w:hAnsi="宋体" w:cs="宋体"/>
          <w:color w:val="000000"/>
          <w:sz w:val="24"/>
        </w:rPr>
      </w:pPr>
      <w:r>
        <w:rPr>
          <w:rFonts w:hint="eastAsia" w:ascii="宋体" w:hAnsi="宋体" w:cs="宋体"/>
          <w:color w:val="000000"/>
          <w:sz w:val="24"/>
        </w:rPr>
        <w:t>20. 争议解决</w:t>
      </w:r>
    </w:p>
    <w:p w14:paraId="02C860DE">
      <w:pPr>
        <w:spacing w:line="360" w:lineRule="auto"/>
        <w:ind w:firstLine="480" w:firstLineChars="200"/>
        <w:rPr>
          <w:rFonts w:ascii="宋体" w:hAnsi="宋体" w:cs="宋体"/>
          <w:color w:val="000000"/>
          <w:sz w:val="24"/>
        </w:rPr>
      </w:pPr>
      <w:r>
        <w:rPr>
          <w:rFonts w:hint="eastAsia" w:ascii="宋体" w:hAnsi="宋体" w:cs="宋体"/>
          <w:color w:val="000000"/>
          <w:sz w:val="24"/>
        </w:rPr>
        <w:t>20.3 争议评审</w:t>
      </w:r>
    </w:p>
    <w:p w14:paraId="7CB8B489">
      <w:pPr>
        <w:spacing w:line="360" w:lineRule="auto"/>
        <w:ind w:firstLine="480" w:firstLineChars="200"/>
        <w:rPr>
          <w:rFonts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w:t>
      </w:r>
    </w:p>
    <w:p w14:paraId="42DFA3A9">
      <w:pPr>
        <w:spacing w:line="360" w:lineRule="auto"/>
        <w:ind w:firstLine="480" w:firstLineChars="200"/>
        <w:rPr>
          <w:rFonts w:ascii="宋体" w:hAnsi="宋体" w:cs="宋体"/>
          <w:color w:val="000000"/>
          <w:sz w:val="24"/>
        </w:rPr>
      </w:pPr>
      <w:r>
        <w:rPr>
          <w:rFonts w:hint="eastAsia" w:ascii="宋体" w:hAnsi="宋体" w:cs="宋体"/>
          <w:color w:val="000000"/>
          <w:sz w:val="24"/>
        </w:rPr>
        <w:t>20.3.1 争议评审小组的确定</w:t>
      </w:r>
    </w:p>
    <w:p w14:paraId="0B7A2FCD">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14:paraId="2CAF2A37">
      <w:pPr>
        <w:spacing w:line="360" w:lineRule="auto"/>
        <w:ind w:firstLine="480" w:firstLineChars="200"/>
        <w:rPr>
          <w:rFonts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14:paraId="10812105">
      <w:pPr>
        <w:spacing w:line="360" w:lineRule="auto"/>
        <w:ind w:firstLine="480" w:firstLineChars="200"/>
        <w:rPr>
          <w:rFonts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14:paraId="06EAEB71">
      <w:pPr>
        <w:spacing w:line="360" w:lineRule="auto"/>
        <w:ind w:firstLine="480" w:firstLineChars="200"/>
        <w:rPr>
          <w:rFonts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491E506B">
      <w:pPr>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20.3.2 争议评审小组的决定</w:t>
      </w:r>
    </w:p>
    <w:p w14:paraId="754A58CF">
      <w:pPr>
        <w:spacing w:line="360" w:lineRule="auto"/>
        <w:ind w:firstLine="480" w:firstLineChars="200"/>
        <w:rPr>
          <w:rFonts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14:paraId="5C0C05EC">
      <w:pPr>
        <w:spacing w:line="360" w:lineRule="auto"/>
        <w:ind w:firstLine="480" w:firstLineChars="200"/>
        <w:rPr>
          <w:rFonts w:ascii="宋体" w:hAnsi="宋体" w:cs="宋体"/>
          <w:color w:val="000000"/>
          <w:sz w:val="24"/>
        </w:rPr>
      </w:pPr>
      <w:r>
        <w:rPr>
          <w:rFonts w:hint="eastAsia" w:ascii="宋体" w:hAnsi="宋体" w:cs="宋体"/>
          <w:color w:val="000000"/>
          <w:sz w:val="24"/>
        </w:rPr>
        <w:t>20.4 仲裁或诉讼</w:t>
      </w:r>
    </w:p>
    <w:p w14:paraId="491F1450">
      <w:pPr>
        <w:spacing w:line="360" w:lineRule="auto"/>
        <w:ind w:firstLine="480" w:firstLineChars="200"/>
        <w:rPr>
          <w:rFonts w:ascii="宋体" w:hAnsi="宋体" w:cs="宋体"/>
          <w:color w:val="000000"/>
          <w:sz w:val="24"/>
        </w:rPr>
      </w:pPr>
      <w:r>
        <w:rPr>
          <w:rFonts w:hint="eastAsia" w:ascii="宋体" w:hAnsi="宋体" w:cs="宋体"/>
          <w:color w:val="000000"/>
          <w:sz w:val="24"/>
        </w:rPr>
        <w:t>发包人同承包人发生合同价款、工程结算和其他造价事项争议，一般采用下列程序解决：</w:t>
      </w:r>
    </w:p>
    <w:p w14:paraId="050C5CCB">
      <w:pPr>
        <w:spacing w:line="360" w:lineRule="auto"/>
        <w:ind w:firstLine="480" w:firstLineChars="200"/>
        <w:rPr>
          <w:rFonts w:ascii="宋体" w:hAnsi="宋体" w:cs="宋体"/>
          <w:color w:val="000000"/>
          <w:sz w:val="24"/>
        </w:rPr>
      </w:pPr>
      <w:r>
        <w:rPr>
          <w:rFonts w:hint="eastAsia" w:ascii="宋体" w:hAnsi="宋体" w:cs="宋体"/>
          <w:color w:val="000000"/>
          <w:sz w:val="24"/>
        </w:rPr>
        <w:t>（1）由合同双方本着合法、客观、平等、合理的原则进行协商；</w:t>
      </w:r>
    </w:p>
    <w:p w14:paraId="43743847">
      <w:pPr>
        <w:spacing w:line="360" w:lineRule="auto"/>
        <w:ind w:firstLine="480" w:firstLineChars="200"/>
        <w:rPr>
          <w:rFonts w:ascii="宋体" w:hAnsi="宋体" w:cs="宋体"/>
          <w:color w:val="000000"/>
          <w:sz w:val="24"/>
        </w:rPr>
      </w:pPr>
      <w:r>
        <w:rPr>
          <w:rFonts w:hint="eastAsia" w:ascii="宋体" w:hAnsi="宋体" w:cs="宋体"/>
          <w:color w:val="000000"/>
          <w:sz w:val="24"/>
        </w:rPr>
        <w:t>（2）提请建设工程造价管理机构进行调解；</w:t>
      </w:r>
    </w:p>
    <w:p w14:paraId="5D6B686E">
      <w:pPr>
        <w:spacing w:line="360" w:lineRule="auto"/>
        <w:ind w:firstLine="480" w:firstLineChars="200"/>
        <w:rPr>
          <w:rFonts w:ascii="宋体" w:hAnsi="宋体" w:cs="宋体"/>
          <w:color w:val="000000"/>
          <w:sz w:val="24"/>
        </w:rPr>
      </w:pPr>
      <w:r>
        <w:rPr>
          <w:rFonts w:hint="eastAsia" w:ascii="宋体" w:hAnsi="宋体" w:cs="宋体"/>
          <w:color w:val="000000"/>
          <w:sz w:val="24"/>
        </w:rPr>
        <w:t>（3）不愿协商、调解，或者协商、调解不成的</w:t>
      </w:r>
      <w:r>
        <w:rPr>
          <w:rFonts w:hint="eastAsia" w:ascii="宋体" w:hAnsi="宋体" w:cs="宋体"/>
          <w:b/>
          <w:color w:val="000000"/>
          <w:sz w:val="24"/>
        </w:rPr>
        <w:t>，</w:t>
      </w:r>
      <w:r>
        <w:rPr>
          <w:rFonts w:hint="eastAsia" w:ascii="宋体" w:hAnsi="宋体" w:cs="宋体"/>
          <w:color w:val="000000"/>
          <w:sz w:val="24"/>
        </w:rPr>
        <w:t>可以选择采用第</w:t>
      </w:r>
      <w:r>
        <w:rPr>
          <w:rFonts w:hint="eastAsia" w:ascii="宋体" w:hAnsi="宋体" w:cs="宋体"/>
          <w:color w:val="000000"/>
          <w:sz w:val="24"/>
          <w:u w:val="single"/>
        </w:rPr>
        <w:t xml:space="preserve"> 2 </w:t>
      </w:r>
      <w:r>
        <w:rPr>
          <w:rFonts w:hint="eastAsia" w:ascii="宋体" w:hAnsi="宋体" w:cs="宋体"/>
          <w:color w:val="000000"/>
          <w:sz w:val="24"/>
        </w:rPr>
        <w:t>种下列方式解决：</w:t>
      </w:r>
    </w:p>
    <w:p w14:paraId="336EC8C3">
      <w:pPr>
        <w:spacing w:line="360" w:lineRule="auto"/>
        <w:ind w:firstLine="480" w:firstLineChars="200"/>
        <w:rPr>
          <w:rFonts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14:paraId="34D42907">
      <w:pPr>
        <w:spacing w:line="360" w:lineRule="auto"/>
        <w:ind w:firstLine="480" w:firstLineChars="200"/>
        <w:rPr>
          <w:rFonts w:ascii="宋体" w:hAnsi="宋体" w:cs="宋体"/>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宁海县 </w:t>
      </w:r>
      <w:r>
        <w:rPr>
          <w:rFonts w:hint="eastAsia" w:ascii="宋体" w:hAnsi="宋体" w:cs="宋体"/>
          <w:color w:val="000000"/>
          <w:sz w:val="24"/>
        </w:rPr>
        <w:t>人民法院提起诉讼。</w:t>
      </w:r>
    </w:p>
    <w:p w14:paraId="7EE6480C">
      <w:pPr>
        <w:spacing w:line="360" w:lineRule="auto"/>
        <w:ind w:firstLine="480" w:firstLineChars="200"/>
        <w:rPr>
          <w:rFonts w:ascii="宋体" w:hAnsi="宋体" w:cs="宋体"/>
          <w:color w:val="000000"/>
          <w:sz w:val="24"/>
        </w:rPr>
      </w:pPr>
      <w:r>
        <w:rPr>
          <w:rFonts w:hint="eastAsia" w:ascii="宋体" w:hAnsi="宋体" w:cs="宋体"/>
          <w:color w:val="000000"/>
          <w:sz w:val="24"/>
        </w:rPr>
        <w:t>21、补充条款</w:t>
      </w:r>
    </w:p>
    <w:p w14:paraId="50DB14E4">
      <w:pPr>
        <w:spacing w:line="360" w:lineRule="auto"/>
        <w:ind w:firstLine="480" w:firstLineChars="200"/>
        <w:rPr>
          <w:rFonts w:ascii="宋体" w:hAnsi="宋体" w:cs="宋体"/>
          <w:color w:val="000000"/>
          <w:sz w:val="24"/>
        </w:rPr>
      </w:pPr>
      <w:r>
        <w:rPr>
          <w:rFonts w:hint="eastAsia" w:ascii="宋体" w:hAnsi="宋体" w:cs="宋体"/>
          <w:color w:val="000000"/>
          <w:sz w:val="24"/>
        </w:rPr>
        <w:t>21.1 实际施工时，无论工程量增减多少，承包人均应无条件服从；增减工程量或工程项目按价款结算的有关条款结算，承包人不得提出额外索赔。</w:t>
      </w:r>
    </w:p>
    <w:p w14:paraId="07956DCC">
      <w:pPr>
        <w:spacing w:line="360" w:lineRule="auto"/>
        <w:ind w:firstLine="480" w:firstLineChars="200"/>
        <w:rPr>
          <w:rFonts w:ascii="宋体" w:hAnsi="宋体" w:cs="宋体"/>
          <w:color w:val="000000"/>
          <w:sz w:val="24"/>
        </w:rPr>
      </w:pPr>
      <w:r>
        <w:rPr>
          <w:rFonts w:hint="eastAsia" w:ascii="宋体" w:hAnsi="宋体" w:cs="宋体"/>
          <w:color w:val="000000"/>
          <w:sz w:val="24"/>
        </w:rPr>
        <w:t>21.2 在工程开工后直至完工退场，工地现场发生的卫生费、治安费等均由承包人承担。</w:t>
      </w:r>
    </w:p>
    <w:p w14:paraId="6DF152AB">
      <w:pPr>
        <w:spacing w:line="360" w:lineRule="auto"/>
        <w:ind w:firstLine="480" w:firstLineChars="200"/>
        <w:rPr>
          <w:rFonts w:ascii="宋体" w:hAnsi="宋体" w:cs="宋体"/>
          <w:color w:val="000000"/>
          <w:sz w:val="24"/>
        </w:rPr>
      </w:pPr>
      <w:r>
        <w:rPr>
          <w:rFonts w:hint="eastAsia" w:ascii="宋体" w:hAnsi="宋体" w:cs="宋体"/>
          <w:color w:val="000000"/>
          <w:sz w:val="24"/>
        </w:rPr>
        <w:t>21.3 承包人须自备发电机，保证在停电时能连续施工，费用由承包人自理。</w:t>
      </w:r>
    </w:p>
    <w:p w14:paraId="01AA2861">
      <w:pPr>
        <w:spacing w:line="360" w:lineRule="auto"/>
        <w:ind w:firstLine="480" w:firstLineChars="200"/>
        <w:rPr>
          <w:rFonts w:ascii="宋体" w:hAnsi="宋体" w:cs="宋体"/>
          <w:color w:val="000000"/>
          <w:sz w:val="24"/>
        </w:rPr>
      </w:pPr>
      <w:r>
        <w:rPr>
          <w:rFonts w:hint="eastAsia" w:ascii="宋体" w:hAnsi="宋体" w:cs="宋体"/>
          <w:color w:val="000000"/>
          <w:sz w:val="24"/>
        </w:rPr>
        <w:t>21.4 根据《宁海县人民政府办公室关于印发2013年建设工程扬尘综合整治专项行动实施方案的通知》(宁政办发［2013］83号)文件规定，中标人应做好防止扬尘污染环境等相关工作，该费用已包括在合同价中。</w:t>
      </w:r>
    </w:p>
    <w:p w14:paraId="07E3CB3D">
      <w:pPr>
        <w:spacing w:line="360" w:lineRule="auto"/>
        <w:ind w:firstLine="480" w:firstLineChars="200"/>
        <w:rPr>
          <w:rFonts w:ascii="宋体" w:hAnsi="宋体" w:cs="宋体"/>
          <w:color w:val="000000"/>
          <w:spacing w:val="8"/>
          <w:sz w:val="24"/>
        </w:rPr>
      </w:pPr>
      <w:r>
        <w:rPr>
          <w:rFonts w:hint="eastAsia" w:ascii="宋体" w:hAnsi="宋体" w:cs="宋体"/>
          <w:color w:val="000000"/>
          <w:sz w:val="24"/>
        </w:rPr>
        <w:t xml:space="preserve">21.5 </w:t>
      </w:r>
      <w:r>
        <w:rPr>
          <w:rFonts w:hint="eastAsia" w:ascii="宋体" w:hAnsi="宋体" w:cs="宋体"/>
          <w:color w:val="000000"/>
          <w:spacing w:val="8"/>
          <w:sz w:val="24"/>
        </w:rPr>
        <w:t>民工工伤保险费按甬发改投资［2014］540号，</w:t>
      </w:r>
      <w:r>
        <w:rPr>
          <w:rFonts w:hint="eastAsia" w:ascii="宋体" w:hAnsi="宋体" w:cs="宋体"/>
          <w:color w:val="000000"/>
          <w:sz w:val="24"/>
        </w:rPr>
        <w:t>该费用已包括在合同价中，承包人</w:t>
      </w:r>
      <w:r>
        <w:rPr>
          <w:rFonts w:hint="eastAsia" w:ascii="宋体" w:hAnsi="宋体" w:cs="宋体"/>
          <w:color w:val="000000"/>
          <w:spacing w:val="8"/>
          <w:sz w:val="24"/>
        </w:rPr>
        <w:t>应办理相关险种</w:t>
      </w:r>
      <w:r>
        <w:rPr>
          <w:rFonts w:hint="eastAsia" w:ascii="宋体" w:hAnsi="宋体" w:cs="宋体"/>
          <w:color w:val="000000"/>
          <w:sz w:val="24"/>
        </w:rPr>
        <w:t>。</w:t>
      </w:r>
    </w:p>
    <w:p w14:paraId="45A50B1C">
      <w:pPr>
        <w:spacing w:line="360" w:lineRule="auto"/>
        <w:ind w:firstLine="480" w:firstLineChars="200"/>
        <w:rPr>
          <w:rFonts w:ascii="宋体" w:hAnsi="宋体" w:cs="宋体"/>
          <w:color w:val="000000"/>
          <w:sz w:val="24"/>
        </w:rPr>
      </w:pPr>
      <w:r>
        <w:rPr>
          <w:rFonts w:hint="eastAsia" w:ascii="宋体" w:hAnsi="宋体" w:cs="宋体"/>
          <w:color w:val="000000"/>
          <w:sz w:val="24"/>
        </w:rPr>
        <w:t>21.6 施工场地周围邻近建筑物、地下管线、构筑物由承包人负责保护及承担措施费用；保护期间若发生损坏，由承包人承担。</w:t>
      </w:r>
    </w:p>
    <w:p w14:paraId="306CBF80">
      <w:pPr>
        <w:spacing w:line="360" w:lineRule="auto"/>
        <w:ind w:firstLine="480" w:firstLineChars="200"/>
        <w:rPr>
          <w:rFonts w:ascii="宋体" w:hAnsi="宋体" w:cs="宋体"/>
          <w:color w:val="000000"/>
          <w:sz w:val="24"/>
        </w:rPr>
      </w:pPr>
      <w:r>
        <w:rPr>
          <w:rFonts w:hint="eastAsia" w:ascii="宋体" w:hAnsi="宋体" w:cs="宋体"/>
          <w:color w:val="000000"/>
          <w:sz w:val="24"/>
        </w:rPr>
        <w:t>21.7 承包人应充分考虑施工过程中的各种不利因素，合理安排施工人员，在合同工期内保质保量完成施工任务。</w:t>
      </w:r>
    </w:p>
    <w:p w14:paraId="7790E3B9">
      <w:pPr>
        <w:spacing w:line="360" w:lineRule="auto"/>
        <w:ind w:firstLine="480" w:firstLineChars="200"/>
        <w:rPr>
          <w:rFonts w:ascii="宋体" w:hAnsi="宋体" w:cs="宋体"/>
          <w:color w:val="000000"/>
          <w:sz w:val="24"/>
        </w:rPr>
      </w:pPr>
      <w:r>
        <w:rPr>
          <w:rFonts w:hint="eastAsia" w:ascii="宋体" w:hAnsi="宋体" w:cs="宋体"/>
          <w:color w:val="000000"/>
          <w:sz w:val="24"/>
        </w:rPr>
        <w:t>21.8 承包人需配合发包人做好上级领导的检查工作；发包人在不妨碍承包人正常作业的情况下，可以随时对作业质量安全进行检查。</w:t>
      </w:r>
    </w:p>
    <w:p w14:paraId="11A804D1">
      <w:pPr>
        <w:spacing w:line="360" w:lineRule="auto"/>
        <w:ind w:firstLine="480" w:firstLineChars="200"/>
        <w:rPr>
          <w:rFonts w:ascii="宋体" w:hAnsi="宋体" w:cs="宋体"/>
          <w:color w:val="000000"/>
          <w:sz w:val="24"/>
        </w:rPr>
      </w:pPr>
      <w:r>
        <w:rPr>
          <w:rFonts w:hint="eastAsia" w:ascii="宋体" w:hAnsi="宋体" w:cs="宋体"/>
          <w:color w:val="000000"/>
          <w:sz w:val="24"/>
        </w:rPr>
        <w:t>21.9 按规定计取的安全文明施工费不得挪作它用，应能保障工程现场的安全文明施工，并按相关文件执行。</w:t>
      </w:r>
    </w:p>
    <w:bookmarkEnd w:id="912"/>
    <w:bookmarkEnd w:id="913"/>
    <w:bookmarkEnd w:id="914"/>
    <w:bookmarkEnd w:id="915"/>
    <w:bookmarkEnd w:id="916"/>
    <w:bookmarkEnd w:id="917"/>
    <w:bookmarkEnd w:id="918"/>
    <w:bookmarkEnd w:id="919"/>
    <w:bookmarkEnd w:id="920"/>
    <w:bookmarkEnd w:id="921"/>
    <w:bookmarkEnd w:id="930"/>
    <w:bookmarkEnd w:id="931"/>
    <w:p w14:paraId="72FD3560">
      <w:pPr>
        <w:spacing w:line="360" w:lineRule="auto"/>
        <w:ind w:firstLine="480" w:firstLineChars="200"/>
        <w:rPr>
          <w:rFonts w:ascii="宋体" w:hAnsi="宋体" w:cs="宋体"/>
          <w:color w:val="000000"/>
          <w:sz w:val="24"/>
        </w:rPr>
      </w:pPr>
      <w:r>
        <w:rPr>
          <w:rFonts w:hint="eastAsia" w:ascii="宋体" w:hAnsi="宋体" w:cs="宋体"/>
          <w:color w:val="000000"/>
          <w:sz w:val="24"/>
        </w:rPr>
        <w:t>21.10 施工过程中的临时围护费用（包括因配合施工而引起的多次围护）由承包人根据实地情况，在投标报价时综合考虑，包含在合同价中。</w:t>
      </w:r>
    </w:p>
    <w:p w14:paraId="373F843A">
      <w:pPr>
        <w:spacing w:line="360" w:lineRule="auto"/>
        <w:ind w:firstLine="480" w:firstLineChars="200"/>
        <w:rPr>
          <w:rFonts w:ascii="宋体" w:hAnsi="宋体" w:cs="宋体"/>
          <w:color w:val="000000"/>
          <w:sz w:val="24"/>
        </w:rPr>
      </w:pPr>
      <w:r>
        <w:rPr>
          <w:rFonts w:hint="eastAsia" w:ascii="宋体" w:hAnsi="宋体" w:cs="宋体"/>
          <w:color w:val="000000"/>
          <w:sz w:val="24"/>
        </w:rPr>
        <w:t>21.11 发包人的其他专业分包工程，承包方须做好施工管理、协调、配合等工作，配合费由分包单位支付给承包方，配合费按实计算，由双方友好协商。</w:t>
      </w:r>
    </w:p>
    <w:p w14:paraId="3AE913B8">
      <w:pPr>
        <w:spacing w:line="360" w:lineRule="auto"/>
        <w:ind w:firstLine="480" w:firstLineChars="200"/>
        <w:rPr>
          <w:rFonts w:ascii="宋体" w:hAnsi="宋体" w:cs="宋体"/>
          <w:color w:val="000000"/>
          <w:sz w:val="24"/>
        </w:rPr>
      </w:pPr>
      <w:r>
        <w:rPr>
          <w:rFonts w:hint="eastAsia" w:ascii="宋体" w:hAnsi="宋体" w:cs="宋体"/>
          <w:color w:val="000000"/>
          <w:sz w:val="24"/>
        </w:rPr>
        <w:t>21.12 正式施工前，承包方须做好图纸交底会议的牵头工作，因承包方原因造成的返工及造价增加由其自身承担。</w:t>
      </w:r>
    </w:p>
    <w:p w14:paraId="16AE96C2">
      <w:pPr>
        <w:spacing w:line="360" w:lineRule="auto"/>
        <w:ind w:firstLine="480" w:firstLineChars="200"/>
        <w:rPr>
          <w:rFonts w:ascii="宋体" w:hAnsi="宋体" w:cs="宋体"/>
          <w:color w:val="000000"/>
          <w:sz w:val="24"/>
        </w:rPr>
      </w:pPr>
      <w:r>
        <w:rPr>
          <w:rFonts w:hint="eastAsia" w:ascii="宋体" w:hAnsi="宋体" w:cs="宋体"/>
          <w:color w:val="000000"/>
          <w:sz w:val="24"/>
        </w:rPr>
        <w:t>21.13 对图纸有但清单中未列入的项目或做法，承包方需在图纸交底时提出，如有增加，待相关变更手续完毕后方可实施。</w:t>
      </w:r>
    </w:p>
    <w:p w14:paraId="23E661F7">
      <w:pPr>
        <w:spacing w:line="360" w:lineRule="auto"/>
        <w:ind w:firstLine="480" w:firstLineChars="200"/>
        <w:rPr>
          <w:rFonts w:ascii="宋体" w:hAnsi="宋体" w:cs="宋体"/>
          <w:color w:val="000000"/>
          <w:sz w:val="24"/>
        </w:rPr>
      </w:pPr>
      <w:r>
        <w:rPr>
          <w:rFonts w:hint="eastAsia" w:ascii="宋体" w:hAnsi="宋体" w:cs="宋体"/>
          <w:color w:val="000000"/>
          <w:sz w:val="24"/>
        </w:rPr>
        <w:t>21.14 本合同未尽事宜，由双方协商解决。</w:t>
      </w:r>
    </w:p>
    <w:p w14:paraId="07DEAC77">
      <w:pPr>
        <w:rPr>
          <w:rFonts w:ascii="宋体" w:hAnsi="宋体" w:cs="宋体"/>
          <w:snapToGrid w:val="0"/>
          <w:kern w:val="44"/>
          <w:sz w:val="24"/>
          <w:szCs w:val="20"/>
        </w:rPr>
      </w:pPr>
      <w:r>
        <w:rPr>
          <w:rFonts w:hint="eastAsia" w:ascii="宋体" w:hAnsi="宋体" w:cs="宋体"/>
          <w:snapToGrid w:val="0"/>
          <w:kern w:val="44"/>
          <w:sz w:val="24"/>
          <w:szCs w:val="20"/>
        </w:rPr>
        <w:br w:type="page"/>
      </w:r>
    </w:p>
    <w:p w14:paraId="15A773D6">
      <w:pPr>
        <w:spacing w:line="440" w:lineRule="exact"/>
        <w:rPr>
          <w:rFonts w:ascii="宋体" w:hAnsi="宋体" w:cs="宋体"/>
          <w:color w:val="000000"/>
          <w:sz w:val="24"/>
        </w:rPr>
      </w:pPr>
      <w:r>
        <w:rPr>
          <w:rFonts w:hint="eastAsia" w:ascii="宋体" w:hAnsi="宋体" w:cs="宋体"/>
          <w:color w:val="000000"/>
          <w:sz w:val="24"/>
        </w:rPr>
        <w:t>附件1：</w:t>
      </w:r>
    </w:p>
    <w:p w14:paraId="4314B369">
      <w:pPr>
        <w:adjustRightInd/>
        <w:spacing w:line="360" w:lineRule="auto"/>
        <w:ind w:firstLine="630"/>
        <w:jc w:val="center"/>
        <w:outlineLvl w:val="1"/>
        <w:rPr>
          <w:rFonts w:ascii="宋体" w:hAnsi="宋体" w:cs="宋体"/>
          <w:b/>
          <w:color w:val="000000"/>
          <w:sz w:val="32"/>
          <w:szCs w:val="32"/>
        </w:rPr>
      </w:pPr>
      <w:bookmarkStart w:id="932" w:name="_Toc411083385"/>
      <w:r>
        <w:rPr>
          <w:rFonts w:hint="eastAsia" w:ascii="宋体" w:hAnsi="宋体" w:cs="宋体"/>
          <w:b/>
          <w:color w:val="000000"/>
          <w:sz w:val="32"/>
          <w:szCs w:val="32"/>
        </w:rPr>
        <w:t>工程质量保修书</w:t>
      </w:r>
      <w:bookmarkEnd w:id="932"/>
    </w:p>
    <w:p w14:paraId="3085C7FF">
      <w:pPr>
        <w:adjustRightInd/>
        <w:spacing w:line="360" w:lineRule="auto"/>
        <w:rPr>
          <w:rFonts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p>
    <w:p w14:paraId="1F8FE717">
      <w:pPr>
        <w:adjustRightInd/>
        <w:spacing w:line="360" w:lineRule="auto"/>
        <w:rPr>
          <w:rFonts w:ascii="宋体" w:hAnsi="宋体" w:cs="宋体"/>
          <w:color w:val="000000"/>
          <w:sz w:val="24"/>
          <w:u w:val="single"/>
        </w:rPr>
      </w:pPr>
      <w:r>
        <w:rPr>
          <w:rFonts w:hint="eastAsia" w:ascii="宋体" w:hAnsi="宋体" w:cs="宋体"/>
          <w:color w:val="000000"/>
          <w:sz w:val="24"/>
        </w:rPr>
        <w:t>承包商：</w:t>
      </w:r>
      <w:r>
        <w:rPr>
          <w:rFonts w:hint="eastAsia" w:ascii="宋体" w:hAnsi="宋体" w:cs="宋体"/>
          <w:color w:val="000000"/>
          <w:sz w:val="24"/>
          <w:u w:val="single"/>
        </w:rPr>
        <w:t xml:space="preserve">                       </w:t>
      </w:r>
    </w:p>
    <w:p w14:paraId="2A99375B">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发包人、承包商根据《中华人民共和国建筑法》、《建设工程质量管理条例》和《房屋建筑工程质量保修办法》，经协商一致，对</w:t>
      </w:r>
      <w:r>
        <w:rPr>
          <w:rFonts w:hint="eastAsia" w:ascii="宋体" w:hAnsi="宋体"/>
          <w:sz w:val="24"/>
          <w:u w:val="single"/>
        </w:rPr>
        <w:t xml:space="preserve">                   </w:t>
      </w:r>
      <w:r>
        <w:rPr>
          <w:rFonts w:hint="eastAsia" w:ascii="宋体" w:hAnsi="宋体" w:cs="宋体"/>
          <w:color w:val="000000"/>
          <w:sz w:val="24"/>
        </w:rPr>
        <w:t>（工程名称）签订保修书。</w:t>
      </w:r>
    </w:p>
    <w:p w14:paraId="65EE5057">
      <w:pPr>
        <w:adjustRightInd/>
        <w:spacing w:line="360" w:lineRule="auto"/>
        <w:ind w:firstLine="472"/>
        <w:rPr>
          <w:rFonts w:ascii="宋体" w:hAnsi="宋体" w:cs="宋体"/>
          <w:b/>
          <w:color w:val="000000"/>
          <w:sz w:val="24"/>
        </w:rPr>
      </w:pPr>
      <w:r>
        <w:rPr>
          <w:rFonts w:hint="eastAsia" w:ascii="宋体" w:hAnsi="宋体" w:cs="宋体"/>
          <w:b/>
          <w:color w:val="000000"/>
          <w:sz w:val="24"/>
        </w:rPr>
        <w:t>一、工程保修范围和内容</w:t>
      </w:r>
    </w:p>
    <w:p w14:paraId="55120843">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承包商在保修期内，按照有关法律、法规、规章的管理规定和双方约定，承担本工程保修责任。</w:t>
      </w:r>
    </w:p>
    <w:p w14:paraId="1DE25CB6">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具体保修内容双方约定如下：</w:t>
      </w:r>
      <w:r>
        <w:rPr>
          <w:rFonts w:hint="eastAsia" w:ascii="宋体" w:hAnsi="宋体" w:cs="宋体"/>
          <w:color w:val="000000"/>
          <w:sz w:val="24"/>
          <w:u w:val="single"/>
        </w:rPr>
        <w:t>施工合同约定的工程均为保修项目</w:t>
      </w:r>
      <w:r>
        <w:rPr>
          <w:rFonts w:hint="eastAsia" w:ascii="宋体" w:hAnsi="宋体" w:cs="宋体"/>
          <w:color w:val="000000"/>
          <w:sz w:val="24"/>
        </w:rPr>
        <w:t>。</w:t>
      </w:r>
    </w:p>
    <w:p w14:paraId="01711481">
      <w:pPr>
        <w:adjustRightInd/>
        <w:spacing w:line="360" w:lineRule="auto"/>
        <w:ind w:firstLine="472"/>
        <w:rPr>
          <w:rFonts w:ascii="宋体" w:hAnsi="宋体" w:cs="宋体"/>
          <w:b/>
          <w:color w:val="000000"/>
          <w:sz w:val="24"/>
        </w:rPr>
      </w:pPr>
      <w:r>
        <w:rPr>
          <w:rFonts w:hint="eastAsia" w:ascii="宋体" w:hAnsi="宋体" w:cs="宋体"/>
          <w:b/>
          <w:color w:val="000000"/>
          <w:sz w:val="24"/>
        </w:rPr>
        <w:t>二、保修期</w:t>
      </w:r>
    </w:p>
    <w:p w14:paraId="038CF679">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双方根据《建设工程质量管理条例》及有关规定，约定本工程的保修期如下：</w:t>
      </w:r>
    </w:p>
    <w:p w14:paraId="072615DA">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1、地基基础工程和主体结构工程为设计文件规定的该工程合理使用年限；</w:t>
      </w:r>
    </w:p>
    <w:p w14:paraId="7D0D591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2、屋面防水工程、有防水要求的卫生间、房间和外墙面的防渗漏为</w:t>
      </w:r>
      <w:r>
        <w:rPr>
          <w:rFonts w:hint="eastAsia" w:ascii="宋体" w:hAnsi="宋体" w:cs="宋体"/>
          <w:color w:val="000000"/>
          <w:sz w:val="24"/>
          <w:u w:val="single"/>
        </w:rPr>
        <w:t xml:space="preserve"> 5 </w:t>
      </w:r>
      <w:r>
        <w:rPr>
          <w:rFonts w:hint="eastAsia" w:ascii="宋体" w:hAnsi="宋体" w:cs="宋体"/>
          <w:color w:val="000000"/>
          <w:sz w:val="24"/>
        </w:rPr>
        <w:t>年；</w:t>
      </w:r>
    </w:p>
    <w:p w14:paraId="1947548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3、节能工程、太阳能系统工程，为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3E4DB70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4、装修工程、附属工程、电气管线、给排水管道、设备安装工程为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14:paraId="1DAEC105">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5、供热与供冷系统为</w:t>
      </w:r>
      <w:r>
        <w:rPr>
          <w:rFonts w:hint="eastAsia" w:ascii="宋体" w:hAnsi="宋体" w:cs="宋体"/>
          <w:color w:val="000000"/>
          <w:sz w:val="24"/>
          <w:u w:val="single"/>
        </w:rPr>
        <w:t xml:space="preserve"> 2 </w:t>
      </w:r>
      <w:r>
        <w:rPr>
          <w:rFonts w:hint="eastAsia" w:ascii="宋体" w:hAnsi="宋体" w:cs="宋体"/>
          <w:color w:val="000000"/>
          <w:sz w:val="24"/>
        </w:rPr>
        <w:t>个采暖期、供冷期；</w:t>
      </w:r>
    </w:p>
    <w:p w14:paraId="2F6E686B">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6、住宅小区内的给排水设施、道路等配套工程为</w:t>
      </w:r>
      <w:r>
        <w:rPr>
          <w:rFonts w:hint="eastAsia" w:ascii="宋体" w:hAnsi="宋体" w:cs="宋体"/>
          <w:color w:val="000000"/>
          <w:sz w:val="24"/>
          <w:u w:val="single"/>
        </w:rPr>
        <w:t xml:space="preserve"> 1 </w:t>
      </w:r>
      <w:r>
        <w:rPr>
          <w:rFonts w:hint="eastAsia" w:ascii="宋体" w:hAnsi="宋体" w:cs="宋体"/>
          <w:color w:val="000000"/>
          <w:sz w:val="24"/>
        </w:rPr>
        <w:t>年；</w:t>
      </w:r>
    </w:p>
    <w:p w14:paraId="7C94D1DD">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7、其他项目保修期限约定如下：</w:t>
      </w:r>
      <w:r>
        <w:rPr>
          <w:rFonts w:hint="eastAsia" w:ascii="宋体" w:hAnsi="宋体" w:cs="宋体"/>
          <w:color w:val="000000"/>
          <w:sz w:val="24"/>
          <w:u w:val="single"/>
        </w:rPr>
        <w:t>除上述约定外，本工程其余部分保修期为1年</w:t>
      </w:r>
      <w:r>
        <w:rPr>
          <w:rFonts w:hint="eastAsia" w:ascii="宋体" w:hAnsi="宋体"/>
          <w:color w:val="000000"/>
          <w:sz w:val="24"/>
        </w:rPr>
        <w:t>。</w:t>
      </w:r>
    </w:p>
    <w:p w14:paraId="59DAE96C">
      <w:pPr>
        <w:adjustRightInd/>
        <w:spacing w:line="360" w:lineRule="auto"/>
        <w:ind w:firstLine="472"/>
        <w:rPr>
          <w:rFonts w:ascii="宋体" w:hAnsi="宋体" w:cs="宋体"/>
          <w:b/>
          <w:color w:val="000000"/>
          <w:sz w:val="24"/>
        </w:rPr>
      </w:pPr>
      <w:r>
        <w:rPr>
          <w:rFonts w:hint="eastAsia" w:ascii="宋体" w:hAnsi="宋体" w:cs="宋体"/>
          <w:b/>
          <w:color w:val="000000"/>
          <w:sz w:val="24"/>
        </w:rPr>
        <w:t>三、缺陷责任期</w:t>
      </w:r>
    </w:p>
    <w:p w14:paraId="33D92EE9">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12 </w:t>
      </w:r>
      <w:r>
        <w:rPr>
          <w:rFonts w:hint="eastAsia" w:ascii="宋体" w:hAnsi="宋体" w:cs="宋体"/>
          <w:color w:val="000000"/>
          <w:sz w:val="24"/>
        </w:rPr>
        <w:t>个月，缺陷责任期自工程竣工验收合格之日起计算。单位工程先于全部工程进行验收，单位工程缺陷责任期自单位工程验收合格之日起算。因施承包人原因导致的缺陷使工程或某项主要设备不能按原定目的使用的，发包人有权在原缺陷责任期届满前要求施工承包人延长缺陷责任期，延长的缺陷责任期为</w:t>
      </w:r>
      <w:r>
        <w:rPr>
          <w:rFonts w:hint="eastAsia" w:ascii="宋体" w:hAnsi="宋体" w:cs="宋体"/>
          <w:color w:val="000000"/>
          <w:sz w:val="24"/>
          <w:u w:val="single"/>
        </w:rPr>
        <w:t xml:space="preserve"> 12 </w:t>
      </w:r>
      <w:r>
        <w:rPr>
          <w:rFonts w:hint="eastAsia" w:ascii="宋体" w:hAnsi="宋体" w:cs="宋体"/>
          <w:color w:val="000000"/>
          <w:sz w:val="24"/>
        </w:rPr>
        <w:t>个月。</w:t>
      </w:r>
    </w:p>
    <w:p w14:paraId="168FC5BD">
      <w:pPr>
        <w:adjustRightInd/>
        <w:spacing w:line="360" w:lineRule="auto"/>
        <w:ind w:firstLine="472"/>
        <w:rPr>
          <w:rFonts w:ascii="宋体" w:hAnsi="宋体" w:cs="宋体"/>
          <w:b/>
          <w:color w:val="000000"/>
          <w:sz w:val="24"/>
        </w:rPr>
      </w:pPr>
      <w:r>
        <w:rPr>
          <w:rFonts w:hint="eastAsia" w:ascii="宋体" w:hAnsi="宋体" w:cs="宋体"/>
          <w:b/>
          <w:color w:val="000000"/>
          <w:sz w:val="24"/>
        </w:rPr>
        <w:t>四、保修责任</w:t>
      </w:r>
    </w:p>
    <w:p w14:paraId="5E9E8A92">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1、属于责任范围、内容的项目，承包商应当在接到保修通知之日起7天内派人保修。承包商不在约定期限内派人保修的，发包人可以委托他人修理。</w:t>
      </w:r>
    </w:p>
    <w:p w14:paraId="2C1094F8">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2、发生紧急抢修事故的，承包商在接到事故通知后，应当立即到达事故现场抢修。</w:t>
      </w:r>
    </w:p>
    <w:p w14:paraId="476F6463">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3、对于涉及结构安全的质量问题，应当立即向当地建设行政主管部门报告，采取安全防范措施；并应委托原设计人或者具有相应资质等级的设计人提出保修方案经发包人组织审核后由承包商实施保修。</w:t>
      </w:r>
    </w:p>
    <w:p w14:paraId="3280E4C3">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4、质量保修完成后，由发包人组织验收。</w:t>
      </w:r>
    </w:p>
    <w:p w14:paraId="6CD3FEBD">
      <w:pPr>
        <w:adjustRightInd/>
        <w:spacing w:line="360" w:lineRule="auto"/>
        <w:ind w:firstLine="472"/>
        <w:rPr>
          <w:rFonts w:ascii="宋体" w:hAnsi="宋体" w:cs="宋体"/>
          <w:b/>
          <w:color w:val="000000"/>
          <w:sz w:val="24"/>
        </w:rPr>
      </w:pPr>
      <w:r>
        <w:rPr>
          <w:rFonts w:hint="eastAsia" w:ascii="宋体" w:hAnsi="宋体" w:cs="宋体"/>
          <w:b/>
          <w:color w:val="000000"/>
          <w:sz w:val="24"/>
        </w:rPr>
        <w:t>五、保修费用</w:t>
      </w:r>
    </w:p>
    <w:p w14:paraId="20494A8A">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保修费用由造成质量缺陷的责任方承担。</w:t>
      </w:r>
    </w:p>
    <w:p w14:paraId="09B2ED56">
      <w:pPr>
        <w:adjustRightInd/>
        <w:spacing w:line="360" w:lineRule="auto"/>
        <w:ind w:firstLine="472"/>
        <w:rPr>
          <w:rFonts w:ascii="宋体" w:hAnsi="宋体" w:cs="宋体"/>
          <w:b/>
          <w:color w:val="000000"/>
          <w:sz w:val="24"/>
        </w:rPr>
      </w:pPr>
      <w:r>
        <w:rPr>
          <w:rFonts w:hint="eastAsia" w:ascii="宋体" w:hAnsi="宋体" w:cs="宋体"/>
          <w:b/>
          <w:color w:val="000000"/>
          <w:sz w:val="24"/>
        </w:rPr>
        <w:t>六、其他</w:t>
      </w:r>
    </w:p>
    <w:p w14:paraId="1BBD7FA2">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双方约定的其他工程保修责任事项：</w:t>
      </w:r>
    </w:p>
    <w:p w14:paraId="495A0F81">
      <w:pPr>
        <w:adjustRightInd/>
        <w:spacing w:line="360" w:lineRule="auto"/>
        <w:ind w:firstLine="480" w:firstLineChars="200"/>
        <w:rPr>
          <w:rFonts w:ascii="宋体" w:hAnsi="宋体"/>
          <w:sz w:val="24"/>
          <w:u w:val="single"/>
        </w:rPr>
      </w:pPr>
      <w:r>
        <w:rPr>
          <w:rFonts w:hint="eastAsia" w:ascii="宋体" w:hAnsi="宋体"/>
          <w:sz w:val="24"/>
          <w:u w:val="single"/>
        </w:rPr>
        <w:t>发包人应按约定退还质量保修金，质量保修金保留期为1年，进入保修期后，如未发生保修责任事件，退还质量保证金保险保单或质量保证金保函；如发生保修事件，退回保修金时间顺延一年。保修金时间延长的，承包人最迟应在原保修金时间届满之日前14天向发包人提交延长保修金时间的质量保证金保险保单或质量保证金保函，否则发包人有权向第三方担保人提出索赔保修期内保修金不计息。</w:t>
      </w:r>
    </w:p>
    <w:p w14:paraId="2947AF6F">
      <w:pPr>
        <w:adjustRightInd/>
        <w:spacing w:line="360" w:lineRule="auto"/>
        <w:ind w:firstLine="480" w:firstLineChars="200"/>
        <w:rPr>
          <w:rFonts w:ascii="宋体" w:hAnsi="宋体" w:cs="宋体"/>
          <w:color w:val="000000"/>
          <w:sz w:val="24"/>
        </w:rPr>
      </w:pPr>
      <w:r>
        <w:rPr>
          <w:rFonts w:hint="eastAsia" w:ascii="宋体" w:hAnsi="宋体" w:cs="宋体"/>
          <w:color w:val="000000"/>
          <w:sz w:val="24"/>
        </w:rPr>
        <w:t>本工程保修书，由施工合同发包人、承包商双方在竣工验收前共同签署，作为施工合同附件，其有效期限至保修期满。</w:t>
      </w:r>
    </w:p>
    <w:p w14:paraId="39AFBC9C">
      <w:pPr>
        <w:adjustRightInd/>
        <w:spacing w:line="360" w:lineRule="auto"/>
        <w:ind w:firstLine="480" w:firstLineChars="200"/>
        <w:rPr>
          <w:rFonts w:ascii="宋体" w:hAnsi="宋体" w:cs="宋体"/>
          <w:color w:val="000000"/>
          <w:sz w:val="24"/>
        </w:rPr>
      </w:pPr>
    </w:p>
    <w:p w14:paraId="1F5F2869">
      <w:pPr>
        <w:adjustRightInd/>
        <w:spacing w:line="480" w:lineRule="auto"/>
        <w:ind w:firstLine="480" w:firstLineChars="200"/>
        <w:rPr>
          <w:rFonts w:ascii="宋体" w:hAnsi="宋体" w:cs="宋体"/>
          <w:color w:val="000000"/>
          <w:sz w:val="24"/>
        </w:rPr>
      </w:pPr>
      <w:r>
        <w:rPr>
          <w:rFonts w:hint="eastAsia" w:ascii="宋体" w:hAnsi="宋体" w:cs="宋体"/>
          <w:color w:val="000000"/>
          <w:sz w:val="24"/>
        </w:rPr>
        <w:t>发包人：</w:t>
      </w:r>
      <w:r>
        <w:rPr>
          <w:rFonts w:hint="eastAsia" w:ascii="宋体" w:hAnsi="宋体" w:cs="宋体"/>
          <w:color w:val="000000"/>
          <w:sz w:val="24"/>
          <w:u w:val="single"/>
        </w:rPr>
        <w:t xml:space="preserve">                </w:t>
      </w:r>
      <w:r>
        <w:rPr>
          <w:rFonts w:hint="eastAsia" w:ascii="宋体" w:hAnsi="宋体" w:cs="宋体"/>
          <w:color w:val="000000"/>
          <w:sz w:val="24"/>
        </w:rPr>
        <w:t>（公章）       承包商：</w:t>
      </w:r>
      <w:r>
        <w:rPr>
          <w:rFonts w:hint="eastAsia" w:ascii="宋体" w:hAnsi="宋体" w:cs="宋体"/>
          <w:color w:val="000000"/>
          <w:sz w:val="24"/>
          <w:u w:val="single"/>
        </w:rPr>
        <w:t xml:space="preserve">                 </w:t>
      </w:r>
      <w:r>
        <w:rPr>
          <w:rFonts w:hint="eastAsia" w:ascii="宋体" w:hAnsi="宋体" w:cs="宋体"/>
          <w:color w:val="000000"/>
          <w:sz w:val="24"/>
        </w:rPr>
        <w:t>（公章）</w:t>
      </w:r>
    </w:p>
    <w:p w14:paraId="5C205138">
      <w:pPr>
        <w:adjustRightInd/>
        <w:spacing w:line="480" w:lineRule="auto"/>
        <w:ind w:firstLine="480" w:firstLineChars="200"/>
        <w:rPr>
          <w:rFonts w:ascii="宋体" w:hAnsi="宋体" w:cs="宋体"/>
          <w:color w:val="000000"/>
          <w:sz w:val="24"/>
          <w:u w:val="single"/>
        </w:rPr>
      </w:pPr>
      <w:r>
        <w:rPr>
          <w:rFonts w:hint="eastAsia" w:ascii="宋体" w:hAnsi="宋体" w:cs="宋体"/>
          <w:color w:val="000000"/>
          <w:sz w:val="24"/>
        </w:rPr>
        <w:t>法定地址：</w:t>
      </w:r>
      <w:r>
        <w:rPr>
          <w:rFonts w:hint="eastAsia" w:ascii="宋体" w:hAnsi="宋体" w:cs="宋体"/>
          <w:color w:val="000000"/>
          <w:sz w:val="24"/>
          <w:u w:val="single"/>
        </w:rPr>
        <w:t xml:space="preserve">                     </w:t>
      </w:r>
      <w:r>
        <w:rPr>
          <w:rFonts w:hint="eastAsia" w:ascii="宋体" w:hAnsi="宋体" w:cs="宋体"/>
          <w:color w:val="000000"/>
          <w:sz w:val="24"/>
        </w:rPr>
        <w:t xml:space="preserve">        法定地址：</w:t>
      </w:r>
      <w:r>
        <w:rPr>
          <w:rFonts w:hint="eastAsia" w:ascii="宋体" w:hAnsi="宋体" w:cs="宋体"/>
          <w:color w:val="000000"/>
          <w:sz w:val="24"/>
          <w:u w:val="single"/>
        </w:rPr>
        <w:t xml:space="preserve">                      </w:t>
      </w:r>
    </w:p>
    <w:p w14:paraId="444A85DC">
      <w:pPr>
        <w:adjustRightInd/>
        <w:spacing w:line="480" w:lineRule="auto"/>
        <w:ind w:firstLine="480" w:firstLineChars="200"/>
        <w:rPr>
          <w:rFonts w:ascii="宋体" w:hAnsi="宋体" w:cs="宋体"/>
          <w:color w:val="000000"/>
          <w:sz w:val="24"/>
        </w:rPr>
      </w:pPr>
      <w:r>
        <w:rPr>
          <w:rFonts w:hint="eastAsia" w:ascii="宋体" w:hAnsi="宋体" w:cs="宋体"/>
          <w:color w:val="000000"/>
          <w:sz w:val="24"/>
        </w:rPr>
        <w:t>法定代表人或其                         法定代表人或其</w:t>
      </w:r>
    </w:p>
    <w:p w14:paraId="1CC78ABC">
      <w:pPr>
        <w:adjustRightInd/>
        <w:spacing w:line="480" w:lineRule="auto"/>
        <w:ind w:firstLine="480" w:firstLineChars="200"/>
        <w:rPr>
          <w:rFonts w:ascii="宋体" w:hAnsi="宋体" w:cs="宋体"/>
          <w:color w:val="000000"/>
          <w:sz w:val="24"/>
        </w:rPr>
      </w:pPr>
      <w:r>
        <w:rPr>
          <w:rFonts w:hint="eastAsia" w:ascii="宋体" w:hAnsi="宋体" w:cs="宋体"/>
          <w:color w:val="000000"/>
          <w:sz w:val="24"/>
        </w:rPr>
        <w:t>委托代理人：</w:t>
      </w:r>
      <w:r>
        <w:rPr>
          <w:rFonts w:hint="eastAsia" w:ascii="宋体" w:hAnsi="宋体" w:cs="宋体"/>
          <w:color w:val="000000"/>
          <w:sz w:val="24"/>
          <w:u w:val="single"/>
        </w:rPr>
        <w:t xml:space="preserve">            </w:t>
      </w:r>
      <w:r>
        <w:rPr>
          <w:rFonts w:hint="eastAsia" w:ascii="宋体" w:hAnsi="宋体" w:cs="宋体"/>
          <w:color w:val="000000"/>
          <w:sz w:val="24"/>
        </w:rPr>
        <w:t>（签字）       委托代理人：</w:t>
      </w:r>
      <w:r>
        <w:rPr>
          <w:rFonts w:hint="eastAsia" w:ascii="宋体" w:hAnsi="宋体" w:cs="宋体"/>
          <w:color w:val="000000"/>
          <w:sz w:val="24"/>
          <w:u w:val="single"/>
        </w:rPr>
        <w:t xml:space="preserve">              </w:t>
      </w:r>
      <w:r>
        <w:rPr>
          <w:rFonts w:hint="eastAsia" w:ascii="宋体" w:hAnsi="宋体" w:cs="宋体"/>
          <w:color w:val="000000"/>
          <w:sz w:val="24"/>
        </w:rPr>
        <w:t>（签字）</w:t>
      </w:r>
    </w:p>
    <w:p w14:paraId="3EEDE2F1">
      <w:pPr>
        <w:adjustRightInd/>
        <w:spacing w:line="360" w:lineRule="auto"/>
        <w:ind w:firstLine="480" w:firstLineChars="200"/>
        <w:rPr>
          <w:rFonts w:ascii="宋体" w:hAnsi="宋体" w:cs="宋体"/>
          <w:color w:val="000000"/>
          <w:sz w:val="24"/>
        </w:rPr>
      </w:pPr>
    </w:p>
    <w:p w14:paraId="41DA1BFD">
      <w:pPr>
        <w:pStyle w:val="2"/>
        <w:ind w:firstLine="472"/>
      </w:pPr>
      <w:r>
        <w:rPr>
          <w:rFonts w:hint="eastAsia" w:ascii="宋体" w:hAnsi="宋体" w:cs="宋体"/>
          <w:color w:val="000000"/>
          <w:sz w:val="24"/>
        </w:rPr>
        <w:br w:type="page"/>
      </w:r>
    </w:p>
    <w:p w14:paraId="5328BE7B">
      <w:pPr>
        <w:snapToGrid w:val="0"/>
        <w:spacing w:line="360" w:lineRule="auto"/>
        <w:ind w:firstLine="708"/>
        <w:jc w:val="center"/>
        <w:outlineLvl w:val="0"/>
        <w:rPr>
          <w:rFonts w:ascii="宋体" w:hAnsi="宋体" w:cs="宋体"/>
          <w:b/>
          <w:sz w:val="36"/>
          <w:szCs w:val="20"/>
        </w:rPr>
      </w:pPr>
      <w:bookmarkStart w:id="933" w:name="_Toc16395"/>
      <w:r>
        <w:rPr>
          <w:rFonts w:hint="eastAsia" w:ascii="宋体" w:hAnsi="宋体" w:cs="宋体"/>
          <w:b/>
          <w:sz w:val="36"/>
          <w:szCs w:val="20"/>
        </w:rPr>
        <w:t>第六部分</w:t>
      </w:r>
      <w:bookmarkEnd w:id="413"/>
      <w:r>
        <w:rPr>
          <w:rFonts w:hint="eastAsia" w:ascii="宋体" w:hAnsi="宋体" w:cs="宋体"/>
          <w:b/>
          <w:sz w:val="36"/>
          <w:szCs w:val="20"/>
        </w:rPr>
        <w:t xml:space="preserve"> </w:t>
      </w:r>
      <w:bookmarkEnd w:id="414"/>
      <w:r>
        <w:rPr>
          <w:rFonts w:hint="eastAsia" w:ascii="宋体" w:hAnsi="宋体" w:cs="宋体"/>
          <w:b/>
          <w:sz w:val="36"/>
          <w:szCs w:val="20"/>
        </w:rPr>
        <w:t>应提交的有关格式范例</w:t>
      </w:r>
      <w:bookmarkEnd w:id="933"/>
    </w:p>
    <w:p w14:paraId="158F140B">
      <w:pPr>
        <w:spacing w:line="360" w:lineRule="auto"/>
        <w:ind w:firstLine="708"/>
        <w:jc w:val="center"/>
        <w:rPr>
          <w:rFonts w:ascii="宋体" w:hAnsi="宋体" w:cs="宋体"/>
          <w:b/>
          <w:kern w:val="0"/>
          <w:sz w:val="36"/>
          <w:szCs w:val="36"/>
        </w:rPr>
      </w:pPr>
    </w:p>
    <w:p w14:paraId="2E77EB86">
      <w:pPr>
        <w:spacing w:line="360" w:lineRule="auto"/>
        <w:ind w:firstLine="708"/>
        <w:jc w:val="center"/>
        <w:outlineLvl w:val="0"/>
        <w:rPr>
          <w:rFonts w:ascii="宋体" w:hAnsi="宋体" w:cs="宋体"/>
          <w:b/>
          <w:kern w:val="0"/>
          <w:sz w:val="36"/>
          <w:szCs w:val="36"/>
        </w:rPr>
      </w:pPr>
      <w:bookmarkStart w:id="934" w:name="_Toc1648"/>
      <w:r>
        <w:rPr>
          <w:rFonts w:hint="eastAsia" w:ascii="宋体" w:hAnsi="宋体" w:cs="宋体"/>
          <w:b/>
          <w:kern w:val="0"/>
          <w:sz w:val="36"/>
          <w:szCs w:val="36"/>
        </w:rPr>
        <w:t>资格文件部分</w:t>
      </w:r>
      <w:bookmarkEnd w:id="934"/>
    </w:p>
    <w:p w14:paraId="6DEFC21E">
      <w:pPr>
        <w:spacing w:line="360" w:lineRule="auto"/>
        <w:ind w:firstLine="708"/>
        <w:jc w:val="center"/>
        <w:outlineLvl w:val="0"/>
        <w:rPr>
          <w:rFonts w:ascii="宋体" w:hAnsi="宋体" w:cs="宋体"/>
          <w:b/>
          <w:kern w:val="0"/>
          <w:sz w:val="36"/>
          <w:szCs w:val="36"/>
        </w:rPr>
      </w:pPr>
      <w:bookmarkStart w:id="935" w:name="_Toc19282"/>
      <w:r>
        <w:rPr>
          <w:rFonts w:hint="eastAsia" w:ascii="宋体" w:hAnsi="宋体" w:cs="宋体"/>
          <w:b/>
          <w:kern w:val="0"/>
          <w:sz w:val="36"/>
          <w:szCs w:val="36"/>
        </w:rPr>
        <w:t>目录</w:t>
      </w:r>
      <w:bookmarkEnd w:id="935"/>
    </w:p>
    <w:p w14:paraId="6112173B">
      <w:pPr>
        <w:spacing w:line="360" w:lineRule="auto"/>
        <w:ind w:firstLine="708"/>
        <w:jc w:val="center"/>
        <w:rPr>
          <w:rFonts w:ascii="宋体" w:hAnsi="宋体" w:cs="宋体"/>
          <w:b/>
          <w:kern w:val="0"/>
          <w:sz w:val="36"/>
          <w:szCs w:val="36"/>
        </w:rPr>
      </w:pPr>
    </w:p>
    <w:p w14:paraId="1057D538">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6C27BD89">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（如果有）…………………………………………………（页码）</w:t>
      </w:r>
    </w:p>
    <w:p w14:paraId="1E6AB22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6150B2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732D257">
      <w:pPr>
        <w:snapToGrid w:val="0"/>
        <w:spacing w:line="360" w:lineRule="auto"/>
        <w:ind w:firstLine="480" w:firstLineChars="200"/>
        <w:rPr>
          <w:rFonts w:ascii="宋体" w:hAnsi="宋体" w:cs="宋体"/>
          <w:sz w:val="24"/>
        </w:rPr>
      </w:pPr>
    </w:p>
    <w:p w14:paraId="5222C5BA">
      <w:pPr>
        <w:spacing w:line="360" w:lineRule="auto"/>
        <w:ind w:firstLine="480" w:firstLineChars="200"/>
        <w:rPr>
          <w:rFonts w:ascii="宋体" w:hAnsi="宋体" w:cs="宋体"/>
          <w:sz w:val="24"/>
        </w:rPr>
      </w:pPr>
    </w:p>
    <w:p w14:paraId="40049E3A">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772952C">
      <w:pPr>
        <w:snapToGrid w:val="0"/>
        <w:spacing w:line="360" w:lineRule="auto"/>
        <w:rPr>
          <w:rFonts w:ascii="宋体" w:hAnsi="宋体" w:cs="宋体"/>
          <w:sz w:val="24"/>
        </w:rPr>
      </w:pPr>
      <w:r>
        <w:rPr>
          <w:rFonts w:hint="eastAsia" w:ascii="宋体" w:hAnsi="宋体" w:cs="宋体"/>
          <w:sz w:val="24"/>
        </w:rPr>
        <w:t>宁海县西店镇中心小学、建经投资咨询有限公司：</w:t>
      </w:r>
    </w:p>
    <w:p w14:paraId="6C7E4E8A">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kern w:val="0"/>
          <w:sz w:val="24"/>
          <w:lang w:val="zh-CN"/>
        </w:rPr>
        <w:t>西店镇中心小学新建连廊、外立面提升等维修工程</w:t>
      </w:r>
      <w:r>
        <w:rPr>
          <w:rFonts w:hint="eastAsia" w:ascii="宋体" w:hAnsi="宋体" w:cs="宋体"/>
          <w:sz w:val="24"/>
        </w:rPr>
        <w:t>【项目编号：JJNHCG-202</w:t>
      </w:r>
      <w:r>
        <w:rPr>
          <w:rFonts w:hint="eastAsia" w:ascii="宋体" w:hAnsi="宋体" w:cs="宋体"/>
          <w:sz w:val="24"/>
          <w:lang w:val="en-US" w:eastAsia="zh-CN"/>
        </w:rPr>
        <w:t>5</w:t>
      </w:r>
      <w:r>
        <w:rPr>
          <w:rFonts w:hint="eastAsia" w:ascii="宋体" w:hAnsi="宋体" w:cs="宋体"/>
          <w:sz w:val="24"/>
        </w:rPr>
        <w:t>-0</w:t>
      </w:r>
      <w:r>
        <w:rPr>
          <w:rFonts w:hint="eastAsia" w:ascii="宋体" w:hAnsi="宋体" w:cs="宋体"/>
          <w:sz w:val="24"/>
          <w:lang w:val="en-US" w:eastAsia="zh-CN"/>
        </w:rPr>
        <w:t>01</w:t>
      </w:r>
      <w:r>
        <w:rPr>
          <w:rFonts w:hint="eastAsia" w:ascii="宋体" w:hAnsi="宋体" w:cs="宋体"/>
          <w:sz w:val="24"/>
        </w:rPr>
        <w:t>】政府采购活动，郑重承诺：</w:t>
      </w:r>
    </w:p>
    <w:p w14:paraId="422A1EE6">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2F40BBDF">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7704ADC9">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98F428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5D65B3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B0585D5">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1FD5CD1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0AC83D3F">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06B76E1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7EC5EB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FFD493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7DC8BD0">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60BCAFD9">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BDDCA59">
      <w:pPr>
        <w:snapToGrid w:val="0"/>
        <w:spacing w:line="360" w:lineRule="auto"/>
        <w:ind w:right="480" w:firstLine="630"/>
        <w:jc w:val="center"/>
        <w:rPr>
          <w:rFonts w:ascii="宋体" w:hAnsi="宋体" w:cs="宋体"/>
          <w:b/>
          <w:kern w:val="0"/>
          <w:sz w:val="32"/>
          <w:szCs w:val="32"/>
        </w:rPr>
        <w:sectPr>
          <w:headerReference r:id="rId7" w:type="first"/>
          <w:footerReference r:id="rId9" w:type="first"/>
          <w:footerReference r:id="rId8" w:type="default"/>
          <w:pgSz w:w="11905" w:h="16838"/>
          <w:pgMar w:top="1134" w:right="1304" w:bottom="1134" w:left="1304" w:header="850" w:footer="850" w:gutter="283"/>
          <w:cols w:space="0" w:num="1"/>
          <w:titlePg/>
          <w:docGrid w:linePitch="312" w:charSpace="0"/>
        </w:sectPr>
      </w:pPr>
    </w:p>
    <w:p w14:paraId="267D62A6">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2592F7AE">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1799621F">
      <w:pPr>
        <w:snapToGrid w:val="0"/>
        <w:spacing w:line="360" w:lineRule="auto"/>
        <w:ind w:right="480" w:firstLine="630"/>
        <w:jc w:val="center"/>
        <w:rPr>
          <w:rFonts w:ascii="宋体" w:hAnsi="宋体" w:cs="宋体"/>
          <w:b/>
          <w:kern w:val="0"/>
          <w:sz w:val="32"/>
          <w:szCs w:val="32"/>
        </w:rPr>
        <w:sectPr>
          <w:pgSz w:w="11905" w:h="16838"/>
          <w:pgMar w:top="1134" w:right="1304" w:bottom="1134" w:left="1304" w:header="850" w:footer="850" w:gutter="283"/>
          <w:cols w:space="0" w:num="1"/>
          <w:titlePg/>
          <w:docGrid w:linePitch="312" w:charSpace="0"/>
        </w:sectPr>
      </w:pPr>
    </w:p>
    <w:p w14:paraId="4E1BE443">
      <w:pPr>
        <w:snapToGrid w:val="0"/>
        <w:spacing w:line="360" w:lineRule="auto"/>
        <w:ind w:right="480" w:firstLine="63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BF9F1C3">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480B9C5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76255ED4">
      <w:pPr>
        <w:widowControl/>
        <w:spacing w:line="360" w:lineRule="auto"/>
        <w:ind w:firstLine="470"/>
        <w:jc w:val="left"/>
        <w:rPr>
          <w:rFonts w:ascii="宋体" w:hAnsi="宋体" w:cs="宋体"/>
          <w:sz w:val="24"/>
        </w:rPr>
      </w:pPr>
    </w:p>
    <w:p w14:paraId="6478940C">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23624A02">
      <w:pPr>
        <w:snapToGrid w:val="0"/>
        <w:spacing w:before="50" w:after="50" w:line="360" w:lineRule="auto"/>
        <w:ind w:firstLine="472"/>
        <w:jc w:val="center"/>
        <w:rPr>
          <w:rFonts w:ascii="宋体" w:hAnsi="宋体" w:cs="宋体"/>
          <w:sz w:val="24"/>
        </w:rPr>
      </w:pPr>
      <w:r>
        <w:rPr>
          <w:rFonts w:hint="eastAsia" w:ascii="宋体" w:hAnsi="宋体" w:cs="宋体"/>
          <w:b/>
          <w:sz w:val="24"/>
        </w:rPr>
        <w:t xml:space="preserve">    </w:t>
      </w:r>
    </w:p>
    <w:p w14:paraId="5400F117">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C7B1DF8">
      <w:pPr>
        <w:widowControl/>
        <w:spacing w:line="360" w:lineRule="auto"/>
        <w:ind w:left="150" w:firstLine="630"/>
        <w:jc w:val="center"/>
        <w:rPr>
          <w:rFonts w:ascii="宋体" w:hAnsi="宋体" w:cs="宋体"/>
          <w:b/>
          <w:kern w:val="0"/>
          <w:sz w:val="32"/>
          <w:szCs w:val="32"/>
        </w:rPr>
      </w:pPr>
    </w:p>
    <w:p w14:paraId="589325A6">
      <w:pPr>
        <w:widowControl/>
        <w:spacing w:line="360" w:lineRule="auto"/>
        <w:ind w:left="150" w:firstLine="63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C500A66">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54A517E6">
      <w:pPr>
        <w:rPr>
          <w:rFonts w:ascii="宋体" w:hAnsi="宋体" w:cs="宋体"/>
        </w:rPr>
      </w:pPr>
    </w:p>
    <w:p w14:paraId="43A50847">
      <w:pPr>
        <w:snapToGrid w:val="0"/>
        <w:spacing w:line="360" w:lineRule="auto"/>
        <w:ind w:right="480" w:firstLine="630"/>
        <w:jc w:val="center"/>
        <w:rPr>
          <w:rFonts w:ascii="宋体" w:hAnsi="宋体" w:cs="宋体"/>
          <w:b/>
          <w:kern w:val="0"/>
          <w:sz w:val="32"/>
          <w:szCs w:val="32"/>
        </w:rPr>
        <w:sectPr>
          <w:pgSz w:w="11905" w:h="16838"/>
          <w:pgMar w:top="1134" w:right="1304" w:bottom="1134" w:left="1304" w:header="850" w:footer="850" w:gutter="283"/>
          <w:cols w:space="0" w:num="1"/>
          <w:titlePg/>
          <w:docGrid w:linePitch="312" w:charSpace="0"/>
        </w:sectPr>
      </w:pPr>
    </w:p>
    <w:p w14:paraId="5312789B">
      <w:pPr>
        <w:pStyle w:val="3"/>
        <w:ind w:firstLine="706"/>
        <w:rPr>
          <w:rFonts w:ascii="宋体" w:hAnsi="宋体" w:cs="宋体"/>
          <w:b w:val="0"/>
          <w:kern w:val="0"/>
          <w:sz w:val="36"/>
          <w:szCs w:val="36"/>
        </w:rPr>
      </w:pPr>
    </w:p>
    <w:p w14:paraId="56F921D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26A020FE">
      <w:pPr>
        <w:spacing w:line="360" w:lineRule="auto"/>
        <w:ind w:firstLine="551"/>
        <w:jc w:val="center"/>
        <w:outlineLvl w:val="0"/>
        <w:rPr>
          <w:rFonts w:ascii="宋体" w:hAnsi="宋体" w:cs="宋体"/>
          <w:b/>
          <w:kern w:val="0"/>
          <w:sz w:val="28"/>
          <w:szCs w:val="28"/>
        </w:rPr>
      </w:pPr>
      <w:bookmarkStart w:id="936" w:name="_Toc4453"/>
      <w:r>
        <w:rPr>
          <w:rFonts w:hint="eastAsia" w:ascii="宋体" w:hAnsi="宋体" w:cs="宋体"/>
          <w:b/>
          <w:kern w:val="0"/>
          <w:sz w:val="28"/>
          <w:szCs w:val="28"/>
        </w:rPr>
        <w:t>目录</w:t>
      </w:r>
      <w:bookmarkEnd w:id="936"/>
    </w:p>
    <w:p w14:paraId="2F4E646D">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64E63333">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2FA61BD2">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）分包意向协议（如果有）………………………………………………（页码）</w:t>
      </w:r>
    </w:p>
    <w:p w14:paraId="0A5F8D1E">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7F32EE40">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p>
    <w:p w14:paraId="5B782DE1">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）商务技术偏离表…………………………………………………………（页码）</w:t>
      </w:r>
    </w:p>
    <w:p w14:paraId="72A1D579">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3CF4428F">
      <w:pPr>
        <w:snapToGrid w:val="0"/>
        <w:spacing w:line="360" w:lineRule="auto"/>
        <w:ind w:firstLine="472"/>
        <w:jc w:val="center"/>
        <w:rPr>
          <w:rFonts w:ascii="宋体" w:hAnsi="宋体" w:cs="宋体"/>
          <w:b/>
          <w:kern w:val="0"/>
          <w:sz w:val="24"/>
          <w:szCs w:val="32"/>
          <w:lang w:val="zh-CN"/>
        </w:rPr>
        <w:sectPr>
          <w:pgSz w:w="11905" w:h="16838"/>
          <w:pgMar w:top="1134" w:right="1304" w:bottom="1134" w:left="1304" w:header="850" w:footer="850" w:gutter="283"/>
          <w:cols w:space="0" w:num="1"/>
          <w:titlePg/>
          <w:docGrid w:linePitch="312" w:charSpace="0"/>
        </w:sectPr>
      </w:pPr>
    </w:p>
    <w:p w14:paraId="36A44897">
      <w:pPr>
        <w:snapToGrid w:val="0"/>
        <w:ind w:firstLine="630"/>
        <w:jc w:val="center"/>
        <w:rPr>
          <w:rFonts w:ascii="宋体" w:hAnsi="宋体" w:cs="宋体"/>
          <w:b/>
          <w:bCs/>
          <w:sz w:val="32"/>
          <w:szCs w:val="32"/>
          <w:lang w:val="zh-CN"/>
        </w:rPr>
      </w:pPr>
      <w:r>
        <w:rPr>
          <w:rFonts w:hint="eastAsia" w:ascii="宋体" w:hAnsi="宋体" w:cs="宋体"/>
          <w:b/>
          <w:bCs/>
          <w:sz w:val="32"/>
          <w:szCs w:val="32"/>
          <w:lang w:val="zh-CN"/>
        </w:rPr>
        <w:t>一、响应函</w:t>
      </w:r>
    </w:p>
    <w:p w14:paraId="276E32D4">
      <w:pPr>
        <w:snapToGrid w:val="0"/>
        <w:spacing w:line="360" w:lineRule="auto"/>
        <w:rPr>
          <w:rFonts w:ascii="宋体" w:hAnsi="宋体" w:cs="宋体"/>
          <w:sz w:val="24"/>
        </w:rPr>
      </w:pPr>
      <w:r>
        <w:rPr>
          <w:rFonts w:hint="eastAsia" w:ascii="宋体" w:hAnsi="宋体" w:cs="宋体"/>
          <w:sz w:val="24"/>
        </w:rPr>
        <w:t>宁海县西店镇中心小学、建经投资咨询有限公司：</w:t>
      </w:r>
    </w:p>
    <w:p w14:paraId="43A428BA">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kern w:val="0"/>
          <w:sz w:val="24"/>
          <w:lang w:val="zh-CN"/>
        </w:rPr>
        <w:t>西店镇中心小学新建连廊、外立面提升等维修工程</w:t>
      </w:r>
      <w:r>
        <w:rPr>
          <w:rFonts w:hint="eastAsia" w:ascii="宋体" w:hAnsi="宋体" w:cs="宋体"/>
          <w:sz w:val="24"/>
        </w:rPr>
        <w:t>【项目编号：JJNHCG-202</w:t>
      </w:r>
      <w:r>
        <w:rPr>
          <w:rFonts w:hint="eastAsia" w:ascii="宋体" w:hAnsi="宋体" w:cs="宋体"/>
          <w:sz w:val="24"/>
          <w:lang w:val="en-US" w:eastAsia="zh-CN"/>
        </w:rPr>
        <w:t>5</w:t>
      </w:r>
      <w:r>
        <w:rPr>
          <w:rFonts w:hint="eastAsia" w:ascii="宋体" w:hAnsi="宋体" w:cs="宋体"/>
          <w:sz w:val="24"/>
        </w:rPr>
        <w:t>-0</w:t>
      </w:r>
      <w:r>
        <w:rPr>
          <w:rFonts w:hint="eastAsia" w:ascii="宋体" w:hAnsi="宋体" w:cs="宋体"/>
          <w:sz w:val="24"/>
          <w:lang w:val="en-US" w:eastAsia="zh-CN"/>
        </w:rPr>
        <w:t>01</w:t>
      </w:r>
      <w:r>
        <w:rPr>
          <w:rFonts w:hint="eastAsia" w:ascii="宋体" w:hAnsi="宋体" w:cs="宋体"/>
          <w:sz w:val="24"/>
        </w:rPr>
        <w:t>】采购的有关活动，并对此项目提交响应文件及报价。为此：</w:t>
      </w:r>
    </w:p>
    <w:p w14:paraId="2081569E">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01D93352">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20EA80C4">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4673CB1">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1189ACE4">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490DE3C6">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156C699D">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300D23BA">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2商务技术</w:t>
      </w:r>
      <w:r>
        <w:rPr>
          <w:rFonts w:hint="eastAsia" w:ascii="宋体" w:hAnsi="宋体" w:cs="宋体"/>
          <w:sz w:val="24"/>
          <w:lang w:val="zh-CN"/>
        </w:rPr>
        <w:t>文件：</w:t>
      </w:r>
    </w:p>
    <w:p w14:paraId="0F49C096">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6DC6D099">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DE492D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2171A86">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7E0D25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520D4522">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58FBEAE3">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58C48BDD">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B6A76B0">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27BB8576">
      <w:pPr>
        <w:snapToGrid w:val="0"/>
        <w:spacing w:line="360" w:lineRule="auto"/>
        <w:ind w:left="420" w:leftChars="200" w:firstLine="480" w:firstLineChars="200"/>
        <w:rPr>
          <w:rFonts w:ascii="宋体" w:hAnsi="宋体" w:cs="宋体"/>
          <w:sz w:val="24"/>
        </w:rPr>
      </w:pPr>
      <w:r>
        <w:rPr>
          <w:rFonts w:hint="eastAsia" w:ascii="宋体" w:hAnsi="宋体" w:cs="宋体"/>
          <w:sz w:val="24"/>
        </w:rPr>
        <w:t>2.3.2已标价工程量清单；</w:t>
      </w:r>
    </w:p>
    <w:p w14:paraId="57B45270">
      <w:pPr>
        <w:snapToGrid w:val="0"/>
        <w:spacing w:line="360" w:lineRule="auto"/>
        <w:ind w:left="420" w:leftChars="200" w:firstLine="480" w:firstLineChars="200"/>
        <w:rPr>
          <w:rFonts w:ascii="宋体" w:hAnsi="宋体" w:cs="宋体"/>
          <w:sz w:val="24"/>
        </w:rPr>
      </w:pPr>
      <w:r>
        <w:rPr>
          <w:rFonts w:hint="eastAsia" w:ascii="宋体" w:hAnsi="宋体" w:cs="宋体"/>
          <w:sz w:val="24"/>
        </w:rPr>
        <w:t>2.3.3报价情况说明（如果有）。</w:t>
      </w:r>
    </w:p>
    <w:p w14:paraId="0C5E2EF6">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3、我方承诺除商务技术偏离表列出的偏离外，我方响应采购文件的全部要求。对响应文件中材料的真实性、合法性负责。</w:t>
      </w:r>
    </w:p>
    <w:p w14:paraId="7292B834">
      <w:pPr>
        <w:snapToGrid w:val="0"/>
        <w:spacing w:line="360" w:lineRule="auto"/>
        <w:ind w:firstLine="480" w:firstLineChars="200"/>
        <w:rPr>
          <w:rFonts w:ascii="宋体" w:hAnsi="宋体" w:cs="宋体"/>
          <w:sz w:val="24"/>
        </w:rPr>
      </w:pPr>
      <w:r>
        <w:rPr>
          <w:rFonts w:hint="eastAsia" w:ascii="宋体" w:hAnsi="宋体" w:cs="宋体"/>
          <w:sz w:val="24"/>
        </w:rPr>
        <w:t>4、如我方成交，我方承诺：</w:t>
      </w:r>
    </w:p>
    <w:p w14:paraId="2FB5355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2744572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5511285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4.3按照采购文件要求提交履约保证金； </w:t>
      </w:r>
    </w:p>
    <w:p w14:paraId="5B339AF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1CB1D20E">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74AC407">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33678954">
      <w:pPr>
        <w:spacing w:line="360" w:lineRule="auto"/>
        <w:jc w:val="center"/>
        <w:rPr>
          <w:rFonts w:ascii="宋体" w:hAnsi="宋体" w:cs="宋体"/>
          <w:sz w:val="24"/>
        </w:rPr>
      </w:pPr>
      <w:r>
        <w:rPr>
          <w:rFonts w:hint="eastAsia" w:ascii="宋体" w:hAnsi="宋体" w:cs="宋体"/>
          <w:sz w:val="24"/>
        </w:rPr>
        <w:t xml:space="preserve">     日期：  年   月   日</w:t>
      </w:r>
    </w:p>
    <w:p w14:paraId="5C56D2EF">
      <w:pPr>
        <w:snapToGrid w:val="0"/>
        <w:spacing w:line="360" w:lineRule="auto"/>
        <w:ind w:left="420" w:leftChars="200" w:firstLine="4200" w:firstLineChars="1750"/>
        <w:rPr>
          <w:rFonts w:ascii="宋体" w:hAnsi="宋体" w:cs="宋体"/>
          <w:kern w:val="0"/>
          <w:sz w:val="24"/>
          <w:u w:val="single"/>
        </w:rPr>
      </w:pPr>
    </w:p>
    <w:p w14:paraId="18C872B7">
      <w:pPr>
        <w:spacing w:line="360" w:lineRule="auto"/>
        <w:ind w:right="420"/>
        <w:rPr>
          <w:rFonts w:ascii="宋体" w:hAnsi="宋体" w:cs="宋体"/>
          <w:sz w:val="24"/>
        </w:rPr>
      </w:pPr>
      <w:r>
        <w:rPr>
          <w:rFonts w:hint="eastAsia" w:ascii="宋体" w:hAnsi="宋体" w:cs="宋体"/>
          <w:sz w:val="24"/>
        </w:rPr>
        <w:t>注：按本格式和要求提供。</w:t>
      </w:r>
    </w:p>
    <w:p w14:paraId="17E3C45B">
      <w:pPr>
        <w:snapToGrid w:val="0"/>
        <w:spacing w:line="360" w:lineRule="auto"/>
        <w:ind w:firstLine="630"/>
        <w:jc w:val="center"/>
        <w:rPr>
          <w:rFonts w:ascii="宋体" w:hAnsi="宋体" w:cs="宋体"/>
          <w:b/>
          <w:kern w:val="0"/>
          <w:sz w:val="32"/>
          <w:szCs w:val="32"/>
        </w:rPr>
      </w:pPr>
    </w:p>
    <w:p w14:paraId="6E36B7AA">
      <w:pPr>
        <w:snapToGrid w:val="0"/>
        <w:spacing w:line="360" w:lineRule="auto"/>
        <w:rPr>
          <w:rFonts w:ascii="宋体" w:hAnsi="宋体" w:cs="宋体"/>
          <w:sz w:val="24"/>
        </w:rPr>
      </w:pPr>
    </w:p>
    <w:p w14:paraId="03F2295B">
      <w:pPr>
        <w:ind w:firstLine="630"/>
        <w:jc w:val="center"/>
        <w:rPr>
          <w:rFonts w:ascii="宋体" w:hAnsi="宋体" w:cs="宋体"/>
          <w:b/>
          <w:kern w:val="0"/>
          <w:sz w:val="32"/>
          <w:szCs w:val="32"/>
        </w:rPr>
      </w:pPr>
    </w:p>
    <w:p w14:paraId="6D93147A">
      <w:pPr>
        <w:ind w:firstLine="630"/>
        <w:jc w:val="center"/>
        <w:rPr>
          <w:rFonts w:ascii="宋体" w:hAnsi="宋体" w:cs="宋体"/>
          <w:b/>
          <w:kern w:val="0"/>
          <w:sz w:val="32"/>
          <w:szCs w:val="32"/>
        </w:rPr>
        <w:sectPr>
          <w:pgSz w:w="11905" w:h="16838"/>
          <w:pgMar w:top="1134" w:right="1304" w:bottom="1134" w:left="1304" w:header="850" w:footer="850" w:gutter="283"/>
          <w:cols w:space="0" w:num="1"/>
          <w:titlePg/>
          <w:docGrid w:linePitch="312" w:charSpace="0"/>
        </w:sectPr>
      </w:pPr>
    </w:p>
    <w:p w14:paraId="2AB4DD0D">
      <w:pPr>
        <w:snapToGrid w:val="0"/>
        <w:ind w:firstLine="63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4F60384B">
      <w:pPr>
        <w:snapToGrid w:val="0"/>
        <w:spacing w:line="360" w:lineRule="auto"/>
        <w:rPr>
          <w:rFonts w:ascii="宋体" w:hAnsi="宋体" w:cs="宋体"/>
          <w:sz w:val="24"/>
        </w:rPr>
      </w:pPr>
      <w:r>
        <w:rPr>
          <w:rFonts w:hint="eastAsia" w:ascii="宋体" w:hAnsi="宋体" w:cs="宋体"/>
          <w:sz w:val="24"/>
        </w:rPr>
        <w:t xml:space="preserve">                                </w:t>
      </w:r>
    </w:p>
    <w:p w14:paraId="4BE6A248">
      <w:pPr>
        <w:snapToGrid w:val="0"/>
        <w:ind w:firstLine="63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598FD76D">
      <w:pPr>
        <w:snapToGrid w:val="0"/>
        <w:spacing w:line="360" w:lineRule="auto"/>
        <w:rPr>
          <w:rFonts w:ascii="宋体" w:hAnsi="宋体" w:cs="宋体"/>
          <w:sz w:val="24"/>
        </w:rPr>
      </w:pPr>
    </w:p>
    <w:p w14:paraId="18324A98">
      <w:pPr>
        <w:snapToGrid w:val="0"/>
        <w:spacing w:line="360" w:lineRule="auto"/>
        <w:rPr>
          <w:rFonts w:ascii="宋体" w:hAnsi="宋体" w:cs="宋体"/>
          <w:kern w:val="0"/>
          <w:sz w:val="24"/>
        </w:rPr>
      </w:pPr>
      <w:r>
        <w:rPr>
          <w:rFonts w:hint="eastAsia" w:ascii="宋体" w:hAnsi="宋体" w:cs="宋体"/>
          <w:kern w:val="0"/>
          <w:sz w:val="24"/>
          <w:lang w:val="zh-CN"/>
        </w:rPr>
        <w:t>宁海县西店镇中心小学、建经投资咨询有限公司：</w:t>
      </w:r>
    </w:p>
    <w:p w14:paraId="4223D01B">
      <w:pPr>
        <w:snapToGrid w:val="0"/>
        <w:spacing w:line="360" w:lineRule="auto"/>
        <w:ind w:firstLine="47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w:t>
      </w:r>
      <w:r>
        <w:rPr>
          <w:rFonts w:hint="eastAsia" w:ascii="宋体" w:hAnsi="宋体" w:cs="宋体"/>
          <w:color w:val="FF0000"/>
          <w:kern w:val="0"/>
          <w:sz w:val="24"/>
        </w:rPr>
        <w:t>所在单位：</w:t>
      </w:r>
      <w:r>
        <w:rPr>
          <w:rFonts w:hint="eastAsia" w:ascii="宋体" w:hAnsi="宋体" w:cs="宋体"/>
          <w:color w:val="FF0000"/>
          <w:kern w:val="0"/>
          <w:sz w:val="24"/>
          <w:u w:val="single"/>
        </w:rPr>
        <w:t xml:space="preserve">         </w:t>
      </w:r>
      <w:r>
        <w:rPr>
          <w:rFonts w:hint="eastAsia" w:ascii="宋体" w:hAnsi="宋体" w:cs="宋体"/>
          <w:kern w:val="0"/>
          <w:sz w:val="24"/>
          <w:lang w:val="zh-CN"/>
        </w:rPr>
        <w:t>），以我方名义处理西店镇中心小学新建连廊、外立面提升等维修工程</w:t>
      </w:r>
      <w:r>
        <w:rPr>
          <w:rFonts w:hint="eastAsia" w:ascii="宋体" w:hAnsi="宋体" w:cs="宋体"/>
          <w:sz w:val="24"/>
        </w:rPr>
        <w:t>【项目编号：JJNHCG-202</w:t>
      </w:r>
      <w:r>
        <w:rPr>
          <w:rFonts w:hint="eastAsia" w:ascii="宋体" w:hAnsi="宋体" w:cs="宋体"/>
          <w:sz w:val="24"/>
          <w:lang w:val="en-US" w:eastAsia="zh-CN"/>
        </w:rPr>
        <w:t>5</w:t>
      </w:r>
      <w:r>
        <w:rPr>
          <w:rFonts w:hint="eastAsia" w:ascii="宋体" w:hAnsi="宋体" w:cs="宋体"/>
          <w:sz w:val="24"/>
        </w:rPr>
        <w:t>-0</w:t>
      </w:r>
      <w:r>
        <w:rPr>
          <w:rFonts w:hint="eastAsia" w:ascii="宋体" w:hAnsi="宋体" w:cs="宋体"/>
          <w:sz w:val="24"/>
          <w:lang w:val="en-US" w:eastAsia="zh-CN"/>
        </w:rPr>
        <w:t>01</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6620A0E1">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D621D8F">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6D305C6">
      <w:pPr>
        <w:snapToGrid w:val="0"/>
        <w:spacing w:line="360" w:lineRule="auto"/>
        <w:rPr>
          <w:rFonts w:ascii="宋体" w:hAnsi="宋体" w:cs="宋体"/>
          <w:kern w:val="0"/>
          <w:sz w:val="24"/>
        </w:rPr>
      </w:pPr>
      <w:r>
        <w:rPr>
          <w:rFonts w:hint="eastAsia" w:ascii="宋体" w:hAnsi="宋体" w:cs="宋体"/>
          <w:kern w:val="0"/>
          <w:sz w:val="24"/>
          <w:lang w:val="zh-CN"/>
        </w:rPr>
        <w:t xml:space="preserve">                                                 供应商名称(电子签名)：</w:t>
      </w:r>
    </w:p>
    <w:p w14:paraId="0B6F871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4604F8B0">
      <w:pPr>
        <w:snapToGrid w:val="0"/>
        <w:spacing w:line="360" w:lineRule="auto"/>
        <w:rPr>
          <w:rFonts w:ascii="宋体" w:hAnsi="宋体" w:cs="宋体"/>
          <w:sz w:val="24"/>
        </w:rPr>
      </w:pPr>
    </w:p>
    <w:p w14:paraId="4AF63C51">
      <w:pPr>
        <w:snapToGrid w:val="0"/>
        <w:spacing w:line="360" w:lineRule="auto"/>
        <w:rPr>
          <w:rFonts w:ascii="宋体" w:hAnsi="宋体" w:cs="宋体"/>
          <w:sz w:val="24"/>
        </w:rPr>
      </w:pPr>
    </w:p>
    <w:p w14:paraId="1DE2EECA">
      <w:pPr>
        <w:snapToGrid w:val="0"/>
        <w:spacing w:line="360" w:lineRule="auto"/>
        <w:rPr>
          <w:rFonts w:ascii="宋体" w:hAnsi="宋体" w:cs="宋体"/>
          <w:sz w:val="24"/>
        </w:rPr>
      </w:pPr>
    </w:p>
    <w:p w14:paraId="6D2FD909">
      <w:pPr>
        <w:snapToGrid w:val="0"/>
        <w:ind w:firstLine="63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768FFDD9">
      <w:pPr>
        <w:snapToGrid w:val="0"/>
        <w:spacing w:line="360" w:lineRule="auto"/>
        <w:rPr>
          <w:rFonts w:ascii="宋体" w:hAnsi="宋体" w:cs="宋体"/>
          <w:kern w:val="0"/>
          <w:sz w:val="24"/>
        </w:rPr>
      </w:pPr>
      <w:r>
        <w:rPr>
          <w:rFonts w:hint="eastAsia" w:ascii="宋体" w:hAnsi="宋体" w:cs="宋体"/>
          <w:kern w:val="0"/>
          <w:sz w:val="24"/>
          <w:lang w:val="zh-CN"/>
        </w:rPr>
        <w:t>宁海县西店镇中心小学、建经投资咨询有限公司：</w:t>
      </w:r>
    </w:p>
    <w:p w14:paraId="35512253">
      <w:pPr>
        <w:snapToGrid w:val="0"/>
        <w:spacing w:line="360" w:lineRule="auto"/>
        <w:ind w:firstLine="470"/>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w:t>
      </w:r>
      <w:r>
        <w:rPr>
          <w:rFonts w:hint="eastAsia" w:ascii="宋体" w:hAnsi="宋体" w:cs="宋体"/>
          <w:color w:val="FF0000"/>
          <w:kern w:val="0"/>
          <w:sz w:val="24"/>
        </w:rPr>
        <w:t>所在单位：</w:t>
      </w:r>
      <w:r>
        <w:rPr>
          <w:rFonts w:hint="eastAsia" w:ascii="宋体" w:hAnsi="宋体" w:cs="宋体"/>
          <w:color w:val="FF0000"/>
          <w:kern w:val="0"/>
          <w:sz w:val="24"/>
          <w:u w:val="single"/>
        </w:rPr>
        <w:t xml:space="preserve">         </w:t>
      </w:r>
      <w:r>
        <w:rPr>
          <w:rFonts w:hint="eastAsia" w:ascii="宋体" w:hAnsi="宋体" w:cs="宋体"/>
          <w:kern w:val="0"/>
          <w:sz w:val="24"/>
          <w:lang w:val="zh-CN"/>
        </w:rPr>
        <w:t>），以我方名义处理西店镇中心小学新建连廊、外立面提升等维修工程</w:t>
      </w:r>
      <w:r>
        <w:rPr>
          <w:rFonts w:hint="eastAsia" w:ascii="宋体" w:hAnsi="宋体" w:cs="宋体"/>
          <w:sz w:val="24"/>
        </w:rPr>
        <w:t>【项目编号：JJNHCG-202</w:t>
      </w:r>
      <w:r>
        <w:rPr>
          <w:rFonts w:hint="eastAsia" w:ascii="宋体" w:hAnsi="宋体" w:cs="宋体"/>
          <w:sz w:val="24"/>
          <w:lang w:val="en-US" w:eastAsia="zh-CN"/>
        </w:rPr>
        <w:t>5</w:t>
      </w:r>
      <w:r>
        <w:rPr>
          <w:rFonts w:hint="eastAsia" w:ascii="宋体" w:hAnsi="宋体" w:cs="宋体"/>
          <w:sz w:val="24"/>
        </w:rPr>
        <w:t>-0</w:t>
      </w:r>
      <w:r>
        <w:rPr>
          <w:rFonts w:hint="eastAsia" w:ascii="宋体" w:hAnsi="宋体" w:cs="宋体"/>
          <w:sz w:val="24"/>
          <w:lang w:val="en-US" w:eastAsia="zh-CN"/>
        </w:rPr>
        <w:t>01</w:t>
      </w:r>
      <w:r>
        <w:rPr>
          <w:rFonts w:hint="eastAsia" w:ascii="宋体" w:hAnsi="宋体" w:cs="宋体"/>
          <w:sz w:val="24"/>
        </w:rPr>
        <w:t>】</w:t>
      </w:r>
      <w:r>
        <w:rPr>
          <w:rFonts w:hint="eastAsia" w:ascii="宋体" w:hAnsi="宋体" w:cs="宋体"/>
          <w:kern w:val="0"/>
          <w:sz w:val="24"/>
          <w:lang w:val="zh-CN"/>
        </w:rPr>
        <w:t>政府采购</w:t>
      </w:r>
      <w:r>
        <w:rPr>
          <w:rFonts w:hint="eastAsia" w:ascii="宋体" w:hAnsi="宋体" w:cs="宋体"/>
          <w:kern w:val="0"/>
          <w:sz w:val="24"/>
        </w:rPr>
        <w:t>响应</w:t>
      </w:r>
      <w:r>
        <w:rPr>
          <w:rFonts w:hint="eastAsia" w:ascii="宋体" w:hAnsi="宋体" w:cs="宋体"/>
          <w:kern w:val="0"/>
          <w:sz w:val="24"/>
          <w:lang w:val="zh-CN"/>
        </w:rPr>
        <w:t>的一切事项，其法律后果由我方承担。</w:t>
      </w:r>
    </w:p>
    <w:p w14:paraId="137C79F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9B9B95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7B2E72B">
      <w:pPr>
        <w:ind w:firstLine="630"/>
        <w:jc w:val="center"/>
        <w:rPr>
          <w:rFonts w:ascii="宋体" w:hAnsi="宋体" w:cs="宋体"/>
          <w:b/>
          <w:kern w:val="0"/>
          <w:sz w:val="32"/>
          <w:szCs w:val="32"/>
        </w:rPr>
      </w:pPr>
    </w:p>
    <w:p w14:paraId="2EE11914">
      <w:pPr>
        <w:ind w:firstLine="630"/>
        <w:jc w:val="center"/>
        <w:rPr>
          <w:rFonts w:ascii="宋体" w:hAnsi="宋体" w:cs="宋体"/>
          <w:b/>
          <w:kern w:val="0"/>
          <w:sz w:val="32"/>
          <w:szCs w:val="32"/>
        </w:rPr>
      </w:pPr>
    </w:p>
    <w:p w14:paraId="4CBC1DA8">
      <w:pPr>
        <w:rPr>
          <w:rFonts w:ascii="宋体" w:hAnsi="宋体" w:cs="宋体"/>
        </w:rPr>
      </w:pPr>
    </w:p>
    <w:p w14:paraId="331ECBA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0D9B35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A185D42">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18B166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621E73A">
      <w:pPr>
        <w:snapToGrid w:val="0"/>
        <w:ind w:firstLine="63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7B4CBACA">
      <w:pPr>
        <w:pStyle w:val="149"/>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DE2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D9C6EA8">
            <w:pPr>
              <w:pStyle w:val="149"/>
              <w:adjustRightInd w:val="0"/>
              <w:spacing w:line="360" w:lineRule="auto"/>
              <w:rPr>
                <w:rFonts w:hAnsi="宋体" w:cs="宋体"/>
                <w:bCs/>
                <w:sz w:val="24"/>
              </w:rPr>
            </w:pPr>
            <w:r>
              <w:rPr>
                <w:rFonts w:hint="eastAsia" w:hAnsi="宋体" w:cs="宋体"/>
                <w:bCs/>
                <w:sz w:val="24"/>
              </w:rPr>
              <w:t>正面：                                 反面：</w:t>
            </w:r>
          </w:p>
          <w:p w14:paraId="78A00BD2">
            <w:pPr>
              <w:pStyle w:val="149"/>
              <w:adjustRightInd w:val="0"/>
              <w:spacing w:line="360" w:lineRule="auto"/>
              <w:rPr>
                <w:rFonts w:hAnsi="宋体" w:cs="宋体"/>
                <w:bCs/>
                <w:sz w:val="24"/>
              </w:rPr>
            </w:pPr>
          </w:p>
        </w:tc>
      </w:tr>
    </w:tbl>
    <w:p w14:paraId="132E6BE8">
      <w:pPr>
        <w:snapToGrid w:val="0"/>
        <w:spacing w:line="360" w:lineRule="auto"/>
        <w:ind w:firstLine="470"/>
        <w:jc w:val="center"/>
        <w:rPr>
          <w:rFonts w:ascii="宋体" w:hAnsi="宋体" w:cs="宋体"/>
          <w:kern w:val="0"/>
          <w:sz w:val="24"/>
          <w:lang w:val="zh-CN"/>
        </w:rPr>
      </w:pPr>
      <w:r>
        <w:rPr>
          <w:rFonts w:hint="eastAsia" w:ascii="宋体" w:hAnsi="宋体" w:cs="宋体"/>
          <w:kern w:val="0"/>
          <w:sz w:val="24"/>
          <w:lang w:val="zh-CN"/>
        </w:rPr>
        <w:t xml:space="preserve">                 </w:t>
      </w:r>
    </w:p>
    <w:p w14:paraId="5D57673B">
      <w:pPr>
        <w:snapToGrid w:val="0"/>
        <w:spacing w:line="360" w:lineRule="auto"/>
        <w:ind w:firstLine="470"/>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3170DD26">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A70506B">
      <w:pPr>
        <w:ind w:firstLine="630"/>
        <w:jc w:val="center"/>
        <w:rPr>
          <w:rFonts w:ascii="宋体" w:hAnsi="宋体" w:cs="宋体"/>
          <w:b/>
          <w:kern w:val="0"/>
          <w:sz w:val="32"/>
          <w:szCs w:val="32"/>
        </w:rPr>
      </w:pPr>
    </w:p>
    <w:p w14:paraId="08B5517A">
      <w:pPr>
        <w:ind w:firstLine="630"/>
        <w:jc w:val="center"/>
        <w:rPr>
          <w:rFonts w:ascii="宋体" w:hAnsi="宋体" w:cs="宋体"/>
          <w:b/>
          <w:kern w:val="0"/>
          <w:sz w:val="32"/>
          <w:szCs w:val="32"/>
        </w:rPr>
      </w:pPr>
    </w:p>
    <w:p w14:paraId="74A6BCCF">
      <w:pPr>
        <w:ind w:firstLine="630"/>
        <w:jc w:val="center"/>
        <w:rPr>
          <w:rFonts w:ascii="宋体" w:hAnsi="宋体" w:cs="宋体"/>
          <w:b/>
          <w:kern w:val="0"/>
          <w:sz w:val="32"/>
          <w:szCs w:val="32"/>
        </w:rPr>
      </w:pPr>
    </w:p>
    <w:p w14:paraId="2DDB6A2C">
      <w:pPr>
        <w:ind w:firstLine="630"/>
        <w:jc w:val="center"/>
        <w:rPr>
          <w:rFonts w:ascii="宋体" w:hAnsi="宋体" w:cs="宋体"/>
          <w:b/>
          <w:kern w:val="0"/>
          <w:sz w:val="32"/>
          <w:szCs w:val="32"/>
        </w:rPr>
      </w:pPr>
    </w:p>
    <w:p w14:paraId="72A9C7B0">
      <w:pPr>
        <w:ind w:firstLine="630"/>
        <w:jc w:val="center"/>
        <w:rPr>
          <w:rFonts w:ascii="宋体" w:hAnsi="宋体" w:cs="宋体"/>
          <w:b/>
          <w:kern w:val="0"/>
          <w:sz w:val="32"/>
          <w:szCs w:val="32"/>
        </w:rPr>
      </w:pPr>
    </w:p>
    <w:p w14:paraId="50DBAFE9">
      <w:pPr>
        <w:ind w:firstLine="630"/>
        <w:jc w:val="center"/>
        <w:rPr>
          <w:rFonts w:ascii="宋体" w:hAnsi="宋体" w:cs="宋体"/>
          <w:b/>
          <w:kern w:val="0"/>
          <w:sz w:val="32"/>
          <w:szCs w:val="32"/>
        </w:rPr>
      </w:pPr>
    </w:p>
    <w:p w14:paraId="4FF8B736">
      <w:pPr>
        <w:ind w:firstLine="630"/>
        <w:jc w:val="center"/>
        <w:rPr>
          <w:rFonts w:ascii="宋体" w:hAnsi="宋体" w:cs="宋体"/>
          <w:b/>
          <w:kern w:val="0"/>
          <w:sz w:val="32"/>
          <w:szCs w:val="32"/>
        </w:rPr>
      </w:pPr>
    </w:p>
    <w:p w14:paraId="5279B945">
      <w:pPr>
        <w:ind w:firstLine="630"/>
        <w:jc w:val="center"/>
        <w:rPr>
          <w:rFonts w:ascii="宋体" w:hAnsi="宋体" w:cs="宋体"/>
          <w:b/>
          <w:kern w:val="0"/>
          <w:sz w:val="32"/>
          <w:szCs w:val="32"/>
        </w:rPr>
      </w:pPr>
    </w:p>
    <w:p w14:paraId="50ADC66E">
      <w:pPr>
        <w:ind w:firstLine="630"/>
        <w:jc w:val="center"/>
        <w:rPr>
          <w:rFonts w:ascii="宋体" w:hAnsi="宋体" w:cs="宋体"/>
          <w:b/>
          <w:kern w:val="0"/>
          <w:sz w:val="32"/>
          <w:szCs w:val="32"/>
        </w:rPr>
      </w:pPr>
    </w:p>
    <w:p w14:paraId="7EA39058">
      <w:pPr>
        <w:ind w:firstLine="630"/>
        <w:jc w:val="center"/>
        <w:rPr>
          <w:rFonts w:ascii="宋体" w:hAnsi="宋体" w:cs="宋体"/>
          <w:b/>
          <w:kern w:val="0"/>
          <w:sz w:val="32"/>
          <w:szCs w:val="32"/>
        </w:rPr>
      </w:pPr>
    </w:p>
    <w:p w14:paraId="1B845F34">
      <w:pPr>
        <w:snapToGrid w:val="0"/>
        <w:spacing w:line="360" w:lineRule="auto"/>
        <w:ind w:right="480" w:firstLine="630"/>
        <w:rPr>
          <w:rFonts w:ascii="宋体" w:hAnsi="宋体" w:cs="宋体"/>
          <w:b/>
          <w:kern w:val="0"/>
          <w:sz w:val="32"/>
          <w:szCs w:val="32"/>
        </w:rPr>
        <w:sectPr>
          <w:pgSz w:w="11905" w:h="16838"/>
          <w:pgMar w:top="1134" w:right="1304" w:bottom="1134" w:left="1304" w:header="850" w:footer="850" w:gutter="283"/>
          <w:cols w:space="0" w:num="1"/>
          <w:titlePg/>
          <w:docGrid w:linePitch="312" w:charSpace="0"/>
        </w:sectPr>
      </w:pPr>
    </w:p>
    <w:p w14:paraId="38B62DD9">
      <w:pPr>
        <w:snapToGrid w:val="0"/>
        <w:ind w:firstLine="630"/>
        <w:jc w:val="center"/>
        <w:rPr>
          <w:rFonts w:ascii="宋体" w:hAnsi="宋体" w:cs="宋体"/>
          <w:b/>
          <w:bCs/>
          <w:sz w:val="32"/>
          <w:szCs w:val="32"/>
        </w:rPr>
      </w:pPr>
      <w:r>
        <w:rPr>
          <w:rFonts w:hint="eastAsia" w:ascii="宋体" w:hAnsi="宋体" w:cs="宋体"/>
          <w:b/>
          <w:bCs/>
          <w:sz w:val="32"/>
          <w:szCs w:val="32"/>
        </w:rPr>
        <w:t>三、分包意向协议</w:t>
      </w:r>
    </w:p>
    <w:p w14:paraId="0EF07F81">
      <w:pPr>
        <w:widowControl/>
        <w:spacing w:line="360" w:lineRule="auto"/>
        <w:ind w:firstLine="120" w:firstLineChars="50"/>
        <w:jc w:val="left"/>
        <w:rPr>
          <w:rFonts w:ascii="宋体" w:hAnsi="宋体" w:cs="宋体"/>
          <w:sz w:val="24"/>
        </w:rPr>
      </w:pPr>
      <w:bookmarkStart w:id="937"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937"/>
    <w:p w14:paraId="27518332">
      <w:pPr>
        <w:snapToGrid w:val="0"/>
        <w:spacing w:line="360" w:lineRule="auto"/>
        <w:rPr>
          <w:rFonts w:ascii="宋体" w:hAnsi="宋体" w:cs="宋体"/>
          <w:kern w:val="0"/>
          <w:sz w:val="24"/>
        </w:rPr>
      </w:pPr>
    </w:p>
    <w:p w14:paraId="072C51F3">
      <w:pPr>
        <w:snapToGrid w:val="0"/>
        <w:ind w:firstLine="630"/>
        <w:jc w:val="center"/>
        <w:rPr>
          <w:rFonts w:ascii="宋体" w:hAnsi="宋体" w:cs="宋体"/>
          <w:b/>
          <w:bCs/>
          <w:sz w:val="32"/>
          <w:szCs w:val="32"/>
        </w:rPr>
      </w:pPr>
      <w:r>
        <w:rPr>
          <w:rFonts w:hint="eastAsia" w:ascii="宋体" w:hAnsi="宋体" w:cs="宋体"/>
          <w:b/>
          <w:bCs/>
          <w:sz w:val="32"/>
          <w:szCs w:val="32"/>
        </w:rPr>
        <w:t>四、符合性审查资料</w:t>
      </w:r>
    </w:p>
    <w:p w14:paraId="41572F49">
      <w:pPr>
        <w:ind w:firstLine="630"/>
        <w:jc w:val="center"/>
        <w:rPr>
          <w:rFonts w:ascii="宋体" w:hAnsi="宋体" w:cs="宋体"/>
          <w:b/>
          <w:kern w:val="0"/>
          <w:sz w:val="32"/>
          <w:szCs w:val="32"/>
        </w:rPr>
      </w:pP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4179"/>
        <w:gridCol w:w="2134"/>
        <w:gridCol w:w="1187"/>
        <w:gridCol w:w="1187"/>
      </w:tblGrid>
      <w:tr w14:paraId="46E0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92" w:type="pct"/>
            <w:vAlign w:val="center"/>
          </w:tcPr>
          <w:p w14:paraId="075BBB73">
            <w:pPr>
              <w:snapToGrid w:val="0"/>
              <w:spacing w:line="240" w:lineRule="atLeast"/>
              <w:jc w:val="both"/>
              <w:rPr>
                <w:rFonts w:ascii="宋体" w:hAnsi="宋体" w:cs="宋体"/>
                <w:b/>
                <w:sz w:val="24"/>
              </w:rPr>
            </w:pPr>
            <w:r>
              <w:rPr>
                <w:rFonts w:hint="eastAsia" w:ascii="宋体" w:hAnsi="宋体" w:cs="宋体"/>
                <w:b/>
                <w:sz w:val="24"/>
              </w:rPr>
              <w:t>序号</w:t>
            </w:r>
          </w:p>
        </w:tc>
        <w:tc>
          <w:tcPr>
            <w:tcW w:w="2264" w:type="pct"/>
            <w:vAlign w:val="center"/>
          </w:tcPr>
          <w:p w14:paraId="62C3F844">
            <w:pPr>
              <w:snapToGrid w:val="0"/>
              <w:spacing w:line="240" w:lineRule="atLeast"/>
              <w:ind w:firstLine="472"/>
              <w:jc w:val="center"/>
              <w:rPr>
                <w:rFonts w:ascii="宋体" w:hAnsi="宋体" w:cs="宋体"/>
                <w:b/>
                <w:sz w:val="24"/>
              </w:rPr>
            </w:pPr>
            <w:r>
              <w:rPr>
                <w:rFonts w:hint="eastAsia" w:ascii="宋体" w:hAnsi="宋体" w:cs="宋体"/>
                <w:b/>
                <w:sz w:val="24"/>
              </w:rPr>
              <w:t>实质性要求</w:t>
            </w:r>
          </w:p>
        </w:tc>
        <w:tc>
          <w:tcPr>
            <w:tcW w:w="1156" w:type="pct"/>
            <w:vAlign w:val="center"/>
          </w:tcPr>
          <w:p w14:paraId="493E4590">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643" w:type="pct"/>
            <w:vAlign w:val="center"/>
          </w:tcPr>
          <w:p w14:paraId="3B213A66">
            <w:pPr>
              <w:snapToGrid w:val="0"/>
              <w:spacing w:line="240" w:lineRule="atLeast"/>
              <w:ind w:firstLine="241" w:firstLineChars="100"/>
              <w:jc w:val="both"/>
              <w:rPr>
                <w:rFonts w:hint="eastAsia" w:ascii="宋体"/>
                <w:b/>
                <w:bCs/>
                <w:sz w:val="24"/>
              </w:rPr>
            </w:pPr>
            <w:r>
              <w:rPr>
                <w:rFonts w:hint="eastAsia" w:ascii="宋体"/>
                <w:b/>
                <w:bCs/>
                <w:sz w:val="24"/>
              </w:rPr>
              <w:t>自查</w:t>
            </w:r>
          </w:p>
          <w:p w14:paraId="781AFAD7">
            <w:pPr>
              <w:snapToGrid w:val="0"/>
              <w:spacing w:line="240" w:lineRule="atLeast"/>
              <w:ind w:firstLine="241" w:firstLineChars="100"/>
              <w:jc w:val="both"/>
              <w:rPr>
                <w:rFonts w:ascii="宋体" w:hAnsi="宋体" w:cs="宋体"/>
                <w:b/>
                <w:sz w:val="24"/>
              </w:rPr>
            </w:pPr>
            <w:r>
              <w:rPr>
                <w:rFonts w:hint="eastAsia" w:ascii="宋体"/>
                <w:b/>
                <w:bCs/>
                <w:sz w:val="24"/>
              </w:rPr>
              <w:t>结论</w:t>
            </w:r>
          </w:p>
        </w:tc>
        <w:tc>
          <w:tcPr>
            <w:tcW w:w="643" w:type="pct"/>
            <w:vAlign w:val="center"/>
          </w:tcPr>
          <w:p w14:paraId="2134B351">
            <w:pPr>
              <w:snapToGrid w:val="0"/>
              <w:spacing w:line="240" w:lineRule="atLeast"/>
              <w:jc w:val="both"/>
              <w:rPr>
                <w:rFonts w:ascii="宋体" w:hAnsi="宋体" w:cs="宋体"/>
                <w:b/>
                <w:sz w:val="24"/>
              </w:rPr>
            </w:pPr>
            <w:r>
              <w:rPr>
                <w:rFonts w:hint="eastAsia" w:ascii="宋体" w:hAnsi="宋体" w:cs="宋体"/>
                <w:b/>
                <w:sz w:val="24"/>
              </w:rPr>
              <w:t>响应文件中的页码位置</w:t>
            </w:r>
          </w:p>
        </w:tc>
      </w:tr>
      <w:tr w14:paraId="59C0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92" w:type="pct"/>
            <w:vAlign w:val="center"/>
          </w:tcPr>
          <w:p w14:paraId="45FAE4A8">
            <w:pPr>
              <w:jc w:val="center"/>
              <w:rPr>
                <w:rFonts w:ascii="宋体" w:hAnsi="宋体" w:cs="宋体"/>
                <w:sz w:val="24"/>
              </w:rPr>
            </w:pPr>
            <w:r>
              <w:rPr>
                <w:rFonts w:hint="eastAsia" w:ascii="宋体" w:hAnsi="宋体" w:cs="宋体"/>
                <w:sz w:val="24"/>
              </w:rPr>
              <w:t>1</w:t>
            </w:r>
          </w:p>
        </w:tc>
        <w:tc>
          <w:tcPr>
            <w:tcW w:w="2264" w:type="pct"/>
            <w:vAlign w:val="center"/>
          </w:tcPr>
          <w:p w14:paraId="5ECF3C50">
            <w:pPr>
              <w:spacing w:line="360" w:lineRule="auto"/>
              <w:rPr>
                <w:rFonts w:ascii="宋体" w:hAnsi="宋体" w:cs="宋体"/>
                <w:sz w:val="24"/>
              </w:rPr>
            </w:pPr>
            <w:r>
              <w:rPr>
                <w:rFonts w:hint="eastAsia" w:ascii="宋体" w:hAnsi="宋体" w:cs="宋体"/>
                <w:sz w:val="24"/>
              </w:rPr>
              <w:t>响应文件按照采购文件要求签署、盖章。</w:t>
            </w:r>
          </w:p>
        </w:tc>
        <w:tc>
          <w:tcPr>
            <w:tcW w:w="1156" w:type="pct"/>
            <w:vAlign w:val="center"/>
          </w:tcPr>
          <w:p w14:paraId="7F38370F">
            <w:pPr>
              <w:rPr>
                <w:rFonts w:ascii="宋体" w:hAnsi="宋体" w:cs="宋体"/>
                <w:sz w:val="24"/>
              </w:rPr>
            </w:pPr>
            <w:r>
              <w:rPr>
                <w:rFonts w:hint="eastAsia" w:ascii="宋体" w:hAnsi="宋体" w:cs="宋体"/>
                <w:sz w:val="24"/>
              </w:rPr>
              <w:t>需要使用电子签名或者签字盖章的响应文件的组成部分</w:t>
            </w:r>
          </w:p>
        </w:tc>
        <w:tc>
          <w:tcPr>
            <w:tcW w:w="643" w:type="pct"/>
            <w:vAlign w:val="center"/>
          </w:tcPr>
          <w:p w14:paraId="6BDEF78F">
            <w:pPr>
              <w:spacing w:line="360" w:lineRule="auto"/>
              <w:rPr>
                <w:rFonts w:ascii="宋体" w:hAnsi="宋体" w:cs="宋体"/>
                <w:sz w:val="24"/>
              </w:rPr>
            </w:pPr>
            <w:r>
              <w:rPr>
                <w:rFonts w:hint="eastAsia" w:ascii="宋体" w:hAnsi="宋体" w:cs="宋体"/>
                <w:sz w:val="24"/>
              </w:rPr>
              <w:t xml:space="preserve">□通过 </w:t>
            </w:r>
          </w:p>
          <w:p w14:paraId="6335B0CA">
            <w:pPr>
              <w:rPr>
                <w:rFonts w:ascii="宋体" w:hAnsi="宋体" w:cs="宋体"/>
                <w:sz w:val="24"/>
              </w:rPr>
            </w:pPr>
            <w:r>
              <w:rPr>
                <w:rFonts w:hint="eastAsia" w:ascii="宋体" w:hAnsi="宋体" w:cs="宋体"/>
                <w:sz w:val="24"/>
              </w:rPr>
              <w:t>□不通过</w:t>
            </w:r>
          </w:p>
        </w:tc>
        <w:tc>
          <w:tcPr>
            <w:tcW w:w="643" w:type="pct"/>
            <w:vAlign w:val="center"/>
          </w:tcPr>
          <w:p w14:paraId="43955C7E">
            <w:pPr>
              <w:rPr>
                <w:rFonts w:ascii="宋体" w:hAnsi="宋体" w:cs="宋体"/>
                <w:sz w:val="24"/>
              </w:rPr>
            </w:pPr>
            <w:r>
              <w:rPr>
                <w:rFonts w:hint="eastAsia" w:ascii="宋体" w:hAnsi="宋体" w:cs="宋体"/>
                <w:sz w:val="24"/>
              </w:rPr>
              <w:t>见响应文件</w:t>
            </w:r>
          </w:p>
          <w:p w14:paraId="2D95E948">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DC55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92" w:type="pct"/>
            <w:vAlign w:val="center"/>
          </w:tcPr>
          <w:p w14:paraId="237AE40D">
            <w:pPr>
              <w:jc w:val="center"/>
              <w:rPr>
                <w:rFonts w:ascii="宋体" w:hAnsi="宋体" w:cs="宋体"/>
                <w:sz w:val="24"/>
              </w:rPr>
            </w:pPr>
            <w:r>
              <w:rPr>
                <w:rFonts w:hint="eastAsia" w:ascii="宋体" w:hAnsi="宋体" w:cs="宋体"/>
                <w:sz w:val="24"/>
              </w:rPr>
              <w:t>2</w:t>
            </w:r>
          </w:p>
        </w:tc>
        <w:tc>
          <w:tcPr>
            <w:tcW w:w="2264" w:type="pct"/>
            <w:vAlign w:val="center"/>
          </w:tcPr>
          <w:p w14:paraId="4090710C">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1156" w:type="pct"/>
            <w:vAlign w:val="center"/>
          </w:tcPr>
          <w:p w14:paraId="47E671D9">
            <w:pPr>
              <w:rPr>
                <w:rFonts w:ascii="宋体" w:hAnsi="宋体" w:cs="宋体"/>
                <w:sz w:val="24"/>
              </w:rPr>
            </w:pPr>
            <w:r>
              <w:rPr>
                <w:rFonts w:hint="eastAsia" w:ascii="宋体" w:hAnsi="宋体" w:cs="宋体"/>
                <w:sz w:val="24"/>
              </w:rPr>
              <w:t>响应函</w:t>
            </w:r>
          </w:p>
        </w:tc>
        <w:tc>
          <w:tcPr>
            <w:tcW w:w="643" w:type="pct"/>
            <w:vAlign w:val="center"/>
          </w:tcPr>
          <w:p w14:paraId="7D04CCC2">
            <w:pPr>
              <w:spacing w:line="360" w:lineRule="auto"/>
              <w:rPr>
                <w:rFonts w:ascii="宋体" w:hAnsi="宋体" w:cs="宋体"/>
                <w:sz w:val="24"/>
              </w:rPr>
            </w:pPr>
            <w:r>
              <w:rPr>
                <w:rFonts w:hint="eastAsia" w:ascii="宋体" w:hAnsi="宋体" w:cs="宋体"/>
                <w:sz w:val="24"/>
              </w:rPr>
              <w:t xml:space="preserve">□通过 </w:t>
            </w:r>
          </w:p>
          <w:p w14:paraId="327AF0A8">
            <w:pPr>
              <w:rPr>
                <w:rFonts w:ascii="宋体" w:hAnsi="宋体" w:cs="宋体"/>
                <w:sz w:val="24"/>
              </w:rPr>
            </w:pPr>
            <w:r>
              <w:rPr>
                <w:rFonts w:hint="eastAsia" w:ascii="宋体" w:hAnsi="宋体" w:cs="宋体"/>
                <w:sz w:val="24"/>
              </w:rPr>
              <w:t>□不通过</w:t>
            </w:r>
          </w:p>
        </w:tc>
        <w:tc>
          <w:tcPr>
            <w:tcW w:w="643" w:type="pct"/>
            <w:vAlign w:val="center"/>
          </w:tcPr>
          <w:p w14:paraId="0B405E21">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0F9E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92" w:type="pct"/>
            <w:vAlign w:val="center"/>
          </w:tcPr>
          <w:p w14:paraId="69DE6C96">
            <w:pPr>
              <w:jc w:val="center"/>
              <w:rPr>
                <w:rFonts w:ascii="宋体" w:hAnsi="宋体" w:cs="宋体"/>
                <w:sz w:val="24"/>
              </w:rPr>
            </w:pPr>
            <w:r>
              <w:rPr>
                <w:rFonts w:hint="eastAsia" w:ascii="宋体" w:hAnsi="宋体" w:cs="宋体"/>
                <w:sz w:val="24"/>
              </w:rPr>
              <w:t>3</w:t>
            </w:r>
          </w:p>
        </w:tc>
        <w:tc>
          <w:tcPr>
            <w:tcW w:w="2264" w:type="pct"/>
            <w:vAlign w:val="center"/>
          </w:tcPr>
          <w:p w14:paraId="450657DA">
            <w:pPr>
              <w:spacing w:line="360" w:lineRule="auto"/>
              <w:rPr>
                <w:rFonts w:ascii="宋体" w:hAnsi="宋体" w:cs="宋体"/>
                <w:sz w:val="24"/>
              </w:rPr>
            </w:pPr>
            <w:r>
              <w:rPr>
                <w:rFonts w:hint="eastAsia" w:ascii="宋体" w:hAnsi="宋体" w:cs="宋体"/>
                <w:sz w:val="24"/>
              </w:rPr>
              <w:t>响应文件满足采购文件的其它实质性要求。</w:t>
            </w:r>
          </w:p>
        </w:tc>
        <w:tc>
          <w:tcPr>
            <w:tcW w:w="1156" w:type="pct"/>
            <w:vAlign w:val="center"/>
          </w:tcPr>
          <w:p w14:paraId="3D0D0AD3">
            <w:pPr>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643" w:type="pct"/>
            <w:vAlign w:val="center"/>
          </w:tcPr>
          <w:p w14:paraId="606194A6">
            <w:pPr>
              <w:spacing w:line="360" w:lineRule="auto"/>
              <w:rPr>
                <w:rFonts w:ascii="宋体" w:hAnsi="宋体" w:cs="宋体"/>
                <w:sz w:val="24"/>
              </w:rPr>
            </w:pPr>
            <w:r>
              <w:rPr>
                <w:rFonts w:hint="eastAsia" w:ascii="宋体" w:hAnsi="宋体" w:cs="宋体"/>
                <w:sz w:val="24"/>
              </w:rPr>
              <w:t xml:space="preserve">□通过 </w:t>
            </w:r>
          </w:p>
          <w:p w14:paraId="6671A04F">
            <w:pPr>
              <w:rPr>
                <w:rFonts w:ascii="宋体" w:hAnsi="宋体" w:cs="宋体"/>
                <w:sz w:val="24"/>
              </w:rPr>
            </w:pPr>
            <w:r>
              <w:rPr>
                <w:rFonts w:hint="eastAsia" w:ascii="宋体" w:hAnsi="宋体" w:cs="宋体"/>
                <w:sz w:val="24"/>
              </w:rPr>
              <w:t>□不通过</w:t>
            </w:r>
          </w:p>
        </w:tc>
        <w:tc>
          <w:tcPr>
            <w:tcW w:w="643" w:type="pct"/>
            <w:vAlign w:val="center"/>
          </w:tcPr>
          <w:p w14:paraId="218497C4">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31F3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9" w:type="dxa"/>
            <w:vAlign w:val="center"/>
          </w:tcPr>
          <w:p w14:paraId="2CE0C358">
            <w:pPr>
              <w:spacing w:line="360" w:lineRule="auto"/>
              <w:rPr>
                <w:rFonts w:ascii="宋体" w:hAnsi="宋体" w:cs="宋体"/>
                <w:sz w:val="24"/>
              </w:rPr>
            </w:pPr>
            <w:r>
              <w:rPr>
                <w:rFonts w:hint="eastAsia" w:ascii="宋体" w:hAnsi="宋体" w:cs="宋体"/>
                <w:sz w:val="24"/>
              </w:rPr>
              <w:t>4</w:t>
            </w:r>
          </w:p>
        </w:tc>
        <w:tc>
          <w:tcPr>
            <w:tcW w:w="4179" w:type="dxa"/>
            <w:vAlign w:val="center"/>
          </w:tcPr>
          <w:p w14:paraId="4BEB5A0D">
            <w:pPr>
              <w:spacing w:line="360" w:lineRule="auto"/>
              <w:rPr>
                <w:rFonts w:ascii="宋体" w:hAnsi="宋体" w:cs="宋体"/>
                <w:sz w:val="24"/>
              </w:rPr>
            </w:pPr>
            <w:r>
              <w:rPr>
                <w:rFonts w:hint="eastAsia" w:ascii="宋体" w:hAnsi="宋体" w:cs="宋体"/>
                <w:sz w:val="24"/>
              </w:rPr>
              <w:t>投标文件没有采购文件中规定的其它无效响应条款的。</w:t>
            </w:r>
          </w:p>
        </w:tc>
        <w:tc>
          <w:tcPr>
            <w:tcW w:w="2134" w:type="dxa"/>
            <w:vAlign w:val="center"/>
          </w:tcPr>
          <w:p w14:paraId="7B08E767">
            <w:pPr>
              <w:spacing w:line="360" w:lineRule="auto"/>
              <w:rPr>
                <w:rFonts w:ascii="宋体" w:hAnsi="宋体" w:cs="宋体"/>
                <w:kern w:val="0"/>
                <w:sz w:val="24"/>
              </w:rPr>
            </w:pPr>
          </w:p>
        </w:tc>
        <w:tc>
          <w:tcPr>
            <w:tcW w:w="1187" w:type="dxa"/>
            <w:vAlign w:val="center"/>
          </w:tcPr>
          <w:p w14:paraId="51284C5A">
            <w:pPr>
              <w:spacing w:line="360" w:lineRule="auto"/>
              <w:rPr>
                <w:rFonts w:ascii="宋体" w:hAnsi="宋体" w:cs="宋体"/>
                <w:sz w:val="24"/>
              </w:rPr>
            </w:pPr>
            <w:r>
              <w:rPr>
                <w:rFonts w:hint="eastAsia" w:ascii="宋体" w:hAnsi="宋体" w:cs="宋体"/>
                <w:sz w:val="24"/>
              </w:rPr>
              <w:t xml:space="preserve">□通过 </w:t>
            </w:r>
          </w:p>
          <w:p w14:paraId="073326DC">
            <w:pPr>
              <w:spacing w:line="360" w:lineRule="auto"/>
              <w:rPr>
                <w:rFonts w:ascii="宋体" w:hAnsi="宋体" w:cs="宋体"/>
                <w:sz w:val="24"/>
              </w:rPr>
            </w:pPr>
            <w:r>
              <w:rPr>
                <w:rFonts w:hint="eastAsia" w:ascii="宋体" w:hAnsi="宋体" w:cs="宋体"/>
                <w:sz w:val="24"/>
              </w:rPr>
              <w:t>□不通过</w:t>
            </w:r>
          </w:p>
        </w:tc>
        <w:tc>
          <w:tcPr>
            <w:tcW w:w="1187" w:type="dxa"/>
            <w:vAlign w:val="center"/>
          </w:tcPr>
          <w:p w14:paraId="144D9704">
            <w:pPr>
              <w:spacing w:line="360" w:lineRule="auto"/>
              <w:rPr>
                <w:rFonts w:ascii="宋体" w:hAnsi="宋体" w:cs="宋体"/>
                <w:sz w:val="24"/>
              </w:rPr>
            </w:pPr>
            <w:r>
              <w:rPr>
                <w:rFonts w:hint="eastAsia" w:ascii="宋体" w:hAnsi="宋体" w:cs="宋体"/>
                <w:sz w:val="24"/>
              </w:rPr>
              <w:t>见投标文件</w:t>
            </w:r>
          </w:p>
          <w:p w14:paraId="3DE42286">
            <w:pPr>
              <w:spacing w:line="360" w:lineRule="auto"/>
              <w:rPr>
                <w:rFonts w:ascii="宋体" w:hAnsi="宋体" w:cs="宋体"/>
                <w:sz w:val="24"/>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72E5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539" w:type="dxa"/>
            <w:vAlign w:val="center"/>
          </w:tcPr>
          <w:p w14:paraId="2D4B0A69">
            <w:pPr>
              <w:spacing w:line="360" w:lineRule="auto"/>
              <w:rPr>
                <w:rFonts w:ascii="宋体" w:hAnsi="宋体" w:cs="宋体"/>
                <w:sz w:val="24"/>
              </w:rPr>
            </w:pPr>
            <w:r>
              <w:rPr>
                <w:rFonts w:hint="eastAsia" w:ascii="宋体" w:hAnsi="宋体" w:cs="宋体"/>
                <w:sz w:val="24"/>
              </w:rPr>
              <w:t>5</w:t>
            </w:r>
          </w:p>
        </w:tc>
        <w:tc>
          <w:tcPr>
            <w:tcW w:w="4179" w:type="dxa"/>
            <w:vAlign w:val="center"/>
          </w:tcPr>
          <w:p w14:paraId="16D850BA">
            <w:pPr>
              <w:spacing w:line="360" w:lineRule="auto"/>
              <w:rPr>
                <w:rFonts w:ascii="宋体" w:hAnsi="宋体" w:cs="宋体"/>
                <w:sz w:val="24"/>
              </w:rPr>
            </w:pPr>
            <w:r>
              <w:rPr>
                <w:rFonts w:hint="eastAsia" w:ascii="宋体" w:hAnsi="宋体" w:cs="宋体"/>
                <w:sz w:val="24"/>
              </w:rPr>
              <w:t>按有关法律、法规、规章不属于响应无效的。</w:t>
            </w:r>
          </w:p>
        </w:tc>
        <w:tc>
          <w:tcPr>
            <w:tcW w:w="2134" w:type="dxa"/>
            <w:vAlign w:val="center"/>
          </w:tcPr>
          <w:p w14:paraId="3E711F29">
            <w:pPr>
              <w:spacing w:line="360" w:lineRule="auto"/>
              <w:rPr>
                <w:rFonts w:ascii="宋体" w:hAnsi="宋体" w:cs="宋体"/>
                <w:kern w:val="0"/>
                <w:sz w:val="24"/>
              </w:rPr>
            </w:pPr>
          </w:p>
        </w:tc>
        <w:tc>
          <w:tcPr>
            <w:tcW w:w="1187" w:type="dxa"/>
            <w:vAlign w:val="center"/>
          </w:tcPr>
          <w:p w14:paraId="32FD7BA9">
            <w:pPr>
              <w:spacing w:line="360" w:lineRule="auto"/>
              <w:rPr>
                <w:rFonts w:ascii="宋体" w:hAnsi="宋体" w:cs="宋体"/>
                <w:sz w:val="24"/>
              </w:rPr>
            </w:pPr>
            <w:r>
              <w:rPr>
                <w:rFonts w:hint="eastAsia" w:ascii="宋体" w:hAnsi="宋体" w:cs="宋体"/>
                <w:sz w:val="24"/>
              </w:rPr>
              <w:t xml:space="preserve">□通过 </w:t>
            </w:r>
          </w:p>
          <w:p w14:paraId="55243113">
            <w:pPr>
              <w:spacing w:line="360" w:lineRule="auto"/>
              <w:rPr>
                <w:rFonts w:ascii="宋体" w:hAnsi="宋体" w:cs="宋体"/>
                <w:sz w:val="24"/>
              </w:rPr>
            </w:pPr>
            <w:r>
              <w:rPr>
                <w:rFonts w:hint="eastAsia" w:ascii="宋体" w:hAnsi="宋体" w:cs="宋体"/>
                <w:sz w:val="24"/>
              </w:rPr>
              <w:t>□不通过</w:t>
            </w:r>
          </w:p>
        </w:tc>
        <w:tc>
          <w:tcPr>
            <w:tcW w:w="1187" w:type="dxa"/>
            <w:vAlign w:val="center"/>
          </w:tcPr>
          <w:p w14:paraId="6CE5C5C8">
            <w:pPr>
              <w:spacing w:line="360" w:lineRule="auto"/>
              <w:rPr>
                <w:rFonts w:ascii="宋体" w:hAnsi="宋体" w:cs="宋体"/>
                <w:sz w:val="24"/>
              </w:rPr>
            </w:pPr>
            <w:r>
              <w:rPr>
                <w:rFonts w:hint="eastAsia" w:ascii="宋体" w:hAnsi="宋体" w:cs="宋体"/>
                <w:sz w:val="24"/>
              </w:rPr>
              <w:t>见投标文件</w:t>
            </w:r>
          </w:p>
          <w:p w14:paraId="408212A1">
            <w:pPr>
              <w:spacing w:line="360" w:lineRule="auto"/>
              <w:rPr>
                <w:rFonts w:ascii="宋体" w:hAnsi="宋体" w:cs="宋体"/>
                <w:sz w:val="24"/>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bl>
    <w:p w14:paraId="54E97D3A">
      <w:pPr>
        <w:spacing w:line="360" w:lineRule="auto"/>
        <w:ind w:right="420"/>
        <w:rPr>
          <w:rFonts w:ascii="宋体" w:hAnsi="宋体" w:cs="宋体"/>
          <w:sz w:val="24"/>
        </w:rPr>
      </w:pPr>
      <w:r>
        <w:rPr>
          <w:rFonts w:hint="eastAsia" w:ascii="宋体" w:hAnsi="宋体" w:cs="宋体"/>
          <w:sz w:val="24"/>
        </w:rPr>
        <w:t>注：按本格式和要求提供。</w:t>
      </w:r>
    </w:p>
    <w:p w14:paraId="6486BA8A">
      <w:pPr>
        <w:ind w:firstLine="630"/>
        <w:jc w:val="center"/>
        <w:rPr>
          <w:rFonts w:ascii="宋体" w:hAnsi="宋体" w:cs="宋体"/>
          <w:b/>
          <w:kern w:val="0"/>
          <w:sz w:val="32"/>
          <w:szCs w:val="32"/>
        </w:rPr>
      </w:pPr>
    </w:p>
    <w:p w14:paraId="131C9B98">
      <w:pPr>
        <w:ind w:firstLine="630"/>
        <w:jc w:val="center"/>
        <w:rPr>
          <w:rFonts w:ascii="宋体" w:hAnsi="宋体" w:cs="宋体"/>
          <w:b/>
          <w:kern w:val="0"/>
          <w:sz w:val="32"/>
          <w:szCs w:val="32"/>
        </w:rPr>
      </w:pPr>
      <w:r>
        <w:rPr>
          <w:rFonts w:hint="eastAsia" w:ascii="宋体" w:hAnsi="宋体" w:cs="宋体"/>
          <w:b/>
          <w:kern w:val="0"/>
          <w:sz w:val="32"/>
          <w:szCs w:val="32"/>
        </w:rPr>
        <w:t xml:space="preserve">            </w:t>
      </w:r>
    </w:p>
    <w:p w14:paraId="18FEF1A9">
      <w:pPr>
        <w:ind w:firstLine="630"/>
        <w:jc w:val="center"/>
        <w:rPr>
          <w:rFonts w:ascii="宋体" w:hAnsi="宋体" w:cs="宋体"/>
          <w:b/>
          <w:kern w:val="0"/>
          <w:sz w:val="32"/>
          <w:szCs w:val="32"/>
        </w:rPr>
      </w:pPr>
    </w:p>
    <w:p w14:paraId="7F3C491A">
      <w:pPr>
        <w:ind w:firstLine="630"/>
        <w:jc w:val="center"/>
        <w:rPr>
          <w:rFonts w:ascii="宋体" w:hAnsi="宋体" w:cs="宋体"/>
          <w:b/>
          <w:kern w:val="0"/>
          <w:sz w:val="32"/>
          <w:szCs w:val="32"/>
        </w:rPr>
      </w:pPr>
    </w:p>
    <w:p w14:paraId="1263CE85">
      <w:pPr>
        <w:ind w:firstLine="630"/>
        <w:jc w:val="center"/>
        <w:rPr>
          <w:rFonts w:ascii="宋体" w:hAnsi="宋体" w:cs="宋体"/>
          <w:b/>
          <w:kern w:val="0"/>
          <w:sz w:val="32"/>
          <w:szCs w:val="32"/>
        </w:rPr>
      </w:pPr>
    </w:p>
    <w:p w14:paraId="2A197489">
      <w:pPr>
        <w:ind w:firstLine="630"/>
        <w:jc w:val="center"/>
        <w:rPr>
          <w:rFonts w:ascii="宋体" w:hAnsi="宋体" w:cs="宋体"/>
          <w:b/>
          <w:kern w:val="0"/>
          <w:sz w:val="32"/>
          <w:szCs w:val="32"/>
        </w:rPr>
      </w:pPr>
    </w:p>
    <w:p w14:paraId="4C09D616">
      <w:pPr>
        <w:ind w:firstLine="630"/>
        <w:jc w:val="center"/>
        <w:rPr>
          <w:rFonts w:ascii="宋体" w:hAnsi="宋体" w:cs="宋体"/>
          <w:b/>
          <w:kern w:val="0"/>
          <w:sz w:val="32"/>
          <w:szCs w:val="32"/>
        </w:rPr>
      </w:pPr>
    </w:p>
    <w:p w14:paraId="7BF4DBBB">
      <w:pPr>
        <w:ind w:firstLine="630"/>
        <w:jc w:val="center"/>
        <w:rPr>
          <w:rFonts w:ascii="宋体" w:hAnsi="宋体" w:cs="宋体"/>
          <w:b/>
          <w:kern w:val="0"/>
          <w:sz w:val="32"/>
          <w:szCs w:val="32"/>
        </w:rPr>
      </w:pPr>
    </w:p>
    <w:p w14:paraId="6C15BD19">
      <w:pPr>
        <w:pStyle w:val="32"/>
        <w:ind w:firstLine="630"/>
        <w:rPr>
          <w:rFonts w:hAnsi="宋体" w:cs="宋体"/>
          <w:b/>
          <w:kern w:val="0"/>
          <w:sz w:val="32"/>
          <w:szCs w:val="32"/>
        </w:rPr>
      </w:pPr>
    </w:p>
    <w:p w14:paraId="7CD47D74">
      <w:pPr>
        <w:pStyle w:val="32"/>
        <w:ind w:firstLine="630"/>
        <w:rPr>
          <w:rFonts w:hAnsi="宋体" w:cs="宋体"/>
          <w:b/>
          <w:kern w:val="0"/>
          <w:sz w:val="32"/>
          <w:szCs w:val="32"/>
        </w:rPr>
      </w:pPr>
    </w:p>
    <w:p w14:paraId="0A0F3FBC">
      <w:pPr>
        <w:ind w:firstLine="630"/>
        <w:jc w:val="center"/>
        <w:rPr>
          <w:rFonts w:ascii="宋体" w:hAnsi="宋体" w:cs="宋体"/>
          <w:b/>
          <w:kern w:val="0"/>
          <w:sz w:val="32"/>
          <w:szCs w:val="32"/>
        </w:rPr>
      </w:pPr>
    </w:p>
    <w:p w14:paraId="231BE121">
      <w:pPr>
        <w:ind w:firstLine="630"/>
        <w:jc w:val="center"/>
        <w:rPr>
          <w:rFonts w:ascii="宋体" w:hAnsi="宋体" w:cs="宋体"/>
          <w:b/>
          <w:kern w:val="0"/>
          <w:sz w:val="32"/>
          <w:szCs w:val="32"/>
        </w:rPr>
      </w:pPr>
    </w:p>
    <w:p w14:paraId="5FB1F309">
      <w:pPr>
        <w:snapToGrid w:val="0"/>
        <w:ind w:firstLine="630"/>
        <w:jc w:val="center"/>
        <w:rPr>
          <w:rFonts w:ascii="宋体" w:hAnsi="宋体" w:cs="宋体"/>
          <w:b/>
          <w:bCs/>
          <w:sz w:val="32"/>
          <w:szCs w:val="32"/>
        </w:rPr>
      </w:pPr>
      <w:r>
        <w:rPr>
          <w:rFonts w:hint="eastAsia" w:ascii="宋体" w:hAnsi="宋体" w:cs="宋体"/>
          <w:b/>
          <w:bCs/>
          <w:sz w:val="32"/>
          <w:szCs w:val="32"/>
        </w:rPr>
        <w:t>五、评审标准相应的商务技术资料</w:t>
      </w:r>
    </w:p>
    <w:p w14:paraId="5E5E0DA1">
      <w:pPr>
        <w:snapToGrid w:val="0"/>
        <w:spacing w:line="360" w:lineRule="auto"/>
        <w:ind w:firstLine="472"/>
        <w:jc w:val="left"/>
        <w:rPr>
          <w:rFonts w:ascii="宋体" w:hAnsi="宋体" w:cs="宋体"/>
          <w:b/>
          <w:sz w:val="24"/>
        </w:rPr>
      </w:pPr>
      <w:r>
        <w:rPr>
          <w:rFonts w:hint="eastAsia" w:ascii="宋体" w:hAnsi="宋体" w:cs="宋体"/>
          <w:b/>
          <w:sz w:val="24"/>
        </w:rPr>
        <w:t>（按采购文件第四部分评审办法前附表中“要求提供的评审资料”提供资料。）</w:t>
      </w:r>
    </w:p>
    <w:p w14:paraId="0E20D067">
      <w:pPr>
        <w:ind w:firstLine="630"/>
        <w:jc w:val="center"/>
        <w:rPr>
          <w:rFonts w:ascii="宋体" w:hAnsi="宋体" w:cs="宋体"/>
          <w:b/>
          <w:kern w:val="0"/>
          <w:sz w:val="32"/>
          <w:szCs w:val="32"/>
        </w:rPr>
      </w:pPr>
    </w:p>
    <w:p w14:paraId="0D97E369">
      <w:pPr>
        <w:ind w:firstLine="630"/>
        <w:jc w:val="center"/>
        <w:rPr>
          <w:rFonts w:ascii="宋体" w:hAnsi="宋体" w:cs="宋体"/>
          <w:b/>
          <w:kern w:val="0"/>
          <w:sz w:val="32"/>
          <w:szCs w:val="32"/>
        </w:rPr>
      </w:pPr>
    </w:p>
    <w:p w14:paraId="3C4285D6">
      <w:pPr>
        <w:ind w:firstLine="630"/>
        <w:jc w:val="center"/>
        <w:rPr>
          <w:rFonts w:ascii="宋体" w:hAnsi="宋体" w:cs="宋体"/>
          <w:b/>
          <w:kern w:val="0"/>
          <w:sz w:val="32"/>
          <w:szCs w:val="32"/>
        </w:rPr>
      </w:pPr>
    </w:p>
    <w:p w14:paraId="30EE1E00">
      <w:pPr>
        <w:ind w:firstLine="630"/>
        <w:jc w:val="center"/>
        <w:rPr>
          <w:rFonts w:ascii="宋体" w:hAnsi="宋体" w:cs="宋体"/>
          <w:b/>
          <w:kern w:val="0"/>
          <w:sz w:val="32"/>
          <w:szCs w:val="32"/>
        </w:rPr>
      </w:pPr>
    </w:p>
    <w:p w14:paraId="27631367">
      <w:pPr>
        <w:ind w:firstLine="630"/>
        <w:jc w:val="center"/>
        <w:rPr>
          <w:rFonts w:ascii="宋体" w:hAnsi="宋体" w:cs="宋体"/>
          <w:b/>
          <w:kern w:val="0"/>
          <w:sz w:val="32"/>
          <w:szCs w:val="32"/>
        </w:rPr>
      </w:pPr>
    </w:p>
    <w:p w14:paraId="4C05F6C5">
      <w:pPr>
        <w:snapToGrid w:val="0"/>
        <w:ind w:firstLine="630"/>
        <w:jc w:val="center"/>
        <w:rPr>
          <w:rFonts w:hint="eastAsia" w:ascii="宋体" w:hAnsi="宋体" w:cs="宋体"/>
          <w:b/>
          <w:bCs/>
          <w:sz w:val="32"/>
          <w:szCs w:val="32"/>
        </w:rPr>
      </w:pPr>
    </w:p>
    <w:p w14:paraId="662E2F18">
      <w:pPr>
        <w:snapToGrid w:val="0"/>
        <w:ind w:firstLine="630"/>
        <w:jc w:val="center"/>
        <w:rPr>
          <w:rFonts w:hint="eastAsia" w:ascii="宋体" w:hAnsi="宋体" w:cs="宋体"/>
          <w:b/>
          <w:bCs/>
          <w:sz w:val="32"/>
          <w:szCs w:val="32"/>
        </w:rPr>
      </w:pPr>
    </w:p>
    <w:p w14:paraId="4DA283B2">
      <w:pPr>
        <w:snapToGrid w:val="0"/>
        <w:ind w:firstLine="630"/>
        <w:jc w:val="center"/>
        <w:rPr>
          <w:rFonts w:hint="eastAsia" w:ascii="宋体" w:hAnsi="宋体" w:cs="宋体"/>
          <w:b/>
          <w:bCs/>
          <w:sz w:val="32"/>
          <w:szCs w:val="32"/>
        </w:rPr>
      </w:pPr>
    </w:p>
    <w:p w14:paraId="1B7550C0">
      <w:pPr>
        <w:snapToGrid w:val="0"/>
        <w:ind w:firstLine="630"/>
        <w:jc w:val="center"/>
        <w:rPr>
          <w:rFonts w:hint="eastAsia" w:ascii="宋体" w:hAnsi="宋体" w:cs="宋体"/>
          <w:b/>
          <w:bCs/>
          <w:sz w:val="32"/>
          <w:szCs w:val="32"/>
        </w:rPr>
      </w:pPr>
    </w:p>
    <w:p w14:paraId="5A191CB1">
      <w:pPr>
        <w:snapToGrid w:val="0"/>
        <w:ind w:firstLine="630"/>
        <w:jc w:val="center"/>
        <w:rPr>
          <w:rFonts w:hint="eastAsia" w:ascii="宋体" w:hAnsi="宋体" w:cs="宋体"/>
          <w:b/>
          <w:bCs/>
          <w:sz w:val="32"/>
          <w:szCs w:val="32"/>
        </w:rPr>
      </w:pPr>
    </w:p>
    <w:p w14:paraId="7D9BA661">
      <w:pPr>
        <w:snapToGrid w:val="0"/>
        <w:ind w:firstLine="630"/>
        <w:jc w:val="center"/>
        <w:rPr>
          <w:rFonts w:hint="eastAsia" w:ascii="宋体" w:hAnsi="宋体" w:cs="宋体"/>
          <w:b/>
          <w:bCs/>
          <w:sz w:val="32"/>
          <w:szCs w:val="32"/>
        </w:rPr>
      </w:pPr>
    </w:p>
    <w:p w14:paraId="49B31CAF">
      <w:pPr>
        <w:snapToGrid w:val="0"/>
        <w:ind w:firstLine="630"/>
        <w:jc w:val="center"/>
        <w:rPr>
          <w:rFonts w:hint="eastAsia" w:ascii="宋体" w:hAnsi="宋体" w:cs="宋体"/>
          <w:b/>
          <w:bCs/>
          <w:sz w:val="32"/>
          <w:szCs w:val="32"/>
        </w:rPr>
      </w:pPr>
    </w:p>
    <w:p w14:paraId="02EE0775">
      <w:pPr>
        <w:snapToGrid w:val="0"/>
        <w:ind w:firstLine="630"/>
        <w:jc w:val="center"/>
        <w:rPr>
          <w:rFonts w:hint="eastAsia" w:ascii="宋体" w:hAnsi="宋体" w:cs="宋体"/>
          <w:b/>
          <w:bCs/>
          <w:sz w:val="32"/>
          <w:szCs w:val="32"/>
        </w:rPr>
      </w:pPr>
    </w:p>
    <w:p w14:paraId="1E8D3D2E">
      <w:pPr>
        <w:snapToGrid w:val="0"/>
        <w:ind w:firstLine="630"/>
        <w:jc w:val="center"/>
        <w:rPr>
          <w:rFonts w:hint="eastAsia" w:ascii="宋体" w:hAnsi="宋体" w:cs="宋体"/>
          <w:b/>
          <w:bCs/>
          <w:sz w:val="32"/>
          <w:szCs w:val="32"/>
        </w:rPr>
      </w:pPr>
    </w:p>
    <w:p w14:paraId="0C0DCC42">
      <w:pPr>
        <w:snapToGrid w:val="0"/>
        <w:ind w:firstLine="630"/>
        <w:jc w:val="center"/>
        <w:rPr>
          <w:rFonts w:hint="eastAsia" w:ascii="宋体" w:hAnsi="宋体" w:cs="宋体"/>
          <w:b/>
          <w:bCs/>
          <w:sz w:val="32"/>
          <w:szCs w:val="32"/>
        </w:rPr>
      </w:pPr>
    </w:p>
    <w:p w14:paraId="73AC2B98">
      <w:pPr>
        <w:snapToGrid w:val="0"/>
        <w:ind w:firstLine="630"/>
        <w:jc w:val="center"/>
        <w:rPr>
          <w:rFonts w:hint="eastAsia" w:ascii="宋体" w:hAnsi="宋体" w:cs="宋体"/>
          <w:b/>
          <w:bCs/>
          <w:sz w:val="32"/>
          <w:szCs w:val="32"/>
        </w:rPr>
      </w:pPr>
    </w:p>
    <w:p w14:paraId="20461F00">
      <w:pPr>
        <w:snapToGrid w:val="0"/>
        <w:ind w:firstLine="630"/>
        <w:jc w:val="center"/>
        <w:rPr>
          <w:rFonts w:hint="eastAsia" w:ascii="宋体" w:hAnsi="宋体" w:cs="宋体"/>
          <w:b/>
          <w:bCs/>
          <w:sz w:val="32"/>
          <w:szCs w:val="32"/>
        </w:rPr>
      </w:pPr>
    </w:p>
    <w:p w14:paraId="684C9282">
      <w:pPr>
        <w:snapToGrid w:val="0"/>
        <w:ind w:firstLine="630"/>
        <w:jc w:val="center"/>
        <w:rPr>
          <w:rFonts w:hint="eastAsia" w:ascii="宋体" w:hAnsi="宋体" w:cs="宋体"/>
          <w:b/>
          <w:bCs/>
          <w:sz w:val="32"/>
          <w:szCs w:val="32"/>
        </w:rPr>
      </w:pPr>
    </w:p>
    <w:p w14:paraId="6E629411">
      <w:pPr>
        <w:snapToGrid w:val="0"/>
        <w:ind w:firstLine="630"/>
        <w:jc w:val="center"/>
        <w:rPr>
          <w:rFonts w:hint="eastAsia" w:ascii="宋体" w:hAnsi="宋体" w:cs="宋体"/>
          <w:b/>
          <w:bCs/>
          <w:sz w:val="32"/>
          <w:szCs w:val="32"/>
        </w:rPr>
      </w:pPr>
    </w:p>
    <w:p w14:paraId="209AA81B">
      <w:pPr>
        <w:snapToGrid w:val="0"/>
        <w:ind w:firstLine="630"/>
        <w:jc w:val="center"/>
        <w:rPr>
          <w:rFonts w:hint="eastAsia" w:ascii="宋体" w:hAnsi="宋体" w:cs="宋体"/>
          <w:b/>
          <w:bCs/>
          <w:sz w:val="32"/>
          <w:szCs w:val="32"/>
        </w:rPr>
      </w:pPr>
    </w:p>
    <w:p w14:paraId="0142A21D">
      <w:pPr>
        <w:snapToGrid w:val="0"/>
        <w:ind w:firstLine="630"/>
        <w:jc w:val="center"/>
        <w:rPr>
          <w:rFonts w:hint="eastAsia" w:ascii="宋体" w:hAnsi="宋体" w:cs="宋体"/>
          <w:b/>
          <w:bCs/>
          <w:sz w:val="32"/>
          <w:szCs w:val="32"/>
        </w:rPr>
      </w:pPr>
    </w:p>
    <w:p w14:paraId="41A067C8">
      <w:pPr>
        <w:snapToGrid w:val="0"/>
        <w:ind w:firstLine="630"/>
        <w:jc w:val="center"/>
        <w:rPr>
          <w:rFonts w:hint="eastAsia" w:ascii="宋体" w:hAnsi="宋体" w:cs="宋体"/>
          <w:b/>
          <w:bCs/>
          <w:sz w:val="32"/>
          <w:szCs w:val="32"/>
        </w:rPr>
      </w:pPr>
    </w:p>
    <w:p w14:paraId="30F000BE">
      <w:pPr>
        <w:snapToGrid w:val="0"/>
        <w:ind w:firstLine="630"/>
        <w:jc w:val="center"/>
        <w:rPr>
          <w:rFonts w:hint="eastAsia" w:ascii="宋体" w:hAnsi="宋体" w:cs="宋体"/>
          <w:b/>
          <w:bCs/>
          <w:sz w:val="32"/>
          <w:szCs w:val="32"/>
        </w:rPr>
      </w:pPr>
    </w:p>
    <w:p w14:paraId="2FF2F53B">
      <w:pPr>
        <w:snapToGrid w:val="0"/>
        <w:ind w:firstLine="630"/>
        <w:jc w:val="center"/>
        <w:rPr>
          <w:rFonts w:hint="eastAsia" w:ascii="宋体" w:hAnsi="宋体" w:cs="宋体"/>
          <w:b/>
          <w:bCs/>
          <w:sz w:val="32"/>
          <w:szCs w:val="32"/>
        </w:rPr>
      </w:pPr>
    </w:p>
    <w:p w14:paraId="35FD5024">
      <w:pPr>
        <w:snapToGrid w:val="0"/>
        <w:ind w:firstLine="630"/>
        <w:jc w:val="center"/>
        <w:rPr>
          <w:rFonts w:hint="eastAsia" w:ascii="宋体" w:hAnsi="宋体" w:cs="宋体"/>
          <w:b/>
          <w:bCs/>
          <w:sz w:val="32"/>
          <w:szCs w:val="32"/>
        </w:rPr>
      </w:pPr>
    </w:p>
    <w:p w14:paraId="1CA1ABCA">
      <w:pPr>
        <w:snapToGrid w:val="0"/>
        <w:ind w:firstLine="630"/>
        <w:jc w:val="center"/>
        <w:rPr>
          <w:rFonts w:hint="eastAsia" w:ascii="宋体" w:hAnsi="宋体" w:cs="宋体"/>
          <w:b/>
          <w:bCs/>
          <w:sz w:val="32"/>
          <w:szCs w:val="32"/>
        </w:rPr>
      </w:pPr>
    </w:p>
    <w:p w14:paraId="08B426BC">
      <w:pPr>
        <w:snapToGrid w:val="0"/>
        <w:ind w:firstLine="630"/>
        <w:jc w:val="center"/>
        <w:rPr>
          <w:rFonts w:hint="eastAsia" w:ascii="宋体" w:hAnsi="宋体" w:cs="宋体"/>
          <w:b/>
          <w:bCs/>
          <w:sz w:val="32"/>
          <w:szCs w:val="32"/>
        </w:rPr>
      </w:pPr>
    </w:p>
    <w:p w14:paraId="3DD15E7E">
      <w:pPr>
        <w:snapToGrid w:val="0"/>
        <w:ind w:firstLine="630"/>
        <w:jc w:val="center"/>
        <w:rPr>
          <w:rFonts w:hint="eastAsia" w:ascii="宋体" w:hAnsi="宋体" w:cs="宋体"/>
          <w:b/>
          <w:bCs/>
          <w:sz w:val="32"/>
          <w:szCs w:val="32"/>
        </w:rPr>
      </w:pPr>
    </w:p>
    <w:p w14:paraId="116E0B85">
      <w:pPr>
        <w:snapToGrid w:val="0"/>
        <w:ind w:firstLine="63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435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59" w:type="dxa"/>
          </w:tcPr>
          <w:p w14:paraId="05EC3FB0">
            <w:pPr>
              <w:jc w:val="both"/>
              <w:rPr>
                <w:rFonts w:ascii="宋体" w:hAnsi="宋体" w:cs="宋体"/>
                <w:b/>
                <w:bCs/>
                <w:sz w:val="24"/>
              </w:rPr>
            </w:pPr>
            <w:r>
              <w:rPr>
                <w:rFonts w:hint="eastAsia" w:ascii="宋体" w:hAnsi="宋体" w:cs="宋体"/>
                <w:b/>
                <w:bCs/>
                <w:sz w:val="24"/>
              </w:rPr>
              <w:t>序号</w:t>
            </w:r>
          </w:p>
        </w:tc>
        <w:tc>
          <w:tcPr>
            <w:tcW w:w="3683" w:type="dxa"/>
          </w:tcPr>
          <w:p w14:paraId="43602521">
            <w:pPr>
              <w:ind w:firstLine="472"/>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43B2D7FD">
            <w:pPr>
              <w:ind w:firstLine="472"/>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74502100">
            <w:pPr>
              <w:jc w:val="both"/>
              <w:rPr>
                <w:rFonts w:ascii="宋体" w:hAnsi="宋体" w:cs="宋体"/>
                <w:b/>
                <w:bCs/>
                <w:sz w:val="24"/>
              </w:rPr>
            </w:pPr>
            <w:r>
              <w:rPr>
                <w:rFonts w:hint="eastAsia" w:ascii="宋体" w:hAnsi="宋体" w:cs="宋体"/>
                <w:b/>
                <w:bCs/>
                <w:sz w:val="24"/>
              </w:rPr>
              <w:t>偏离说明</w:t>
            </w:r>
          </w:p>
        </w:tc>
      </w:tr>
      <w:tr w14:paraId="35DB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62BEF0">
            <w:pPr>
              <w:jc w:val="center"/>
              <w:rPr>
                <w:rFonts w:ascii="宋体" w:hAnsi="宋体" w:cs="宋体"/>
                <w:kern w:val="0"/>
                <w:sz w:val="24"/>
              </w:rPr>
            </w:pPr>
            <w:r>
              <w:rPr>
                <w:rFonts w:hint="eastAsia" w:ascii="宋体" w:hAnsi="宋体" w:cs="宋体"/>
                <w:kern w:val="0"/>
                <w:sz w:val="24"/>
              </w:rPr>
              <w:t>1</w:t>
            </w:r>
          </w:p>
        </w:tc>
        <w:tc>
          <w:tcPr>
            <w:tcW w:w="3683" w:type="dxa"/>
          </w:tcPr>
          <w:p w14:paraId="72BC3464">
            <w:pPr>
              <w:ind w:firstLine="630"/>
              <w:jc w:val="center"/>
              <w:rPr>
                <w:rFonts w:ascii="宋体" w:hAnsi="宋体" w:cs="宋体"/>
                <w:b/>
                <w:kern w:val="0"/>
                <w:sz w:val="32"/>
                <w:szCs w:val="32"/>
              </w:rPr>
            </w:pPr>
          </w:p>
        </w:tc>
        <w:tc>
          <w:tcPr>
            <w:tcW w:w="3546" w:type="dxa"/>
          </w:tcPr>
          <w:p w14:paraId="34983AEC">
            <w:pPr>
              <w:ind w:firstLine="630"/>
              <w:jc w:val="center"/>
              <w:rPr>
                <w:rFonts w:ascii="宋体" w:hAnsi="宋体" w:cs="宋体"/>
                <w:b/>
                <w:kern w:val="0"/>
                <w:sz w:val="32"/>
                <w:szCs w:val="32"/>
              </w:rPr>
            </w:pPr>
          </w:p>
        </w:tc>
        <w:tc>
          <w:tcPr>
            <w:tcW w:w="1276" w:type="dxa"/>
          </w:tcPr>
          <w:p w14:paraId="34369605">
            <w:pPr>
              <w:ind w:firstLine="630"/>
              <w:jc w:val="center"/>
              <w:rPr>
                <w:rFonts w:ascii="宋体" w:hAnsi="宋体" w:cs="宋体"/>
                <w:b/>
                <w:kern w:val="0"/>
                <w:sz w:val="32"/>
                <w:szCs w:val="32"/>
              </w:rPr>
            </w:pPr>
          </w:p>
        </w:tc>
      </w:tr>
      <w:tr w14:paraId="659F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C54A87">
            <w:pPr>
              <w:jc w:val="center"/>
              <w:rPr>
                <w:rFonts w:ascii="宋体" w:hAnsi="宋体" w:cs="宋体"/>
                <w:kern w:val="0"/>
                <w:sz w:val="24"/>
              </w:rPr>
            </w:pPr>
            <w:r>
              <w:rPr>
                <w:rFonts w:hint="eastAsia" w:ascii="宋体" w:hAnsi="宋体" w:cs="宋体"/>
                <w:kern w:val="0"/>
                <w:sz w:val="24"/>
              </w:rPr>
              <w:t>2</w:t>
            </w:r>
          </w:p>
        </w:tc>
        <w:tc>
          <w:tcPr>
            <w:tcW w:w="3683" w:type="dxa"/>
          </w:tcPr>
          <w:p w14:paraId="26663620">
            <w:pPr>
              <w:ind w:firstLine="630"/>
              <w:jc w:val="center"/>
              <w:rPr>
                <w:rFonts w:ascii="宋体" w:hAnsi="宋体" w:cs="宋体"/>
                <w:b/>
                <w:kern w:val="0"/>
                <w:sz w:val="32"/>
                <w:szCs w:val="32"/>
              </w:rPr>
            </w:pPr>
          </w:p>
        </w:tc>
        <w:tc>
          <w:tcPr>
            <w:tcW w:w="3546" w:type="dxa"/>
          </w:tcPr>
          <w:p w14:paraId="7CBD6278">
            <w:pPr>
              <w:ind w:firstLine="630"/>
              <w:jc w:val="center"/>
              <w:rPr>
                <w:rFonts w:ascii="宋体" w:hAnsi="宋体" w:cs="宋体"/>
                <w:b/>
                <w:kern w:val="0"/>
                <w:sz w:val="32"/>
                <w:szCs w:val="32"/>
              </w:rPr>
            </w:pPr>
          </w:p>
        </w:tc>
        <w:tc>
          <w:tcPr>
            <w:tcW w:w="1276" w:type="dxa"/>
          </w:tcPr>
          <w:p w14:paraId="21EB1799">
            <w:pPr>
              <w:ind w:firstLine="630"/>
              <w:jc w:val="center"/>
              <w:rPr>
                <w:rFonts w:ascii="宋体" w:hAnsi="宋体" w:cs="宋体"/>
                <w:b/>
                <w:kern w:val="0"/>
                <w:sz w:val="32"/>
                <w:szCs w:val="32"/>
              </w:rPr>
            </w:pPr>
          </w:p>
        </w:tc>
      </w:tr>
      <w:tr w14:paraId="5F9F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3B1176">
            <w:pPr>
              <w:jc w:val="center"/>
              <w:rPr>
                <w:rFonts w:ascii="宋体" w:hAnsi="宋体" w:cs="宋体"/>
                <w:kern w:val="0"/>
                <w:sz w:val="24"/>
              </w:rPr>
            </w:pPr>
            <w:r>
              <w:rPr>
                <w:rFonts w:hint="eastAsia" w:ascii="宋体" w:hAnsi="宋体" w:cs="宋体"/>
                <w:kern w:val="0"/>
                <w:sz w:val="24"/>
              </w:rPr>
              <w:t>……</w:t>
            </w:r>
          </w:p>
        </w:tc>
        <w:tc>
          <w:tcPr>
            <w:tcW w:w="3683" w:type="dxa"/>
          </w:tcPr>
          <w:p w14:paraId="28C6605E">
            <w:pPr>
              <w:ind w:firstLine="630"/>
              <w:jc w:val="center"/>
              <w:rPr>
                <w:rFonts w:ascii="宋体" w:hAnsi="宋体" w:cs="宋体"/>
                <w:b/>
                <w:kern w:val="0"/>
                <w:sz w:val="32"/>
                <w:szCs w:val="32"/>
              </w:rPr>
            </w:pPr>
          </w:p>
        </w:tc>
        <w:tc>
          <w:tcPr>
            <w:tcW w:w="3546" w:type="dxa"/>
          </w:tcPr>
          <w:p w14:paraId="5B4C5759">
            <w:pPr>
              <w:ind w:firstLine="630"/>
              <w:jc w:val="center"/>
              <w:rPr>
                <w:rFonts w:ascii="宋体" w:hAnsi="宋体" w:cs="宋体"/>
                <w:b/>
                <w:kern w:val="0"/>
                <w:sz w:val="32"/>
                <w:szCs w:val="32"/>
              </w:rPr>
            </w:pPr>
          </w:p>
        </w:tc>
        <w:tc>
          <w:tcPr>
            <w:tcW w:w="1276" w:type="dxa"/>
          </w:tcPr>
          <w:p w14:paraId="442248B5">
            <w:pPr>
              <w:ind w:firstLine="630"/>
              <w:jc w:val="center"/>
              <w:rPr>
                <w:rFonts w:ascii="宋体" w:hAnsi="宋体" w:cs="宋体"/>
                <w:b/>
                <w:kern w:val="0"/>
                <w:sz w:val="32"/>
                <w:szCs w:val="32"/>
              </w:rPr>
            </w:pPr>
          </w:p>
        </w:tc>
      </w:tr>
    </w:tbl>
    <w:p w14:paraId="6396DCB7">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2FDD8E5D">
      <w:pPr>
        <w:ind w:firstLine="630"/>
        <w:jc w:val="center"/>
        <w:rPr>
          <w:rFonts w:ascii="宋体" w:hAnsi="宋体" w:cs="宋体"/>
          <w:b/>
          <w:kern w:val="0"/>
          <w:sz w:val="32"/>
          <w:szCs w:val="32"/>
        </w:rPr>
      </w:pPr>
    </w:p>
    <w:p w14:paraId="35A6BFB1">
      <w:pPr>
        <w:spacing w:line="360" w:lineRule="auto"/>
        <w:ind w:right="420"/>
        <w:rPr>
          <w:rFonts w:ascii="宋体" w:hAnsi="宋体" w:cs="宋体"/>
          <w:sz w:val="24"/>
        </w:rPr>
      </w:pPr>
      <w:r>
        <w:rPr>
          <w:rFonts w:hint="eastAsia" w:ascii="宋体" w:hAnsi="宋体" w:cs="宋体"/>
          <w:sz w:val="24"/>
        </w:rPr>
        <w:t>注：按本格式和要求提供。</w:t>
      </w:r>
    </w:p>
    <w:p w14:paraId="1F623658">
      <w:pPr>
        <w:ind w:firstLine="1911" w:firstLineChars="595"/>
        <w:rPr>
          <w:rFonts w:ascii="宋体" w:hAnsi="宋体" w:cs="宋体"/>
          <w:b/>
          <w:bCs/>
          <w:sz w:val="32"/>
          <w:szCs w:val="32"/>
        </w:rPr>
        <w:sectPr>
          <w:footerReference r:id="rId11" w:type="first"/>
          <w:footerReference r:id="rId10" w:type="default"/>
          <w:pgSz w:w="11905" w:h="16838"/>
          <w:pgMar w:top="1134" w:right="1304" w:bottom="1134" w:left="1304" w:header="850" w:footer="850" w:gutter="283"/>
          <w:cols w:space="0" w:num="1"/>
          <w:titlePg/>
          <w:docGrid w:linePitch="312" w:charSpace="0"/>
        </w:sectPr>
      </w:pPr>
    </w:p>
    <w:p w14:paraId="60F7433F">
      <w:pPr>
        <w:snapToGrid w:val="0"/>
        <w:ind w:firstLine="1928" w:firstLineChars="600"/>
        <w:jc w:val="both"/>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CA81118">
      <w:pPr>
        <w:snapToGrid w:val="0"/>
        <w:spacing w:line="360" w:lineRule="auto"/>
        <w:rPr>
          <w:rFonts w:ascii="宋体" w:hAnsi="宋体" w:cs="宋体"/>
          <w:sz w:val="24"/>
        </w:rPr>
      </w:pPr>
    </w:p>
    <w:p w14:paraId="22F501F4">
      <w:pPr>
        <w:snapToGrid w:val="0"/>
        <w:spacing w:line="360" w:lineRule="auto"/>
        <w:rPr>
          <w:rFonts w:ascii="宋体" w:hAnsi="宋体" w:cs="宋体"/>
          <w:kern w:val="0"/>
          <w:sz w:val="24"/>
        </w:rPr>
      </w:pPr>
      <w:r>
        <w:rPr>
          <w:rFonts w:hint="eastAsia" w:ascii="宋体" w:hAnsi="宋体" w:cs="宋体"/>
          <w:kern w:val="0"/>
          <w:sz w:val="24"/>
          <w:lang w:val="zh-CN"/>
        </w:rPr>
        <w:t>宁海县西店镇中心小学、建经投资咨询有限公司：</w:t>
      </w:r>
    </w:p>
    <w:p w14:paraId="240BA86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5E5D19E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F905B8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BAF4EE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3CB3170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252F35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41365DB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631B5E9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w:t>
      </w:r>
      <w:r>
        <w:rPr>
          <w:rFonts w:hint="eastAsia" w:ascii="宋体" w:hAnsi="宋体" w:cs="宋体"/>
          <w:kern w:val="0"/>
          <w:sz w:val="24"/>
        </w:rPr>
        <w:t>县</w:t>
      </w:r>
      <w:r>
        <w:rPr>
          <w:rFonts w:hint="eastAsia" w:ascii="宋体" w:hAnsi="宋体" w:cs="宋体"/>
          <w:kern w:val="0"/>
          <w:sz w:val="24"/>
          <w:lang w:val="zh-CN"/>
        </w:rPr>
        <w:t>财政局。由此引起的相应损失均由我单位承担。</w:t>
      </w:r>
    </w:p>
    <w:p w14:paraId="66FD20FE">
      <w:pPr>
        <w:autoSpaceDE w:val="0"/>
        <w:autoSpaceDN w:val="0"/>
        <w:spacing w:line="360" w:lineRule="auto"/>
        <w:ind w:left="2"/>
        <w:jc w:val="left"/>
        <w:rPr>
          <w:rFonts w:ascii="宋体" w:hAnsi="宋体" w:cs="宋体"/>
          <w:kern w:val="0"/>
          <w:sz w:val="24"/>
          <w:lang w:val="zh-CN"/>
        </w:rPr>
      </w:pPr>
    </w:p>
    <w:p w14:paraId="28525227">
      <w:pPr>
        <w:autoSpaceDE w:val="0"/>
        <w:autoSpaceDN w:val="0"/>
        <w:spacing w:line="360" w:lineRule="auto"/>
        <w:ind w:left="2"/>
        <w:jc w:val="left"/>
        <w:rPr>
          <w:rFonts w:ascii="宋体" w:hAnsi="宋体" w:cs="宋体"/>
          <w:kern w:val="0"/>
          <w:sz w:val="24"/>
          <w:lang w:val="zh-CN"/>
        </w:rPr>
      </w:pPr>
    </w:p>
    <w:p w14:paraId="03748E02">
      <w:pPr>
        <w:autoSpaceDE w:val="0"/>
        <w:autoSpaceDN w:val="0"/>
        <w:spacing w:line="360" w:lineRule="auto"/>
        <w:ind w:left="2"/>
        <w:jc w:val="left"/>
        <w:rPr>
          <w:rFonts w:ascii="宋体" w:hAnsi="宋体" w:cs="宋体"/>
          <w:kern w:val="0"/>
          <w:sz w:val="24"/>
          <w:lang w:val="zh-CN"/>
        </w:rPr>
      </w:pPr>
    </w:p>
    <w:p w14:paraId="6B6DD596">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1486F46C">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2BA94092">
      <w:pPr>
        <w:spacing w:line="360" w:lineRule="auto"/>
        <w:ind w:firstLine="472"/>
        <w:jc w:val="center"/>
        <w:rPr>
          <w:rFonts w:ascii="宋体" w:hAnsi="宋体" w:cs="宋体"/>
          <w:b/>
          <w:bCs/>
          <w:sz w:val="24"/>
        </w:rPr>
      </w:pPr>
    </w:p>
    <w:p w14:paraId="67DA5644">
      <w:pPr>
        <w:spacing w:line="360" w:lineRule="auto"/>
        <w:ind w:right="420"/>
        <w:rPr>
          <w:rFonts w:ascii="宋体" w:hAnsi="宋体" w:cs="宋体"/>
          <w:sz w:val="24"/>
        </w:rPr>
      </w:pPr>
      <w:r>
        <w:rPr>
          <w:rFonts w:hint="eastAsia" w:ascii="宋体" w:hAnsi="宋体" w:cs="宋体"/>
          <w:sz w:val="24"/>
        </w:rPr>
        <w:t>注：按本格式和要求提供。</w:t>
      </w:r>
    </w:p>
    <w:p w14:paraId="6E61F4FE">
      <w:pPr>
        <w:spacing w:line="360" w:lineRule="auto"/>
        <w:ind w:firstLine="472"/>
        <w:jc w:val="center"/>
        <w:rPr>
          <w:rFonts w:ascii="宋体" w:hAnsi="宋体" w:cs="宋体"/>
          <w:b/>
          <w:bCs/>
          <w:sz w:val="24"/>
        </w:rPr>
        <w:sectPr>
          <w:pgSz w:w="11905" w:h="16838"/>
          <w:pgMar w:top="1134" w:right="1304" w:bottom="1134" w:left="1304" w:header="850" w:footer="850" w:gutter="283"/>
          <w:cols w:space="0" w:num="1"/>
          <w:titlePg/>
          <w:docGrid w:linePitch="312" w:charSpace="0"/>
        </w:sectPr>
      </w:pPr>
    </w:p>
    <w:p w14:paraId="6F34DCEE">
      <w:pPr>
        <w:spacing w:line="360" w:lineRule="auto"/>
        <w:ind w:firstLine="708"/>
        <w:jc w:val="center"/>
        <w:outlineLvl w:val="0"/>
        <w:rPr>
          <w:rFonts w:ascii="宋体" w:hAnsi="宋体" w:cs="宋体"/>
          <w:b/>
          <w:kern w:val="0"/>
          <w:sz w:val="36"/>
          <w:szCs w:val="36"/>
        </w:rPr>
      </w:pPr>
      <w:bookmarkStart w:id="938" w:name="_Toc10803"/>
      <w:r>
        <w:rPr>
          <w:rFonts w:hint="eastAsia" w:ascii="宋体" w:hAnsi="宋体" w:cs="宋体"/>
          <w:b/>
          <w:kern w:val="0"/>
          <w:sz w:val="36"/>
          <w:szCs w:val="36"/>
        </w:rPr>
        <w:t>报价文件部分</w:t>
      </w:r>
      <w:bookmarkEnd w:id="938"/>
    </w:p>
    <w:p w14:paraId="0E2F8288">
      <w:pPr>
        <w:spacing w:line="360" w:lineRule="auto"/>
        <w:ind w:firstLine="708"/>
        <w:jc w:val="center"/>
        <w:outlineLvl w:val="0"/>
        <w:rPr>
          <w:rFonts w:ascii="宋体" w:hAnsi="宋体" w:cs="宋体"/>
          <w:b/>
          <w:kern w:val="0"/>
          <w:sz w:val="36"/>
          <w:szCs w:val="36"/>
        </w:rPr>
      </w:pPr>
      <w:bookmarkStart w:id="939" w:name="_Toc25383"/>
      <w:r>
        <w:rPr>
          <w:rFonts w:hint="eastAsia" w:ascii="宋体" w:hAnsi="宋体" w:cs="宋体"/>
          <w:b/>
          <w:kern w:val="0"/>
          <w:sz w:val="36"/>
          <w:szCs w:val="36"/>
        </w:rPr>
        <w:t>目录</w:t>
      </w:r>
      <w:bookmarkEnd w:id="939"/>
    </w:p>
    <w:p w14:paraId="38503CD3">
      <w:pPr>
        <w:spacing w:line="360" w:lineRule="auto"/>
        <w:ind w:firstLine="708"/>
        <w:jc w:val="center"/>
        <w:rPr>
          <w:rFonts w:ascii="宋体" w:hAnsi="宋体" w:cs="宋体"/>
          <w:b/>
          <w:kern w:val="0"/>
          <w:sz w:val="36"/>
          <w:szCs w:val="36"/>
        </w:rPr>
      </w:pPr>
    </w:p>
    <w:p w14:paraId="713DB0B7">
      <w:pPr>
        <w:numPr>
          <w:ilvl w:val="0"/>
          <w:numId w:val="7"/>
        </w:num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报价单…………………………………………………………………………（页码）</w:t>
      </w:r>
    </w:p>
    <w:p w14:paraId="13E2B69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（2）已标价工程量清单……………………………………………………………（页码）</w:t>
      </w:r>
    </w:p>
    <w:p w14:paraId="04FBFC78">
      <w:pPr>
        <w:pStyle w:val="15"/>
        <w:tabs>
          <w:tab w:val="left" w:pos="720"/>
          <w:tab w:val="clear" w:pos="390"/>
          <w:tab w:val="clear" w:pos="454"/>
        </w:tabs>
        <w:snapToGrid w:val="0"/>
        <w:spacing w:before="120" w:beforeLines="50" w:after="120"/>
        <w:ind w:left="0" w:leftChars="0" w:firstLine="0" w:firstLineChars="0"/>
        <w:rPr>
          <w:bCs/>
          <w:sz w:val="21"/>
        </w:rPr>
      </w:pPr>
      <w:r>
        <w:rPr>
          <w:rFonts w:hint="eastAsia" w:ascii="宋体" w:hAnsi="宋体" w:cs="宋体"/>
          <w:color w:val="000000" w:themeColor="text1"/>
          <w14:textFill>
            <w14:solidFill>
              <w14:schemeClr w14:val="tx1"/>
            </w14:solidFill>
          </w14:textFill>
        </w:rPr>
        <w:t>（3）中小企业声明函………………………………………………………………（页码）</w:t>
      </w:r>
    </w:p>
    <w:p w14:paraId="76369D97">
      <w:pPr>
        <w:pStyle w:val="80"/>
      </w:pPr>
    </w:p>
    <w:p w14:paraId="3995F131">
      <w:pPr>
        <w:snapToGrid w:val="0"/>
        <w:spacing w:line="360" w:lineRule="auto"/>
        <w:ind w:right="480" w:firstLine="630"/>
        <w:jc w:val="center"/>
        <w:rPr>
          <w:rFonts w:ascii="宋体" w:hAnsi="宋体" w:cs="宋体"/>
          <w:b/>
          <w:kern w:val="0"/>
          <w:sz w:val="32"/>
          <w:szCs w:val="32"/>
        </w:rPr>
      </w:pPr>
    </w:p>
    <w:p w14:paraId="7A538538">
      <w:pPr>
        <w:snapToGrid w:val="0"/>
        <w:spacing w:line="360" w:lineRule="auto"/>
        <w:ind w:right="480" w:firstLine="630"/>
        <w:jc w:val="center"/>
        <w:rPr>
          <w:rFonts w:ascii="宋体" w:hAnsi="宋体" w:cs="宋体"/>
          <w:b/>
          <w:kern w:val="0"/>
          <w:sz w:val="32"/>
          <w:szCs w:val="32"/>
        </w:rPr>
      </w:pPr>
    </w:p>
    <w:p w14:paraId="6E72C9F9">
      <w:pPr>
        <w:snapToGrid w:val="0"/>
        <w:spacing w:line="360" w:lineRule="auto"/>
        <w:ind w:right="480" w:firstLine="630"/>
        <w:jc w:val="center"/>
        <w:rPr>
          <w:rFonts w:ascii="宋体" w:hAnsi="宋体" w:cs="宋体"/>
          <w:b/>
          <w:kern w:val="0"/>
          <w:sz w:val="32"/>
          <w:szCs w:val="32"/>
        </w:rPr>
      </w:pPr>
    </w:p>
    <w:p w14:paraId="69C3D524">
      <w:pPr>
        <w:snapToGrid w:val="0"/>
        <w:spacing w:line="360" w:lineRule="auto"/>
        <w:ind w:right="480" w:firstLine="630"/>
        <w:jc w:val="center"/>
        <w:rPr>
          <w:rFonts w:ascii="宋体" w:hAnsi="宋体" w:cs="宋体"/>
          <w:b/>
          <w:kern w:val="0"/>
          <w:sz w:val="32"/>
          <w:szCs w:val="32"/>
        </w:rPr>
      </w:pPr>
    </w:p>
    <w:p w14:paraId="69785991">
      <w:pPr>
        <w:snapToGrid w:val="0"/>
        <w:spacing w:line="360" w:lineRule="auto"/>
        <w:ind w:right="480" w:firstLine="630"/>
        <w:jc w:val="center"/>
        <w:rPr>
          <w:rFonts w:ascii="宋体" w:hAnsi="宋体" w:cs="宋体"/>
          <w:b/>
          <w:kern w:val="0"/>
          <w:sz w:val="32"/>
          <w:szCs w:val="32"/>
        </w:rPr>
      </w:pPr>
    </w:p>
    <w:p w14:paraId="5322206D">
      <w:pPr>
        <w:snapToGrid w:val="0"/>
        <w:spacing w:line="360" w:lineRule="auto"/>
        <w:ind w:right="480" w:firstLine="630"/>
        <w:jc w:val="center"/>
        <w:rPr>
          <w:rFonts w:ascii="宋体" w:hAnsi="宋体" w:cs="宋体"/>
          <w:b/>
          <w:kern w:val="0"/>
          <w:sz w:val="32"/>
          <w:szCs w:val="32"/>
        </w:rPr>
      </w:pPr>
    </w:p>
    <w:p w14:paraId="73B89F07">
      <w:pPr>
        <w:snapToGrid w:val="0"/>
        <w:spacing w:line="360" w:lineRule="auto"/>
        <w:ind w:right="480" w:firstLine="630"/>
        <w:jc w:val="center"/>
        <w:rPr>
          <w:rFonts w:ascii="宋体" w:hAnsi="宋体" w:cs="宋体"/>
          <w:b/>
          <w:kern w:val="0"/>
          <w:sz w:val="32"/>
          <w:szCs w:val="32"/>
        </w:rPr>
      </w:pPr>
    </w:p>
    <w:p w14:paraId="673B9C0D">
      <w:pPr>
        <w:snapToGrid w:val="0"/>
        <w:spacing w:line="360" w:lineRule="auto"/>
        <w:ind w:right="480" w:firstLine="630"/>
        <w:jc w:val="center"/>
        <w:rPr>
          <w:rFonts w:ascii="宋体" w:hAnsi="宋体" w:cs="宋体"/>
          <w:b/>
          <w:kern w:val="0"/>
          <w:sz w:val="32"/>
          <w:szCs w:val="32"/>
        </w:rPr>
      </w:pPr>
    </w:p>
    <w:p w14:paraId="2AE54524">
      <w:pPr>
        <w:snapToGrid w:val="0"/>
        <w:spacing w:line="360" w:lineRule="auto"/>
        <w:ind w:right="480" w:firstLine="630"/>
        <w:jc w:val="center"/>
        <w:rPr>
          <w:rFonts w:ascii="宋体" w:hAnsi="宋体" w:cs="宋体"/>
          <w:b/>
          <w:kern w:val="0"/>
          <w:sz w:val="32"/>
          <w:szCs w:val="32"/>
        </w:rPr>
      </w:pPr>
    </w:p>
    <w:p w14:paraId="0A7D6CBF">
      <w:pPr>
        <w:snapToGrid w:val="0"/>
        <w:spacing w:line="360" w:lineRule="auto"/>
        <w:ind w:right="480" w:firstLine="630"/>
        <w:jc w:val="center"/>
        <w:rPr>
          <w:rFonts w:ascii="宋体" w:hAnsi="宋体" w:cs="宋体"/>
          <w:b/>
          <w:kern w:val="0"/>
          <w:sz w:val="32"/>
          <w:szCs w:val="32"/>
        </w:rPr>
      </w:pPr>
    </w:p>
    <w:p w14:paraId="2C0C087F">
      <w:pPr>
        <w:snapToGrid w:val="0"/>
        <w:spacing w:line="360" w:lineRule="auto"/>
        <w:ind w:right="480" w:firstLine="630"/>
        <w:jc w:val="center"/>
        <w:rPr>
          <w:rFonts w:ascii="宋体" w:hAnsi="宋体" w:cs="宋体"/>
          <w:b/>
          <w:kern w:val="0"/>
          <w:sz w:val="32"/>
          <w:szCs w:val="32"/>
        </w:rPr>
      </w:pPr>
    </w:p>
    <w:p w14:paraId="47AF1ABC">
      <w:pPr>
        <w:snapToGrid w:val="0"/>
        <w:spacing w:line="360" w:lineRule="auto"/>
        <w:ind w:right="480" w:firstLine="630"/>
        <w:jc w:val="center"/>
        <w:rPr>
          <w:rFonts w:ascii="宋体" w:hAnsi="宋体" w:cs="宋体"/>
          <w:b/>
          <w:kern w:val="0"/>
          <w:sz w:val="32"/>
          <w:szCs w:val="32"/>
        </w:rPr>
      </w:pPr>
    </w:p>
    <w:p w14:paraId="15B6560A">
      <w:pPr>
        <w:snapToGrid w:val="0"/>
        <w:spacing w:line="360" w:lineRule="auto"/>
        <w:ind w:right="480" w:firstLine="630"/>
        <w:jc w:val="center"/>
        <w:rPr>
          <w:rFonts w:ascii="宋体" w:hAnsi="宋体" w:cs="宋体"/>
          <w:b/>
          <w:kern w:val="0"/>
          <w:sz w:val="32"/>
          <w:szCs w:val="32"/>
        </w:rPr>
      </w:pPr>
    </w:p>
    <w:p w14:paraId="3FAFA967">
      <w:pPr>
        <w:snapToGrid w:val="0"/>
        <w:spacing w:line="360" w:lineRule="auto"/>
        <w:ind w:right="480" w:firstLine="630"/>
        <w:jc w:val="center"/>
        <w:rPr>
          <w:rFonts w:ascii="宋体" w:hAnsi="宋体" w:cs="宋体"/>
          <w:b/>
          <w:kern w:val="0"/>
          <w:sz w:val="32"/>
          <w:szCs w:val="32"/>
        </w:rPr>
      </w:pPr>
    </w:p>
    <w:p w14:paraId="07AFCBD2">
      <w:pPr>
        <w:snapToGrid w:val="0"/>
        <w:spacing w:line="360" w:lineRule="auto"/>
        <w:ind w:right="480" w:firstLine="630"/>
        <w:jc w:val="center"/>
        <w:rPr>
          <w:rFonts w:ascii="宋体" w:hAnsi="宋体" w:cs="宋体"/>
          <w:b/>
          <w:kern w:val="0"/>
          <w:sz w:val="32"/>
          <w:szCs w:val="32"/>
        </w:rPr>
      </w:pPr>
    </w:p>
    <w:p w14:paraId="2E65F1B7">
      <w:pPr>
        <w:pStyle w:val="693"/>
        <w:keepNext w:val="0"/>
        <w:pageBreakBefore w:val="0"/>
        <w:tabs>
          <w:tab w:val="clear" w:pos="720"/>
        </w:tabs>
        <w:snapToGrid w:val="0"/>
        <w:spacing w:before="120" w:after="120"/>
        <w:ind w:firstLine="630"/>
        <w:outlineLvl w:val="9"/>
        <w:rPr>
          <w:rFonts w:ascii="宋体" w:hAnsi="宋体" w:eastAsia="宋体" w:cs="宋体"/>
          <w:kern w:val="2"/>
          <w:sz w:val="32"/>
          <w:szCs w:val="32"/>
        </w:rPr>
        <w:sectPr>
          <w:footerReference r:id="rId14" w:type="first"/>
          <w:headerReference r:id="rId12" w:type="default"/>
          <w:footerReference r:id="rId13" w:type="default"/>
          <w:pgSz w:w="11905" w:h="16838"/>
          <w:pgMar w:top="1134" w:right="1304" w:bottom="1134" w:left="1304" w:header="850" w:footer="850" w:gutter="283"/>
          <w:cols w:space="0" w:num="1"/>
          <w:titlePg/>
          <w:docGrid w:linePitch="312" w:charSpace="0"/>
        </w:sectPr>
      </w:pPr>
    </w:p>
    <w:p w14:paraId="7A87B153">
      <w:pPr>
        <w:spacing w:line="600" w:lineRule="exact"/>
        <w:ind w:firstLine="551"/>
        <w:rPr>
          <w:b/>
          <w:color w:val="000000"/>
          <w:sz w:val="28"/>
          <w:szCs w:val="28"/>
        </w:rPr>
      </w:pPr>
      <w:bookmarkStart w:id="940" w:name="_Toc13508"/>
      <w:r>
        <w:rPr>
          <w:rFonts w:hint="eastAsia"/>
          <w:b/>
          <w:color w:val="000000"/>
          <w:sz w:val="28"/>
          <w:szCs w:val="28"/>
        </w:rPr>
        <w:t>报价单</w:t>
      </w:r>
    </w:p>
    <w:p w14:paraId="220DFB75">
      <w:pPr>
        <w:pStyle w:val="24"/>
        <w:ind w:left="0" w:leftChars="0" w:firstLine="0" w:firstLineChars="0"/>
        <w:rPr>
          <w:color w:val="000000"/>
        </w:rPr>
      </w:pPr>
    </w:p>
    <w:p w14:paraId="50034838">
      <w:pPr>
        <w:pStyle w:val="693"/>
        <w:keepNext w:val="0"/>
        <w:pageBreakBefore w:val="0"/>
        <w:tabs>
          <w:tab w:val="clear" w:pos="720"/>
        </w:tabs>
        <w:snapToGrid w:val="0"/>
        <w:spacing w:before="120" w:after="120"/>
        <w:ind w:firstLine="551"/>
        <w:outlineLvl w:val="9"/>
        <w:rPr>
          <w:rFonts w:ascii="仿宋" w:hAnsi="仿宋" w:eastAsia="仿宋" w:cs="仿宋"/>
          <w:kern w:val="2"/>
          <w:sz w:val="32"/>
          <w:szCs w:val="32"/>
        </w:rPr>
      </w:pPr>
      <w:r>
        <w:rPr>
          <w:rFonts w:hint="eastAsia" w:cs="宋体" w:asciiTheme="minorEastAsia" w:hAnsiTheme="minorEastAsia" w:eastAsiaTheme="minorEastAsia"/>
          <w:bCs/>
          <w:kern w:val="0"/>
          <w:sz w:val="28"/>
          <w:szCs w:val="28"/>
        </w:rPr>
        <w:t>（一）</w:t>
      </w:r>
      <w:r>
        <w:rPr>
          <w:rFonts w:hint="eastAsia" w:ascii="仿宋" w:hAnsi="仿宋" w:eastAsia="仿宋" w:cs="仿宋"/>
          <w:kern w:val="2"/>
          <w:sz w:val="32"/>
          <w:szCs w:val="32"/>
        </w:rPr>
        <w:t>报价一览表（初次报价）</w:t>
      </w:r>
    </w:p>
    <w:p w14:paraId="52697606">
      <w:pPr>
        <w:tabs>
          <w:tab w:val="left" w:pos="1494"/>
        </w:tabs>
        <w:spacing w:line="400" w:lineRule="exact"/>
        <w:ind w:firstLine="630"/>
        <w:jc w:val="center"/>
        <w:rPr>
          <w:b/>
          <w:color w:val="000000"/>
          <w:sz w:val="32"/>
          <w:szCs w:val="32"/>
        </w:rPr>
      </w:pPr>
      <w:r>
        <w:rPr>
          <w:rFonts w:hint="eastAsia"/>
          <w:b/>
          <w:color w:val="000000"/>
          <w:sz w:val="32"/>
          <w:szCs w:val="32"/>
        </w:rPr>
        <w:t>初次报价表</w:t>
      </w:r>
    </w:p>
    <w:p w14:paraId="7D460017">
      <w:pPr>
        <w:tabs>
          <w:tab w:val="left" w:pos="1494"/>
        </w:tabs>
        <w:spacing w:line="400" w:lineRule="exact"/>
        <w:rPr>
          <w:color w:val="000000"/>
        </w:rPr>
      </w:pPr>
    </w:p>
    <w:p w14:paraId="726CDBBF">
      <w:pPr>
        <w:tabs>
          <w:tab w:val="left" w:pos="1494"/>
        </w:tabs>
        <w:spacing w:line="400" w:lineRule="exact"/>
        <w:rPr>
          <w:color w:val="000000"/>
          <w:szCs w:val="22"/>
        </w:rPr>
      </w:pPr>
      <w:r>
        <w:rPr>
          <w:rFonts w:hint="eastAsia"/>
          <w:color w:val="000000"/>
          <w:szCs w:val="22"/>
        </w:rPr>
        <w:t>项目编号：</w:t>
      </w:r>
      <w:r>
        <w:rPr>
          <w:rFonts w:hint="eastAsia"/>
          <w:color w:val="000000"/>
          <w:szCs w:val="22"/>
          <w:lang w:val="en-US" w:eastAsia="zh-CN"/>
        </w:rPr>
        <w:t xml:space="preserve">                            </w:t>
      </w:r>
      <w:r>
        <w:rPr>
          <w:rFonts w:hint="eastAsia"/>
          <w:color w:val="000000"/>
          <w:szCs w:val="22"/>
        </w:rPr>
        <w:t>项目名称：</w:t>
      </w:r>
      <w:r>
        <w:rPr>
          <w:rFonts w:hint="eastAsia"/>
          <w:color w:val="000000"/>
          <w:szCs w:val="22"/>
          <w:lang w:val="en-US" w:eastAsia="zh-CN"/>
        </w:rPr>
        <w:t xml:space="preserve">                       </w:t>
      </w:r>
      <w:r>
        <w:rPr>
          <w:rFonts w:hint="eastAsia"/>
          <w:color w:val="000000"/>
          <w:szCs w:val="22"/>
        </w:rPr>
        <w:t>单位：人民币元</w:t>
      </w:r>
    </w:p>
    <w:tbl>
      <w:tblPr>
        <w:tblStyle w:val="62"/>
        <w:tblW w:w="9649" w:type="dxa"/>
        <w:tblInd w:w="0" w:type="dxa"/>
        <w:tblLayout w:type="fixed"/>
        <w:tblCellMar>
          <w:top w:w="0" w:type="dxa"/>
          <w:left w:w="0" w:type="dxa"/>
          <w:bottom w:w="0" w:type="dxa"/>
          <w:right w:w="0" w:type="dxa"/>
        </w:tblCellMar>
      </w:tblPr>
      <w:tblGrid>
        <w:gridCol w:w="695"/>
        <w:gridCol w:w="1265"/>
        <w:gridCol w:w="1595"/>
        <w:gridCol w:w="1417"/>
        <w:gridCol w:w="1984"/>
        <w:gridCol w:w="2693"/>
      </w:tblGrid>
      <w:tr w14:paraId="1D157101">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A2C4C03">
            <w:pPr>
              <w:widowControl/>
              <w:tabs>
                <w:tab w:val="left" w:pos="1494"/>
              </w:tabs>
              <w:jc w:val="center"/>
              <w:textAlignment w:val="center"/>
              <w:rPr>
                <w:color w:val="000000"/>
                <w:szCs w:val="22"/>
              </w:rPr>
            </w:pPr>
            <w:r>
              <w:rPr>
                <w:rFonts w:hint="eastAsia"/>
                <w:color w:val="000000"/>
                <w:szCs w:val="22"/>
              </w:rPr>
              <w:t>序号</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DDE51D">
            <w:pPr>
              <w:widowControl/>
              <w:tabs>
                <w:tab w:val="left" w:pos="1494"/>
              </w:tabs>
              <w:jc w:val="center"/>
              <w:textAlignment w:val="center"/>
              <w:rPr>
                <w:color w:val="000000"/>
                <w:szCs w:val="22"/>
              </w:rPr>
            </w:pPr>
            <w:r>
              <w:rPr>
                <w:rFonts w:hint="eastAsia"/>
                <w:color w:val="000000"/>
                <w:szCs w:val="22"/>
              </w:rPr>
              <w:t>项目名称</w:t>
            </w:r>
          </w:p>
        </w:tc>
        <w:tc>
          <w:tcPr>
            <w:tcW w:w="14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26EEA2">
            <w:pPr>
              <w:widowControl/>
              <w:tabs>
                <w:tab w:val="left" w:pos="1494"/>
              </w:tabs>
              <w:jc w:val="center"/>
              <w:textAlignment w:val="center"/>
              <w:rPr>
                <w:rFonts w:hint="eastAsia" w:eastAsia="宋体"/>
                <w:color w:val="000000"/>
                <w:szCs w:val="22"/>
                <w:lang w:eastAsia="zh-CN"/>
              </w:rPr>
            </w:pPr>
            <w:r>
              <w:rPr>
                <w:rFonts w:hint="eastAsia"/>
                <w:color w:val="000000"/>
                <w:szCs w:val="22"/>
                <w:lang w:val="en-US" w:eastAsia="zh-CN"/>
              </w:rPr>
              <w:t>工期</w:t>
            </w: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49143BD">
            <w:pPr>
              <w:widowControl/>
              <w:tabs>
                <w:tab w:val="left" w:pos="1494"/>
              </w:tabs>
              <w:jc w:val="center"/>
              <w:textAlignment w:val="center"/>
              <w:rPr>
                <w:color w:val="000000"/>
                <w:szCs w:val="22"/>
              </w:rPr>
            </w:pPr>
            <w:r>
              <w:rPr>
                <w:rFonts w:hint="eastAsia"/>
                <w:color w:val="000000"/>
                <w:szCs w:val="22"/>
              </w:rPr>
              <w:t>总报价（元）</w:t>
            </w: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EECAE0">
            <w:pPr>
              <w:widowControl/>
              <w:tabs>
                <w:tab w:val="left" w:pos="1494"/>
              </w:tabs>
              <w:jc w:val="center"/>
              <w:textAlignment w:val="center"/>
              <w:rPr>
                <w:color w:val="000000"/>
                <w:szCs w:val="22"/>
              </w:rPr>
            </w:pPr>
            <w:r>
              <w:rPr>
                <w:rFonts w:hint="eastAsia"/>
                <w:color w:val="000000"/>
                <w:szCs w:val="22"/>
              </w:rPr>
              <w:t>备注</w:t>
            </w:r>
          </w:p>
        </w:tc>
      </w:tr>
      <w:tr w14:paraId="172FB898">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3840C5">
            <w:pPr>
              <w:widowControl/>
              <w:tabs>
                <w:tab w:val="left" w:pos="1494"/>
              </w:tabs>
              <w:jc w:val="center"/>
              <w:textAlignment w:val="bottom"/>
              <w:rPr>
                <w:color w:val="000000"/>
                <w:szCs w:val="22"/>
              </w:rPr>
            </w:pPr>
            <w:r>
              <w:rPr>
                <w:rFonts w:hint="eastAsia"/>
                <w:szCs w:val="22"/>
              </w:rPr>
              <w:t>1</w:t>
            </w:r>
          </w:p>
        </w:tc>
        <w:tc>
          <w:tcPr>
            <w:tcW w:w="2860"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8DD830">
            <w:pPr>
              <w:widowControl/>
              <w:tabs>
                <w:tab w:val="left" w:pos="1494"/>
              </w:tabs>
              <w:jc w:val="center"/>
              <w:textAlignment w:val="bottom"/>
              <w:rPr>
                <w:color w:val="000000"/>
                <w:szCs w:val="22"/>
              </w:rPr>
            </w:pPr>
          </w:p>
        </w:tc>
        <w:tc>
          <w:tcPr>
            <w:tcW w:w="1417"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57A22B">
            <w:pPr>
              <w:widowControl/>
              <w:tabs>
                <w:tab w:val="left" w:pos="1494"/>
              </w:tabs>
              <w:jc w:val="center"/>
              <w:textAlignment w:val="bottom"/>
              <w:rPr>
                <w:color w:val="000000"/>
                <w:szCs w:val="22"/>
              </w:rPr>
            </w:pPr>
          </w:p>
        </w:tc>
        <w:tc>
          <w:tcPr>
            <w:tcW w:w="1984"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D5DD14">
            <w:pPr>
              <w:tabs>
                <w:tab w:val="left" w:pos="1494"/>
              </w:tabs>
              <w:spacing w:line="360" w:lineRule="exact"/>
              <w:ind w:right="13" w:rightChars="6"/>
              <w:rPr>
                <w:szCs w:val="22"/>
              </w:rPr>
            </w:pPr>
          </w:p>
        </w:tc>
        <w:tc>
          <w:tcPr>
            <w:tcW w:w="269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863CFA9">
            <w:pPr>
              <w:tabs>
                <w:tab w:val="left" w:pos="1494"/>
              </w:tabs>
              <w:spacing w:line="360" w:lineRule="exact"/>
              <w:ind w:right="13" w:rightChars="6"/>
              <w:rPr>
                <w:color w:val="000000"/>
                <w:szCs w:val="22"/>
              </w:rPr>
            </w:pPr>
            <w:r>
              <w:rPr>
                <w:rFonts w:hint="eastAsia" w:ascii="宋体" w:hAnsi="宋体" w:cs="宋体"/>
                <w:color w:val="FF0000"/>
                <w:szCs w:val="21"/>
              </w:rPr>
              <w:t>最高限价2181168元，超过最高限价的报价为无效报价</w:t>
            </w:r>
          </w:p>
        </w:tc>
      </w:tr>
      <w:tr w14:paraId="3BF1F4A7">
        <w:tblPrEx>
          <w:tblCellMar>
            <w:top w:w="0" w:type="dxa"/>
            <w:left w:w="0" w:type="dxa"/>
            <w:bottom w:w="0" w:type="dxa"/>
            <w:right w:w="0" w:type="dxa"/>
          </w:tblCellMar>
        </w:tblPrEx>
        <w:trPr>
          <w:trHeight w:val="737" w:hRule="atLeast"/>
        </w:trPr>
        <w:tc>
          <w:tcPr>
            <w:tcW w:w="9649" w:type="dxa"/>
            <w:gridSpan w:val="6"/>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E0CBBC">
            <w:pPr>
              <w:widowControl/>
              <w:tabs>
                <w:tab w:val="left" w:pos="1494"/>
              </w:tabs>
              <w:ind w:firstLine="210" w:firstLineChars="100"/>
              <w:textAlignment w:val="bottom"/>
              <w:rPr>
                <w:color w:val="000000"/>
                <w:szCs w:val="22"/>
              </w:rPr>
            </w:pPr>
            <w:r>
              <w:rPr>
                <w:rFonts w:hint="eastAsia"/>
                <w:color w:val="000000"/>
              </w:rPr>
              <w:t xml:space="preserve">报价大写： </w:t>
            </w:r>
            <w:r>
              <w:rPr>
                <w:rFonts w:hint="eastAsia"/>
                <w:color w:val="000000"/>
                <w:lang w:val="en-US" w:eastAsia="zh-CN"/>
              </w:rPr>
              <w:t xml:space="preserve">      </w:t>
            </w:r>
            <w:r>
              <w:rPr>
                <w:rFonts w:hint="eastAsia"/>
                <w:color w:val="000000"/>
              </w:rPr>
              <w:t>元整（小写：</w:t>
            </w:r>
            <w:r>
              <w:rPr>
                <w:rFonts w:hint="eastAsia"/>
                <w:color w:val="000000"/>
                <w:lang w:val="en-US" w:eastAsia="zh-CN"/>
              </w:rPr>
              <w:t xml:space="preserve">    </w:t>
            </w:r>
            <w:r>
              <w:rPr>
                <w:rFonts w:hint="eastAsia"/>
                <w:color w:val="000000"/>
              </w:rPr>
              <w:t xml:space="preserve">￥） </w:t>
            </w:r>
          </w:p>
        </w:tc>
      </w:tr>
      <w:tr w14:paraId="25D0DDCA">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49BF9B99">
            <w:pPr>
              <w:widowControl/>
              <w:tabs>
                <w:tab w:val="left" w:pos="1494"/>
              </w:tabs>
              <w:ind w:firstLine="210" w:firstLineChars="100"/>
              <w:textAlignment w:val="bottom"/>
              <w:rPr>
                <w:color w:val="000000"/>
                <w:szCs w:val="22"/>
              </w:rPr>
            </w:pPr>
            <w:r>
              <w:rPr>
                <w:rFonts w:hint="eastAsia"/>
                <w:color w:val="000000"/>
                <w:szCs w:val="22"/>
              </w:rPr>
              <w:t>质量目标</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09B7F66">
            <w:pPr>
              <w:widowControl/>
              <w:tabs>
                <w:tab w:val="left" w:pos="1494"/>
              </w:tabs>
              <w:jc w:val="center"/>
              <w:textAlignment w:val="bottom"/>
              <w:rPr>
                <w:color w:val="000000"/>
                <w:szCs w:val="22"/>
              </w:rPr>
            </w:pPr>
          </w:p>
        </w:tc>
      </w:tr>
      <w:tr w14:paraId="6F115D73">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0A488D82">
            <w:pPr>
              <w:widowControl/>
              <w:tabs>
                <w:tab w:val="left" w:pos="1494"/>
              </w:tabs>
              <w:ind w:firstLine="210" w:firstLineChars="100"/>
              <w:textAlignment w:val="bottom"/>
              <w:rPr>
                <w:color w:val="000000"/>
              </w:rPr>
            </w:pPr>
            <w:r>
              <w:rPr>
                <w:rFonts w:hint="eastAsia"/>
                <w:color w:val="000000"/>
              </w:rPr>
              <w:t>投标声明</w:t>
            </w:r>
          </w:p>
        </w:tc>
        <w:tc>
          <w:tcPr>
            <w:tcW w:w="7689" w:type="dxa"/>
            <w:gridSpan w:val="4"/>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CA1592A">
            <w:pPr>
              <w:widowControl/>
              <w:tabs>
                <w:tab w:val="left" w:pos="1494"/>
              </w:tabs>
              <w:jc w:val="center"/>
              <w:textAlignment w:val="bottom"/>
              <w:rPr>
                <w:color w:val="000000"/>
                <w:szCs w:val="22"/>
              </w:rPr>
            </w:pPr>
          </w:p>
        </w:tc>
      </w:tr>
    </w:tbl>
    <w:p w14:paraId="64DC211B">
      <w:pPr>
        <w:tabs>
          <w:tab w:val="left" w:pos="1494"/>
        </w:tabs>
        <w:jc w:val="both"/>
        <w:rPr>
          <w:b/>
          <w:sz w:val="36"/>
        </w:rPr>
      </w:pPr>
    </w:p>
    <w:p w14:paraId="6D2213BF">
      <w:pPr>
        <w:tabs>
          <w:tab w:val="left" w:pos="1494"/>
        </w:tabs>
        <w:spacing w:line="720" w:lineRule="auto"/>
        <w:ind w:firstLine="105" w:firstLineChars="50"/>
        <w:jc w:val="center"/>
        <w:rPr>
          <w:u w:val="single"/>
        </w:rPr>
      </w:pPr>
      <w:r>
        <w:rPr>
          <w:rFonts w:hint="eastAsia"/>
          <w:color w:val="000000"/>
        </w:rPr>
        <w:t xml:space="preserve">                 </w:t>
      </w:r>
      <w:r>
        <w:rPr>
          <w:rFonts w:hint="eastAsia"/>
          <w:color w:val="000000"/>
          <w:lang w:val="en-US" w:eastAsia="zh-CN"/>
        </w:rPr>
        <w:t xml:space="preserve">                                </w:t>
      </w:r>
      <w:r>
        <w:rPr>
          <w:rFonts w:hint="eastAsia"/>
        </w:rPr>
        <w:t>供应商盖章（电子签名）：</w:t>
      </w:r>
    </w:p>
    <w:p w14:paraId="5EDA7B96">
      <w:pPr>
        <w:tabs>
          <w:tab w:val="left" w:pos="1494"/>
        </w:tabs>
        <w:spacing w:line="720" w:lineRule="auto"/>
        <w:rPr>
          <w:rFonts w:hint="eastAsia"/>
        </w:rPr>
      </w:pPr>
      <w:r>
        <w:rPr>
          <w:rFonts w:hint="eastAsia"/>
        </w:rPr>
        <w:t xml:space="preserve">                                        </w:t>
      </w:r>
      <w:r>
        <w:rPr>
          <w:rFonts w:hint="eastAsia"/>
          <w:lang w:val="en-US" w:eastAsia="zh-CN"/>
        </w:rPr>
        <w:t xml:space="preserve">                </w:t>
      </w:r>
      <w:r>
        <w:rPr>
          <w:rFonts w:hint="eastAsia"/>
        </w:rPr>
        <w:t>日  期：    年   月   日</w:t>
      </w:r>
    </w:p>
    <w:p w14:paraId="6C55CCDB">
      <w:pPr>
        <w:spacing w:line="360" w:lineRule="auto"/>
        <w:ind w:left="-2" w:leftChars="-1" w:firstLine="420" w:firstLineChars="200"/>
        <w:rPr>
          <w:rFonts w:hint="eastAsia" w:ascii="宋体" w:hAnsi="宋体" w:eastAsia="宋体" w:cs="宋体"/>
          <w:kern w:val="0"/>
          <w:sz w:val="21"/>
          <w:szCs w:val="21"/>
          <w:lang w:val="zh-CN"/>
        </w:rPr>
      </w:pPr>
      <w:r>
        <w:rPr>
          <w:rFonts w:hint="eastAsia" w:ascii="宋体" w:hAnsi="宋体" w:cs="宋体"/>
          <w:sz w:val="21"/>
          <w:szCs w:val="21"/>
        </w:rPr>
        <w:t>注：</w:t>
      </w:r>
      <w:r>
        <w:rPr>
          <w:rFonts w:hint="eastAsia" w:ascii="宋体" w:hAnsi="宋体" w:cs="宋体"/>
          <w:kern w:val="0"/>
          <w:sz w:val="21"/>
          <w:szCs w:val="21"/>
          <w:lang w:val="zh-CN"/>
        </w:rPr>
        <w:t>1、供应商需按本表格式</w:t>
      </w:r>
      <w:r>
        <w:rPr>
          <w:rFonts w:hint="eastAsia" w:ascii="宋体" w:hAnsi="宋体" w:eastAsia="宋体" w:cs="宋体"/>
          <w:kern w:val="0"/>
          <w:sz w:val="21"/>
          <w:szCs w:val="21"/>
          <w:lang w:val="zh-CN"/>
        </w:rPr>
        <w:t>填写，否则视为响应文件含有采购人不能接受的附加条件，响应无效。</w:t>
      </w:r>
    </w:p>
    <w:p w14:paraId="032523CE">
      <w:pPr>
        <w:spacing w:line="360" w:lineRule="auto"/>
        <w:ind w:left="-2" w:leftChars="-1"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zh-CN"/>
        </w:rPr>
        <w:t>有关本项目实施所涉及的一切费用均计入报价。</w:t>
      </w:r>
      <w:r>
        <w:rPr>
          <w:rFonts w:hint="eastAsia" w:ascii="宋体" w:hAnsi="宋体" w:eastAsia="宋体" w:cs="宋体"/>
          <w:kern w:val="0"/>
          <w:sz w:val="21"/>
          <w:szCs w:val="21"/>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kern w:val="0"/>
          <w:sz w:val="21"/>
          <w:szCs w:val="21"/>
          <w:lang w:val="zh-CN"/>
        </w:rPr>
        <w:t>总价</w:t>
      </w:r>
      <w:r>
        <w:rPr>
          <w:rFonts w:hint="eastAsia" w:ascii="宋体" w:hAnsi="宋体" w:eastAsia="宋体" w:cs="宋体"/>
          <w:kern w:val="0"/>
          <w:sz w:val="21"/>
          <w:szCs w:val="21"/>
          <w:lang w:val="zh-CN" w:eastAsia="zh-CN"/>
        </w:rPr>
        <w:t>不为零</w:t>
      </w:r>
      <w:r>
        <w:rPr>
          <w:rFonts w:hint="eastAsia" w:ascii="宋体" w:hAnsi="宋体" w:eastAsia="宋体" w:cs="宋体"/>
          <w:kern w:val="0"/>
          <w:sz w:val="21"/>
          <w:szCs w:val="21"/>
          <w:lang w:val="zh-CN"/>
        </w:rPr>
        <w:t>，报价明细表中</w:t>
      </w:r>
      <w:r>
        <w:rPr>
          <w:rFonts w:hint="eastAsia" w:ascii="宋体" w:hAnsi="宋体" w:eastAsia="宋体" w:cs="宋体"/>
          <w:kern w:val="0"/>
          <w:sz w:val="21"/>
          <w:szCs w:val="21"/>
          <w:lang w:val="zh-CN" w:eastAsia="zh-CN"/>
        </w:rPr>
        <w:t>部分</w:t>
      </w:r>
      <w:r>
        <w:rPr>
          <w:rFonts w:hint="eastAsia" w:ascii="宋体" w:hAnsi="宋体" w:eastAsia="宋体" w:cs="宋体"/>
          <w:kern w:val="0"/>
          <w:sz w:val="21"/>
          <w:szCs w:val="21"/>
          <w:lang w:val="zh-CN"/>
        </w:rPr>
        <w:t>产品、服务单价为零的，视作已包含在总价中</w:t>
      </w:r>
      <w:r>
        <w:rPr>
          <w:rFonts w:hint="eastAsia" w:ascii="宋体" w:hAnsi="宋体" w:eastAsia="宋体" w:cs="宋体"/>
          <w:kern w:val="0"/>
          <w:sz w:val="21"/>
          <w:szCs w:val="21"/>
          <w:lang w:val="zh-CN" w:eastAsia="zh-CN"/>
        </w:rPr>
        <w:t>。</w:t>
      </w:r>
      <w:r>
        <w:rPr>
          <w:rFonts w:hint="eastAsia" w:ascii="宋体" w:hAnsi="宋体" w:eastAsia="宋体" w:cs="宋体"/>
          <w:kern w:val="0"/>
          <w:sz w:val="21"/>
          <w:szCs w:val="21"/>
          <w:lang w:val="zh-CN"/>
        </w:rPr>
        <w:t>采购内容未包含在《报价单》名称栏中，供应商不能作出合理解释的，视为响应文件含有采购人不能接受的附加条件的，响应文件无效。</w:t>
      </w:r>
    </w:p>
    <w:p w14:paraId="2CCCED3A">
      <w:pPr>
        <w:spacing w:line="360" w:lineRule="auto"/>
        <w:ind w:left="-2" w:leftChars="-1"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4C59376">
      <w:pPr>
        <w:spacing w:line="360" w:lineRule="auto"/>
        <w:ind w:left="-2" w:leftChars="-1" w:firstLine="420" w:firstLineChars="20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总报价保留至整数位。</w:t>
      </w:r>
    </w:p>
    <w:p w14:paraId="7821A371">
      <w:pPr>
        <w:tabs>
          <w:tab w:val="left" w:pos="1494"/>
        </w:tabs>
        <w:spacing w:line="720" w:lineRule="auto"/>
        <w:rPr>
          <w:rFonts w:hint="eastAsia" w:ascii="宋体" w:hAnsi="宋体" w:cs="宋体"/>
          <w:sz w:val="24"/>
        </w:rPr>
      </w:pPr>
    </w:p>
    <w:p w14:paraId="0B5D505F">
      <w:pPr>
        <w:pStyle w:val="693"/>
        <w:keepNext w:val="0"/>
        <w:tabs>
          <w:tab w:val="clear" w:pos="720"/>
        </w:tabs>
        <w:snapToGrid w:val="0"/>
        <w:spacing w:before="120" w:after="120"/>
        <w:ind w:firstLine="63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bookmarkEnd w:id="940"/>
    </w:p>
    <w:p w14:paraId="2ABEEF74">
      <w:pPr>
        <w:ind w:right="420"/>
        <w:rPr>
          <w:rFonts w:ascii="宋体" w:hAnsi="宋体" w:cs="宋体"/>
          <w:sz w:val="24"/>
        </w:rPr>
      </w:pPr>
      <w:r>
        <w:rPr>
          <w:rFonts w:hint="eastAsia" w:ascii="宋体" w:hAnsi="宋体" w:cs="宋体"/>
          <w:sz w:val="24"/>
        </w:rPr>
        <w:t>注：按工程量清单编制。</w:t>
      </w:r>
    </w:p>
    <w:p w14:paraId="5BE8F42A">
      <w:pPr>
        <w:pStyle w:val="61"/>
        <w:ind w:firstLine="480"/>
        <w:rPr>
          <w:rFonts w:cs="宋体"/>
          <w:sz w:val="24"/>
        </w:rPr>
      </w:pPr>
    </w:p>
    <w:p w14:paraId="1E1C4817">
      <w:pPr>
        <w:pStyle w:val="61"/>
        <w:ind w:firstLine="480"/>
        <w:rPr>
          <w:rFonts w:cs="宋体"/>
          <w:sz w:val="24"/>
        </w:rPr>
        <w:sectPr>
          <w:footerReference r:id="rId18" w:type="first"/>
          <w:headerReference r:id="rId15" w:type="default"/>
          <w:footerReference r:id="rId16" w:type="default"/>
          <w:footerReference r:id="rId17" w:type="even"/>
          <w:pgSz w:w="11905" w:h="16838"/>
          <w:pgMar w:top="1134" w:right="1304" w:bottom="1134" w:left="1304" w:header="850" w:footer="850" w:gutter="283"/>
          <w:cols w:space="0" w:num="1"/>
          <w:titlePg/>
          <w:docGrid w:linePitch="312" w:charSpace="0"/>
        </w:sectPr>
      </w:pPr>
    </w:p>
    <w:p w14:paraId="68E95E9B">
      <w:pPr>
        <w:pStyle w:val="693"/>
        <w:keepNext w:val="0"/>
        <w:pageBreakBefore w:val="0"/>
        <w:tabs>
          <w:tab w:val="clear" w:pos="720"/>
        </w:tabs>
        <w:snapToGrid w:val="0"/>
        <w:spacing w:before="120" w:after="120"/>
        <w:ind w:firstLine="630"/>
        <w:outlineLvl w:val="9"/>
        <w:rPr>
          <w:rFonts w:ascii="宋体" w:hAnsi="宋体" w:eastAsia="宋体" w:cs="宋体"/>
          <w:kern w:val="2"/>
          <w:sz w:val="32"/>
          <w:szCs w:val="32"/>
        </w:rPr>
      </w:pPr>
      <w:bookmarkStart w:id="941" w:name="_Toc1562"/>
    </w:p>
    <w:p w14:paraId="7514C0B4">
      <w:pPr>
        <w:spacing w:before="240" w:beforeLines="100" w:after="240" w:afterLines="100"/>
        <w:ind w:firstLine="551"/>
        <w:jc w:val="center"/>
        <w:rPr>
          <w:rFonts w:ascii="宋体"/>
          <w:b/>
          <w:color w:val="000000"/>
          <w:sz w:val="28"/>
          <w:szCs w:val="22"/>
        </w:rPr>
      </w:pPr>
      <w:r>
        <w:rPr>
          <w:rFonts w:hint="eastAsia" w:ascii="宋体"/>
          <w:b/>
          <w:color w:val="000000"/>
          <w:sz w:val="28"/>
        </w:rPr>
        <w:t>三、</w:t>
      </w:r>
      <w:r>
        <w:rPr>
          <w:rFonts w:hint="eastAsia" w:ascii="宋体"/>
          <w:b/>
          <w:color w:val="000000"/>
          <w:sz w:val="28"/>
          <w:szCs w:val="22"/>
        </w:rPr>
        <w:t>中小企业声明函</w:t>
      </w:r>
    </w:p>
    <w:p w14:paraId="4F742E99">
      <w:pPr>
        <w:spacing w:line="440" w:lineRule="exact"/>
        <w:ind w:firstLine="420" w:firstLineChars="200"/>
        <w:rPr>
          <w:color w:val="000000"/>
        </w:rPr>
      </w:pPr>
      <w:r>
        <w:rPr>
          <w:color w:val="000000"/>
        </w:rPr>
        <w:t>本公司郑重声明，根据《政府采购促进中小企业发展管理办法》（财库﹝2020﹞46 号）的规定，本公司参加</w:t>
      </w:r>
      <w:r>
        <w:rPr>
          <w:color w:val="000000"/>
          <w:u w:val="single"/>
        </w:rPr>
        <w:t>（单位名称）（项目名称）</w:t>
      </w:r>
      <w:r>
        <w:rPr>
          <w:color w:val="000000"/>
        </w:rPr>
        <w:t>采购活动，</w:t>
      </w:r>
      <w:r>
        <w:rPr>
          <w:rFonts w:hint="eastAsia"/>
          <w:color w:val="000000"/>
        </w:rPr>
        <w:t>工程的施工单位全部为符合政策要求的中小企业</w:t>
      </w:r>
      <w:r>
        <w:rPr>
          <w:color w:val="000000"/>
        </w:rPr>
        <w:t>。相关企业的具体情况如下：</w:t>
      </w:r>
    </w:p>
    <w:p w14:paraId="04004155">
      <w:pPr>
        <w:spacing w:line="440" w:lineRule="exact"/>
        <w:ind w:firstLine="420" w:firstLineChars="200"/>
        <w:rPr>
          <w:color w:val="000000"/>
        </w:rPr>
      </w:pPr>
      <w:r>
        <w:rPr>
          <w:color w:val="000000"/>
        </w:rPr>
        <w:t>1.</w:t>
      </w:r>
      <w:r>
        <w:rPr>
          <w:color w:val="000000"/>
          <w:u w:val="single"/>
        </w:rPr>
        <w:t>（</w:t>
      </w:r>
      <w:r>
        <w:rPr>
          <w:rFonts w:hint="eastAsia"/>
          <w:color w:val="000000"/>
          <w:u w:val="single"/>
          <w:lang w:eastAsia="zh-CN"/>
        </w:rPr>
        <w:t>西店镇中心小学新建连廊、外立面提升等维修工程</w:t>
      </w:r>
      <w:r>
        <w:rPr>
          <w:rFonts w:hint="eastAsia"/>
          <w:color w:val="000000"/>
          <w:szCs w:val="22"/>
          <w:u w:val="single"/>
        </w:rPr>
        <w:t xml:space="preserve"> </w:t>
      </w:r>
      <w:r>
        <w:rPr>
          <w:color w:val="000000"/>
          <w:szCs w:val="22"/>
          <w:u w:val="single"/>
        </w:rPr>
        <w:t>）</w:t>
      </w:r>
      <w:r>
        <w:rPr>
          <w:color w:val="000000"/>
        </w:rPr>
        <w:t>，属于</w:t>
      </w:r>
      <w:r>
        <w:rPr>
          <w:b/>
          <w:bCs/>
          <w:color w:val="000000"/>
          <w:u w:val="single"/>
        </w:rPr>
        <w:t>（</w:t>
      </w:r>
      <w:r>
        <w:rPr>
          <w:rFonts w:hint="eastAsia"/>
          <w:b/>
          <w:bCs/>
          <w:color w:val="000000"/>
          <w:u w:val="single"/>
        </w:rPr>
        <w:t>建筑业</w:t>
      </w:r>
      <w:r>
        <w:rPr>
          <w:b/>
          <w:bCs/>
          <w:color w:val="000000"/>
          <w:u w:val="single"/>
        </w:rPr>
        <w:t>）</w:t>
      </w:r>
      <w:r>
        <w:rPr>
          <w:color w:val="000000"/>
        </w:rPr>
        <w:t>；承接企业为</w:t>
      </w:r>
      <w:r>
        <w:rPr>
          <w:color w:val="000000"/>
          <w:u w:val="single"/>
        </w:rPr>
        <w:t>（企业名称）</w:t>
      </w:r>
      <w:r>
        <w:rPr>
          <w:color w:val="000000"/>
        </w:rPr>
        <w:t>，从业人员</w:t>
      </w:r>
      <w:r>
        <w:rPr>
          <w:color w:val="000000"/>
          <w:u w:val="single"/>
        </w:rPr>
        <w:t>   </w:t>
      </w:r>
      <w:r>
        <w:rPr>
          <w:rFonts w:hint="eastAsia"/>
          <w:color w:val="000000"/>
          <w:u w:val="single"/>
        </w:rPr>
        <w:t xml:space="preserve"> </w:t>
      </w:r>
      <w:r>
        <w:rPr>
          <w:color w:val="000000"/>
          <w:u w:val="single"/>
        </w:rPr>
        <w:t>人</w:t>
      </w:r>
      <w:r>
        <w:rPr>
          <w:color w:val="000000"/>
        </w:rPr>
        <w:t>，营业收入为 </w:t>
      </w:r>
      <w:r>
        <w:rPr>
          <w:color w:val="000000"/>
          <w:u w:val="single"/>
        </w:rPr>
        <w:t>  </w:t>
      </w:r>
      <w:r>
        <w:rPr>
          <w:rFonts w:hint="eastAsia"/>
          <w:color w:val="000000"/>
          <w:u w:val="single"/>
        </w:rPr>
        <w:t xml:space="preserve"> </w:t>
      </w:r>
      <w:r>
        <w:rPr>
          <w:color w:val="000000"/>
          <w:u w:val="single"/>
        </w:rPr>
        <w:t>万元</w:t>
      </w:r>
      <w:r>
        <w:rPr>
          <w:color w:val="000000"/>
        </w:rPr>
        <w:t>，资产总额为</w:t>
      </w:r>
      <w:r>
        <w:rPr>
          <w:color w:val="000000"/>
          <w:u w:val="single"/>
        </w:rPr>
        <w:t>   </w:t>
      </w:r>
      <w:r>
        <w:rPr>
          <w:rFonts w:hint="eastAsia"/>
          <w:color w:val="000000"/>
          <w:u w:val="single"/>
        </w:rPr>
        <w:t xml:space="preserve"> </w:t>
      </w:r>
      <w:r>
        <w:rPr>
          <w:color w:val="000000"/>
          <w:u w:val="single"/>
        </w:rPr>
        <w:t>万元</w:t>
      </w:r>
      <w:r>
        <w:rPr>
          <w:color w:val="000000"/>
        </w:rPr>
        <w:t>，属于</w:t>
      </w:r>
      <w:r>
        <w:rPr>
          <w:color w:val="000000"/>
          <w:u w:val="single"/>
        </w:rPr>
        <w:t>（中型企业、小型企业、微型企业）</w:t>
      </w:r>
      <w:r>
        <w:rPr>
          <w:color w:val="000000"/>
        </w:rPr>
        <w:t>；</w:t>
      </w:r>
    </w:p>
    <w:p w14:paraId="5A921433">
      <w:pPr>
        <w:spacing w:line="440" w:lineRule="exact"/>
        <w:ind w:firstLine="420" w:firstLineChars="200"/>
        <w:rPr>
          <w:color w:val="000000"/>
        </w:rPr>
      </w:pPr>
      <w:r>
        <w:rPr>
          <w:color w:val="000000"/>
        </w:rPr>
        <w:t>以上企业，不属于大企业的分支机构，不存在控股股东为大企业的情形，也不存在与大企业的负责人为同一人的情形。</w:t>
      </w:r>
    </w:p>
    <w:p w14:paraId="77878F7F">
      <w:pPr>
        <w:spacing w:line="440" w:lineRule="exact"/>
        <w:ind w:firstLine="420" w:firstLineChars="200"/>
        <w:rPr>
          <w:color w:val="000000"/>
        </w:rPr>
      </w:pPr>
      <w:r>
        <w:rPr>
          <w:color w:val="000000"/>
        </w:rPr>
        <w:t>本企业对上述声明内容的真实性负责。如有虚假，将依法承担相应责任。</w:t>
      </w:r>
    </w:p>
    <w:p w14:paraId="70FC26F9">
      <w:pPr>
        <w:spacing w:line="440" w:lineRule="exact"/>
        <w:ind w:firstLine="4515" w:firstLineChars="2150"/>
        <w:rPr>
          <w:color w:val="000000"/>
        </w:rPr>
      </w:pPr>
      <w:r>
        <w:rPr>
          <w:color w:val="000000"/>
        </w:rPr>
        <w:t>企业名称（盖章）：</w:t>
      </w:r>
    </w:p>
    <w:p w14:paraId="52493840">
      <w:pPr>
        <w:spacing w:line="440" w:lineRule="exact"/>
        <w:ind w:firstLine="4515" w:firstLineChars="2150"/>
        <w:rPr>
          <w:color w:val="000000"/>
        </w:rPr>
      </w:pPr>
      <w:r>
        <w:rPr>
          <w:color w:val="000000"/>
        </w:rPr>
        <w:t>日 期：</w:t>
      </w:r>
    </w:p>
    <w:p w14:paraId="299AD4F7">
      <w:pPr>
        <w:spacing w:line="360" w:lineRule="auto"/>
        <w:rPr>
          <w:color w:val="000000"/>
        </w:rPr>
      </w:pPr>
    </w:p>
    <w:p w14:paraId="2B1EAF5C">
      <w:pPr>
        <w:spacing w:line="360" w:lineRule="auto"/>
        <w:rPr>
          <w:color w:val="000000"/>
        </w:rPr>
      </w:pPr>
      <w:r>
        <w:rPr>
          <w:rFonts w:hint="eastAsia"/>
          <w:color w:val="000000"/>
        </w:rPr>
        <w:t>注：</w:t>
      </w:r>
    </w:p>
    <w:p w14:paraId="20702F4D">
      <w:pPr>
        <w:spacing w:line="360" w:lineRule="auto"/>
        <w:rPr>
          <w:color w:val="000000"/>
        </w:rPr>
      </w:pPr>
      <w:r>
        <w:rPr>
          <w:rFonts w:hint="eastAsia"/>
          <w:color w:val="000000"/>
        </w:rPr>
        <w:t>1）从业人员、营业收入、资产总额填报上一年度数据。无上一年度数据的新成立企业可不填报。</w:t>
      </w:r>
    </w:p>
    <w:p w14:paraId="65B634BD">
      <w:pPr>
        <w:spacing w:line="360" w:lineRule="auto"/>
        <w:rPr>
          <w:color w:val="000000"/>
        </w:rPr>
      </w:pPr>
      <w:r>
        <w:rPr>
          <w:rFonts w:hint="eastAsia"/>
          <w:color w:val="000000"/>
        </w:rPr>
        <w:t>2）中小企业划型标准按工信部联企业〔2011〕300号文件，</w:t>
      </w:r>
      <w:r>
        <w:rPr>
          <w:rFonts w:hint="eastAsia"/>
          <w:b/>
          <w:bCs/>
          <w:color w:val="000000"/>
        </w:rPr>
        <w:t>中标单位的《中小企业</w:t>
      </w:r>
      <w:r>
        <w:rPr>
          <w:b/>
          <w:bCs/>
          <w:color w:val="000000"/>
        </w:rPr>
        <w:t>声明函</w:t>
      </w:r>
      <w:r>
        <w:rPr>
          <w:rFonts w:hint="eastAsia"/>
          <w:b/>
          <w:bCs/>
          <w:color w:val="000000"/>
        </w:rPr>
        <w:t>》将公示，提供虚假资料者责任自负。</w:t>
      </w:r>
    </w:p>
    <w:p w14:paraId="284A9CFC">
      <w:pPr>
        <w:spacing w:line="360" w:lineRule="auto"/>
        <w:rPr>
          <w:rFonts w:ascii="宋体" w:hAnsi="宋体" w:cs="宋体"/>
          <w:color w:val="000000"/>
          <w:szCs w:val="21"/>
        </w:rPr>
      </w:pPr>
      <w:r>
        <w:rPr>
          <w:rFonts w:hint="eastAsia"/>
          <w:color w:val="000000"/>
        </w:rPr>
        <w:t>3）本项目为专门面向中小企业采购，必须提供符合要求的《中小企业声明函》，</w:t>
      </w:r>
      <w:r>
        <w:rPr>
          <w:rFonts w:hint="eastAsia" w:ascii="宋体" w:hAnsi="宋体" w:cs="宋体"/>
          <w:color w:val="000000"/>
          <w:szCs w:val="21"/>
        </w:rPr>
        <w:t>残疾人福利性单位或监狱企业视同小微企业。</w:t>
      </w:r>
    </w:p>
    <w:p w14:paraId="092BD508">
      <w:pPr>
        <w:pStyle w:val="521"/>
        <w:ind w:firstLine="562"/>
        <w:rPr>
          <w:rFonts w:ascii="宋体"/>
          <w:b/>
          <w:color w:val="000000"/>
        </w:rPr>
      </w:pPr>
    </w:p>
    <w:tbl>
      <w:tblPr>
        <w:tblStyle w:val="62"/>
        <w:tblW w:w="9593" w:type="dxa"/>
        <w:jc w:val="center"/>
        <w:tblLayout w:type="fixed"/>
        <w:tblCellMar>
          <w:top w:w="0" w:type="dxa"/>
          <w:left w:w="108" w:type="dxa"/>
          <w:bottom w:w="0" w:type="dxa"/>
          <w:right w:w="108" w:type="dxa"/>
        </w:tblCellMar>
      </w:tblPr>
      <w:tblGrid>
        <w:gridCol w:w="2149"/>
        <w:gridCol w:w="1392"/>
        <w:gridCol w:w="720"/>
        <w:gridCol w:w="1144"/>
        <w:gridCol w:w="1729"/>
        <w:gridCol w:w="1450"/>
        <w:gridCol w:w="1009"/>
      </w:tblGrid>
      <w:tr w14:paraId="1B306178">
        <w:tblPrEx>
          <w:tblCellMar>
            <w:top w:w="0" w:type="dxa"/>
            <w:left w:w="108" w:type="dxa"/>
            <w:bottom w:w="0" w:type="dxa"/>
            <w:right w:w="108" w:type="dxa"/>
          </w:tblCellMar>
        </w:tblPrEx>
        <w:trPr>
          <w:trHeight w:val="1276" w:hRule="exact"/>
          <w:jc w:val="center"/>
        </w:trPr>
        <w:tc>
          <w:tcPr>
            <w:tcW w:w="2149" w:type="dxa"/>
            <w:tcBorders>
              <w:top w:val="single" w:color="auto" w:sz="4" w:space="0"/>
              <w:left w:val="nil"/>
              <w:bottom w:val="single" w:color="auto" w:sz="4" w:space="0"/>
              <w:right w:val="single" w:color="auto" w:sz="4" w:space="0"/>
            </w:tcBorders>
            <w:vAlign w:val="center"/>
          </w:tcPr>
          <w:p w14:paraId="0B46C30D">
            <w:pPr>
              <w:widowControl/>
              <w:spacing w:line="240" w:lineRule="exact"/>
              <w:ind w:firstLine="354"/>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92" w:type="dxa"/>
            <w:tcBorders>
              <w:top w:val="single" w:color="auto" w:sz="4" w:space="0"/>
              <w:left w:val="nil"/>
              <w:bottom w:val="single" w:color="auto" w:sz="4" w:space="0"/>
              <w:right w:val="single" w:color="auto" w:sz="4" w:space="0"/>
            </w:tcBorders>
            <w:vAlign w:val="center"/>
          </w:tcPr>
          <w:p w14:paraId="17CBC5F0">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20" w:type="dxa"/>
            <w:tcBorders>
              <w:top w:val="single" w:color="auto" w:sz="4" w:space="0"/>
              <w:left w:val="nil"/>
              <w:bottom w:val="single" w:color="auto" w:sz="4" w:space="0"/>
              <w:right w:val="single" w:color="auto" w:sz="4" w:space="0"/>
            </w:tcBorders>
            <w:vAlign w:val="center"/>
          </w:tcPr>
          <w:p w14:paraId="4F0DE139">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p>
          <w:p w14:paraId="77E254B1">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144" w:type="dxa"/>
            <w:tcBorders>
              <w:top w:val="single" w:color="auto" w:sz="4" w:space="0"/>
              <w:left w:val="nil"/>
              <w:bottom w:val="single" w:color="auto" w:sz="4" w:space="0"/>
              <w:right w:val="single" w:color="auto" w:sz="4" w:space="0"/>
            </w:tcBorders>
            <w:vAlign w:val="center"/>
          </w:tcPr>
          <w:p w14:paraId="42A13D32">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29" w:type="dxa"/>
            <w:tcBorders>
              <w:top w:val="single" w:color="auto" w:sz="4" w:space="0"/>
              <w:left w:val="nil"/>
              <w:bottom w:val="single" w:color="auto" w:sz="4" w:space="0"/>
              <w:right w:val="single" w:color="auto" w:sz="4" w:space="0"/>
            </w:tcBorders>
            <w:vAlign w:val="center"/>
          </w:tcPr>
          <w:p w14:paraId="548BC4B7">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50" w:type="dxa"/>
            <w:tcBorders>
              <w:top w:val="single" w:color="auto" w:sz="4" w:space="0"/>
              <w:left w:val="nil"/>
              <w:bottom w:val="single" w:color="auto" w:sz="4" w:space="0"/>
              <w:right w:val="single" w:color="auto" w:sz="4" w:space="0"/>
            </w:tcBorders>
            <w:vAlign w:val="center"/>
          </w:tcPr>
          <w:p w14:paraId="13CE10D6">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1009" w:type="dxa"/>
            <w:tcBorders>
              <w:top w:val="single" w:color="auto" w:sz="4" w:space="0"/>
              <w:left w:val="nil"/>
              <w:bottom w:val="single" w:color="auto" w:sz="4" w:space="0"/>
              <w:right w:val="nil"/>
            </w:tcBorders>
            <w:vAlign w:val="center"/>
          </w:tcPr>
          <w:p w14:paraId="76B19F77">
            <w:pPr>
              <w:widowControl/>
              <w:ind w:firstLine="354"/>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250088F0">
        <w:tblPrEx>
          <w:tblCellMar>
            <w:top w:w="0" w:type="dxa"/>
            <w:left w:w="108" w:type="dxa"/>
            <w:bottom w:w="0" w:type="dxa"/>
            <w:right w:w="108" w:type="dxa"/>
          </w:tblCellMar>
        </w:tblPrEx>
        <w:trPr>
          <w:trHeight w:val="813" w:hRule="exact"/>
          <w:jc w:val="center"/>
        </w:trPr>
        <w:tc>
          <w:tcPr>
            <w:tcW w:w="2149" w:type="dxa"/>
            <w:vMerge w:val="restart"/>
            <w:tcBorders>
              <w:top w:val="nil"/>
              <w:left w:val="nil"/>
              <w:bottom w:val="single" w:color="auto" w:sz="4" w:space="0"/>
              <w:right w:val="single" w:color="auto" w:sz="4" w:space="0"/>
            </w:tcBorders>
            <w:vAlign w:val="center"/>
          </w:tcPr>
          <w:p w14:paraId="40BB2BC0">
            <w:pPr>
              <w:widowControl/>
              <w:spacing w:line="240" w:lineRule="exact"/>
              <w:ind w:firstLine="353"/>
              <w:jc w:val="center"/>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92" w:type="dxa"/>
            <w:tcBorders>
              <w:top w:val="nil"/>
              <w:left w:val="nil"/>
              <w:bottom w:val="nil"/>
              <w:right w:val="single" w:color="auto" w:sz="4" w:space="0"/>
            </w:tcBorders>
            <w:vAlign w:val="center"/>
          </w:tcPr>
          <w:p w14:paraId="34F800E2">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20" w:type="dxa"/>
            <w:tcBorders>
              <w:top w:val="nil"/>
              <w:left w:val="nil"/>
              <w:bottom w:val="nil"/>
              <w:right w:val="single" w:color="auto" w:sz="4" w:space="0"/>
            </w:tcBorders>
            <w:vAlign w:val="center"/>
          </w:tcPr>
          <w:p w14:paraId="31C34051">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44" w:type="dxa"/>
            <w:tcBorders>
              <w:top w:val="nil"/>
              <w:left w:val="nil"/>
              <w:bottom w:val="nil"/>
              <w:right w:val="single" w:color="auto" w:sz="4" w:space="0"/>
            </w:tcBorders>
            <w:vAlign w:val="center"/>
          </w:tcPr>
          <w:p w14:paraId="502C9BAC">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29" w:type="dxa"/>
            <w:tcBorders>
              <w:top w:val="nil"/>
              <w:left w:val="nil"/>
              <w:bottom w:val="nil"/>
              <w:right w:val="single" w:color="auto" w:sz="4" w:space="0"/>
            </w:tcBorders>
            <w:vAlign w:val="center"/>
          </w:tcPr>
          <w:p w14:paraId="4EF3A1B7">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50" w:type="dxa"/>
            <w:tcBorders>
              <w:top w:val="nil"/>
              <w:left w:val="nil"/>
              <w:bottom w:val="nil"/>
              <w:right w:val="single" w:color="auto" w:sz="4" w:space="0"/>
            </w:tcBorders>
            <w:vAlign w:val="center"/>
          </w:tcPr>
          <w:p w14:paraId="7CD1230B">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1009" w:type="dxa"/>
            <w:tcBorders>
              <w:top w:val="nil"/>
              <w:left w:val="nil"/>
              <w:bottom w:val="nil"/>
              <w:right w:val="nil"/>
            </w:tcBorders>
            <w:vAlign w:val="center"/>
          </w:tcPr>
          <w:p w14:paraId="7BA3E887">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5D685C43">
        <w:tblPrEx>
          <w:tblCellMar>
            <w:top w:w="0" w:type="dxa"/>
            <w:left w:w="108" w:type="dxa"/>
            <w:bottom w:w="0" w:type="dxa"/>
            <w:right w:w="108" w:type="dxa"/>
          </w:tblCellMar>
        </w:tblPrEx>
        <w:trPr>
          <w:trHeight w:val="813" w:hRule="exact"/>
          <w:jc w:val="center"/>
        </w:trPr>
        <w:tc>
          <w:tcPr>
            <w:tcW w:w="2149" w:type="dxa"/>
            <w:vMerge w:val="continue"/>
            <w:tcBorders>
              <w:top w:val="nil"/>
              <w:left w:val="nil"/>
              <w:bottom w:val="single" w:color="auto" w:sz="4" w:space="0"/>
              <w:right w:val="single" w:color="auto" w:sz="4" w:space="0"/>
            </w:tcBorders>
            <w:vAlign w:val="center"/>
          </w:tcPr>
          <w:p w14:paraId="0348D112">
            <w:pPr>
              <w:widowControl/>
              <w:ind w:firstLine="353"/>
              <w:jc w:val="left"/>
              <w:rPr>
                <w:rFonts w:ascii="宋体" w:hAnsi="宋体" w:cs="宋体"/>
                <w:color w:val="000000"/>
                <w:kern w:val="0"/>
                <w:sz w:val="18"/>
                <w:szCs w:val="18"/>
              </w:rPr>
            </w:pPr>
          </w:p>
        </w:tc>
        <w:tc>
          <w:tcPr>
            <w:tcW w:w="1392" w:type="dxa"/>
            <w:tcBorders>
              <w:top w:val="nil"/>
              <w:left w:val="nil"/>
              <w:bottom w:val="single" w:color="auto" w:sz="4" w:space="0"/>
              <w:right w:val="single" w:color="auto" w:sz="4" w:space="0"/>
            </w:tcBorders>
            <w:vAlign w:val="center"/>
          </w:tcPr>
          <w:p w14:paraId="2FDE8595">
            <w:pPr>
              <w:widowControl/>
              <w:spacing w:line="240" w:lineRule="exact"/>
              <w:ind w:firstLine="353"/>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20" w:type="dxa"/>
            <w:tcBorders>
              <w:top w:val="nil"/>
              <w:left w:val="nil"/>
              <w:bottom w:val="single" w:color="auto" w:sz="4" w:space="0"/>
              <w:right w:val="single" w:color="auto" w:sz="4" w:space="0"/>
            </w:tcBorders>
            <w:vAlign w:val="center"/>
          </w:tcPr>
          <w:p w14:paraId="4D195257">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44" w:type="dxa"/>
            <w:tcBorders>
              <w:top w:val="nil"/>
              <w:left w:val="nil"/>
              <w:bottom w:val="single" w:color="auto" w:sz="4" w:space="0"/>
              <w:right w:val="single" w:color="auto" w:sz="4" w:space="0"/>
            </w:tcBorders>
            <w:vAlign w:val="center"/>
          </w:tcPr>
          <w:p w14:paraId="1A80B535">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29" w:type="dxa"/>
            <w:tcBorders>
              <w:top w:val="nil"/>
              <w:left w:val="nil"/>
              <w:bottom w:val="single" w:color="auto" w:sz="4" w:space="0"/>
              <w:right w:val="single" w:color="auto" w:sz="4" w:space="0"/>
            </w:tcBorders>
            <w:vAlign w:val="center"/>
          </w:tcPr>
          <w:p w14:paraId="3097CD33">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50" w:type="dxa"/>
            <w:tcBorders>
              <w:top w:val="nil"/>
              <w:left w:val="nil"/>
              <w:bottom w:val="single" w:color="auto" w:sz="4" w:space="0"/>
              <w:right w:val="single" w:color="auto" w:sz="4" w:space="0"/>
            </w:tcBorders>
            <w:vAlign w:val="center"/>
          </w:tcPr>
          <w:p w14:paraId="0C59C249">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1009" w:type="dxa"/>
            <w:tcBorders>
              <w:top w:val="nil"/>
              <w:left w:val="nil"/>
              <w:bottom w:val="single" w:color="auto" w:sz="4" w:space="0"/>
              <w:right w:val="nil"/>
            </w:tcBorders>
            <w:vAlign w:val="center"/>
          </w:tcPr>
          <w:p w14:paraId="0D6B6AD8">
            <w:pPr>
              <w:widowControl/>
              <w:ind w:firstLine="353"/>
              <w:jc w:val="center"/>
              <w:rPr>
                <w:rFonts w:ascii="宋体" w:hAnsi="宋体" w:cs="宋体"/>
                <w:color w:val="000000"/>
                <w:kern w:val="0"/>
                <w:sz w:val="18"/>
                <w:szCs w:val="18"/>
              </w:rPr>
            </w:pPr>
            <w:r>
              <w:rPr>
                <w:rFonts w:hint="eastAsia" w:ascii="宋体" w:hAnsi="宋体" w:cs="宋体"/>
                <w:color w:val="000000"/>
                <w:kern w:val="0"/>
                <w:sz w:val="18"/>
                <w:szCs w:val="18"/>
              </w:rPr>
              <w:t>Z＜300</w:t>
            </w:r>
          </w:p>
        </w:tc>
      </w:tr>
    </w:tbl>
    <w:p w14:paraId="4446777E">
      <w:pPr>
        <w:pStyle w:val="521"/>
        <w:ind w:firstLine="562"/>
        <w:rPr>
          <w:rFonts w:ascii="宋体"/>
          <w:b/>
          <w:color w:val="000000"/>
        </w:rPr>
      </w:pPr>
      <w:r>
        <w:rPr>
          <w:rFonts w:hint="eastAsia" w:ascii="宋体"/>
          <w:b/>
          <w:color w:val="000000"/>
        </w:rPr>
        <w:br w:type="page"/>
      </w:r>
    </w:p>
    <w:bookmarkEnd w:id="941"/>
    <w:p w14:paraId="52322F09">
      <w:pPr>
        <w:ind w:firstLine="551"/>
        <w:jc w:val="center"/>
        <w:rPr>
          <w:b/>
          <w:color w:val="000000"/>
          <w:sz w:val="28"/>
          <w:szCs w:val="28"/>
        </w:rPr>
      </w:pPr>
    </w:p>
    <w:p w14:paraId="20FD1234">
      <w:pPr>
        <w:ind w:firstLine="551"/>
        <w:jc w:val="center"/>
        <w:rPr>
          <w:color w:val="000000"/>
          <w:sz w:val="32"/>
          <w:szCs w:val="32"/>
        </w:rPr>
      </w:pPr>
      <w:r>
        <w:rPr>
          <w:rFonts w:hint="eastAsia"/>
          <w:b/>
          <w:color w:val="000000"/>
          <w:sz w:val="28"/>
          <w:szCs w:val="28"/>
        </w:rPr>
        <w:t>残疾人福利性单位声明函（如适用）</w:t>
      </w:r>
    </w:p>
    <w:p w14:paraId="37D18C5C">
      <w:pPr>
        <w:spacing w:line="380" w:lineRule="exact"/>
        <w:ind w:firstLine="420" w:firstLineChars="200"/>
        <w:rPr>
          <w:color w:val="000000"/>
        </w:rPr>
      </w:pPr>
    </w:p>
    <w:p w14:paraId="0491E8F1">
      <w:pPr>
        <w:spacing w:line="440" w:lineRule="exact"/>
        <w:ind w:firstLine="630" w:firstLineChars="300"/>
        <w:rPr>
          <w:color w:val="000000"/>
        </w:rPr>
      </w:pPr>
      <w:r>
        <w:rPr>
          <w:rFonts w:hint="eastAsia"/>
          <w:color w:val="00000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0E47F0">
      <w:pPr>
        <w:spacing w:line="440" w:lineRule="exact"/>
        <w:ind w:firstLine="420" w:firstLineChars="200"/>
        <w:rPr>
          <w:color w:val="000000"/>
        </w:rPr>
      </w:pPr>
      <w:r>
        <w:rPr>
          <w:rFonts w:hint="eastAsia"/>
          <w:color w:val="000000"/>
        </w:rPr>
        <w:t>本单位对上述声明的真实性负责。如有虚假，将依法承担相应责任。</w:t>
      </w:r>
    </w:p>
    <w:p w14:paraId="563B6F2B">
      <w:pPr>
        <w:pStyle w:val="521"/>
        <w:ind w:firstLine="560"/>
        <w:rPr>
          <w:color w:val="000000"/>
        </w:rPr>
      </w:pPr>
    </w:p>
    <w:p w14:paraId="71A15DE1">
      <w:pPr>
        <w:tabs>
          <w:tab w:val="left" w:pos="4860"/>
        </w:tabs>
        <w:spacing w:line="440" w:lineRule="exact"/>
        <w:ind w:right="1560" w:firstLine="420" w:firstLineChars="200"/>
        <w:jc w:val="center"/>
        <w:rPr>
          <w:color w:val="000000"/>
        </w:rPr>
      </w:pPr>
      <w:r>
        <w:rPr>
          <w:rFonts w:hint="eastAsia"/>
          <w:color w:val="000000"/>
        </w:rPr>
        <w:t xml:space="preserve">                          企业名称（盖章）：</w:t>
      </w:r>
    </w:p>
    <w:p w14:paraId="3A9268CA">
      <w:pPr>
        <w:tabs>
          <w:tab w:val="left" w:pos="4860"/>
        </w:tabs>
        <w:spacing w:line="440" w:lineRule="exact"/>
        <w:ind w:right="1560" w:firstLine="420" w:firstLineChars="200"/>
        <w:jc w:val="center"/>
        <w:rPr>
          <w:color w:val="000000"/>
        </w:rPr>
      </w:pPr>
      <w:r>
        <w:rPr>
          <w:rFonts w:hint="eastAsia"/>
          <w:color w:val="000000"/>
        </w:rPr>
        <w:t xml:space="preserve">                  日  期：</w:t>
      </w:r>
    </w:p>
    <w:p w14:paraId="5DABC475">
      <w:pPr>
        <w:spacing w:line="600" w:lineRule="exact"/>
        <w:ind w:firstLine="551"/>
        <w:jc w:val="center"/>
        <w:rPr>
          <w:rFonts w:ascii="宋体"/>
          <w:b/>
          <w:color w:val="000000"/>
          <w:sz w:val="28"/>
        </w:rPr>
      </w:pPr>
    </w:p>
    <w:p w14:paraId="26FC1970">
      <w:pPr>
        <w:pStyle w:val="521"/>
        <w:ind w:firstLine="560"/>
        <w:rPr>
          <w:color w:val="000000"/>
        </w:rPr>
      </w:pPr>
    </w:p>
    <w:p w14:paraId="353BDC65">
      <w:pPr>
        <w:pStyle w:val="5"/>
        <w:ind w:firstLine="551"/>
        <w:jc w:val="center"/>
        <w:rPr>
          <w:b/>
          <w:szCs w:val="28"/>
        </w:rPr>
      </w:pPr>
    </w:p>
    <w:p w14:paraId="0ACE22CC">
      <w:pPr>
        <w:pStyle w:val="5"/>
        <w:ind w:firstLine="551"/>
        <w:jc w:val="center"/>
        <w:rPr>
          <w:b/>
          <w:szCs w:val="28"/>
        </w:rPr>
      </w:pPr>
    </w:p>
    <w:p w14:paraId="20A24AEC">
      <w:pPr>
        <w:pStyle w:val="5"/>
        <w:ind w:firstLine="551"/>
        <w:jc w:val="center"/>
        <w:rPr>
          <w:b/>
          <w:kern w:val="2"/>
          <w:szCs w:val="28"/>
        </w:rPr>
      </w:pPr>
      <w:r>
        <w:rPr>
          <w:rFonts w:hint="eastAsia"/>
          <w:b/>
          <w:szCs w:val="28"/>
        </w:rPr>
        <w:t>监狱企业的证明文件</w:t>
      </w:r>
      <w:r>
        <w:rPr>
          <w:rFonts w:hint="eastAsia"/>
          <w:b/>
          <w:kern w:val="2"/>
          <w:szCs w:val="28"/>
        </w:rPr>
        <w:t>（如适用）</w:t>
      </w:r>
    </w:p>
    <w:p w14:paraId="24096F02">
      <w:pPr>
        <w:pStyle w:val="5"/>
        <w:ind w:firstLine="551"/>
        <w:jc w:val="center"/>
        <w:rPr>
          <w:b/>
          <w:kern w:val="2"/>
          <w:szCs w:val="28"/>
        </w:rPr>
      </w:pPr>
    </w:p>
    <w:p w14:paraId="0A5EA7B2">
      <w:pPr>
        <w:pStyle w:val="5"/>
        <w:ind w:firstLine="412"/>
        <w:rPr>
          <w:bCs/>
          <w:kern w:val="2"/>
          <w:sz w:val="21"/>
          <w:szCs w:val="21"/>
        </w:rPr>
      </w:pPr>
    </w:p>
    <w:p w14:paraId="33A3A085">
      <w:pPr>
        <w:pStyle w:val="5"/>
        <w:ind w:firstLine="412"/>
        <w:rPr>
          <w:bCs/>
          <w:kern w:val="2"/>
          <w:sz w:val="21"/>
          <w:szCs w:val="21"/>
        </w:rPr>
      </w:pPr>
    </w:p>
    <w:p w14:paraId="062203FC">
      <w:pPr>
        <w:spacing w:line="580" w:lineRule="exact"/>
        <w:ind w:firstLine="412"/>
        <w:jc w:val="center"/>
        <w:outlineLvl w:val="0"/>
        <w:rPr>
          <w:bCs/>
          <w:color w:val="000000"/>
          <w:szCs w:val="21"/>
        </w:rPr>
      </w:pPr>
      <w:r>
        <w:rPr>
          <w:rFonts w:hint="eastAsia"/>
          <w:bCs/>
          <w:color w:val="000000"/>
          <w:szCs w:val="21"/>
        </w:rPr>
        <w:t>注：残疾人福利性单位和监狱企业按规定提供上述资料，如果不是，请不要填写。</w:t>
      </w:r>
    </w:p>
    <w:p w14:paraId="3C8DEEDA">
      <w:pPr>
        <w:autoSpaceDE w:val="0"/>
        <w:autoSpaceDN w:val="0"/>
        <w:ind w:firstLine="653"/>
        <w:jc w:val="center"/>
        <w:rPr>
          <w:rFonts w:ascii="宋体" w:hAnsi="宋体" w:cs="宋体"/>
          <w:b/>
          <w:spacing w:val="6"/>
          <w:sz w:val="32"/>
          <w:szCs w:val="32"/>
        </w:rPr>
      </w:pPr>
    </w:p>
    <w:p w14:paraId="2CFDFBB7">
      <w:pPr>
        <w:pStyle w:val="32"/>
        <w:ind w:firstLine="653"/>
        <w:rPr>
          <w:rFonts w:hAnsi="宋体" w:cs="宋体"/>
          <w:b/>
          <w:spacing w:val="6"/>
          <w:sz w:val="32"/>
          <w:szCs w:val="32"/>
        </w:rPr>
      </w:pPr>
    </w:p>
    <w:p w14:paraId="477753A3">
      <w:pPr>
        <w:pStyle w:val="32"/>
        <w:ind w:firstLine="653"/>
        <w:rPr>
          <w:rFonts w:hAnsi="宋体" w:cs="宋体"/>
          <w:b/>
          <w:spacing w:val="6"/>
          <w:sz w:val="32"/>
          <w:szCs w:val="32"/>
        </w:rPr>
      </w:pPr>
    </w:p>
    <w:p w14:paraId="41924B98">
      <w:pPr>
        <w:autoSpaceDE w:val="0"/>
        <w:autoSpaceDN w:val="0"/>
        <w:ind w:firstLine="630"/>
        <w:jc w:val="center"/>
        <w:rPr>
          <w:rFonts w:ascii="宋体" w:hAnsi="宋体" w:cs="宋体"/>
          <w:b/>
          <w:bCs/>
          <w:sz w:val="32"/>
          <w:szCs w:val="32"/>
        </w:rPr>
      </w:pPr>
    </w:p>
    <w:p w14:paraId="17682277">
      <w:pPr>
        <w:autoSpaceDE w:val="0"/>
        <w:autoSpaceDN w:val="0"/>
        <w:ind w:firstLine="630"/>
        <w:jc w:val="center"/>
        <w:rPr>
          <w:rFonts w:ascii="宋体" w:hAnsi="宋体" w:cs="宋体"/>
          <w:b/>
          <w:bCs/>
          <w:sz w:val="32"/>
          <w:szCs w:val="32"/>
        </w:rPr>
      </w:pPr>
    </w:p>
    <w:p w14:paraId="3F529912">
      <w:pPr>
        <w:autoSpaceDE w:val="0"/>
        <w:autoSpaceDN w:val="0"/>
        <w:ind w:firstLine="630"/>
        <w:jc w:val="center"/>
        <w:rPr>
          <w:rFonts w:ascii="宋体" w:hAnsi="宋体" w:cs="宋体"/>
          <w:b/>
          <w:bCs/>
          <w:sz w:val="32"/>
          <w:szCs w:val="32"/>
        </w:rPr>
      </w:pPr>
    </w:p>
    <w:p w14:paraId="69699399">
      <w:pPr>
        <w:autoSpaceDE w:val="0"/>
        <w:autoSpaceDN w:val="0"/>
        <w:ind w:firstLine="630"/>
        <w:jc w:val="center"/>
        <w:rPr>
          <w:rFonts w:ascii="宋体" w:hAnsi="宋体" w:cs="宋体"/>
          <w:b/>
          <w:bCs/>
          <w:sz w:val="32"/>
          <w:szCs w:val="32"/>
        </w:rPr>
      </w:pPr>
    </w:p>
    <w:p w14:paraId="50FF89A5">
      <w:pPr>
        <w:autoSpaceDE w:val="0"/>
        <w:autoSpaceDN w:val="0"/>
        <w:ind w:firstLine="630"/>
        <w:jc w:val="center"/>
        <w:rPr>
          <w:rFonts w:ascii="宋体" w:hAnsi="宋体" w:cs="宋体"/>
          <w:b/>
          <w:bCs/>
          <w:sz w:val="32"/>
          <w:szCs w:val="32"/>
        </w:rPr>
      </w:pPr>
    </w:p>
    <w:p w14:paraId="0969E6A0">
      <w:pPr>
        <w:autoSpaceDE w:val="0"/>
        <w:autoSpaceDN w:val="0"/>
        <w:ind w:firstLine="630"/>
        <w:jc w:val="center"/>
        <w:rPr>
          <w:rFonts w:ascii="宋体" w:hAnsi="宋体" w:cs="宋体"/>
          <w:b/>
          <w:bCs/>
          <w:sz w:val="32"/>
          <w:szCs w:val="32"/>
        </w:rPr>
      </w:pPr>
    </w:p>
    <w:p w14:paraId="003A88ED">
      <w:pPr>
        <w:autoSpaceDE w:val="0"/>
        <w:autoSpaceDN w:val="0"/>
        <w:ind w:firstLine="630"/>
        <w:jc w:val="center"/>
        <w:rPr>
          <w:rFonts w:ascii="宋体" w:hAnsi="宋体" w:cs="宋体"/>
          <w:b/>
          <w:bCs/>
          <w:sz w:val="32"/>
          <w:szCs w:val="32"/>
        </w:rPr>
      </w:pPr>
    </w:p>
    <w:p w14:paraId="25EC1686">
      <w:pPr>
        <w:autoSpaceDE w:val="0"/>
        <w:autoSpaceDN w:val="0"/>
        <w:ind w:firstLine="630"/>
        <w:jc w:val="center"/>
        <w:rPr>
          <w:rFonts w:ascii="宋体" w:hAnsi="宋体" w:cs="宋体"/>
          <w:b/>
          <w:bCs/>
          <w:sz w:val="32"/>
          <w:szCs w:val="32"/>
        </w:rPr>
      </w:pPr>
    </w:p>
    <w:p w14:paraId="7D83DB3D">
      <w:pPr>
        <w:autoSpaceDE w:val="0"/>
        <w:autoSpaceDN w:val="0"/>
        <w:ind w:firstLine="630"/>
        <w:jc w:val="center"/>
        <w:rPr>
          <w:rFonts w:ascii="宋体" w:hAnsi="宋体" w:cs="宋体"/>
          <w:b/>
          <w:bCs/>
          <w:sz w:val="32"/>
          <w:szCs w:val="32"/>
        </w:rPr>
      </w:pPr>
    </w:p>
    <w:p w14:paraId="4487B9E8">
      <w:pPr>
        <w:autoSpaceDE w:val="0"/>
        <w:autoSpaceDN w:val="0"/>
        <w:ind w:firstLine="630"/>
        <w:jc w:val="center"/>
        <w:rPr>
          <w:rFonts w:ascii="宋体" w:hAnsi="宋体" w:cs="宋体"/>
          <w:b/>
          <w:bCs/>
          <w:sz w:val="32"/>
          <w:szCs w:val="32"/>
        </w:rPr>
      </w:pPr>
    </w:p>
    <w:p w14:paraId="26AEB655">
      <w:pPr>
        <w:autoSpaceDE w:val="0"/>
        <w:autoSpaceDN w:val="0"/>
        <w:ind w:firstLine="630"/>
        <w:jc w:val="center"/>
        <w:rPr>
          <w:rFonts w:ascii="宋体" w:hAnsi="宋体" w:cs="宋体"/>
          <w:b/>
          <w:bCs/>
          <w:sz w:val="32"/>
          <w:szCs w:val="32"/>
        </w:rPr>
      </w:pPr>
    </w:p>
    <w:p w14:paraId="16704BC1">
      <w:pPr>
        <w:autoSpaceDE w:val="0"/>
        <w:autoSpaceDN w:val="0"/>
        <w:ind w:firstLine="630"/>
        <w:jc w:val="center"/>
        <w:rPr>
          <w:rFonts w:ascii="宋体" w:hAnsi="宋体" w:cs="宋体"/>
          <w:b/>
          <w:bCs/>
          <w:sz w:val="32"/>
          <w:szCs w:val="32"/>
        </w:rPr>
      </w:pPr>
      <w:r>
        <w:rPr>
          <w:rFonts w:hint="eastAsia" w:ascii="宋体" w:hAnsi="宋体" w:cs="宋体"/>
          <w:b/>
          <w:bCs/>
          <w:sz w:val="32"/>
          <w:szCs w:val="32"/>
        </w:rPr>
        <w:t>业务专用章使用说明函</w:t>
      </w:r>
    </w:p>
    <w:p w14:paraId="799FA42B">
      <w:pPr>
        <w:spacing w:line="360" w:lineRule="auto"/>
        <w:rPr>
          <w:rFonts w:ascii="宋体" w:hAnsi="宋体" w:cs="宋体"/>
          <w:sz w:val="24"/>
          <w:u w:val="single"/>
        </w:rPr>
      </w:pPr>
    </w:p>
    <w:p w14:paraId="7BD2A9DA">
      <w:pPr>
        <w:spacing w:line="360" w:lineRule="auto"/>
        <w:rPr>
          <w:rFonts w:ascii="宋体" w:hAnsi="宋体" w:cs="宋体"/>
          <w:sz w:val="24"/>
        </w:rPr>
      </w:pPr>
      <w:r>
        <w:rPr>
          <w:rFonts w:hint="eastAsia" w:ascii="宋体" w:hAnsi="宋体" w:cs="宋体"/>
          <w:sz w:val="24"/>
          <w:u w:val="single"/>
        </w:rPr>
        <w:t>宁海县西店镇中心小学、建经投资咨询有限公司</w:t>
      </w:r>
    </w:p>
    <w:p w14:paraId="01EF2BC1">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西店镇中心小学新建连廊、外立面提升等维修工程</w:t>
      </w:r>
      <w:r>
        <w:rPr>
          <w:rFonts w:hint="eastAsia" w:ascii="宋体" w:hAnsi="宋体" w:cs="宋体"/>
          <w:sz w:val="24"/>
        </w:rPr>
        <w:t>【项目编号：JJNHCG-202</w:t>
      </w:r>
      <w:r>
        <w:rPr>
          <w:rFonts w:hint="eastAsia" w:ascii="宋体" w:hAnsi="宋体" w:cs="宋体"/>
          <w:sz w:val="24"/>
          <w:lang w:val="en-US" w:eastAsia="zh-CN"/>
        </w:rPr>
        <w:t>5</w:t>
      </w:r>
      <w:r>
        <w:rPr>
          <w:rFonts w:hint="eastAsia" w:ascii="宋体" w:hAnsi="宋体" w:cs="宋体"/>
          <w:sz w:val="24"/>
        </w:rPr>
        <w:t>-0</w:t>
      </w:r>
      <w:r>
        <w:rPr>
          <w:rFonts w:hint="eastAsia" w:ascii="宋体" w:hAnsi="宋体" w:cs="宋体"/>
          <w:sz w:val="24"/>
          <w:lang w:val="en-US" w:eastAsia="zh-CN"/>
        </w:rPr>
        <w:t>01</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29FE5FCD">
      <w:pPr>
        <w:spacing w:line="360" w:lineRule="auto"/>
        <w:ind w:firstLine="480" w:firstLineChars="200"/>
        <w:rPr>
          <w:rFonts w:ascii="宋体" w:hAnsi="宋体" w:cs="宋体"/>
          <w:sz w:val="24"/>
        </w:rPr>
      </w:pPr>
      <w:r>
        <w:rPr>
          <w:rFonts w:hint="eastAsia" w:ascii="宋体" w:hAnsi="宋体" w:cs="宋体"/>
          <w:sz w:val="24"/>
        </w:rPr>
        <w:t>特此说明。</w:t>
      </w:r>
    </w:p>
    <w:p w14:paraId="4D2EB65A">
      <w:pPr>
        <w:spacing w:line="360" w:lineRule="auto"/>
        <w:ind w:firstLine="470"/>
        <w:rPr>
          <w:rFonts w:ascii="宋体" w:hAnsi="宋体" w:cs="宋体"/>
          <w:sz w:val="24"/>
        </w:rPr>
      </w:pPr>
    </w:p>
    <w:p w14:paraId="56FF7438">
      <w:pPr>
        <w:spacing w:line="360" w:lineRule="auto"/>
        <w:ind w:firstLine="470"/>
        <w:rPr>
          <w:rFonts w:ascii="宋体" w:hAnsi="宋体" w:cs="宋体"/>
          <w:sz w:val="24"/>
        </w:rPr>
      </w:pPr>
    </w:p>
    <w:p w14:paraId="60441FBC">
      <w:pPr>
        <w:spacing w:line="360" w:lineRule="auto"/>
        <w:ind w:firstLine="470"/>
        <w:rPr>
          <w:rFonts w:ascii="宋体" w:hAnsi="宋体" w:cs="宋体"/>
          <w:sz w:val="24"/>
        </w:rPr>
      </w:pPr>
    </w:p>
    <w:p w14:paraId="7961762B">
      <w:pPr>
        <w:spacing w:line="360" w:lineRule="auto"/>
        <w:ind w:firstLine="470"/>
        <w:rPr>
          <w:rFonts w:ascii="宋体" w:hAnsi="宋体" w:cs="宋体"/>
          <w:sz w:val="24"/>
        </w:rPr>
      </w:pPr>
    </w:p>
    <w:p w14:paraId="0855AD0D">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4689A59B">
      <w:pPr>
        <w:ind w:right="1440" w:firstLine="470"/>
        <w:jc w:val="center"/>
        <w:rPr>
          <w:rFonts w:ascii="宋体" w:hAnsi="宋体" w:cs="宋体"/>
          <w:sz w:val="24"/>
        </w:rPr>
      </w:pPr>
      <w:r>
        <w:rPr>
          <w:rFonts w:hint="eastAsia" w:ascii="宋体" w:hAnsi="宋体" w:cs="宋体"/>
          <w:sz w:val="24"/>
        </w:rPr>
        <w:t xml:space="preserve">                              日期：       年     月     日</w:t>
      </w:r>
    </w:p>
    <w:p w14:paraId="099E3752">
      <w:pPr>
        <w:ind w:firstLine="472"/>
        <w:rPr>
          <w:rFonts w:ascii="宋体" w:hAnsi="宋体" w:cs="宋体"/>
          <w:sz w:val="24"/>
        </w:rPr>
      </w:pPr>
      <w:r>
        <w:rPr>
          <w:rFonts w:hint="eastAsia" w:ascii="宋体" w:hAnsi="宋体" w:cs="宋体"/>
          <w:b/>
          <w:bCs/>
          <w:sz w:val="24"/>
        </w:rPr>
        <w:t>附：</w:t>
      </w:r>
    </w:p>
    <w:p w14:paraId="61E770DB">
      <w:pPr>
        <w:spacing w:line="360" w:lineRule="auto"/>
        <w:ind w:firstLine="472"/>
        <w:rPr>
          <w:rFonts w:ascii="宋体" w:hAnsi="宋体" w:cs="宋体"/>
          <w:bCs/>
          <w:sz w:val="24"/>
        </w:rPr>
      </w:pP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437D4FB7">
      <w:pPr>
        <w:autoSpaceDE w:val="0"/>
        <w:autoSpaceDN w:val="0"/>
        <w:ind w:firstLine="653"/>
        <w:jc w:val="center"/>
        <w:rPr>
          <w:rFonts w:ascii="宋体" w:hAnsi="宋体" w:cs="宋体"/>
          <w:b/>
          <w:spacing w:val="6"/>
          <w:sz w:val="32"/>
          <w:szCs w:val="32"/>
        </w:rPr>
      </w:pPr>
    </w:p>
    <w:p w14:paraId="01466BCE">
      <w:pPr>
        <w:autoSpaceDE w:val="0"/>
        <w:autoSpaceDN w:val="0"/>
        <w:ind w:firstLine="653"/>
        <w:jc w:val="center"/>
        <w:rPr>
          <w:rFonts w:ascii="宋体" w:hAnsi="宋体" w:cs="宋体"/>
          <w:b/>
          <w:spacing w:val="6"/>
          <w:sz w:val="32"/>
          <w:szCs w:val="32"/>
        </w:rPr>
      </w:pPr>
    </w:p>
    <w:p w14:paraId="5EE8BD6E">
      <w:pPr>
        <w:autoSpaceDE w:val="0"/>
        <w:autoSpaceDN w:val="0"/>
        <w:ind w:firstLine="653"/>
        <w:jc w:val="center"/>
        <w:rPr>
          <w:rFonts w:ascii="宋体" w:hAnsi="宋体" w:cs="宋体"/>
          <w:b/>
          <w:spacing w:val="6"/>
          <w:sz w:val="32"/>
          <w:szCs w:val="32"/>
        </w:rPr>
      </w:pPr>
    </w:p>
    <w:p w14:paraId="1000CB4B">
      <w:pPr>
        <w:autoSpaceDE w:val="0"/>
        <w:autoSpaceDN w:val="0"/>
        <w:ind w:firstLine="653"/>
        <w:jc w:val="center"/>
        <w:rPr>
          <w:rFonts w:ascii="宋体" w:hAnsi="宋体" w:cs="宋体"/>
          <w:b/>
          <w:spacing w:val="6"/>
          <w:sz w:val="32"/>
          <w:szCs w:val="32"/>
        </w:rPr>
      </w:pPr>
    </w:p>
    <w:p w14:paraId="09C090B6">
      <w:pPr>
        <w:autoSpaceDE w:val="0"/>
        <w:autoSpaceDN w:val="0"/>
        <w:ind w:firstLine="653"/>
        <w:jc w:val="center"/>
        <w:rPr>
          <w:rFonts w:ascii="宋体" w:hAnsi="宋体" w:cs="宋体"/>
          <w:b/>
          <w:spacing w:val="6"/>
          <w:sz w:val="32"/>
          <w:szCs w:val="32"/>
        </w:rPr>
      </w:pPr>
    </w:p>
    <w:p w14:paraId="36D496AD">
      <w:pPr>
        <w:autoSpaceDE w:val="0"/>
        <w:autoSpaceDN w:val="0"/>
        <w:ind w:firstLine="653"/>
        <w:jc w:val="center"/>
        <w:rPr>
          <w:rFonts w:ascii="宋体" w:hAnsi="宋体" w:cs="宋体"/>
          <w:b/>
          <w:spacing w:val="6"/>
          <w:sz w:val="32"/>
          <w:szCs w:val="32"/>
        </w:rPr>
      </w:pPr>
    </w:p>
    <w:p w14:paraId="521BDFB5">
      <w:pPr>
        <w:autoSpaceDE w:val="0"/>
        <w:autoSpaceDN w:val="0"/>
        <w:ind w:firstLine="653"/>
        <w:jc w:val="center"/>
        <w:rPr>
          <w:rFonts w:ascii="宋体" w:hAnsi="宋体" w:cs="宋体"/>
          <w:b/>
          <w:spacing w:val="6"/>
          <w:sz w:val="32"/>
          <w:szCs w:val="32"/>
        </w:rPr>
      </w:pPr>
    </w:p>
    <w:p w14:paraId="7512A372">
      <w:pPr>
        <w:autoSpaceDE w:val="0"/>
        <w:autoSpaceDN w:val="0"/>
        <w:ind w:firstLine="653"/>
        <w:jc w:val="center"/>
        <w:rPr>
          <w:rFonts w:ascii="宋体" w:hAnsi="宋体" w:cs="宋体"/>
          <w:b/>
          <w:spacing w:val="6"/>
          <w:sz w:val="32"/>
          <w:szCs w:val="32"/>
        </w:rPr>
      </w:pPr>
    </w:p>
    <w:p w14:paraId="64274B3A">
      <w:pPr>
        <w:autoSpaceDE w:val="0"/>
        <w:autoSpaceDN w:val="0"/>
        <w:ind w:firstLine="653"/>
        <w:jc w:val="center"/>
        <w:rPr>
          <w:rFonts w:ascii="宋体" w:hAnsi="宋体" w:cs="宋体"/>
          <w:b/>
          <w:spacing w:val="6"/>
          <w:sz w:val="32"/>
          <w:szCs w:val="32"/>
        </w:rPr>
      </w:pPr>
    </w:p>
    <w:p w14:paraId="1C2D366C">
      <w:pPr>
        <w:autoSpaceDE w:val="0"/>
        <w:autoSpaceDN w:val="0"/>
        <w:ind w:firstLine="653"/>
        <w:jc w:val="center"/>
        <w:rPr>
          <w:rFonts w:ascii="宋体" w:hAnsi="宋体" w:cs="宋体"/>
          <w:b/>
          <w:spacing w:val="6"/>
          <w:sz w:val="32"/>
          <w:szCs w:val="32"/>
        </w:rPr>
      </w:pPr>
    </w:p>
    <w:p w14:paraId="3B289728">
      <w:pPr>
        <w:autoSpaceDE w:val="0"/>
        <w:autoSpaceDN w:val="0"/>
        <w:ind w:firstLine="653"/>
        <w:jc w:val="center"/>
        <w:rPr>
          <w:rFonts w:ascii="宋体" w:hAnsi="宋体" w:cs="宋体"/>
          <w:b/>
          <w:spacing w:val="6"/>
          <w:sz w:val="32"/>
          <w:szCs w:val="32"/>
        </w:rPr>
      </w:pPr>
    </w:p>
    <w:p w14:paraId="2BB05796">
      <w:pPr>
        <w:autoSpaceDE w:val="0"/>
        <w:autoSpaceDN w:val="0"/>
        <w:ind w:firstLine="653"/>
        <w:jc w:val="center"/>
        <w:rPr>
          <w:rFonts w:ascii="宋体" w:hAnsi="宋体" w:cs="宋体"/>
          <w:b/>
          <w:spacing w:val="6"/>
          <w:sz w:val="32"/>
          <w:szCs w:val="32"/>
        </w:rPr>
      </w:pPr>
    </w:p>
    <w:p w14:paraId="35BFDC88">
      <w:pPr>
        <w:autoSpaceDE w:val="0"/>
        <w:autoSpaceDN w:val="0"/>
        <w:ind w:firstLine="653"/>
        <w:jc w:val="center"/>
        <w:rPr>
          <w:rFonts w:ascii="宋体" w:hAnsi="宋体" w:cs="宋体"/>
          <w:b/>
          <w:spacing w:val="6"/>
          <w:sz w:val="32"/>
          <w:szCs w:val="32"/>
        </w:rPr>
      </w:pPr>
    </w:p>
    <w:p w14:paraId="4699EBAC">
      <w:pPr>
        <w:autoSpaceDE w:val="0"/>
        <w:autoSpaceDN w:val="0"/>
        <w:ind w:firstLine="653"/>
        <w:jc w:val="center"/>
        <w:rPr>
          <w:rFonts w:ascii="宋体" w:hAnsi="宋体" w:cs="宋体"/>
          <w:b/>
          <w:spacing w:val="6"/>
          <w:sz w:val="32"/>
          <w:szCs w:val="32"/>
        </w:rPr>
      </w:pPr>
    </w:p>
    <w:p w14:paraId="34814AC3">
      <w:pPr>
        <w:autoSpaceDE w:val="0"/>
        <w:autoSpaceDN w:val="0"/>
        <w:ind w:firstLine="653"/>
        <w:rPr>
          <w:rFonts w:ascii="宋体" w:hAnsi="宋体" w:cs="宋体"/>
          <w:b/>
          <w:spacing w:val="6"/>
          <w:sz w:val="32"/>
          <w:szCs w:val="32"/>
        </w:rPr>
      </w:pPr>
    </w:p>
    <w:sectPr>
      <w:pgSz w:w="11905" w:h="16838"/>
      <w:pgMar w:top="1134" w:right="1304" w:bottom="1134" w:left="1304" w:header="850" w:footer="850" w:gutter="283"/>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AD948">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3ECAD">
    <w:pPr>
      <w:pStyle w:val="39"/>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DE211">
                          <w:pPr>
                            <w:pStyle w:val="39"/>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83DE211">
                    <w:pPr>
                      <w:pStyle w:val="39"/>
                    </w:pPr>
                    <w:r>
                      <w:fldChar w:fldCharType="begin"/>
                    </w:r>
                    <w:r>
                      <w:instrText xml:space="preserve"> PAGE  \* MERGEFORMAT </w:instrText>
                    </w:r>
                    <w:r>
                      <w:fldChar w:fldCharType="separate"/>
                    </w:r>
                    <w:r>
                      <w:t>91</w:t>
                    </w:r>
                    <w:r>
                      <w:fldChar w:fldCharType="end"/>
                    </w:r>
                  </w:p>
                </w:txbxContent>
              </v:textbox>
            </v:shape>
          </w:pict>
        </mc:Fallback>
      </mc:AlternateContent>
    </w:r>
  </w:p>
  <w:p w14:paraId="20561E29">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DCA0F">
    <w:pPr>
      <w:pStyle w:val="39"/>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BB814">
                          <w:pPr>
                            <w:pStyle w:val="39"/>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27BB814">
                    <w:pPr>
                      <w:pStyle w:val="39"/>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1CF50">
    <w:pPr>
      <w:pStyle w:val="39"/>
      <w:ind w:right="36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DB549">
                          <w:pPr>
                            <w:pStyle w:val="39"/>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32DB549">
                    <w:pPr>
                      <w:pStyle w:val="39"/>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5D44C">
    <w:pPr>
      <w:pStyle w:val="39"/>
      <w:rPr>
        <w:rFonts w:ascii="仿宋_GB2312" w:eastAsia="仿宋_GB2312"/>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C8B37">
                          <w:pPr>
                            <w:pStyle w:val="39"/>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56C8B37">
                    <w:pPr>
                      <w:pStyle w:val="39"/>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06AE8">
    <w:pPr>
      <w:pStyle w:val="39"/>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2CC71">
                          <w:pPr>
                            <w:pStyle w:val="3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992CC71">
                    <w:pPr>
                      <w:pStyle w:val="3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0EE48">
    <w:pPr>
      <w:pStyle w:val="39"/>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24335">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4524335">
                    <w:pPr>
                      <w:pStyle w:val="3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B8EC">
    <w:pPr>
      <w:pStyle w:val="39"/>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A88C9">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59A88C9">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91CE6">
    <w:pPr>
      <w:pStyle w:val="39"/>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09AD3">
                          <w:pPr>
                            <w:pStyle w:val="3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F809AD3">
                    <w:pPr>
                      <w:pStyle w:val="3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50F7E">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44177">
                          <w:pPr>
                            <w:pStyle w:val="3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4744177">
                    <w:pPr>
                      <w:pStyle w:val="3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BD6F9">
    <w:pPr>
      <w:pStyle w:val="39"/>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33A99">
                          <w:pPr>
                            <w:pStyle w:val="39"/>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CF33A99">
                    <w:pPr>
                      <w:pStyle w:val="39"/>
                    </w:pPr>
                    <w:r>
                      <w:fldChar w:fldCharType="begin"/>
                    </w:r>
                    <w:r>
                      <w:instrText xml:space="preserve"> PAGE  \* MERGEFORMAT </w:instrText>
                    </w:r>
                    <w:r>
                      <w:fldChar w:fldCharType="separate"/>
                    </w:r>
                    <w:r>
                      <w:t>89</w:t>
                    </w:r>
                    <w:r>
                      <w:fldChar w:fldCharType="end"/>
                    </w:r>
                  </w:p>
                </w:txbxContent>
              </v:textbox>
            </v:shape>
          </w:pict>
        </mc:Fallback>
      </mc:AlternateContent>
    </w:r>
  </w:p>
  <w:p w14:paraId="6B9F56D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72BD4">
    <w:pPr>
      <w:pStyle w:val="39"/>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757BD">
                          <w:pPr>
                            <w:pStyle w:val="39"/>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32B757BD">
                    <w:pPr>
                      <w:pStyle w:val="39"/>
                    </w:pPr>
                    <w:r>
                      <w:fldChar w:fldCharType="begin"/>
                    </w:r>
                    <w:r>
                      <w:instrText xml:space="preserve"> PAGE  \* MERGEFORMAT </w:instrText>
                    </w:r>
                    <w:r>
                      <w:fldChar w:fldCharType="separate"/>
                    </w:r>
                    <w:r>
                      <w:t>88</w:t>
                    </w:r>
                    <w:r>
                      <w:fldChar w:fldCharType="end"/>
                    </w:r>
                  </w:p>
                </w:txbxContent>
              </v:textbox>
            </v:shape>
          </w:pict>
        </mc:Fallback>
      </mc:AlternateContent>
    </w:r>
  </w:p>
  <w:p w14:paraId="08DF70C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BB4B4">
    <w:pPr>
      <w:pStyle w:val="39"/>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DE8D1">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45DE8D1">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B720E">
    <w:pPr>
      <w:pBdr>
        <w:bottom w:val="single" w:color="auto" w:sz="6"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DFD98">
    <w:pPr>
      <w:pBdr>
        <w:bottom w:val="single" w:color="auto" w:sz="6"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460B2">
    <w:pPr>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B2105360"/>
    <w:multiLevelType w:val="singleLevel"/>
    <w:tmpl w:val="B2105360"/>
    <w:lvl w:ilvl="0" w:tentative="0">
      <w:start w:val="8"/>
      <w:numFmt w:val="decimal"/>
      <w:suff w:val="space"/>
      <w:lvlText w:val="%1."/>
      <w:lvlJc w:val="left"/>
    </w:lvl>
  </w:abstractNum>
  <w:abstractNum w:abstractNumId="2">
    <w:nsid w:val="B9306417"/>
    <w:multiLevelType w:val="singleLevel"/>
    <w:tmpl w:val="B9306417"/>
    <w:lvl w:ilvl="0" w:tentative="0">
      <w:start w:val="13"/>
      <w:numFmt w:val="decimal"/>
      <w:suff w:val="space"/>
      <w:lvlText w:val="%1."/>
      <w:lvlJc w:val="left"/>
    </w:lvl>
  </w:abstractNum>
  <w:abstractNum w:abstractNumId="3">
    <w:nsid w:val="BA86BC30"/>
    <w:multiLevelType w:val="singleLevel"/>
    <w:tmpl w:val="BA86BC30"/>
    <w:lvl w:ilvl="0" w:tentative="0">
      <w:start w:val="1"/>
      <w:numFmt w:val="decimal"/>
      <w:suff w:val="nothing"/>
      <w:lvlText w:val="%1、"/>
      <w:lvlJc w:val="left"/>
    </w:lvl>
  </w:abstractNum>
  <w:abstractNum w:abstractNumId="4">
    <w:nsid w:val="294E9A89"/>
    <w:multiLevelType w:val="singleLevel"/>
    <w:tmpl w:val="294E9A89"/>
    <w:lvl w:ilvl="0" w:tentative="0">
      <w:start w:val="2"/>
      <w:numFmt w:val="decimal"/>
      <w:suff w:val="space"/>
      <w:lvlText w:val="%1."/>
      <w:lvlJc w:val="left"/>
    </w:lvl>
  </w:abstractNum>
  <w:abstractNum w:abstractNumId="5">
    <w:nsid w:val="4CF0FD0D"/>
    <w:multiLevelType w:val="singleLevel"/>
    <w:tmpl w:val="4CF0FD0D"/>
    <w:lvl w:ilvl="0" w:tentative="0">
      <w:start w:val="27"/>
      <w:numFmt w:val="decimal"/>
      <w:suff w:val="space"/>
      <w:lvlText w:val="%1."/>
      <w:lvlJc w:val="left"/>
    </w:lvl>
  </w:abstractNum>
  <w:abstractNum w:abstractNumId="6">
    <w:nsid w:val="79D43AAD"/>
    <w:multiLevelType w:val="singleLevel"/>
    <w:tmpl w:val="79D43AAD"/>
    <w:lvl w:ilvl="0" w:tentative="0">
      <w:start w:val="4"/>
      <w:numFmt w:val="chineseCounting"/>
      <w:suff w:val="space"/>
      <w:lvlText w:val="第%1章"/>
      <w:lvlJc w:val="left"/>
      <w:rPr>
        <w:rFonts w:hint="eastAsia"/>
      </w:rPr>
    </w:lvl>
  </w:abstractNum>
  <w:num w:numId="1">
    <w:abstractNumId w:val="4"/>
  </w:num>
  <w:num w:numId="2">
    <w:abstractNumId w:val="1"/>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jVkNWJlYzQ1YTRiYTkwNzc5YWFiMGViY2MyZD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6B00"/>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3F4"/>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80"/>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9BA"/>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CF6"/>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9C8"/>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17E0B"/>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28DE"/>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70"/>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540"/>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854"/>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04"/>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50D"/>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21B"/>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5C44"/>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5BD5"/>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2EB"/>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AF7"/>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65"/>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4682"/>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0E40"/>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9EA"/>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627"/>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C40"/>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D0479"/>
    <w:rsid w:val="012F5F9F"/>
    <w:rsid w:val="01323CE1"/>
    <w:rsid w:val="01457570"/>
    <w:rsid w:val="016F4F85"/>
    <w:rsid w:val="018C33F1"/>
    <w:rsid w:val="019F7441"/>
    <w:rsid w:val="01B37585"/>
    <w:rsid w:val="01B96C47"/>
    <w:rsid w:val="01BF5BF1"/>
    <w:rsid w:val="01C65DA5"/>
    <w:rsid w:val="01D027EB"/>
    <w:rsid w:val="01D55165"/>
    <w:rsid w:val="01DC1F93"/>
    <w:rsid w:val="01DF6BF8"/>
    <w:rsid w:val="01E70DB5"/>
    <w:rsid w:val="01EC2C57"/>
    <w:rsid w:val="01F40F97"/>
    <w:rsid w:val="02025461"/>
    <w:rsid w:val="0217238E"/>
    <w:rsid w:val="02182ED7"/>
    <w:rsid w:val="02535CBD"/>
    <w:rsid w:val="02546389"/>
    <w:rsid w:val="025F0711"/>
    <w:rsid w:val="026B2E25"/>
    <w:rsid w:val="02824D4D"/>
    <w:rsid w:val="028916DF"/>
    <w:rsid w:val="02895B83"/>
    <w:rsid w:val="02927F5A"/>
    <w:rsid w:val="02AE0B1F"/>
    <w:rsid w:val="02B01557"/>
    <w:rsid w:val="02C72207"/>
    <w:rsid w:val="02D908B8"/>
    <w:rsid w:val="02DC4B10"/>
    <w:rsid w:val="02DD76CE"/>
    <w:rsid w:val="02E35293"/>
    <w:rsid w:val="02EB4148"/>
    <w:rsid w:val="02F36323"/>
    <w:rsid w:val="02F5619C"/>
    <w:rsid w:val="0326446A"/>
    <w:rsid w:val="032D5555"/>
    <w:rsid w:val="03483348"/>
    <w:rsid w:val="036634D2"/>
    <w:rsid w:val="037160A9"/>
    <w:rsid w:val="03885E3A"/>
    <w:rsid w:val="039C6C7D"/>
    <w:rsid w:val="03B26B04"/>
    <w:rsid w:val="03B43A47"/>
    <w:rsid w:val="03C30C20"/>
    <w:rsid w:val="03DD35E4"/>
    <w:rsid w:val="03E571CE"/>
    <w:rsid w:val="03EF7C67"/>
    <w:rsid w:val="03F040A4"/>
    <w:rsid w:val="03F4702C"/>
    <w:rsid w:val="03FC5650"/>
    <w:rsid w:val="04076900"/>
    <w:rsid w:val="04177352"/>
    <w:rsid w:val="04196B7A"/>
    <w:rsid w:val="041A5A3B"/>
    <w:rsid w:val="04207E21"/>
    <w:rsid w:val="042311BA"/>
    <w:rsid w:val="042B157A"/>
    <w:rsid w:val="04455AD9"/>
    <w:rsid w:val="04591994"/>
    <w:rsid w:val="048F763B"/>
    <w:rsid w:val="049F330E"/>
    <w:rsid w:val="04AA775C"/>
    <w:rsid w:val="04AB0032"/>
    <w:rsid w:val="04AF1889"/>
    <w:rsid w:val="04B07CB0"/>
    <w:rsid w:val="04C64E6C"/>
    <w:rsid w:val="04F35535"/>
    <w:rsid w:val="04F66F48"/>
    <w:rsid w:val="05095E02"/>
    <w:rsid w:val="051C683A"/>
    <w:rsid w:val="05251E14"/>
    <w:rsid w:val="053F69CD"/>
    <w:rsid w:val="05A16594"/>
    <w:rsid w:val="05A7762D"/>
    <w:rsid w:val="05AC22B4"/>
    <w:rsid w:val="05DD06BF"/>
    <w:rsid w:val="05E03D0C"/>
    <w:rsid w:val="05E530D0"/>
    <w:rsid w:val="05F81055"/>
    <w:rsid w:val="060379FA"/>
    <w:rsid w:val="060E0879"/>
    <w:rsid w:val="060E5941"/>
    <w:rsid w:val="06110FAF"/>
    <w:rsid w:val="061E21DC"/>
    <w:rsid w:val="06493CA7"/>
    <w:rsid w:val="065A1D10"/>
    <w:rsid w:val="065A6178"/>
    <w:rsid w:val="06620BC5"/>
    <w:rsid w:val="066F1CF3"/>
    <w:rsid w:val="068648B3"/>
    <w:rsid w:val="06930BB8"/>
    <w:rsid w:val="06997DBD"/>
    <w:rsid w:val="06D7510F"/>
    <w:rsid w:val="06E95A55"/>
    <w:rsid w:val="06EA7406"/>
    <w:rsid w:val="06F832D7"/>
    <w:rsid w:val="07062F5D"/>
    <w:rsid w:val="070677A2"/>
    <w:rsid w:val="07245D42"/>
    <w:rsid w:val="07264C62"/>
    <w:rsid w:val="073267E9"/>
    <w:rsid w:val="07373DFF"/>
    <w:rsid w:val="07524795"/>
    <w:rsid w:val="075318BB"/>
    <w:rsid w:val="07722A16"/>
    <w:rsid w:val="0779354C"/>
    <w:rsid w:val="07846919"/>
    <w:rsid w:val="078D1C71"/>
    <w:rsid w:val="078E1545"/>
    <w:rsid w:val="07A46B95"/>
    <w:rsid w:val="07AD5E6F"/>
    <w:rsid w:val="07D11A8F"/>
    <w:rsid w:val="07F25F78"/>
    <w:rsid w:val="07F92E63"/>
    <w:rsid w:val="08061376"/>
    <w:rsid w:val="083251D0"/>
    <w:rsid w:val="0842480A"/>
    <w:rsid w:val="08444A26"/>
    <w:rsid w:val="08452D77"/>
    <w:rsid w:val="085E75C3"/>
    <w:rsid w:val="086401F8"/>
    <w:rsid w:val="08661343"/>
    <w:rsid w:val="08716E9D"/>
    <w:rsid w:val="08751CAA"/>
    <w:rsid w:val="087E4C40"/>
    <w:rsid w:val="087F4AB2"/>
    <w:rsid w:val="08923AEE"/>
    <w:rsid w:val="08A871D0"/>
    <w:rsid w:val="08B82D1E"/>
    <w:rsid w:val="08CF1E07"/>
    <w:rsid w:val="08D66AD6"/>
    <w:rsid w:val="08DA33A3"/>
    <w:rsid w:val="08DF474E"/>
    <w:rsid w:val="08E80F13"/>
    <w:rsid w:val="08F55D20"/>
    <w:rsid w:val="09061EBF"/>
    <w:rsid w:val="092A6FF7"/>
    <w:rsid w:val="09335624"/>
    <w:rsid w:val="09336848"/>
    <w:rsid w:val="09436A8B"/>
    <w:rsid w:val="0944690F"/>
    <w:rsid w:val="09535675"/>
    <w:rsid w:val="095F057D"/>
    <w:rsid w:val="095F763D"/>
    <w:rsid w:val="09642282"/>
    <w:rsid w:val="09646A02"/>
    <w:rsid w:val="09733572"/>
    <w:rsid w:val="09772C16"/>
    <w:rsid w:val="098353B5"/>
    <w:rsid w:val="09A92330"/>
    <w:rsid w:val="09B06B87"/>
    <w:rsid w:val="09C13146"/>
    <w:rsid w:val="09E0077E"/>
    <w:rsid w:val="09E04166"/>
    <w:rsid w:val="09E638BB"/>
    <w:rsid w:val="09FC4E8C"/>
    <w:rsid w:val="09FD08E2"/>
    <w:rsid w:val="0A1C0718"/>
    <w:rsid w:val="0A2E45E0"/>
    <w:rsid w:val="0A3E7710"/>
    <w:rsid w:val="0A522CFE"/>
    <w:rsid w:val="0A577EA6"/>
    <w:rsid w:val="0A5B7E63"/>
    <w:rsid w:val="0A5C592B"/>
    <w:rsid w:val="0A6C14EC"/>
    <w:rsid w:val="0A703465"/>
    <w:rsid w:val="0A851326"/>
    <w:rsid w:val="0A915C66"/>
    <w:rsid w:val="0A943317"/>
    <w:rsid w:val="0A9A35B5"/>
    <w:rsid w:val="0AA374A5"/>
    <w:rsid w:val="0AAB7649"/>
    <w:rsid w:val="0ABC321E"/>
    <w:rsid w:val="0ABC5606"/>
    <w:rsid w:val="0AC37021"/>
    <w:rsid w:val="0AF50259"/>
    <w:rsid w:val="0B13248D"/>
    <w:rsid w:val="0B30404E"/>
    <w:rsid w:val="0B322488"/>
    <w:rsid w:val="0B4C6C14"/>
    <w:rsid w:val="0B547599"/>
    <w:rsid w:val="0B6251C3"/>
    <w:rsid w:val="0B631A88"/>
    <w:rsid w:val="0B683D45"/>
    <w:rsid w:val="0B7F3F11"/>
    <w:rsid w:val="0B7F5D75"/>
    <w:rsid w:val="0B884417"/>
    <w:rsid w:val="0B974E6D"/>
    <w:rsid w:val="0BF6188C"/>
    <w:rsid w:val="0BF73C91"/>
    <w:rsid w:val="0BF85AB1"/>
    <w:rsid w:val="0C0B585A"/>
    <w:rsid w:val="0C142961"/>
    <w:rsid w:val="0C170175"/>
    <w:rsid w:val="0C2D57D1"/>
    <w:rsid w:val="0C571A41"/>
    <w:rsid w:val="0C5C1171"/>
    <w:rsid w:val="0C5E1CBC"/>
    <w:rsid w:val="0C615B50"/>
    <w:rsid w:val="0C8445DA"/>
    <w:rsid w:val="0C87121B"/>
    <w:rsid w:val="0C970E9C"/>
    <w:rsid w:val="0CBF689E"/>
    <w:rsid w:val="0CC007F7"/>
    <w:rsid w:val="0CC617AC"/>
    <w:rsid w:val="0CCB65DA"/>
    <w:rsid w:val="0CE02843"/>
    <w:rsid w:val="0CE618DF"/>
    <w:rsid w:val="0CF27C1D"/>
    <w:rsid w:val="0CF87B8D"/>
    <w:rsid w:val="0CFE707A"/>
    <w:rsid w:val="0D063BDA"/>
    <w:rsid w:val="0D08375F"/>
    <w:rsid w:val="0D183D8B"/>
    <w:rsid w:val="0D184CFB"/>
    <w:rsid w:val="0D220E93"/>
    <w:rsid w:val="0D2A3181"/>
    <w:rsid w:val="0D470B14"/>
    <w:rsid w:val="0D4A7419"/>
    <w:rsid w:val="0D4E6AD0"/>
    <w:rsid w:val="0D827401"/>
    <w:rsid w:val="0D84094E"/>
    <w:rsid w:val="0D890AF9"/>
    <w:rsid w:val="0D8A00E9"/>
    <w:rsid w:val="0D8D589E"/>
    <w:rsid w:val="0D9F44AC"/>
    <w:rsid w:val="0DA01C73"/>
    <w:rsid w:val="0DA6012B"/>
    <w:rsid w:val="0DCF0AD1"/>
    <w:rsid w:val="0DD63300"/>
    <w:rsid w:val="0DE16873"/>
    <w:rsid w:val="0DED5218"/>
    <w:rsid w:val="0DF50604"/>
    <w:rsid w:val="0DF702FE"/>
    <w:rsid w:val="0E060E51"/>
    <w:rsid w:val="0E0D58BA"/>
    <w:rsid w:val="0E1C3D4F"/>
    <w:rsid w:val="0E230C39"/>
    <w:rsid w:val="0E5604B2"/>
    <w:rsid w:val="0E6D5D79"/>
    <w:rsid w:val="0E7E7E86"/>
    <w:rsid w:val="0E8D69FB"/>
    <w:rsid w:val="0E8F62CF"/>
    <w:rsid w:val="0E9D0089"/>
    <w:rsid w:val="0EA24254"/>
    <w:rsid w:val="0EA7186A"/>
    <w:rsid w:val="0EB17DC4"/>
    <w:rsid w:val="0EB803EE"/>
    <w:rsid w:val="0EE56A0E"/>
    <w:rsid w:val="0EE91E83"/>
    <w:rsid w:val="0EF94D4B"/>
    <w:rsid w:val="0F0A004B"/>
    <w:rsid w:val="0F144A26"/>
    <w:rsid w:val="0F1F541B"/>
    <w:rsid w:val="0F2412A4"/>
    <w:rsid w:val="0F395372"/>
    <w:rsid w:val="0F484F23"/>
    <w:rsid w:val="0F4958DC"/>
    <w:rsid w:val="0F515DF7"/>
    <w:rsid w:val="0F5341AC"/>
    <w:rsid w:val="0F582B65"/>
    <w:rsid w:val="0F596BA8"/>
    <w:rsid w:val="0F6248D2"/>
    <w:rsid w:val="0F693536"/>
    <w:rsid w:val="0F7B0511"/>
    <w:rsid w:val="0F7B76D9"/>
    <w:rsid w:val="0F816ACD"/>
    <w:rsid w:val="0F9832DB"/>
    <w:rsid w:val="0FBD1E2B"/>
    <w:rsid w:val="0FBF0E36"/>
    <w:rsid w:val="0FBF3FD2"/>
    <w:rsid w:val="0FBF7FF3"/>
    <w:rsid w:val="0FC24F0B"/>
    <w:rsid w:val="0FC85F3C"/>
    <w:rsid w:val="0FD22917"/>
    <w:rsid w:val="0FD85A54"/>
    <w:rsid w:val="10036F74"/>
    <w:rsid w:val="10044A9B"/>
    <w:rsid w:val="103661B5"/>
    <w:rsid w:val="105E064F"/>
    <w:rsid w:val="10646583"/>
    <w:rsid w:val="106F460A"/>
    <w:rsid w:val="107D4B15"/>
    <w:rsid w:val="108A3C80"/>
    <w:rsid w:val="108D2CE2"/>
    <w:rsid w:val="108F49F7"/>
    <w:rsid w:val="10914580"/>
    <w:rsid w:val="10915F18"/>
    <w:rsid w:val="10C26171"/>
    <w:rsid w:val="10CF50A9"/>
    <w:rsid w:val="10DC6604"/>
    <w:rsid w:val="10E2302E"/>
    <w:rsid w:val="10E24B92"/>
    <w:rsid w:val="10ED552F"/>
    <w:rsid w:val="10F33360"/>
    <w:rsid w:val="10FC16EA"/>
    <w:rsid w:val="110E3E23"/>
    <w:rsid w:val="110F1D40"/>
    <w:rsid w:val="1114617F"/>
    <w:rsid w:val="11166833"/>
    <w:rsid w:val="11266F33"/>
    <w:rsid w:val="112C43F3"/>
    <w:rsid w:val="11603F53"/>
    <w:rsid w:val="11834DCC"/>
    <w:rsid w:val="118963A1"/>
    <w:rsid w:val="11A028C6"/>
    <w:rsid w:val="11C6522A"/>
    <w:rsid w:val="11E04EEF"/>
    <w:rsid w:val="11E104CC"/>
    <w:rsid w:val="11E20309"/>
    <w:rsid w:val="120B0362"/>
    <w:rsid w:val="12186DE8"/>
    <w:rsid w:val="12255233"/>
    <w:rsid w:val="12266F4A"/>
    <w:rsid w:val="123727DF"/>
    <w:rsid w:val="123A5085"/>
    <w:rsid w:val="123D1751"/>
    <w:rsid w:val="12435D4E"/>
    <w:rsid w:val="12437C74"/>
    <w:rsid w:val="12530213"/>
    <w:rsid w:val="12563718"/>
    <w:rsid w:val="127451CA"/>
    <w:rsid w:val="127723A9"/>
    <w:rsid w:val="12862074"/>
    <w:rsid w:val="12883966"/>
    <w:rsid w:val="129E45B4"/>
    <w:rsid w:val="12AF6F40"/>
    <w:rsid w:val="12B26A30"/>
    <w:rsid w:val="12D31BDC"/>
    <w:rsid w:val="12D40754"/>
    <w:rsid w:val="12D81596"/>
    <w:rsid w:val="12E3308D"/>
    <w:rsid w:val="130628D8"/>
    <w:rsid w:val="13072A44"/>
    <w:rsid w:val="13086650"/>
    <w:rsid w:val="13157522"/>
    <w:rsid w:val="131B6178"/>
    <w:rsid w:val="135F4BE2"/>
    <w:rsid w:val="139B1A0A"/>
    <w:rsid w:val="139D25C7"/>
    <w:rsid w:val="13BB7AE9"/>
    <w:rsid w:val="13BD33B3"/>
    <w:rsid w:val="13BF3CE4"/>
    <w:rsid w:val="13C20EF5"/>
    <w:rsid w:val="13CE33F5"/>
    <w:rsid w:val="13D1738A"/>
    <w:rsid w:val="141008D8"/>
    <w:rsid w:val="14125FE6"/>
    <w:rsid w:val="142851FC"/>
    <w:rsid w:val="146D271E"/>
    <w:rsid w:val="1483335E"/>
    <w:rsid w:val="14904B4F"/>
    <w:rsid w:val="149208C7"/>
    <w:rsid w:val="14982588"/>
    <w:rsid w:val="149A5AD9"/>
    <w:rsid w:val="149C7998"/>
    <w:rsid w:val="14A3529A"/>
    <w:rsid w:val="14A7619D"/>
    <w:rsid w:val="14BD76C0"/>
    <w:rsid w:val="14BE346A"/>
    <w:rsid w:val="14CA62B3"/>
    <w:rsid w:val="14DB226E"/>
    <w:rsid w:val="14FE34A2"/>
    <w:rsid w:val="150536C3"/>
    <w:rsid w:val="150C1963"/>
    <w:rsid w:val="151447A0"/>
    <w:rsid w:val="15232E3B"/>
    <w:rsid w:val="152B4878"/>
    <w:rsid w:val="153D5CAA"/>
    <w:rsid w:val="154A6454"/>
    <w:rsid w:val="155216E1"/>
    <w:rsid w:val="15762120"/>
    <w:rsid w:val="15793835"/>
    <w:rsid w:val="157D50D3"/>
    <w:rsid w:val="15A72FD0"/>
    <w:rsid w:val="15FB06EE"/>
    <w:rsid w:val="161F43DC"/>
    <w:rsid w:val="16482FA1"/>
    <w:rsid w:val="16567323"/>
    <w:rsid w:val="165C118C"/>
    <w:rsid w:val="167575DE"/>
    <w:rsid w:val="16A8729C"/>
    <w:rsid w:val="16B0768E"/>
    <w:rsid w:val="16B33777"/>
    <w:rsid w:val="16BC70A7"/>
    <w:rsid w:val="16C6339E"/>
    <w:rsid w:val="16D927DD"/>
    <w:rsid w:val="16FE0496"/>
    <w:rsid w:val="171C4DC0"/>
    <w:rsid w:val="172244D9"/>
    <w:rsid w:val="172F2D79"/>
    <w:rsid w:val="17344A7C"/>
    <w:rsid w:val="17557BEF"/>
    <w:rsid w:val="175C5D77"/>
    <w:rsid w:val="1767428D"/>
    <w:rsid w:val="176D6B05"/>
    <w:rsid w:val="177644D0"/>
    <w:rsid w:val="1780342C"/>
    <w:rsid w:val="178A6DBB"/>
    <w:rsid w:val="179B7A92"/>
    <w:rsid w:val="17A74689"/>
    <w:rsid w:val="17D349C1"/>
    <w:rsid w:val="17F15696"/>
    <w:rsid w:val="17F758CF"/>
    <w:rsid w:val="18137F71"/>
    <w:rsid w:val="182B52BA"/>
    <w:rsid w:val="1830729E"/>
    <w:rsid w:val="1870062C"/>
    <w:rsid w:val="18707171"/>
    <w:rsid w:val="187D188E"/>
    <w:rsid w:val="1881312C"/>
    <w:rsid w:val="18817102"/>
    <w:rsid w:val="18830A15"/>
    <w:rsid w:val="18852B28"/>
    <w:rsid w:val="188B5321"/>
    <w:rsid w:val="18C27F65"/>
    <w:rsid w:val="18C43019"/>
    <w:rsid w:val="19205BDC"/>
    <w:rsid w:val="193D1C1D"/>
    <w:rsid w:val="194460D3"/>
    <w:rsid w:val="19575C3B"/>
    <w:rsid w:val="19932372"/>
    <w:rsid w:val="19A20DD5"/>
    <w:rsid w:val="19AE03F1"/>
    <w:rsid w:val="19D86DBC"/>
    <w:rsid w:val="19DB4ABE"/>
    <w:rsid w:val="1A071A03"/>
    <w:rsid w:val="1A18186E"/>
    <w:rsid w:val="1A1F16AE"/>
    <w:rsid w:val="1A255D39"/>
    <w:rsid w:val="1A330456"/>
    <w:rsid w:val="1A3B5C77"/>
    <w:rsid w:val="1A524D25"/>
    <w:rsid w:val="1A6B5DA4"/>
    <w:rsid w:val="1A92472C"/>
    <w:rsid w:val="1A984BAD"/>
    <w:rsid w:val="1AB8220E"/>
    <w:rsid w:val="1ADB711C"/>
    <w:rsid w:val="1AE4166C"/>
    <w:rsid w:val="1AE720E2"/>
    <w:rsid w:val="1AF000F5"/>
    <w:rsid w:val="1AF06CFB"/>
    <w:rsid w:val="1AF11B8D"/>
    <w:rsid w:val="1AF13C50"/>
    <w:rsid w:val="1B11359C"/>
    <w:rsid w:val="1B1A58AD"/>
    <w:rsid w:val="1B2A271F"/>
    <w:rsid w:val="1B2D30F7"/>
    <w:rsid w:val="1B440B41"/>
    <w:rsid w:val="1B530544"/>
    <w:rsid w:val="1B530684"/>
    <w:rsid w:val="1B5771AB"/>
    <w:rsid w:val="1B5A125F"/>
    <w:rsid w:val="1B713184"/>
    <w:rsid w:val="1BA209CF"/>
    <w:rsid w:val="1BB4777D"/>
    <w:rsid w:val="1BD07194"/>
    <w:rsid w:val="1BD75AB8"/>
    <w:rsid w:val="1BE340FE"/>
    <w:rsid w:val="1BEA259D"/>
    <w:rsid w:val="1BEC6B0F"/>
    <w:rsid w:val="1BEF4851"/>
    <w:rsid w:val="1BFA1B6C"/>
    <w:rsid w:val="1C0459C2"/>
    <w:rsid w:val="1C0A3DA5"/>
    <w:rsid w:val="1C0A51E7"/>
    <w:rsid w:val="1C1B3B4A"/>
    <w:rsid w:val="1C7725CD"/>
    <w:rsid w:val="1C774B98"/>
    <w:rsid w:val="1C88086E"/>
    <w:rsid w:val="1CA078F9"/>
    <w:rsid w:val="1CA64E1F"/>
    <w:rsid w:val="1CF245F9"/>
    <w:rsid w:val="1CFD2FA0"/>
    <w:rsid w:val="1D077978"/>
    <w:rsid w:val="1D1231FB"/>
    <w:rsid w:val="1D13631D"/>
    <w:rsid w:val="1D1C1676"/>
    <w:rsid w:val="1D266CE1"/>
    <w:rsid w:val="1D273244"/>
    <w:rsid w:val="1D3963AF"/>
    <w:rsid w:val="1D3D0FE5"/>
    <w:rsid w:val="1D6A673C"/>
    <w:rsid w:val="1D7A1B7C"/>
    <w:rsid w:val="1D7B4750"/>
    <w:rsid w:val="1D9247AE"/>
    <w:rsid w:val="1DA70EB5"/>
    <w:rsid w:val="1DB567EC"/>
    <w:rsid w:val="1DE33F41"/>
    <w:rsid w:val="1DF51A98"/>
    <w:rsid w:val="1E067C30"/>
    <w:rsid w:val="1E0A5972"/>
    <w:rsid w:val="1E371794"/>
    <w:rsid w:val="1E3D060F"/>
    <w:rsid w:val="1E3F3E02"/>
    <w:rsid w:val="1E3F7D2E"/>
    <w:rsid w:val="1E4134E4"/>
    <w:rsid w:val="1E5062B3"/>
    <w:rsid w:val="1E523514"/>
    <w:rsid w:val="1E6D7CAF"/>
    <w:rsid w:val="1E714A66"/>
    <w:rsid w:val="1E802593"/>
    <w:rsid w:val="1E8B6156"/>
    <w:rsid w:val="1E934127"/>
    <w:rsid w:val="1E960FB4"/>
    <w:rsid w:val="1EA703CC"/>
    <w:rsid w:val="1EB7330C"/>
    <w:rsid w:val="1EC04B2B"/>
    <w:rsid w:val="1ECF42FE"/>
    <w:rsid w:val="1F0A0FF3"/>
    <w:rsid w:val="1F0C2E79"/>
    <w:rsid w:val="1F291E28"/>
    <w:rsid w:val="1F574BE7"/>
    <w:rsid w:val="1F5771FF"/>
    <w:rsid w:val="1F5A5233"/>
    <w:rsid w:val="1F646BF6"/>
    <w:rsid w:val="1F904124"/>
    <w:rsid w:val="1FA624BD"/>
    <w:rsid w:val="1FB042F7"/>
    <w:rsid w:val="1FB81CEA"/>
    <w:rsid w:val="1FE868A9"/>
    <w:rsid w:val="1FF24910"/>
    <w:rsid w:val="20034907"/>
    <w:rsid w:val="20173E4B"/>
    <w:rsid w:val="20196340"/>
    <w:rsid w:val="20450EE3"/>
    <w:rsid w:val="204A02A8"/>
    <w:rsid w:val="204E48BC"/>
    <w:rsid w:val="2058313A"/>
    <w:rsid w:val="20711CD8"/>
    <w:rsid w:val="20806821"/>
    <w:rsid w:val="208921B3"/>
    <w:rsid w:val="20973DEB"/>
    <w:rsid w:val="20B147CB"/>
    <w:rsid w:val="20B26522"/>
    <w:rsid w:val="20B41541"/>
    <w:rsid w:val="20B44310"/>
    <w:rsid w:val="20BA367F"/>
    <w:rsid w:val="20CC33B3"/>
    <w:rsid w:val="20CE0BB1"/>
    <w:rsid w:val="211116EB"/>
    <w:rsid w:val="2116094D"/>
    <w:rsid w:val="213F5933"/>
    <w:rsid w:val="21470C8B"/>
    <w:rsid w:val="2150126A"/>
    <w:rsid w:val="2150441A"/>
    <w:rsid w:val="216133FC"/>
    <w:rsid w:val="2197576F"/>
    <w:rsid w:val="21C3264A"/>
    <w:rsid w:val="21D56769"/>
    <w:rsid w:val="21E07116"/>
    <w:rsid w:val="21E52EF3"/>
    <w:rsid w:val="21FB5D7B"/>
    <w:rsid w:val="22015E94"/>
    <w:rsid w:val="22066450"/>
    <w:rsid w:val="220B1C3D"/>
    <w:rsid w:val="221D1D20"/>
    <w:rsid w:val="22200A78"/>
    <w:rsid w:val="22334A87"/>
    <w:rsid w:val="22387D8C"/>
    <w:rsid w:val="22627A44"/>
    <w:rsid w:val="226513C9"/>
    <w:rsid w:val="22711B4B"/>
    <w:rsid w:val="22717D6E"/>
    <w:rsid w:val="22AA3280"/>
    <w:rsid w:val="22AC349C"/>
    <w:rsid w:val="22BE6801"/>
    <w:rsid w:val="22D05153"/>
    <w:rsid w:val="22F4274D"/>
    <w:rsid w:val="23181425"/>
    <w:rsid w:val="23205491"/>
    <w:rsid w:val="23243032"/>
    <w:rsid w:val="233500BF"/>
    <w:rsid w:val="23377FF7"/>
    <w:rsid w:val="234C51BE"/>
    <w:rsid w:val="236B425F"/>
    <w:rsid w:val="236C6787"/>
    <w:rsid w:val="23836192"/>
    <w:rsid w:val="23901F29"/>
    <w:rsid w:val="23921F6D"/>
    <w:rsid w:val="239C0061"/>
    <w:rsid w:val="23B908A4"/>
    <w:rsid w:val="23D22A8E"/>
    <w:rsid w:val="23E95BEF"/>
    <w:rsid w:val="23FD0064"/>
    <w:rsid w:val="243E2BC9"/>
    <w:rsid w:val="2449696F"/>
    <w:rsid w:val="245375B0"/>
    <w:rsid w:val="24642C0A"/>
    <w:rsid w:val="24653A38"/>
    <w:rsid w:val="24852253"/>
    <w:rsid w:val="249F6F2F"/>
    <w:rsid w:val="24B22173"/>
    <w:rsid w:val="24B95AD9"/>
    <w:rsid w:val="24BE24DA"/>
    <w:rsid w:val="24CF5825"/>
    <w:rsid w:val="24D663E6"/>
    <w:rsid w:val="24D77F2B"/>
    <w:rsid w:val="252A06A8"/>
    <w:rsid w:val="255F2A47"/>
    <w:rsid w:val="25787665"/>
    <w:rsid w:val="257E00AB"/>
    <w:rsid w:val="258379D8"/>
    <w:rsid w:val="258B00E2"/>
    <w:rsid w:val="258F49EF"/>
    <w:rsid w:val="25A917A6"/>
    <w:rsid w:val="25AE2C37"/>
    <w:rsid w:val="25B34B41"/>
    <w:rsid w:val="25BE27CC"/>
    <w:rsid w:val="25DA3DC1"/>
    <w:rsid w:val="25DF5936"/>
    <w:rsid w:val="25F34F3E"/>
    <w:rsid w:val="25F74A5C"/>
    <w:rsid w:val="25F80F5A"/>
    <w:rsid w:val="261D22D5"/>
    <w:rsid w:val="261E020C"/>
    <w:rsid w:val="2628662C"/>
    <w:rsid w:val="262D45DE"/>
    <w:rsid w:val="26310613"/>
    <w:rsid w:val="26487037"/>
    <w:rsid w:val="26871DC8"/>
    <w:rsid w:val="268E67EC"/>
    <w:rsid w:val="26A53EF9"/>
    <w:rsid w:val="26A64D3D"/>
    <w:rsid w:val="26A94201"/>
    <w:rsid w:val="26AC274F"/>
    <w:rsid w:val="26B96187"/>
    <w:rsid w:val="26DA1241"/>
    <w:rsid w:val="26DE174A"/>
    <w:rsid w:val="26E44A40"/>
    <w:rsid w:val="27044A29"/>
    <w:rsid w:val="27082C6B"/>
    <w:rsid w:val="271D34C8"/>
    <w:rsid w:val="273E043A"/>
    <w:rsid w:val="27473793"/>
    <w:rsid w:val="276142BF"/>
    <w:rsid w:val="27675BE3"/>
    <w:rsid w:val="2772576F"/>
    <w:rsid w:val="27777B13"/>
    <w:rsid w:val="27783712"/>
    <w:rsid w:val="27907362"/>
    <w:rsid w:val="2802635D"/>
    <w:rsid w:val="28034FD9"/>
    <w:rsid w:val="2807197A"/>
    <w:rsid w:val="28095542"/>
    <w:rsid w:val="28252403"/>
    <w:rsid w:val="28333E1D"/>
    <w:rsid w:val="283F26BC"/>
    <w:rsid w:val="28454BD6"/>
    <w:rsid w:val="28455253"/>
    <w:rsid w:val="28551971"/>
    <w:rsid w:val="285B1C53"/>
    <w:rsid w:val="2881374C"/>
    <w:rsid w:val="28844573"/>
    <w:rsid w:val="289F7086"/>
    <w:rsid w:val="28BC55CF"/>
    <w:rsid w:val="28C32028"/>
    <w:rsid w:val="28CC490F"/>
    <w:rsid w:val="28DE40AA"/>
    <w:rsid w:val="28FF3475"/>
    <w:rsid w:val="29211DC2"/>
    <w:rsid w:val="29345E77"/>
    <w:rsid w:val="293D309F"/>
    <w:rsid w:val="293D4E4D"/>
    <w:rsid w:val="294C65AD"/>
    <w:rsid w:val="295143AA"/>
    <w:rsid w:val="29806583"/>
    <w:rsid w:val="298B3C4C"/>
    <w:rsid w:val="29E76B67"/>
    <w:rsid w:val="29F26D24"/>
    <w:rsid w:val="2A024C96"/>
    <w:rsid w:val="2A15033F"/>
    <w:rsid w:val="2A1662C1"/>
    <w:rsid w:val="2A1C7367"/>
    <w:rsid w:val="2A2815FA"/>
    <w:rsid w:val="2A6D6092"/>
    <w:rsid w:val="2A7D76B4"/>
    <w:rsid w:val="2A9156A2"/>
    <w:rsid w:val="2A9A62D0"/>
    <w:rsid w:val="2AFE2B0B"/>
    <w:rsid w:val="2B0379D1"/>
    <w:rsid w:val="2B437463"/>
    <w:rsid w:val="2B68485A"/>
    <w:rsid w:val="2B7807EE"/>
    <w:rsid w:val="2B88437A"/>
    <w:rsid w:val="2B9B6F60"/>
    <w:rsid w:val="2BA50BF7"/>
    <w:rsid w:val="2BBF00EC"/>
    <w:rsid w:val="2BC37CFD"/>
    <w:rsid w:val="2BD5237F"/>
    <w:rsid w:val="2BE536CE"/>
    <w:rsid w:val="2BE758D9"/>
    <w:rsid w:val="2BEB76E9"/>
    <w:rsid w:val="2C09049E"/>
    <w:rsid w:val="2C0A653C"/>
    <w:rsid w:val="2C191F85"/>
    <w:rsid w:val="2C361C61"/>
    <w:rsid w:val="2C4742B6"/>
    <w:rsid w:val="2C4803BE"/>
    <w:rsid w:val="2C5941DA"/>
    <w:rsid w:val="2C6D6E86"/>
    <w:rsid w:val="2C9254B0"/>
    <w:rsid w:val="2CB27900"/>
    <w:rsid w:val="2CDD26B3"/>
    <w:rsid w:val="2CE82D6F"/>
    <w:rsid w:val="2CF27721"/>
    <w:rsid w:val="2D285E15"/>
    <w:rsid w:val="2D343236"/>
    <w:rsid w:val="2D6F5FB2"/>
    <w:rsid w:val="2D744BB6"/>
    <w:rsid w:val="2D7E15B6"/>
    <w:rsid w:val="2D856DC3"/>
    <w:rsid w:val="2D9B65E7"/>
    <w:rsid w:val="2D9E1C33"/>
    <w:rsid w:val="2DA01DCA"/>
    <w:rsid w:val="2DD15014"/>
    <w:rsid w:val="2DF72DE4"/>
    <w:rsid w:val="2E0220AF"/>
    <w:rsid w:val="2E051CB2"/>
    <w:rsid w:val="2E382CD4"/>
    <w:rsid w:val="2E445FE7"/>
    <w:rsid w:val="2E4B082A"/>
    <w:rsid w:val="2E514EF7"/>
    <w:rsid w:val="2E5D4E86"/>
    <w:rsid w:val="2E5D790B"/>
    <w:rsid w:val="2E821554"/>
    <w:rsid w:val="2E9A3C18"/>
    <w:rsid w:val="2EB15996"/>
    <w:rsid w:val="2EBB0FEE"/>
    <w:rsid w:val="2EC61441"/>
    <w:rsid w:val="2EC63002"/>
    <w:rsid w:val="2EE134AA"/>
    <w:rsid w:val="2EEE2BF6"/>
    <w:rsid w:val="2EFA10EB"/>
    <w:rsid w:val="2EFC76B8"/>
    <w:rsid w:val="2F0A6B38"/>
    <w:rsid w:val="2F3445FD"/>
    <w:rsid w:val="2F3B2EF1"/>
    <w:rsid w:val="2F6A001E"/>
    <w:rsid w:val="2F946CCB"/>
    <w:rsid w:val="2F990904"/>
    <w:rsid w:val="2FC14EA1"/>
    <w:rsid w:val="2FC406FF"/>
    <w:rsid w:val="2FD25781"/>
    <w:rsid w:val="2FD962A4"/>
    <w:rsid w:val="2FDC745C"/>
    <w:rsid w:val="2FE31AD2"/>
    <w:rsid w:val="2FED29FE"/>
    <w:rsid w:val="2FFD7934"/>
    <w:rsid w:val="30393E95"/>
    <w:rsid w:val="304F76D1"/>
    <w:rsid w:val="30556F21"/>
    <w:rsid w:val="307040AB"/>
    <w:rsid w:val="30733ACD"/>
    <w:rsid w:val="308C3862"/>
    <w:rsid w:val="309379D8"/>
    <w:rsid w:val="30A270F7"/>
    <w:rsid w:val="30A720E9"/>
    <w:rsid w:val="30A77AB6"/>
    <w:rsid w:val="30A92DC8"/>
    <w:rsid w:val="30DF1478"/>
    <w:rsid w:val="30EC586F"/>
    <w:rsid w:val="30F04241"/>
    <w:rsid w:val="311E5564"/>
    <w:rsid w:val="31424559"/>
    <w:rsid w:val="3159290B"/>
    <w:rsid w:val="316D2048"/>
    <w:rsid w:val="31750EFD"/>
    <w:rsid w:val="317D2178"/>
    <w:rsid w:val="318B4A3C"/>
    <w:rsid w:val="319C6071"/>
    <w:rsid w:val="31A11ECE"/>
    <w:rsid w:val="31AC537E"/>
    <w:rsid w:val="31E3679B"/>
    <w:rsid w:val="31E732FD"/>
    <w:rsid w:val="31FC517A"/>
    <w:rsid w:val="323C423F"/>
    <w:rsid w:val="32496611"/>
    <w:rsid w:val="32517576"/>
    <w:rsid w:val="325C248D"/>
    <w:rsid w:val="325F2F6A"/>
    <w:rsid w:val="32713375"/>
    <w:rsid w:val="32786EF6"/>
    <w:rsid w:val="329A6E6D"/>
    <w:rsid w:val="32A25D21"/>
    <w:rsid w:val="32BE5C2C"/>
    <w:rsid w:val="32D63C1D"/>
    <w:rsid w:val="32E427DE"/>
    <w:rsid w:val="32FB6478"/>
    <w:rsid w:val="3303660E"/>
    <w:rsid w:val="332143CC"/>
    <w:rsid w:val="332410BB"/>
    <w:rsid w:val="33263B3F"/>
    <w:rsid w:val="3337290D"/>
    <w:rsid w:val="336963EB"/>
    <w:rsid w:val="33816EEB"/>
    <w:rsid w:val="33900270"/>
    <w:rsid w:val="339E0BDF"/>
    <w:rsid w:val="33B70976"/>
    <w:rsid w:val="33EB55CD"/>
    <w:rsid w:val="33EC4C02"/>
    <w:rsid w:val="33F24171"/>
    <w:rsid w:val="33FD3B57"/>
    <w:rsid w:val="340547BA"/>
    <w:rsid w:val="340D2360"/>
    <w:rsid w:val="340D7B12"/>
    <w:rsid w:val="3410665D"/>
    <w:rsid w:val="341744ED"/>
    <w:rsid w:val="34211214"/>
    <w:rsid w:val="34256C0A"/>
    <w:rsid w:val="342E63AB"/>
    <w:rsid w:val="34950E68"/>
    <w:rsid w:val="34986E94"/>
    <w:rsid w:val="34AF62C9"/>
    <w:rsid w:val="34C603ED"/>
    <w:rsid w:val="34C71A6F"/>
    <w:rsid w:val="34CB4388"/>
    <w:rsid w:val="34D81ECE"/>
    <w:rsid w:val="34FA6E12"/>
    <w:rsid w:val="35121C80"/>
    <w:rsid w:val="353C420B"/>
    <w:rsid w:val="354B26A0"/>
    <w:rsid w:val="354D7158"/>
    <w:rsid w:val="354E3F3E"/>
    <w:rsid w:val="358160C2"/>
    <w:rsid w:val="358D5588"/>
    <w:rsid w:val="359A20EB"/>
    <w:rsid w:val="35BC17F0"/>
    <w:rsid w:val="35D3077A"/>
    <w:rsid w:val="35DF4197"/>
    <w:rsid w:val="36294274"/>
    <w:rsid w:val="363A3B40"/>
    <w:rsid w:val="364D069A"/>
    <w:rsid w:val="364D41F6"/>
    <w:rsid w:val="365302AE"/>
    <w:rsid w:val="36551E85"/>
    <w:rsid w:val="36607A0A"/>
    <w:rsid w:val="366652B8"/>
    <w:rsid w:val="366E227C"/>
    <w:rsid w:val="366F2E0D"/>
    <w:rsid w:val="367B6A5C"/>
    <w:rsid w:val="3684230E"/>
    <w:rsid w:val="36A446FF"/>
    <w:rsid w:val="36A74ADA"/>
    <w:rsid w:val="36AD60D5"/>
    <w:rsid w:val="36B20B69"/>
    <w:rsid w:val="36B224F9"/>
    <w:rsid w:val="36EC0CC9"/>
    <w:rsid w:val="37092813"/>
    <w:rsid w:val="37265173"/>
    <w:rsid w:val="372B4B9D"/>
    <w:rsid w:val="373B6744"/>
    <w:rsid w:val="373F410B"/>
    <w:rsid w:val="37403D5B"/>
    <w:rsid w:val="37607F59"/>
    <w:rsid w:val="37CD44D8"/>
    <w:rsid w:val="37E80261"/>
    <w:rsid w:val="37EC4555"/>
    <w:rsid w:val="37EE7094"/>
    <w:rsid w:val="38055562"/>
    <w:rsid w:val="38172D0E"/>
    <w:rsid w:val="38296C89"/>
    <w:rsid w:val="383002EB"/>
    <w:rsid w:val="383B4C4E"/>
    <w:rsid w:val="38433B03"/>
    <w:rsid w:val="38586797"/>
    <w:rsid w:val="387061E2"/>
    <w:rsid w:val="38BC0149"/>
    <w:rsid w:val="38D87D1C"/>
    <w:rsid w:val="390239BE"/>
    <w:rsid w:val="390A4620"/>
    <w:rsid w:val="392B1B88"/>
    <w:rsid w:val="39322FCA"/>
    <w:rsid w:val="39636459"/>
    <w:rsid w:val="396B7F6C"/>
    <w:rsid w:val="397F500E"/>
    <w:rsid w:val="39846181"/>
    <w:rsid w:val="39900FC9"/>
    <w:rsid w:val="39904D51"/>
    <w:rsid w:val="39B417A9"/>
    <w:rsid w:val="39BC24D5"/>
    <w:rsid w:val="39F710DF"/>
    <w:rsid w:val="39F74BA5"/>
    <w:rsid w:val="39F83C4E"/>
    <w:rsid w:val="39FC5695"/>
    <w:rsid w:val="39FD5F33"/>
    <w:rsid w:val="3A006D8E"/>
    <w:rsid w:val="3A137505"/>
    <w:rsid w:val="3A15327D"/>
    <w:rsid w:val="3A204F94"/>
    <w:rsid w:val="3A215A2B"/>
    <w:rsid w:val="3A2C2CB0"/>
    <w:rsid w:val="3A3000B7"/>
    <w:rsid w:val="3A3651E5"/>
    <w:rsid w:val="3A371445"/>
    <w:rsid w:val="3A3B11A3"/>
    <w:rsid w:val="3A632DB7"/>
    <w:rsid w:val="3A706705"/>
    <w:rsid w:val="3A744481"/>
    <w:rsid w:val="3A8C7BEF"/>
    <w:rsid w:val="3A906246"/>
    <w:rsid w:val="3ACF5B21"/>
    <w:rsid w:val="3AD06F82"/>
    <w:rsid w:val="3AD60C5E"/>
    <w:rsid w:val="3AD849D6"/>
    <w:rsid w:val="3AE55278"/>
    <w:rsid w:val="3AE74B3F"/>
    <w:rsid w:val="3B09606F"/>
    <w:rsid w:val="3B111A40"/>
    <w:rsid w:val="3B2229C5"/>
    <w:rsid w:val="3B2349B7"/>
    <w:rsid w:val="3B283E36"/>
    <w:rsid w:val="3B2917A5"/>
    <w:rsid w:val="3B530501"/>
    <w:rsid w:val="3B616CFF"/>
    <w:rsid w:val="3B6259F6"/>
    <w:rsid w:val="3B660234"/>
    <w:rsid w:val="3B976654"/>
    <w:rsid w:val="3BC01EFC"/>
    <w:rsid w:val="3BCA786A"/>
    <w:rsid w:val="3BD31E2F"/>
    <w:rsid w:val="3BD669B7"/>
    <w:rsid w:val="3BE433E5"/>
    <w:rsid w:val="3BF05D4F"/>
    <w:rsid w:val="3BF15831"/>
    <w:rsid w:val="3BFD7DAA"/>
    <w:rsid w:val="3C105946"/>
    <w:rsid w:val="3C2F4ACA"/>
    <w:rsid w:val="3C3C3B61"/>
    <w:rsid w:val="3C471448"/>
    <w:rsid w:val="3C5F759A"/>
    <w:rsid w:val="3C636521"/>
    <w:rsid w:val="3C690CA9"/>
    <w:rsid w:val="3C6C525A"/>
    <w:rsid w:val="3C793F97"/>
    <w:rsid w:val="3CA07775"/>
    <w:rsid w:val="3CB219A4"/>
    <w:rsid w:val="3CCE23CB"/>
    <w:rsid w:val="3CD17D17"/>
    <w:rsid w:val="3D3C7F39"/>
    <w:rsid w:val="3D3F6F8E"/>
    <w:rsid w:val="3D440F09"/>
    <w:rsid w:val="3D4504A0"/>
    <w:rsid w:val="3D7F55A8"/>
    <w:rsid w:val="3D8654D8"/>
    <w:rsid w:val="3D8734BB"/>
    <w:rsid w:val="3D8A6036"/>
    <w:rsid w:val="3D8B21D4"/>
    <w:rsid w:val="3D9A11D4"/>
    <w:rsid w:val="3DA16D89"/>
    <w:rsid w:val="3DA364BE"/>
    <w:rsid w:val="3DA44C7C"/>
    <w:rsid w:val="3DB00644"/>
    <w:rsid w:val="3DE041CB"/>
    <w:rsid w:val="3DF32DF4"/>
    <w:rsid w:val="3DFC4E7F"/>
    <w:rsid w:val="3E086297"/>
    <w:rsid w:val="3E0B0C1F"/>
    <w:rsid w:val="3E0D48F6"/>
    <w:rsid w:val="3E1868B4"/>
    <w:rsid w:val="3E35227B"/>
    <w:rsid w:val="3E377251"/>
    <w:rsid w:val="3E42664B"/>
    <w:rsid w:val="3E4A0339"/>
    <w:rsid w:val="3E594080"/>
    <w:rsid w:val="3E5A7334"/>
    <w:rsid w:val="3E693B97"/>
    <w:rsid w:val="3E772758"/>
    <w:rsid w:val="3E7B5D6B"/>
    <w:rsid w:val="3E843E66"/>
    <w:rsid w:val="3E8F51FE"/>
    <w:rsid w:val="3E926F87"/>
    <w:rsid w:val="3E9A59DE"/>
    <w:rsid w:val="3EA00DD4"/>
    <w:rsid w:val="3EAF4836"/>
    <w:rsid w:val="3EB40CEE"/>
    <w:rsid w:val="3EC33DFA"/>
    <w:rsid w:val="3ECB6600"/>
    <w:rsid w:val="3EF76BEA"/>
    <w:rsid w:val="3F060E16"/>
    <w:rsid w:val="3F1D1096"/>
    <w:rsid w:val="3F253094"/>
    <w:rsid w:val="3F2759C2"/>
    <w:rsid w:val="3F2F0234"/>
    <w:rsid w:val="3F3B5533"/>
    <w:rsid w:val="3F6363FE"/>
    <w:rsid w:val="3F6413E3"/>
    <w:rsid w:val="3F756B8F"/>
    <w:rsid w:val="3F95482B"/>
    <w:rsid w:val="3FA170E7"/>
    <w:rsid w:val="3FA30B08"/>
    <w:rsid w:val="3FA7706D"/>
    <w:rsid w:val="3FC92B3F"/>
    <w:rsid w:val="3FCC3F1F"/>
    <w:rsid w:val="3FE91433"/>
    <w:rsid w:val="3FEC69F0"/>
    <w:rsid w:val="4001251D"/>
    <w:rsid w:val="4019356B"/>
    <w:rsid w:val="40297FF1"/>
    <w:rsid w:val="4031246E"/>
    <w:rsid w:val="40526FD9"/>
    <w:rsid w:val="40592157"/>
    <w:rsid w:val="406E1CAE"/>
    <w:rsid w:val="40A0133A"/>
    <w:rsid w:val="40A12470"/>
    <w:rsid w:val="40A329DE"/>
    <w:rsid w:val="40C31A53"/>
    <w:rsid w:val="40C652D1"/>
    <w:rsid w:val="40CF60DB"/>
    <w:rsid w:val="40D76032"/>
    <w:rsid w:val="40FF09B4"/>
    <w:rsid w:val="40FF545D"/>
    <w:rsid w:val="410067C8"/>
    <w:rsid w:val="41164549"/>
    <w:rsid w:val="41350BBA"/>
    <w:rsid w:val="41483F38"/>
    <w:rsid w:val="416176D3"/>
    <w:rsid w:val="4168282C"/>
    <w:rsid w:val="417259DD"/>
    <w:rsid w:val="41820F87"/>
    <w:rsid w:val="418F0D2A"/>
    <w:rsid w:val="41B36463"/>
    <w:rsid w:val="41BC2014"/>
    <w:rsid w:val="41C619F5"/>
    <w:rsid w:val="41D01505"/>
    <w:rsid w:val="41EE0F83"/>
    <w:rsid w:val="421B33FA"/>
    <w:rsid w:val="421B789E"/>
    <w:rsid w:val="422D57BE"/>
    <w:rsid w:val="423B16D9"/>
    <w:rsid w:val="423D15C3"/>
    <w:rsid w:val="42472441"/>
    <w:rsid w:val="42474939"/>
    <w:rsid w:val="42483274"/>
    <w:rsid w:val="424C3C57"/>
    <w:rsid w:val="42613FF3"/>
    <w:rsid w:val="42660D96"/>
    <w:rsid w:val="42672AE3"/>
    <w:rsid w:val="427F7E2D"/>
    <w:rsid w:val="428667D2"/>
    <w:rsid w:val="42CD1CE0"/>
    <w:rsid w:val="42E1381E"/>
    <w:rsid w:val="42E37BFF"/>
    <w:rsid w:val="42ED6459"/>
    <w:rsid w:val="42FE58DD"/>
    <w:rsid w:val="42FF450A"/>
    <w:rsid w:val="430D71E7"/>
    <w:rsid w:val="43174B3D"/>
    <w:rsid w:val="43397FDC"/>
    <w:rsid w:val="434B790E"/>
    <w:rsid w:val="435968D0"/>
    <w:rsid w:val="4360274F"/>
    <w:rsid w:val="43655275"/>
    <w:rsid w:val="43977AB6"/>
    <w:rsid w:val="43A3342B"/>
    <w:rsid w:val="43B461CF"/>
    <w:rsid w:val="43C31F9B"/>
    <w:rsid w:val="43C6201B"/>
    <w:rsid w:val="43C77C27"/>
    <w:rsid w:val="43D877F5"/>
    <w:rsid w:val="43DE09EE"/>
    <w:rsid w:val="43DE27C6"/>
    <w:rsid w:val="43EE7018"/>
    <w:rsid w:val="44002FAD"/>
    <w:rsid w:val="440E1469"/>
    <w:rsid w:val="4413082D"/>
    <w:rsid w:val="441C37AA"/>
    <w:rsid w:val="44515273"/>
    <w:rsid w:val="449101DD"/>
    <w:rsid w:val="44C67F95"/>
    <w:rsid w:val="44D648BA"/>
    <w:rsid w:val="44DE1391"/>
    <w:rsid w:val="44F763A1"/>
    <w:rsid w:val="44FF34A7"/>
    <w:rsid w:val="450A60D4"/>
    <w:rsid w:val="450E7246"/>
    <w:rsid w:val="451B225C"/>
    <w:rsid w:val="452410C9"/>
    <w:rsid w:val="452B1BA6"/>
    <w:rsid w:val="45317DFB"/>
    <w:rsid w:val="455A248C"/>
    <w:rsid w:val="456B1AB5"/>
    <w:rsid w:val="456D3CE4"/>
    <w:rsid w:val="4579042C"/>
    <w:rsid w:val="457F0571"/>
    <w:rsid w:val="457F1EF2"/>
    <w:rsid w:val="45851176"/>
    <w:rsid w:val="45AC070B"/>
    <w:rsid w:val="45B93656"/>
    <w:rsid w:val="45BE09D4"/>
    <w:rsid w:val="45C55BC2"/>
    <w:rsid w:val="45C63B94"/>
    <w:rsid w:val="45DE453C"/>
    <w:rsid w:val="460E7DA5"/>
    <w:rsid w:val="460F3276"/>
    <w:rsid w:val="4621174F"/>
    <w:rsid w:val="46422483"/>
    <w:rsid w:val="4650003B"/>
    <w:rsid w:val="4659254A"/>
    <w:rsid w:val="465B0637"/>
    <w:rsid w:val="465E3F0D"/>
    <w:rsid w:val="466A16E6"/>
    <w:rsid w:val="468772B0"/>
    <w:rsid w:val="46881D35"/>
    <w:rsid w:val="46893F2B"/>
    <w:rsid w:val="469F40CF"/>
    <w:rsid w:val="46C444E6"/>
    <w:rsid w:val="46C4686E"/>
    <w:rsid w:val="46D12499"/>
    <w:rsid w:val="46F22772"/>
    <w:rsid w:val="470628AD"/>
    <w:rsid w:val="47071ABF"/>
    <w:rsid w:val="47434F1F"/>
    <w:rsid w:val="477B778F"/>
    <w:rsid w:val="478203EC"/>
    <w:rsid w:val="478C7274"/>
    <w:rsid w:val="47A81BD4"/>
    <w:rsid w:val="47B025FA"/>
    <w:rsid w:val="47BC567F"/>
    <w:rsid w:val="47CE35B6"/>
    <w:rsid w:val="47D604EF"/>
    <w:rsid w:val="47FB61A8"/>
    <w:rsid w:val="480037BE"/>
    <w:rsid w:val="4809698F"/>
    <w:rsid w:val="4811697D"/>
    <w:rsid w:val="48566CF1"/>
    <w:rsid w:val="486F2601"/>
    <w:rsid w:val="4878462F"/>
    <w:rsid w:val="487A3E25"/>
    <w:rsid w:val="488B5503"/>
    <w:rsid w:val="48932803"/>
    <w:rsid w:val="48937E21"/>
    <w:rsid w:val="489A0361"/>
    <w:rsid w:val="489A17F5"/>
    <w:rsid w:val="48A8102D"/>
    <w:rsid w:val="48B94FF3"/>
    <w:rsid w:val="48C4659A"/>
    <w:rsid w:val="48CA1FE3"/>
    <w:rsid w:val="48CA7928"/>
    <w:rsid w:val="48E37AAB"/>
    <w:rsid w:val="48F84495"/>
    <w:rsid w:val="48FD4B4C"/>
    <w:rsid w:val="490A68E0"/>
    <w:rsid w:val="4910358D"/>
    <w:rsid w:val="491055FE"/>
    <w:rsid w:val="491D214E"/>
    <w:rsid w:val="49225514"/>
    <w:rsid w:val="4924528A"/>
    <w:rsid w:val="495F5B3E"/>
    <w:rsid w:val="49627B61"/>
    <w:rsid w:val="496F77D7"/>
    <w:rsid w:val="497654FD"/>
    <w:rsid w:val="49B64211"/>
    <w:rsid w:val="49BC1967"/>
    <w:rsid w:val="49D41AAC"/>
    <w:rsid w:val="49EF5898"/>
    <w:rsid w:val="49F6167F"/>
    <w:rsid w:val="4A064FA0"/>
    <w:rsid w:val="4A16615C"/>
    <w:rsid w:val="4A273284"/>
    <w:rsid w:val="4A4424D7"/>
    <w:rsid w:val="4A717AA4"/>
    <w:rsid w:val="4A7E00E6"/>
    <w:rsid w:val="4A996000"/>
    <w:rsid w:val="4AB82D0F"/>
    <w:rsid w:val="4AE660EE"/>
    <w:rsid w:val="4AEB7664"/>
    <w:rsid w:val="4AFC4BAA"/>
    <w:rsid w:val="4AFD7C19"/>
    <w:rsid w:val="4B005883"/>
    <w:rsid w:val="4B02784D"/>
    <w:rsid w:val="4B050CA9"/>
    <w:rsid w:val="4B0532A2"/>
    <w:rsid w:val="4B0567D1"/>
    <w:rsid w:val="4B083EF1"/>
    <w:rsid w:val="4B236AAE"/>
    <w:rsid w:val="4B2D79D3"/>
    <w:rsid w:val="4B2F799D"/>
    <w:rsid w:val="4B4A7D1A"/>
    <w:rsid w:val="4B707271"/>
    <w:rsid w:val="4B9739F7"/>
    <w:rsid w:val="4BA44460"/>
    <w:rsid w:val="4BC13264"/>
    <w:rsid w:val="4BCA345D"/>
    <w:rsid w:val="4BEE2503"/>
    <w:rsid w:val="4BF727EA"/>
    <w:rsid w:val="4C026891"/>
    <w:rsid w:val="4C0D2AAF"/>
    <w:rsid w:val="4C215AB1"/>
    <w:rsid w:val="4C245A30"/>
    <w:rsid w:val="4C52210E"/>
    <w:rsid w:val="4C675291"/>
    <w:rsid w:val="4C97537F"/>
    <w:rsid w:val="4CA36404"/>
    <w:rsid w:val="4CAA3FF8"/>
    <w:rsid w:val="4CAA5AA7"/>
    <w:rsid w:val="4CAE37E9"/>
    <w:rsid w:val="4CB6685F"/>
    <w:rsid w:val="4CC0351C"/>
    <w:rsid w:val="4CC367FE"/>
    <w:rsid w:val="4CEB7439"/>
    <w:rsid w:val="4CFB5B1B"/>
    <w:rsid w:val="4D077F3C"/>
    <w:rsid w:val="4D0F5294"/>
    <w:rsid w:val="4D123355"/>
    <w:rsid w:val="4D2A3B31"/>
    <w:rsid w:val="4D2B308B"/>
    <w:rsid w:val="4D2B4E39"/>
    <w:rsid w:val="4D312C52"/>
    <w:rsid w:val="4D3A1520"/>
    <w:rsid w:val="4D6B779A"/>
    <w:rsid w:val="4D7762D0"/>
    <w:rsid w:val="4D905305"/>
    <w:rsid w:val="4D964A72"/>
    <w:rsid w:val="4D9C0FDC"/>
    <w:rsid w:val="4D9C1254"/>
    <w:rsid w:val="4D9E5B15"/>
    <w:rsid w:val="4DB27309"/>
    <w:rsid w:val="4DB84019"/>
    <w:rsid w:val="4DEF350A"/>
    <w:rsid w:val="4DF9613C"/>
    <w:rsid w:val="4DFE792D"/>
    <w:rsid w:val="4E6474A1"/>
    <w:rsid w:val="4E790FA8"/>
    <w:rsid w:val="4E793892"/>
    <w:rsid w:val="4E800872"/>
    <w:rsid w:val="4E810B22"/>
    <w:rsid w:val="4EA00746"/>
    <w:rsid w:val="4EA74993"/>
    <w:rsid w:val="4EC310A1"/>
    <w:rsid w:val="4EC569ED"/>
    <w:rsid w:val="4ED50EA1"/>
    <w:rsid w:val="4EEC050C"/>
    <w:rsid w:val="4EED611E"/>
    <w:rsid w:val="4F104EC3"/>
    <w:rsid w:val="4F225623"/>
    <w:rsid w:val="4F3F4BCC"/>
    <w:rsid w:val="4F443F90"/>
    <w:rsid w:val="4F47354A"/>
    <w:rsid w:val="4F730D1A"/>
    <w:rsid w:val="4F741132"/>
    <w:rsid w:val="4F860A4D"/>
    <w:rsid w:val="4F8D5C0A"/>
    <w:rsid w:val="4F911C54"/>
    <w:rsid w:val="4F98252E"/>
    <w:rsid w:val="4F9F566B"/>
    <w:rsid w:val="4FC275AB"/>
    <w:rsid w:val="4FDA2B47"/>
    <w:rsid w:val="4FE625E0"/>
    <w:rsid w:val="4FEC61F9"/>
    <w:rsid w:val="50056699"/>
    <w:rsid w:val="5021480F"/>
    <w:rsid w:val="502A340F"/>
    <w:rsid w:val="502B6EFE"/>
    <w:rsid w:val="504959A3"/>
    <w:rsid w:val="504B57F2"/>
    <w:rsid w:val="505C301C"/>
    <w:rsid w:val="50827466"/>
    <w:rsid w:val="508B3E41"/>
    <w:rsid w:val="508D1967"/>
    <w:rsid w:val="508D5E0B"/>
    <w:rsid w:val="50962ECB"/>
    <w:rsid w:val="509B0528"/>
    <w:rsid w:val="50A42E38"/>
    <w:rsid w:val="50A4577F"/>
    <w:rsid w:val="50B73D1F"/>
    <w:rsid w:val="50BD5BC9"/>
    <w:rsid w:val="50C11EEE"/>
    <w:rsid w:val="50C86E43"/>
    <w:rsid w:val="50D91050"/>
    <w:rsid w:val="50E97CFC"/>
    <w:rsid w:val="50F73284"/>
    <w:rsid w:val="50FA4028"/>
    <w:rsid w:val="51087240"/>
    <w:rsid w:val="510D65B7"/>
    <w:rsid w:val="511157AB"/>
    <w:rsid w:val="51422751"/>
    <w:rsid w:val="5142540C"/>
    <w:rsid w:val="51505C0D"/>
    <w:rsid w:val="51581EEE"/>
    <w:rsid w:val="51752B27"/>
    <w:rsid w:val="518832C8"/>
    <w:rsid w:val="518B5E73"/>
    <w:rsid w:val="518E1E3B"/>
    <w:rsid w:val="5196484B"/>
    <w:rsid w:val="519D1EA2"/>
    <w:rsid w:val="519D3C50"/>
    <w:rsid w:val="51A0432A"/>
    <w:rsid w:val="51A2659D"/>
    <w:rsid w:val="51A86090"/>
    <w:rsid w:val="51B7396D"/>
    <w:rsid w:val="51C27D36"/>
    <w:rsid w:val="51DC4954"/>
    <w:rsid w:val="51E952C3"/>
    <w:rsid w:val="51EB2DE9"/>
    <w:rsid w:val="52097B31"/>
    <w:rsid w:val="52195BA8"/>
    <w:rsid w:val="521C11F4"/>
    <w:rsid w:val="5228458E"/>
    <w:rsid w:val="522B4289"/>
    <w:rsid w:val="522E4CC3"/>
    <w:rsid w:val="523E560F"/>
    <w:rsid w:val="5244713B"/>
    <w:rsid w:val="52615633"/>
    <w:rsid w:val="526F4DE4"/>
    <w:rsid w:val="52880638"/>
    <w:rsid w:val="52977FD4"/>
    <w:rsid w:val="529F5982"/>
    <w:rsid w:val="52A25790"/>
    <w:rsid w:val="52A96B6F"/>
    <w:rsid w:val="52B07B8F"/>
    <w:rsid w:val="52B45975"/>
    <w:rsid w:val="52CD0741"/>
    <w:rsid w:val="52D94AA4"/>
    <w:rsid w:val="52E94A8B"/>
    <w:rsid w:val="52EA3A62"/>
    <w:rsid w:val="52F50BB8"/>
    <w:rsid w:val="53097272"/>
    <w:rsid w:val="531350E8"/>
    <w:rsid w:val="533B38FC"/>
    <w:rsid w:val="534C1537"/>
    <w:rsid w:val="53544462"/>
    <w:rsid w:val="5397158E"/>
    <w:rsid w:val="53997AAA"/>
    <w:rsid w:val="53B72895"/>
    <w:rsid w:val="53C52D94"/>
    <w:rsid w:val="53DA1367"/>
    <w:rsid w:val="53DE3680"/>
    <w:rsid w:val="53E325D5"/>
    <w:rsid w:val="53F046E7"/>
    <w:rsid w:val="53F1045F"/>
    <w:rsid w:val="54013861"/>
    <w:rsid w:val="540A51E2"/>
    <w:rsid w:val="54290122"/>
    <w:rsid w:val="54393BE7"/>
    <w:rsid w:val="543D5452"/>
    <w:rsid w:val="54482775"/>
    <w:rsid w:val="54487265"/>
    <w:rsid w:val="544D6070"/>
    <w:rsid w:val="54605E1E"/>
    <w:rsid w:val="54826A6F"/>
    <w:rsid w:val="54B3506A"/>
    <w:rsid w:val="54C87412"/>
    <w:rsid w:val="54CA0D16"/>
    <w:rsid w:val="54CC5154"/>
    <w:rsid w:val="54DB5397"/>
    <w:rsid w:val="54DD4057"/>
    <w:rsid w:val="54E7490F"/>
    <w:rsid w:val="54FD2C9C"/>
    <w:rsid w:val="550764A4"/>
    <w:rsid w:val="550B2BF6"/>
    <w:rsid w:val="551B39E5"/>
    <w:rsid w:val="55214EB5"/>
    <w:rsid w:val="552D54C7"/>
    <w:rsid w:val="55364EFD"/>
    <w:rsid w:val="555A09FD"/>
    <w:rsid w:val="555D3FFE"/>
    <w:rsid w:val="555D4828"/>
    <w:rsid w:val="5560589C"/>
    <w:rsid w:val="55607561"/>
    <w:rsid w:val="557A4C8B"/>
    <w:rsid w:val="5588094F"/>
    <w:rsid w:val="558931E1"/>
    <w:rsid w:val="559002B6"/>
    <w:rsid w:val="55913CA7"/>
    <w:rsid w:val="55923347"/>
    <w:rsid w:val="55925180"/>
    <w:rsid w:val="55983B1B"/>
    <w:rsid w:val="55A27C63"/>
    <w:rsid w:val="55A8376B"/>
    <w:rsid w:val="55DC29B6"/>
    <w:rsid w:val="55DD4241"/>
    <w:rsid w:val="55F253AA"/>
    <w:rsid w:val="562B40FC"/>
    <w:rsid w:val="56464A92"/>
    <w:rsid w:val="56502273"/>
    <w:rsid w:val="566B6D1E"/>
    <w:rsid w:val="566D5AC2"/>
    <w:rsid w:val="56905D0D"/>
    <w:rsid w:val="56AF70A0"/>
    <w:rsid w:val="56D26C7F"/>
    <w:rsid w:val="57032A2C"/>
    <w:rsid w:val="570F5219"/>
    <w:rsid w:val="57110717"/>
    <w:rsid w:val="572E78E5"/>
    <w:rsid w:val="574511ED"/>
    <w:rsid w:val="57515F3A"/>
    <w:rsid w:val="57517B92"/>
    <w:rsid w:val="575D12B5"/>
    <w:rsid w:val="57610A87"/>
    <w:rsid w:val="577B1140"/>
    <w:rsid w:val="577B7F21"/>
    <w:rsid w:val="577F181B"/>
    <w:rsid w:val="5785783C"/>
    <w:rsid w:val="57921984"/>
    <w:rsid w:val="579737F0"/>
    <w:rsid w:val="57AB7B30"/>
    <w:rsid w:val="57AF5251"/>
    <w:rsid w:val="57B26373"/>
    <w:rsid w:val="57B63F04"/>
    <w:rsid w:val="57CD20C2"/>
    <w:rsid w:val="57D675AB"/>
    <w:rsid w:val="57D95FDD"/>
    <w:rsid w:val="57DA1D5C"/>
    <w:rsid w:val="57EE5124"/>
    <w:rsid w:val="58007AE7"/>
    <w:rsid w:val="58134E48"/>
    <w:rsid w:val="58262DCD"/>
    <w:rsid w:val="58306D10"/>
    <w:rsid w:val="583848AE"/>
    <w:rsid w:val="583B6782"/>
    <w:rsid w:val="585D01B4"/>
    <w:rsid w:val="58917D2F"/>
    <w:rsid w:val="5894085C"/>
    <w:rsid w:val="58AE4F0C"/>
    <w:rsid w:val="58B85899"/>
    <w:rsid w:val="58BC54DF"/>
    <w:rsid w:val="58E363A9"/>
    <w:rsid w:val="58EA204C"/>
    <w:rsid w:val="58F44C79"/>
    <w:rsid w:val="58F630C1"/>
    <w:rsid w:val="59090B79"/>
    <w:rsid w:val="59091DA7"/>
    <w:rsid w:val="591A2160"/>
    <w:rsid w:val="591E264C"/>
    <w:rsid w:val="591E3AA4"/>
    <w:rsid w:val="59295427"/>
    <w:rsid w:val="59295DE1"/>
    <w:rsid w:val="59397A53"/>
    <w:rsid w:val="593C553E"/>
    <w:rsid w:val="593E7CA2"/>
    <w:rsid w:val="594661BA"/>
    <w:rsid w:val="594A2AEB"/>
    <w:rsid w:val="594A4899"/>
    <w:rsid w:val="595219A0"/>
    <w:rsid w:val="595E1678"/>
    <w:rsid w:val="59670A10"/>
    <w:rsid w:val="5968610F"/>
    <w:rsid w:val="596D5BD4"/>
    <w:rsid w:val="59723DF0"/>
    <w:rsid w:val="597E3DD8"/>
    <w:rsid w:val="59844FE9"/>
    <w:rsid w:val="59D920E0"/>
    <w:rsid w:val="59E051FD"/>
    <w:rsid w:val="59F80043"/>
    <w:rsid w:val="5A09252F"/>
    <w:rsid w:val="5A0B2778"/>
    <w:rsid w:val="5A103441"/>
    <w:rsid w:val="5A105AE3"/>
    <w:rsid w:val="5A184997"/>
    <w:rsid w:val="5A2A7C7B"/>
    <w:rsid w:val="5A3E2560"/>
    <w:rsid w:val="5A5D3B6E"/>
    <w:rsid w:val="5A637A76"/>
    <w:rsid w:val="5A6D33BA"/>
    <w:rsid w:val="5A6E2809"/>
    <w:rsid w:val="5A792B1F"/>
    <w:rsid w:val="5A7A7400"/>
    <w:rsid w:val="5A7F1713"/>
    <w:rsid w:val="5A874767"/>
    <w:rsid w:val="5AA85BE2"/>
    <w:rsid w:val="5AAD6F28"/>
    <w:rsid w:val="5ABE2749"/>
    <w:rsid w:val="5AD63A24"/>
    <w:rsid w:val="5ADF3244"/>
    <w:rsid w:val="5AE51A4D"/>
    <w:rsid w:val="5AE96C61"/>
    <w:rsid w:val="5B0311A3"/>
    <w:rsid w:val="5B076BBE"/>
    <w:rsid w:val="5B247141"/>
    <w:rsid w:val="5B2E1A1D"/>
    <w:rsid w:val="5B3E13DB"/>
    <w:rsid w:val="5B3E175B"/>
    <w:rsid w:val="5B3F7D02"/>
    <w:rsid w:val="5B4C2BEE"/>
    <w:rsid w:val="5B525C87"/>
    <w:rsid w:val="5B5D450D"/>
    <w:rsid w:val="5B6854AA"/>
    <w:rsid w:val="5B731FC6"/>
    <w:rsid w:val="5B751975"/>
    <w:rsid w:val="5B843A1C"/>
    <w:rsid w:val="5B873E3F"/>
    <w:rsid w:val="5BA11EA0"/>
    <w:rsid w:val="5BB93F58"/>
    <w:rsid w:val="5BCD4BCD"/>
    <w:rsid w:val="5BCF552A"/>
    <w:rsid w:val="5BE12E76"/>
    <w:rsid w:val="5C02690E"/>
    <w:rsid w:val="5C040F3B"/>
    <w:rsid w:val="5C196DA7"/>
    <w:rsid w:val="5C2A048C"/>
    <w:rsid w:val="5C3A224A"/>
    <w:rsid w:val="5C4D2220"/>
    <w:rsid w:val="5C567857"/>
    <w:rsid w:val="5C5E098A"/>
    <w:rsid w:val="5C80234E"/>
    <w:rsid w:val="5C8A680C"/>
    <w:rsid w:val="5CE40C7B"/>
    <w:rsid w:val="5CE86853"/>
    <w:rsid w:val="5D057FB8"/>
    <w:rsid w:val="5D0C4701"/>
    <w:rsid w:val="5D0F0395"/>
    <w:rsid w:val="5D221076"/>
    <w:rsid w:val="5D352EBF"/>
    <w:rsid w:val="5D355860"/>
    <w:rsid w:val="5D397964"/>
    <w:rsid w:val="5D3A69D3"/>
    <w:rsid w:val="5D4C2378"/>
    <w:rsid w:val="5D5A391C"/>
    <w:rsid w:val="5D5F10C0"/>
    <w:rsid w:val="5D790E2F"/>
    <w:rsid w:val="5D814602"/>
    <w:rsid w:val="5D891B7B"/>
    <w:rsid w:val="5DAD38EE"/>
    <w:rsid w:val="5DD84B0A"/>
    <w:rsid w:val="5DEA7F80"/>
    <w:rsid w:val="5DF41277"/>
    <w:rsid w:val="5DFC03FF"/>
    <w:rsid w:val="5E006862"/>
    <w:rsid w:val="5E0207B9"/>
    <w:rsid w:val="5E1834A1"/>
    <w:rsid w:val="5E1C257C"/>
    <w:rsid w:val="5E261785"/>
    <w:rsid w:val="5E4A7017"/>
    <w:rsid w:val="5E552BBA"/>
    <w:rsid w:val="5E611C10"/>
    <w:rsid w:val="5E7A0F3F"/>
    <w:rsid w:val="5E8B1BDC"/>
    <w:rsid w:val="5E954808"/>
    <w:rsid w:val="5EBB7FE7"/>
    <w:rsid w:val="5EDD7F5D"/>
    <w:rsid w:val="5EFC7377"/>
    <w:rsid w:val="5F06174D"/>
    <w:rsid w:val="5F1020E1"/>
    <w:rsid w:val="5F27742B"/>
    <w:rsid w:val="5F2F2831"/>
    <w:rsid w:val="5F3A3602"/>
    <w:rsid w:val="5F45733B"/>
    <w:rsid w:val="5F546472"/>
    <w:rsid w:val="5F6277C6"/>
    <w:rsid w:val="5F6D0B1D"/>
    <w:rsid w:val="5F8959EF"/>
    <w:rsid w:val="5F8D0B82"/>
    <w:rsid w:val="5F9740C8"/>
    <w:rsid w:val="5FAD7930"/>
    <w:rsid w:val="5FB42F3B"/>
    <w:rsid w:val="5FCC5339"/>
    <w:rsid w:val="5FDB7FB7"/>
    <w:rsid w:val="5FDC0215"/>
    <w:rsid w:val="5FE34A5B"/>
    <w:rsid w:val="5FFE1E36"/>
    <w:rsid w:val="60145C01"/>
    <w:rsid w:val="60232584"/>
    <w:rsid w:val="603158D4"/>
    <w:rsid w:val="60365B77"/>
    <w:rsid w:val="607330CE"/>
    <w:rsid w:val="60825176"/>
    <w:rsid w:val="608D150F"/>
    <w:rsid w:val="609E371C"/>
    <w:rsid w:val="609F2AC4"/>
    <w:rsid w:val="60D079ED"/>
    <w:rsid w:val="60DB305B"/>
    <w:rsid w:val="60EF0A8D"/>
    <w:rsid w:val="60FA2EE8"/>
    <w:rsid w:val="61016185"/>
    <w:rsid w:val="61054A27"/>
    <w:rsid w:val="610A52BC"/>
    <w:rsid w:val="610D059B"/>
    <w:rsid w:val="61126FFA"/>
    <w:rsid w:val="611D2366"/>
    <w:rsid w:val="61333E65"/>
    <w:rsid w:val="61421856"/>
    <w:rsid w:val="615227C4"/>
    <w:rsid w:val="61654E3F"/>
    <w:rsid w:val="6182292A"/>
    <w:rsid w:val="619B0D44"/>
    <w:rsid w:val="619F7F92"/>
    <w:rsid w:val="61A14800"/>
    <w:rsid w:val="61AF5FAD"/>
    <w:rsid w:val="61B825BC"/>
    <w:rsid w:val="61EA40EF"/>
    <w:rsid w:val="61F94C26"/>
    <w:rsid w:val="61FB637A"/>
    <w:rsid w:val="62000E56"/>
    <w:rsid w:val="6210458B"/>
    <w:rsid w:val="62324E3A"/>
    <w:rsid w:val="62344338"/>
    <w:rsid w:val="624F3E49"/>
    <w:rsid w:val="62632286"/>
    <w:rsid w:val="626D15F8"/>
    <w:rsid w:val="627E3805"/>
    <w:rsid w:val="62854B94"/>
    <w:rsid w:val="6288436E"/>
    <w:rsid w:val="62885958"/>
    <w:rsid w:val="629767E0"/>
    <w:rsid w:val="62A56FE4"/>
    <w:rsid w:val="62B15989"/>
    <w:rsid w:val="62B965EC"/>
    <w:rsid w:val="62E01AAE"/>
    <w:rsid w:val="62E418BB"/>
    <w:rsid w:val="62E713AB"/>
    <w:rsid w:val="62F40B65"/>
    <w:rsid w:val="62FC2CFE"/>
    <w:rsid w:val="63024505"/>
    <w:rsid w:val="633678D4"/>
    <w:rsid w:val="635600A5"/>
    <w:rsid w:val="63576530"/>
    <w:rsid w:val="635B1DB5"/>
    <w:rsid w:val="63615846"/>
    <w:rsid w:val="636A1E05"/>
    <w:rsid w:val="63711FED"/>
    <w:rsid w:val="63880DDC"/>
    <w:rsid w:val="638D750D"/>
    <w:rsid w:val="63AC6CC0"/>
    <w:rsid w:val="63BF5E84"/>
    <w:rsid w:val="63C15E19"/>
    <w:rsid w:val="63DC1C35"/>
    <w:rsid w:val="63F23480"/>
    <w:rsid w:val="63FA3360"/>
    <w:rsid w:val="64055776"/>
    <w:rsid w:val="641F5B67"/>
    <w:rsid w:val="64240056"/>
    <w:rsid w:val="6431668F"/>
    <w:rsid w:val="643E143A"/>
    <w:rsid w:val="64491666"/>
    <w:rsid w:val="64495D15"/>
    <w:rsid w:val="644B4267"/>
    <w:rsid w:val="64656A2B"/>
    <w:rsid w:val="648B6EEF"/>
    <w:rsid w:val="64C158BF"/>
    <w:rsid w:val="64CE2EAA"/>
    <w:rsid w:val="650049A6"/>
    <w:rsid w:val="653A1C66"/>
    <w:rsid w:val="653A2710"/>
    <w:rsid w:val="653C3090"/>
    <w:rsid w:val="654F7E2F"/>
    <w:rsid w:val="655F0592"/>
    <w:rsid w:val="65854376"/>
    <w:rsid w:val="658767BE"/>
    <w:rsid w:val="65892531"/>
    <w:rsid w:val="658E5B0E"/>
    <w:rsid w:val="65B5026D"/>
    <w:rsid w:val="65B57A1A"/>
    <w:rsid w:val="65C46CD4"/>
    <w:rsid w:val="65DC6AFB"/>
    <w:rsid w:val="65F07C88"/>
    <w:rsid w:val="66195831"/>
    <w:rsid w:val="661E7D3E"/>
    <w:rsid w:val="662E75B1"/>
    <w:rsid w:val="66342C2E"/>
    <w:rsid w:val="663E784C"/>
    <w:rsid w:val="66432405"/>
    <w:rsid w:val="66432D9C"/>
    <w:rsid w:val="6647172F"/>
    <w:rsid w:val="6653074D"/>
    <w:rsid w:val="6659497C"/>
    <w:rsid w:val="665C7E0A"/>
    <w:rsid w:val="667A530E"/>
    <w:rsid w:val="668A09CB"/>
    <w:rsid w:val="668B6A45"/>
    <w:rsid w:val="66991C4A"/>
    <w:rsid w:val="66B17CDC"/>
    <w:rsid w:val="66C7577B"/>
    <w:rsid w:val="67112C4A"/>
    <w:rsid w:val="6716225F"/>
    <w:rsid w:val="672F3F24"/>
    <w:rsid w:val="673D3C8F"/>
    <w:rsid w:val="673E055F"/>
    <w:rsid w:val="67551CE3"/>
    <w:rsid w:val="67713939"/>
    <w:rsid w:val="67954634"/>
    <w:rsid w:val="67A22552"/>
    <w:rsid w:val="67B22DCC"/>
    <w:rsid w:val="67B519A4"/>
    <w:rsid w:val="67BD26DA"/>
    <w:rsid w:val="67BE71AA"/>
    <w:rsid w:val="67BF1816"/>
    <w:rsid w:val="67CD6772"/>
    <w:rsid w:val="67CF7323"/>
    <w:rsid w:val="67D90273"/>
    <w:rsid w:val="67DE5875"/>
    <w:rsid w:val="67E55852"/>
    <w:rsid w:val="67EB1AB4"/>
    <w:rsid w:val="67FA1285"/>
    <w:rsid w:val="68551F4F"/>
    <w:rsid w:val="685D2909"/>
    <w:rsid w:val="68602928"/>
    <w:rsid w:val="686B0398"/>
    <w:rsid w:val="687C10C9"/>
    <w:rsid w:val="687E3B12"/>
    <w:rsid w:val="68840C16"/>
    <w:rsid w:val="68876EFB"/>
    <w:rsid w:val="68884654"/>
    <w:rsid w:val="689F444F"/>
    <w:rsid w:val="68B96DBB"/>
    <w:rsid w:val="68BF08FC"/>
    <w:rsid w:val="68CA2805"/>
    <w:rsid w:val="68E320F2"/>
    <w:rsid w:val="68E32613"/>
    <w:rsid w:val="68E937A3"/>
    <w:rsid w:val="68F4217F"/>
    <w:rsid w:val="68FB149A"/>
    <w:rsid w:val="690031C6"/>
    <w:rsid w:val="69162A29"/>
    <w:rsid w:val="693E15D3"/>
    <w:rsid w:val="69627681"/>
    <w:rsid w:val="696B1280"/>
    <w:rsid w:val="6977531D"/>
    <w:rsid w:val="698519E9"/>
    <w:rsid w:val="698C6808"/>
    <w:rsid w:val="69B84236"/>
    <w:rsid w:val="69CC2BFF"/>
    <w:rsid w:val="69DF4B8A"/>
    <w:rsid w:val="69FD55B8"/>
    <w:rsid w:val="6A0B1C62"/>
    <w:rsid w:val="6A2406C8"/>
    <w:rsid w:val="6A3B7666"/>
    <w:rsid w:val="6A417BE7"/>
    <w:rsid w:val="6A5A06B4"/>
    <w:rsid w:val="6A9A1ADF"/>
    <w:rsid w:val="6AD14E1A"/>
    <w:rsid w:val="6AD919B4"/>
    <w:rsid w:val="6ADE0BD1"/>
    <w:rsid w:val="6AE554AB"/>
    <w:rsid w:val="6AE81378"/>
    <w:rsid w:val="6AE96859"/>
    <w:rsid w:val="6B147746"/>
    <w:rsid w:val="6B24787C"/>
    <w:rsid w:val="6B472799"/>
    <w:rsid w:val="6B505374"/>
    <w:rsid w:val="6B535D36"/>
    <w:rsid w:val="6B573233"/>
    <w:rsid w:val="6B5B2936"/>
    <w:rsid w:val="6B5B6274"/>
    <w:rsid w:val="6B7050A2"/>
    <w:rsid w:val="6B79100E"/>
    <w:rsid w:val="6B935D53"/>
    <w:rsid w:val="6B9A47AC"/>
    <w:rsid w:val="6C021003"/>
    <w:rsid w:val="6C1316F7"/>
    <w:rsid w:val="6C196F71"/>
    <w:rsid w:val="6C226FCB"/>
    <w:rsid w:val="6C31226F"/>
    <w:rsid w:val="6C354F35"/>
    <w:rsid w:val="6C423AF6"/>
    <w:rsid w:val="6C517EC7"/>
    <w:rsid w:val="6C552F0B"/>
    <w:rsid w:val="6C7178B4"/>
    <w:rsid w:val="6C8C67B7"/>
    <w:rsid w:val="6C983716"/>
    <w:rsid w:val="6C9D2ADA"/>
    <w:rsid w:val="6C9D744C"/>
    <w:rsid w:val="6CB87914"/>
    <w:rsid w:val="6CBE317C"/>
    <w:rsid w:val="6CE42F8A"/>
    <w:rsid w:val="6CEF77DA"/>
    <w:rsid w:val="6CF4710A"/>
    <w:rsid w:val="6D0D3798"/>
    <w:rsid w:val="6D167928"/>
    <w:rsid w:val="6D26299B"/>
    <w:rsid w:val="6D4772EC"/>
    <w:rsid w:val="6D5B66E7"/>
    <w:rsid w:val="6D6B4986"/>
    <w:rsid w:val="6D6D4BA2"/>
    <w:rsid w:val="6D6F4477"/>
    <w:rsid w:val="6D8048D6"/>
    <w:rsid w:val="6D9078AF"/>
    <w:rsid w:val="6D920165"/>
    <w:rsid w:val="6DAA3FEF"/>
    <w:rsid w:val="6DC0172B"/>
    <w:rsid w:val="6DCB690C"/>
    <w:rsid w:val="6DD41A5B"/>
    <w:rsid w:val="6DDC3A43"/>
    <w:rsid w:val="6DF1359C"/>
    <w:rsid w:val="6DF43C2E"/>
    <w:rsid w:val="6DF51CA3"/>
    <w:rsid w:val="6DF56252"/>
    <w:rsid w:val="6E677844"/>
    <w:rsid w:val="6E753D0F"/>
    <w:rsid w:val="6E8335BD"/>
    <w:rsid w:val="6E8E12EF"/>
    <w:rsid w:val="6E972936"/>
    <w:rsid w:val="6E9D3265"/>
    <w:rsid w:val="6E9E6B01"/>
    <w:rsid w:val="6ED446C5"/>
    <w:rsid w:val="6EDA6267"/>
    <w:rsid w:val="6EF07839"/>
    <w:rsid w:val="6F0A08FB"/>
    <w:rsid w:val="6F0E7CBF"/>
    <w:rsid w:val="6F2A7D94"/>
    <w:rsid w:val="6F795972"/>
    <w:rsid w:val="6F8331F1"/>
    <w:rsid w:val="6F871F4B"/>
    <w:rsid w:val="6FAE1A09"/>
    <w:rsid w:val="6FD70BB7"/>
    <w:rsid w:val="6FD75BF8"/>
    <w:rsid w:val="6FE25F7F"/>
    <w:rsid w:val="6FF21477"/>
    <w:rsid w:val="702116B3"/>
    <w:rsid w:val="702754DC"/>
    <w:rsid w:val="702E517E"/>
    <w:rsid w:val="703419A7"/>
    <w:rsid w:val="703B2D36"/>
    <w:rsid w:val="705A263A"/>
    <w:rsid w:val="705F6A24"/>
    <w:rsid w:val="707723D0"/>
    <w:rsid w:val="7084292A"/>
    <w:rsid w:val="70BC3358"/>
    <w:rsid w:val="70BF5715"/>
    <w:rsid w:val="70DF36C1"/>
    <w:rsid w:val="70E17439"/>
    <w:rsid w:val="70F52EE5"/>
    <w:rsid w:val="70F5661B"/>
    <w:rsid w:val="70F86BAC"/>
    <w:rsid w:val="70FE623D"/>
    <w:rsid w:val="71045574"/>
    <w:rsid w:val="71094BE2"/>
    <w:rsid w:val="711C66C3"/>
    <w:rsid w:val="712A5284"/>
    <w:rsid w:val="712E63F7"/>
    <w:rsid w:val="71360107"/>
    <w:rsid w:val="713B688E"/>
    <w:rsid w:val="7148279F"/>
    <w:rsid w:val="714A76D4"/>
    <w:rsid w:val="715916C6"/>
    <w:rsid w:val="717007BD"/>
    <w:rsid w:val="717209D9"/>
    <w:rsid w:val="71867FE1"/>
    <w:rsid w:val="719635EF"/>
    <w:rsid w:val="71A87F57"/>
    <w:rsid w:val="71AD37BF"/>
    <w:rsid w:val="71C22BD1"/>
    <w:rsid w:val="71D43752"/>
    <w:rsid w:val="71DA11D5"/>
    <w:rsid w:val="71F1796A"/>
    <w:rsid w:val="71F907B3"/>
    <w:rsid w:val="71FB63D5"/>
    <w:rsid w:val="720A713E"/>
    <w:rsid w:val="72154626"/>
    <w:rsid w:val="72253C9E"/>
    <w:rsid w:val="72262B5D"/>
    <w:rsid w:val="72283FF7"/>
    <w:rsid w:val="722E7212"/>
    <w:rsid w:val="723143F0"/>
    <w:rsid w:val="723A0474"/>
    <w:rsid w:val="725923E4"/>
    <w:rsid w:val="72655E48"/>
    <w:rsid w:val="726C367A"/>
    <w:rsid w:val="726C5429"/>
    <w:rsid w:val="727E1CA6"/>
    <w:rsid w:val="727F572A"/>
    <w:rsid w:val="72864BF7"/>
    <w:rsid w:val="728A58AF"/>
    <w:rsid w:val="729023FC"/>
    <w:rsid w:val="72A8470E"/>
    <w:rsid w:val="7315161C"/>
    <w:rsid w:val="73536021"/>
    <w:rsid w:val="735B493E"/>
    <w:rsid w:val="736141DE"/>
    <w:rsid w:val="737A1DC7"/>
    <w:rsid w:val="737E7B0D"/>
    <w:rsid w:val="738D5656"/>
    <w:rsid w:val="739F35DC"/>
    <w:rsid w:val="73C0646E"/>
    <w:rsid w:val="73C53042"/>
    <w:rsid w:val="73D509D0"/>
    <w:rsid w:val="73DD41AD"/>
    <w:rsid w:val="73F73418"/>
    <w:rsid w:val="73FE1B82"/>
    <w:rsid w:val="740022CC"/>
    <w:rsid w:val="74100036"/>
    <w:rsid w:val="742222F5"/>
    <w:rsid w:val="74476126"/>
    <w:rsid w:val="745B2306"/>
    <w:rsid w:val="7466253E"/>
    <w:rsid w:val="74706664"/>
    <w:rsid w:val="747F3682"/>
    <w:rsid w:val="749C4185"/>
    <w:rsid w:val="74B3797D"/>
    <w:rsid w:val="74C432FA"/>
    <w:rsid w:val="74CD3299"/>
    <w:rsid w:val="74D82A70"/>
    <w:rsid w:val="74DF0134"/>
    <w:rsid w:val="74E05C5A"/>
    <w:rsid w:val="74F3432A"/>
    <w:rsid w:val="75067759"/>
    <w:rsid w:val="752E0793"/>
    <w:rsid w:val="752E6DCD"/>
    <w:rsid w:val="75355FA6"/>
    <w:rsid w:val="7551380D"/>
    <w:rsid w:val="755D394A"/>
    <w:rsid w:val="755D54FC"/>
    <w:rsid w:val="75600BE5"/>
    <w:rsid w:val="7564475C"/>
    <w:rsid w:val="757B158C"/>
    <w:rsid w:val="7583797F"/>
    <w:rsid w:val="758F1DFA"/>
    <w:rsid w:val="75BD6BB2"/>
    <w:rsid w:val="75D20F1D"/>
    <w:rsid w:val="75DA2C18"/>
    <w:rsid w:val="75DA53BE"/>
    <w:rsid w:val="75DF5F11"/>
    <w:rsid w:val="75E12860"/>
    <w:rsid w:val="75F54412"/>
    <w:rsid w:val="760C6628"/>
    <w:rsid w:val="76197675"/>
    <w:rsid w:val="761D08E0"/>
    <w:rsid w:val="76302E03"/>
    <w:rsid w:val="76312C11"/>
    <w:rsid w:val="763C3364"/>
    <w:rsid w:val="765D347C"/>
    <w:rsid w:val="7662726E"/>
    <w:rsid w:val="76766876"/>
    <w:rsid w:val="76826699"/>
    <w:rsid w:val="769144C5"/>
    <w:rsid w:val="76BB5749"/>
    <w:rsid w:val="76C87133"/>
    <w:rsid w:val="76CC1B72"/>
    <w:rsid w:val="76CD08D5"/>
    <w:rsid w:val="76DB4B92"/>
    <w:rsid w:val="76EA57E2"/>
    <w:rsid w:val="76EE465E"/>
    <w:rsid w:val="77052AA4"/>
    <w:rsid w:val="77136511"/>
    <w:rsid w:val="77340A39"/>
    <w:rsid w:val="77351FD0"/>
    <w:rsid w:val="77472422"/>
    <w:rsid w:val="777F31F2"/>
    <w:rsid w:val="77974CF6"/>
    <w:rsid w:val="77A678A4"/>
    <w:rsid w:val="77BA6C36"/>
    <w:rsid w:val="77D1700D"/>
    <w:rsid w:val="77EC04CC"/>
    <w:rsid w:val="77FB3F14"/>
    <w:rsid w:val="781522BB"/>
    <w:rsid w:val="781F6A99"/>
    <w:rsid w:val="78235069"/>
    <w:rsid w:val="782F6799"/>
    <w:rsid w:val="785C7CED"/>
    <w:rsid w:val="787578B0"/>
    <w:rsid w:val="78775729"/>
    <w:rsid w:val="78A42DB0"/>
    <w:rsid w:val="78A656AB"/>
    <w:rsid w:val="78B2245C"/>
    <w:rsid w:val="78CD2BDF"/>
    <w:rsid w:val="78CD32B5"/>
    <w:rsid w:val="78D06031"/>
    <w:rsid w:val="78E172CC"/>
    <w:rsid w:val="78E26444"/>
    <w:rsid w:val="78EA1D1F"/>
    <w:rsid w:val="79036DC3"/>
    <w:rsid w:val="7904172F"/>
    <w:rsid w:val="790F7E27"/>
    <w:rsid w:val="79222CE5"/>
    <w:rsid w:val="792425B9"/>
    <w:rsid w:val="792A231A"/>
    <w:rsid w:val="79316829"/>
    <w:rsid w:val="794762A8"/>
    <w:rsid w:val="797E66A9"/>
    <w:rsid w:val="798518A4"/>
    <w:rsid w:val="799B46CB"/>
    <w:rsid w:val="79A97383"/>
    <w:rsid w:val="79E27E8B"/>
    <w:rsid w:val="79E47F9A"/>
    <w:rsid w:val="79F44681"/>
    <w:rsid w:val="79F850CE"/>
    <w:rsid w:val="79FD105A"/>
    <w:rsid w:val="79FD443C"/>
    <w:rsid w:val="7A056071"/>
    <w:rsid w:val="7A102B3D"/>
    <w:rsid w:val="7A146AD1"/>
    <w:rsid w:val="7A1D1975"/>
    <w:rsid w:val="7A3E5150"/>
    <w:rsid w:val="7A4670D6"/>
    <w:rsid w:val="7A4D3D91"/>
    <w:rsid w:val="7A534B63"/>
    <w:rsid w:val="7A550ECC"/>
    <w:rsid w:val="7A615382"/>
    <w:rsid w:val="7A67303B"/>
    <w:rsid w:val="7A6A4943"/>
    <w:rsid w:val="7A886B78"/>
    <w:rsid w:val="7AA835B7"/>
    <w:rsid w:val="7AAB1D04"/>
    <w:rsid w:val="7AAC4F5C"/>
    <w:rsid w:val="7ABA4368"/>
    <w:rsid w:val="7AC2368F"/>
    <w:rsid w:val="7AD05746"/>
    <w:rsid w:val="7AE91D0C"/>
    <w:rsid w:val="7B1E128A"/>
    <w:rsid w:val="7B257FFD"/>
    <w:rsid w:val="7B343476"/>
    <w:rsid w:val="7B3960C4"/>
    <w:rsid w:val="7B4B2B46"/>
    <w:rsid w:val="7B5A2978"/>
    <w:rsid w:val="7B5A7E4C"/>
    <w:rsid w:val="7B65210F"/>
    <w:rsid w:val="7B667AF9"/>
    <w:rsid w:val="7B7468F8"/>
    <w:rsid w:val="7B8030DC"/>
    <w:rsid w:val="7B9A4DB4"/>
    <w:rsid w:val="7B9F061D"/>
    <w:rsid w:val="7BBE770A"/>
    <w:rsid w:val="7BEB5610"/>
    <w:rsid w:val="7BEE0103"/>
    <w:rsid w:val="7BF72207"/>
    <w:rsid w:val="7BFA5853"/>
    <w:rsid w:val="7C036DFE"/>
    <w:rsid w:val="7C0A0FE4"/>
    <w:rsid w:val="7C254906"/>
    <w:rsid w:val="7C273B24"/>
    <w:rsid w:val="7C590818"/>
    <w:rsid w:val="7C703D67"/>
    <w:rsid w:val="7C7C10F6"/>
    <w:rsid w:val="7C853BEA"/>
    <w:rsid w:val="7C865339"/>
    <w:rsid w:val="7C881368"/>
    <w:rsid w:val="7CA0289E"/>
    <w:rsid w:val="7CA82555"/>
    <w:rsid w:val="7CC11DDE"/>
    <w:rsid w:val="7CCF0A8E"/>
    <w:rsid w:val="7CD564F7"/>
    <w:rsid w:val="7CE262A3"/>
    <w:rsid w:val="7CE27788"/>
    <w:rsid w:val="7CFD1A9F"/>
    <w:rsid w:val="7D060228"/>
    <w:rsid w:val="7D0C32F1"/>
    <w:rsid w:val="7D0F408D"/>
    <w:rsid w:val="7D397F7A"/>
    <w:rsid w:val="7D3E470B"/>
    <w:rsid w:val="7D491C6C"/>
    <w:rsid w:val="7D4A26D8"/>
    <w:rsid w:val="7D4D5E56"/>
    <w:rsid w:val="7D51157A"/>
    <w:rsid w:val="7D5429C0"/>
    <w:rsid w:val="7D584F27"/>
    <w:rsid w:val="7D6D5C69"/>
    <w:rsid w:val="7D6E6D43"/>
    <w:rsid w:val="7D755AD9"/>
    <w:rsid w:val="7D906A30"/>
    <w:rsid w:val="7D9341B1"/>
    <w:rsid w:val="7DB57A34"/>
    <w:rsid w:val="7DC24A36"/>
    <w:rsid w:val="7DD4451C"/>
    <w:rsid w:val="7DE43690"/>
    <w:rsid w:val="7DE60973"/>
    <w:rsid w:val="7DEF0916"/>
    <w:rsid w:val="7DFC621E"/>
    <w:rsid w:val="7E1E5218"/>
    <w:rsid w:val="7E417769"/>
    <w:rsid w:val="7E434750"/>
    <w:rsid w:val="7E6A2956"/>
    <w:rsid w:val="7E6B47E6"/>
    <w:rsid w:val="7E6C679B"/>
    <w:rsid w:val="7E8B30DA"/>
    <w:rsid w:val="7E9A4E1F"/>
    <w:rsid w:val="7E9C0E44"/>
    <w:rsid w:val="7EA051A1"/>
    <w:rsid w:val="7EA7723A"/>
    <w:rsid w:val="7EB62349"/>
    <w:rsid w:val="7EF50554"/>
    <w:rsid w:val="7EF56FBB"/>
    <w:rsid w:val="7F0768EB"/>
    <w:rsid w:val="7F0D1E11"/>
    <w:rsid w:val="7F0F5AB9"/>
    <w:rsid w:val="7F143BEC"/>
    <w:rsid w:val="7F144C9F"/>
    <w:rsid w:val="7F362021"/>
    <w:rsid w:val="7F4654A4"/>
    <w:rsid w:val="7F63129E"/>
    <w:rsid w:val="7F715AF2"/>
    <w:rsid w:val="7F74214F"/>
    <w:rsid w:val="7F7B47F9"/>
    <w:rsid w:val="7F802513"/>
    <w:rsid w:val="7F840255"/>
    <w:rsid w:val="7F886E69"/>
    <w:rsid w:val="7F906D27"/>
    <w:rsid w:val="7F9513F7"/>
    <w:rsid w:val="7FB126CD"/>
    <w:rsid w:val="7FE44850"/>
    <w:rsid w:val="7FEB1D3A"/>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2"/>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1"/>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2"/>
    <w:autoRedefine/>
    <w:qFormat/>
    <w:uiPriority w:val="0"/>
    <w:rPr>
      <w:lang w:val="zh-CN"/>
    </w:rPr>
  </w:style>
  <w:style w:type="paragraph" w:styleId="38">
    <w:name w:val="Balloon Text"/>
    <w:basedOn w:val="1"/>
    <w:link w:val="188"/>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2"/>
    <w:autoRedefine/>
    <w:qFormat/>
    <w:uiPriority w:val="0"/>
    <w:pPr>
      <w:spacing w:after="120" w:line="480" w:lineRule="auto"/>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autoRedefine/>
    <w:qFormat/>
    <w:uiPriority w:val="0"/>
    <w:rPr>
      <w:b/>
      <w:bCs/>
    </w:rPr>
  </w:style>
  <w:style w:type="paragraph" w:styleId="60">
    <w:name w:val="Body Text First Indent"/>
    <w:basedOn w:val="23"/>
    <w:next w:val="50"/>
    <w:link w:val="321"/>
    <w:autoRedefine/>
    <w:qFormat/>
    <w:uiPriority w:val="0"/>
    <w:pPr>
      <w:ind w:firstLine="420"/>
    </w:pPr>
    <w:rPr>
      <w:rFonts w:hAnsi="Calibri" w:cs="Times New Roman"/>
      <w:snapToGrid/>
      <w:szCs w:val="20"/>
    </w:rPr>
  </w:style>
  <w:style w:type="paragraph" w:styleId="61">
    <w:name w:val="Body Text First Indent 2"/>
    <w:basedOn w:val="24"/>
    <w:link w:val="121"/>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_Style 7"/>
    <w:basedOn w:val="1"/>
    <w:autoRedefine/>
    <w:qFormat/>
    <w:uiPriority w:val="0"/>
    <w:pPr>
      <w:ind w:firstLine="420" w:firstLineChars="200"/>
    </w:p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59"/>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69"/>
    <w:autoRedefine/>
    <w:qFormat/>
    <w:uiPriority w:val="0"/>
    <w:rPr>
      <w:rFonts w:ascii="Arial" w:hAnsi="Arial" w:eastAsia="黑体" w:cs="Arial"/>
      <w:snapToGrid w:val="0"/>
      <w:kern w:val="0"/>
      <w:szCs w:val="21"/>
    </w:rPr>
  </w:style>
  <w:style w:type="character" w:customStyle="1" w:styleId="125">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6"/>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8"/>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5"/>
    <w:autoRedefine/>
    <w:qFormat/>
    <w:uiPriority w:val="0"/>
    <w:rPr>
      <w:rFonts w:ascii="宋体"/>
      <w:kern w:val="2"/>
      <w:sz w:val="24"/>
      <w:szCs w:val="21"/>
      <w:lang w:val="zh-CN"/>
    </w:rPr>
  </w:style>
  <w:style w:type="character" w:customStyle="1" w:styleId="182">
    <w:name w:val="标题 9 字符"/>
    <w:link w:val="11"/>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8"/>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18"/>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69"/>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29"/>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6"/>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6"/>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next w:val="1"/>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4"/>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6"/>
    <w:autoRedefine/>
    <w:qFormat/>
    <w:uiPriority w:val="0"/>
    <w:rPr>
      <w:rFonts w:ascii="黑体" w:hAnsi="Courier New" w:eastAsia="黑体"/>
    </w:rPr>
  </w:style>
  <w:style w:type="character" w:customStyle="1" w:styleId="302">
    <w:name w:val="正文文本 2 字符1"/>
    <w:link w:val="55"/>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9"/>
    <w:autoRedefine/>
    <w:qFormat/>
    <w:uiPriority w:val="0"/>
    <w:rPr>
      <w:b/>
      <w:bCs/>
      <w:kern w:val="2"/>
      <w:sz w:val="24"/>
      <w:szCs w:val="24"/>
    </w:rPr>
  </w:style>
  <w:style w:type="character" w:customStyle="1" w:styleId="308">
    <w:name w:val="正文文本缩进 2 字符"/>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autoRedefine/>
    <w:qFormat/>
    <w:uiPriority w:val="99"/>
    <w:rPr>
      <w:kern w:val="2"/>
      <w:sz w:val="21"/>
      <w:szCs w:val="24"/>
    </w:rPr>
  </w:style>
  <w:style w:type="character" w:customStyle="1" w:styleId="345">
    <w:name w:val="签名 字符"/>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69"/>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69"/>
    <w:autoRedefine/>
    <w:qFormat/>
    <w:uiPriority w:val="0"/>
    <w:rPr>
      <w:rFonts w:ascii="Arial" w:hAnsi="Arial" w:eastAsia="黑体" w:cs="Arial"/>
      <w:snapToGrid w:val="0"/>
      <w:kern w:val="0"/>
      <w:szCs w:val="21"/>
    </w:rPr>
  </w:style>
  <w:style w:type="character" w:customStyle="1" w:styleId="432">
    <w:name w:val="hui"/>
    <w:basedOn w:val="69"/>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7"/>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autoRedefine/>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2">
    <w:name w:val="单元格左对齐"/>
    <w:basedOn w:val="1"/>
    <w:autoRedefine/>
    <w:qFormat/>
    <w:uiPriority w:val="0"/>
    <w:pPr>
      <w:adjustRightInd/>
      <w:spacing w:line="360" w:lineRule="auto"/>
    </w:pPr>
    <w:rPr>
      <w:sz w:val="24"/>
    </w:rPr>
  </w:style>
  <w:style w:type="paragraph" w:customStyle="1" w:styleId="803">
    <w:name w:val="正文主体"/>
    <w:basedOn w:val="624"/>
    <w:autoRedefine/>
    <w:qFormat/>
    <w:uiPriority w:val="0"/>
  </w:style>
  <w:style w:type="paragraph" w:customStyle="1" w:styleId="804">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autoRedefine/>
    <w:qFormat/>
    <w:uiPriority w:val="0"/>
    <w:pPr>
      <w:adjustRightInd/>
      <w:spacing w:line="360" w:lineRule="auto"/>
      <w:ind w:firstLine="480" w:firstLineChars="200"/>
    </w:pPr>
    <w:rPr>
      <w:sz w:val="24"/>
      <w:szCs w:val="20"/>
    </w:rPr>
  </w:style>
  <w:style w:type="paragraph" w:customStyle="1" w:styleId="808">
    <w:name w:val="P1"/>
    <w:basedOn w:val="1"/>
    <w:autoRedefine/>
    <w:qFormat/>
    <w:uiPriority w:val="0"/>
    <w:pPr>
      <w:adjustRightInd/>
      <w:spacing w:line="288" w:lineRule="auto"/>
      <w:ind w:firstLine="425" w:firstLineChars="200"/>
    </w:pPr>
  </w:style>
  <w:style w:type="paragraph" w:customStyle="1" w:styleId="809">
    <w:name w:val="列表内容"/>
    <w:basedOn w:val="1"/>
    <w:next w:val="1"/>
    <w:autoRedefine/>
    <w:qFormat/>
    <w:uiPriority w:val="0"/>
    <w:pPr>
      <w:widowControl/>
      <w:tabs>
        <w:tab w:val="left" w:pos="840"/>
      </w:tabs>
      <w:ind w:left="840" w:hanging="420"/>
      <w:jc w:val="left"/>
    </w:pPr>
    <w:rPr>
      <w:kern w:val="0"/>
      <w:sz w:val="18"/>
    </w:rPr>
  </w:style>
  <w:style w:type="paragraph" w:customStyle="1" w:styleId="810">
    <w:name w:val="Char Char11 Char Char Char1"/>
    <w:basedOn w:val="1"/>
    <w:autoRedefine/>
    <w:qFormat/>
    <w:uiPriority w:val="6"/>
    <w:pPr>
      <w:spacing w:line="360" w:lineRule="auto"/>
    </w:pPr>
    <w:rPr>
      <w:szCs w:val="20"/>
    </w:rPr>
  </w:style>
  <w:style w:type="paragraph" w:customStyle="1" w:styleId="8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2">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autoRedefine/>
    <w:qFormat/>
    <w:uiPriority w:val="0"/>
    <w:pPr>
      <w:spacing w:line="360" w:lineRule="auto"/>
    </w:pPr>
    <w:rPr>
      <w:szCs w:val="20"/>
    </w:rPr>
  </w:style>
  <w:style w:type="paragraph" w:customStyle="1" w:styleId="81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autoRedefine/>
    <w:qFormat/>
    <w:uiPriority w:val="0"/>
    <w:rPr>
      <w:rFonts w:ascii="仿宋_GB2312" w:eastAsia="仿宋_GB2312"/>
      <w:b/>
      <w:sz w:val="32"/>
      <w:szCs w:val="32"/>
    </w:rPr>
  </w:style>
  <w:style w:type="paragraph" w:customStyle="1" w:styleId="820">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3">
    <w:name w:val="Char Char4 Char Char"/>
    <w:basedOn w:val="1"/>
    <w:autoRedefine/>
    <w:qFormat/>
    <w:uiPriority w:val="0"/>
    <w:pPr>
      <w:widowControl/>
      <w:adjustRightInd/>
      <w:spacing w:after="160" w:line="240" w:lineRule="exact"/>
      <w:jc w:val="left"/>
    </w:pPr>
  </w:style>
  <w:style w:type="paragraph" w:customStyle="1" w:styleId="82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autoRedefine/>
    <w:qFormat/>
    <w:uiPriority w:val="0"/>
    <w:pPr>
      <w:spacing w:line="360" w:lineRule="auto"/>
    </w:pPr>
    <w:rPr>
      <w:szCs w:val="20"/>
    </w:rPr>
  </w:style>
  <w:style w:type="paragraph" w:customStyle="1" w:styleId="826">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autoRedefine/>
    <w:qFormat/>
    <w:uiPriority w:val="0"/>
    <w:pPr>
      <w:adjustRightInd/>
      <w:ind w:firstLine="200" w:firstLineChars="200"/>
    </w:pPr>
    <w:rPr>
      <w:rFonts w:ascii="Tahoma" w:hAnsi="Tahoma"/>
      <w:sz w:val="24"/>
      <w:szCs w:val="20"/>
    </w:rPr>
  </w:style>
  <w:style w:type="paragraph" w:customStyle="1" w:styleId="833">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autoRedefine/>
    <w:qFormat/>
    <w:uiPriority w:val="0"/>
    <w:pPr>
      <w:tabs>
        <w:tab w:val="left" w:pos="0"/>
      </w:tabs>
      <w:ind w:left="900" w:firstLine="0" w:firstLineChars="0"/>
    </w:pPr>
  </w:style>
  <w:style w:type="paragraph" w:customStyle="1" w:styleId="836">
    <w:name w:val="Bulleted List"/>
    <w:basedOn w:val="1"/>
    <w:autoRedefine/>
    <w:qFormat/>
    <w:uiPriority w:val="0"/>
    <w:pPr>
      <w:tabs>
        <w:tab w:val="left" w:pos="1260"/>
      </w:tabs>
      <w:adjustRightInd/>
      <w:ind w:left="1260" w:hanging="420"/>
    </w:pPr>
  </w:style>
  <w:style w:type="paragraph" w:customStyle="1" w:styleId="837">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autoRedefine/>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autoRedefine/>
    <w:qFormat/>
    <w:uiPriority w:val="0"/>
    <w:rPr>
      <w:rFonts w:ascii="Tahoma" w:hAnsi="Tahoma" w:cs="仿宋_GB2312"/>
      <w:sz w:val="24"/>
      <w:szCs w:val="20"/>
    </w:rPr>
  </w:style>
  <w:style w:type="paragraph" w:customStyle="1" w:styleId="840">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autoRedefine/>
    <w:qFormat/>
    <w:uiPriority w:val="0"/>
    <w:rPr>
      <w:rFonts w:ascii="仿宋_GB2312" w:eastAsia="仿宋_GB2312"/>
      <w:b/>
      <w:sz w:val="32"/>
      <w:szCs w:val="20"/>
    </w:rPr>
  </w:style>
  <w:style w:type="paragraph" w:customStyle="1" w:styleId="84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autoRedefine/>
    <w:qFormat/>
    <w:uiPriority w:val="0"/>
    <w:rPr>
      <w:rFonts w:ascii="仿宋_GB2312" w:eastAsia="仿宋_GB2312"/>
      <w:b/>
      <w:sz w:val="32"/>
      <w:szCs w:val="20"/>
    </w:rPr>
  </w:style>
  <w:style w:type="paragraph" w:customStyle="1" w:styleId="84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autoRedefine/>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autoRedefine/>
    <w:qFormat/>
    <w:uiPriority w:val="0"/>
    <w:pPr>
      <w:widowControl/>
      <w:spacing w:after="160" w:line="240" w:lineRule="exact"/>
      <w:jc w:val="left"/>
    </w:pPr>
    <w:rPr>
      <w:rFonts w:eastAsia="仿宋_GB2312"/>
      <w:sz w:val="28"/>
    </w:rPr>
  </w:style>
  <w:style w:type="paragraph" w:customStyle="1" w:styleId="861">
    <w:name w:val="Char21"/>
    <w:basedOn w:val="1"/>
    <w:autoRedefine/>
    <w:qFormat/>
    <w:uiPriority w:val="0"/>
    <w:pPr>
      <w:adjustRightInd/>
      <w:ind w:firstLine="200" w:firstLineChars="200"/>
    </w:pPr>
    <w:rPr>
      <w:rFonts w:ascii="仿宋_GB2312" w:eastAsia="仿宋_GB2312"/>
      <w:b/>
      <w:sz w:val="32"/>
      <w:szCs w:val="32"/>
    </w:rPr>
  </w:style>
  <w:style w:type="paragraph" w:customStyle="1" w:styleId="862">
    <w:name w:val="列表段落1"/>
    <w:basedOn w:val="1"/>
    <w:autoRedefine/>
    <w:qFormat/>
    <w:uiPriority w:val="34"/>
    <w:pPr>
      <w:adjustRightInd/>
      <w:ind w:right="238" w:firstLine="420"/>
    </w:pPr>
    <w:rPr>
      <w:rFonts w:ascii="Calibri" w:hAnsi="Calibri"/>
      <w:sz w:val="24"/>
    </w:rPr>
  </w:style>
  <w:style w:type="paragraph" w:customStyle="1" w:styleId="863">
    <w:name w:val="Char Char110"/>
    <w:basedOn w:val="1"/>
    <w:autoRedefine/>
    <w:qFormat/>
    <w:uiPriority w:val="6"/>
    <w:pPr>
      <w:spacing w:line="360" w:lineRule="auto"/>
    </w:pPr>
    <w:rPr>
      <w:rFonts w:ascii="Tahoma" w:hAnsi="Tahoma"/>
      <w:sz w:val="24"/>
      <w:szCs w:val="20"/>
    </w:rPr>
  </w:style>
  <w:style w:type="paragraph" w:customStyle="1" w:styleId="86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autoRedefine/>
    <w:qFormat/>
    <w:uiPriority w:val="0"/>
    <w:rPr>
      <w:rFonts w:ascii="Tahoma" w:hAnsi="Tahoma" w:cs="仿宋_GB2312"/>
      <w:sz w:val="24"/>
      <w:szCs w:val="20"/>
    </w:rPr>
  </w:style>
  <w:style w:type="paragraph" w:customStyle="1" w:styleId="86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3">
    <w:name w:val="_Style 12"/>
    <w:basedOn w:val="18"/>
    <w:autoRedefine/>
    <w:qFormat/>
    <w:uiPriority w:val="0"/>
    <w:pPr>
      <w:snapToGrid w:val="0"/>
      <w:spacing w:line="360" w:lineRule="auto"/>
    </w:pPr>
  </w:style>
  <w:style w:type="paragraph" w:customStyle="1" w:styleId="87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autoRedefine/>
    <w:qFormat/>
    <w:uiPriority w:val="0"/>
    <w:pPr>
      <w:outlineLvl w:val="2"/>
    </w:pPr>
  </w:style>
  <w:style w:type="paragraph" w:customStyle="1" w:styleId="88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autoRedefine/>
    <w:qFormat/>
    <w:uiPriority w:val="0"/>
    <w:pPr>
      <w:adjustRightInd/>
      <w:ind w:firstLine="200" w:firstLineChars="200"/>
    </w:pPr>
    <w:rPr>
      <w:rFonts w:ascii="Tahoma" w:hAnsi="Tahoma"/>
      <w:sz w:val="24"/>
      <w:szCs w:val="20"/>
    </w:rPr>
  </w:style>
  <w:style w:type="paragraph" w:customStyle="1" w:styleId="88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4">
    <w:name w:val="MM Empty"/>
    <w:basedOn w:val="1"/>
    <w:autoRedefine/>
    <w:qFormat/>
    <w:uiPriority w:val="0"/>
    <w:pPr>
      <w:adjustRightInd/>
    </w:pPr>
  </w:style>
  <w:style w:type="paragraph" w:customStyle="1" w:styleId="885">
    <w:name w:val="Char24"/>
    <w:basedOn w:val="1"/>
    <w:autoRedefine/>
    <w:qFormat/>
    <w:uiPriority w:val="0"/>
    <w:rPr>
      <w:rFonts w:ascii="仿宋_GB2312" w:eastAsia="仿宋_GB2312"/>
      <w:b/>
      <w:sz w:val="32"/>
      <w:szCs w:val="32"/>
    </w:rPr>
  </w:style>
  <w:style w:type="paragraph" w:customStyle="1" w:styleId="886">
    <w:name w:val="正文箭头"/>
    <w:basedOn w:val="538"/>
    <w:autoRedefine/>
    <w:qFormat/>
    <w:uiPriority w:val="0"/>
  </w:style>
  <w:style w:type="paragraph" w:customStyle="1" w:styleId="887">
    <w:name w:val="U_编号2"/>
    <w:basedOn w:val="1"/>
    <w:autoRedefine/>
    <w:qFormat/>
    <w:uiPriority w:val="0"/>
    <w:pPr>
      <w:tabs>
        <w:tab w:val="left" w:pos="785"/>
      </w:tabs>
      <w:adjustRightInd/>
      <w:spacing w:beforeLines="10" w:afterLines="10" w:line="300" w:lineRule="auto"/>
    </w:pPr>
    <w:rPr>
      <w:sz w:val="24"/>
    </w:rPr>
  </w:style>
  <w:style w:type="paragraph" w:customStyle="1" w:styleId="88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autoRedefine/>
    <w:qFormat/>
    <w:uiPriority w:val="34"/>
    <w:pPr>
      <w:adjustRightInd/>
      <w:ind w:firstLine="420" w:firstLineChars="200"/>
    </w:pPr>
    <w:rPr>
      <w:rFonts w:eastAsia="仿宋_GB2312"/>
      <w:sz w:val="28"/>
    </w:rPr>
  </w:style>
  <w:style w:type="paragraph" w:customStyle="1" w:styleId="893">
    <w:name w:val="表格 内容"/>
    <w:basedOn w:val="729"/>
    <w:autoRedefine/>
    <w:qFormat/>
    <w:uiPriority w:val="0"/>
    <w:rPr>
      <w:b w:val="0"/>
      <w:sz w:val="20"/>
    </w:rPr>
  </w:style>
  <w:style w:type="paragraph" w:customStyle="1" w:styleId="894">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autoRedefine/>
    <w:qFormat/>
    <w:uiPriority w:val="0"/>
    <w:pPr>
      <w:tabs>
        <w:tab w:val="left" w:pos="1080"/>
      </w:tabs>
      <w:ind w:left="1080" w:hanging="1080"/>
    </w:pPr>
  </w:style>
  <w:style w:type="paragraph" w:customStyle="1" w:styleId="897">
    <w:name w:val="数字标题1"/>
    <w:basedOn w:val="2"/>
    <w:next w:val="1"/>
    <w:autoRedefine/>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autoRedefine/>
    <w:qFormat/>
    <w:uiPriority w:val="0"/>
    <w:pPr>
      <w:widowControl/>
    </w:pPr>
    <w:rPr>
      <w:kern w:val="0"/>
      <w:sz w:val="24"/>
      <w:szCs w:val="20"/>
    </w:rPr>
  </w:style>
  <w:style w:type="paragraph" w:customStyle="1" w:styleId="905">
    <w:name w:val="Char Char113"/>
    <w:basedOn w:val="1"/>
    <w:autoRedefine/>
    <w:qFormat/>
    <w:uiPriority w:val="0"/>
    <w:pPr>
      <w:widowControl/>
      <w:spacing w:after="160" w:line="240" w:lineRule="exact"/>
      <w:jc w:val="left"/>
    </w:pPr>
    <w:rPr>
      <w:rFonts w:eastAsia="仿宋_GB2312"/>
      <w:sz w:val="28"/>
    </w:rPr>
  </w:style>
  <w:style w:type="paragraph" w:customStyle="1" w:styleId="90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autoRedefine/>
    <w:qFormat/>
    <w:uiPriority w:val="34"/>
    <w:pPr>
      <w:adjustRightInd/>
      <w:ind w:firstLine="420" w:firstLineChars="200"/>
    </w:pPr>
    <w:rPr>
      <w:rFonts w:eastAsia="仿宋_GB2312"/>
      <w:sz w:val="28"/>
    </w:rPr>
  </w:style>
  <w:style w:type="paragraph" w:customStyle="1" w:styleId="90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autoRedefine/>
    <w:qFormat/>
    <w:uiPriority w:val="6"/>
    <w:pPr>
      <w:widowControl/>
      <w:spacing w:after="160" w:line="240" w:lineRule="exact"/>
      <w:jc w:val="left"/>
    </w:pPr>
    <w:rPr>
      <w:rFonts w:eastAsia="仿宋_GB2312"/>
      <w:sz w:val="28"/>
    </w:rPr>
  </w:style>
  <w:style w:type="paragraph" w:customStyle="1" w:styleId="914">
    <w:name w:val="正文 图"/>
    <w:basedOn w:val="443"/>
    <w:autoRedefine/>
    <w:qFormat/>
    <w:uiPriority w:val="0"/>
    <w:pPr>
      <w:adjustRightInd/>
      <w:spacing w:before="0"/>
      <w:ind w:firstLine="0"/>
      <w:jc w:val="center"/>
    </w:pPr>
    <w:rPr>
      <w:rFonts w:ascii="微软雅黑" w:hAnsi="微软雅黑"/>
    </w:rPr>
  </w:style>
  <w:style w:type="paragraph" w:customStyle="1" w:styleId="91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autoRedefine/>
    <w:qFormat/>
    <w:uiPriority w:val="0"/>
    <w:pPr>
      <w:ind w:left="0"/>
    </w:pPr>
  </w:style>
  <w:style w:type="paragraph" w:customStyle="1" w:styleId="91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autoRedefine/>
    <w:qFormat/>
    <w:uiPriority w:val="0"/>
    <w:pPr>
      <w:adjustRightInd/>
      <w:spacing w:line="360" w:lineRule="auto"/>
      <w:ind w:firstLine="480"/>
    </w:pPr>
    <w:rPr>
      <w:sz w:val="24"/>
    </w:rPr>
  </w:style>
  <w:style w:type="table" w:customStyle="1" w:styleId="921">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autoRedefine/>
    <w:qFormat/>
    <w:uiPriority w:val="34"/>
    <w:pPr>
      <w:ind w:firstLine="420" w:firstLineChars="200"/>
    </w:pPr>
  </w:style>
  <w:style w:type="character" w:customStyle="1" w:styleId="928">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autoRedefine/>
    <w:qFormat/>
    <w:uiPriority w:val="0"/>
    <w:rPr>
      <w:rFonts w:ascii="宋体" w:eastAsia="宋体"/>
      <w:snapToGrid w:val="0"/>
      <w:color w:val="000000"/>
      <w:kern w:val="28"/>
      <w:sz w:val="28"/>
      <w:lang w:val="en-US" w:eastAsia="zh-CN" w:bidi="ar-SA"/>
    </w:rPr>
  </w:style>
  <w:style w:type="character" w:customStyle="1" w:styleId="930">
    <w:name w:val="页脚 字符1"/>
    <w:autoRedefine/>
    <w:qFormat/>
    <w:locked/>
    <w:uiPriority w:val="99"/>
    <w:rPr>
      <w:kern w:val="2"/>
      <w:sz w:val="18"/>
      <w:szCs w:val="18"/>
    </w:rPr>
  </w:style>
  <w:style w:type="character" w:customStyle="1" w:styleId="931">
    <w:name w:val="页眉 字符1"/>
    <w:autoRedefine/>
    <w:qFormat/>
    <w:uiPriority w:val="99"/>
    <w:rPr>
      <w:kern w:val="2"/>
      <w:sz w:val="18"/>
      <w:szCs w:val="18"/>
    </w:rPr>
  </w:style>
  <w:style w:type="character" w:customStyle="1" w:styleId="932">
    <w:name w:val="尾注文本 字符"/>
    <w:link w:val="37"/>
    <w:autoRedefine/>
    <w:qFormat/>
    <w:uiPriority w:val="0"/>
    <w:rPr>
      <w:kern w:val="2"/>
      <w:sz w:val="21"/>
      <w:szCs w:val="24"/>
      <w:lang w:val="zh-CN"/>
    </w:rPr>
  </w:style>
  <w:style w:type="character" w:customStyle="1" w:styleId="933">
    <w:name w:val="无间隔 字符"/>
    <w:link w:val="483"/>
    <w:autoRedefine/>
    <w:qFormat/>
    <w:uiPriority w:val="99"/>
    <w:rPr>
      <w:kern w:val="2"/>
      <w:sz w:val="21"/>
      <w:szCs w:val="22"/>
    </w:rPr>
  </w:style>
  <w:style w:type="character" w:customStyle="1" w:styleId="934">
    <w:name w:val="标准文本 Char Char"/>
    <w:link w:val="935"/>
    <w:autoRedefine/>
    <w:qFormat/>
    <w:uiPriority w:val="0"/>
    <w:rPr>
      <w:rFonts w:cs="宋体"/>
      <w:kern w:val="2"/>
      <w:sz w:val="24"/>
    </w:rPr>
  </w:style>
  <w:style w:type="paragraph" w:customStyle="1" w:styleId="935">
    <w:name w:val="标准文本"/>
    <w:basedOn w:val="1"/>
    <w:link w:val="934"/>
    <w:autoRedefine/>
    <w:qFormat/>
    <w:uiPriority w:val="0"/>
    <w:pPr>
      <w:adjustRightInd/>
      <w:spacing w:line="360" w:lineRule="auto"/>
      <w:ind w:firstLine="480" w:firstLineChars="200"/>
    </w:pPr>
    <w:rPr>
      <w:rFonts w:cs="宋体"/>
      <w:sz w:val="24"/>
      <w:szCs w:val="20"/>
    </w:rPr>
  </w:style>
  <w:style w:type="character" w:customStyle="1" w:styleId="936">
    <w:name w:val="Char Char213"/>
    <w:autoRedefine/>
    <w:qFormat/>
    <w:uiPriority w:val="0"/>
    <w:rPr>
      <w:rFonts w:eastAsia="Century Gothic"/>
      <w:b/>
      <w:bCs/>
      <w:kern w:val="44"/>
      <w:sz w:val="32"/>
      <w:szCs w:val="44"/>
      <w:lang w:val="en-US" w:eastAsia="zh-CN" w:bidi="ar-SA"/>
    </w:rPr>
  </w:style>
  <w:style w:type="character" w:customStyle="1" w:styleId="937">
    <w:name w:val="apple-style-span"/>
    <w:autoRedefine/>
    <w:qFormat/>
    <w:uiPriority w:val="0"/>
    <w:rPr>
      <w:rFonts w:ascii="Arial" w:hAnsi="Arial" w:eastAsia="黑体" w:cs="Arial"/>
      <w:snapToGrid w:val="0"/>
      <w:kern w:val="0"/>
      <w:szCs w:val="21"/>
    </w:rPr>
  </w:style>
  <w:style w:type="character" w:customStyle="1" w:styleId="938">
    <w:name w:val="15"/>
    <w:autoRedefine/>
    <w:qFormat/>
    <w:uiPriority w:val="0"/>
    <w:rPr>
      <w:rFonts w:hint="default" w:ascii="Calibri" w:hAnsi="Calibri"/>
      <w:color w:val="0000FF"/>
      <w:u w:val="single"/>
    </w:rPr>
  </w:style>
  <w:style w:type="character" w:customStyle="1" w:styleId="939">
    <w:name w:val="16"/>
    <w:autoRedefine/>
    <w:qFormat/>
    <w:uiPriority w:val="0"/>
    <w:rPr>
      <w:rFonts w:hint="eastAsia" w:ascii="宋体" w:hAnsi="宋体" w:eastAsia="宋体"/>
      <w:color w:val="000000"/>
      <w:sz w:val="20"/>
      <w:szCs w:val="20"/>
    </w:rPr>
  </w:style>
  <w:style w:type="character" w:customStyle="1" w:styleId="940">
    <w:name w:val="edui-unclickable"/>
    <w:autoRedefine/>
    <w:qFormat/>
    <w:uiPriority w:val="0"/>
    <w:rPr>
      <w:color w:val="808080"/>
    </w:rPr>
  </w:style>
  <w:style w:type="character" w:customStyle="1" w:styleId="941">
    <w:name w:val="tpc_content1"/>
    <w:autoRedefine/>
    <w:qFormat/>
    <w:uiPriority w:val="0"/>
    <w:rPr>
      <w:sz w:val="20"/>
      <w:szCs w:val="20"/>
    </w:rPr>
  </w:style>
  <w:style w:type="character" w:customStyle="1" w:styleId="942">
    <w:name w:val="正文文本缩进 字符"/>
    <w:autoRedefine/>
    <w:qFormat/>
    <w:uiPriority w:val="0"/>
    <w:rPr>
      <w:rFonts w:ascii="Century Gothic" w:hAnsi="Century Gothic" w:eastAsia="Century Gothic"/>
      <w:kern w:val="2"/>
      <w:sz w:val="24"/>
      <w:lang w:val="en-US" w:eastAsia="zh-CN" w:bidi="ar-SA"/>
    </w:rPr>
  </w:style>
  <w:style w:type="character" w:customStyle="1" w:styleId="943">
    <w:name w:val="正文文本 2 字符"/>
    <w:autoRedefine/>
    <w:qFormat/>
    <w:uiPriority w:val="0"/>
    <w:rPr>
      <w:rFonts w:ascii="Arial" w:hAnsi="Arial" w:eastAsia="宋体"/>
      <w:kern w:val="2"/>
      <w:sz w:val="24"/>
      <w:szCs w:val="24"/>
      <w:lang w:val="en-US" w:eastAsia="zh-CN" w:bidi="ar-SA"/>
    </w:rPr>
  </w:style>
  <w:style w:type="character" w:customStyle="1" w:styleId="944">
    <w:name w:val="edui-clickable2"/>
    <w:autoRedefine/>
    <w:qFormat/>
    <w:uiPriority w:val="0"/>
    <w:rPr>
      <w:color w:val="0000FF"/>
      <w:u w:val="single"/>
    </w:rPr>
  </w:style>
  <w:style w:type="character" w:customStyle="1" w:styleId="945">
    <w:name w:val="style1"/>
    <w:autoRedefine/>
    <w:qFormat/>
    <w:uiPriority w:val="0"/>
    <w:rPr>
      <w:rFonts w:ascii="Arial" w:hAnsi="Arial" w:eastAsia="黑体" w:cs="Arial"/>
      <w:snapToGrid w:val="0"/>
      <w:kern w:val="0"/>
      <w:szCs w:val="21"/>
    </w:rPr>
  </w:style>
  <w:style w:type="character" w:customStyle="1" w:styleId="946">
    <w:name w:val="zbggtop11 style5"/>
    <w:autoRedefine/>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8">
    <w:name w:val="bulletintext1"/>
    <w:autoRedefine/>
    <w:qFormat/>
    <w:uiPriority w:val="0"/>
    <w:rPr>
      <w:color w:val="000000"/>
      <w:sz w:val="18"/>
    </w:rPr>
  </w:style>
  <w:style w:type="paragraph" w:customStyle="1" w:styleId="949">
    <w:name w:val="_Style 947"/>
    <w:basedOn w:val="1"/>
    <w:next w:val="258"/>
    <w:autoRedefine/>
    <w:qFormat/>
    <w:uiPriority w:val="34"/>
    <w:pPr>
      <w:adjustRightInd/>
      <w:ind w:firstLine="420" w:firstLineChars="200"/>
    </w:pPr>
  </w:style>
  <w:style w:type="paragraph" w:customStyle="1" w:styleId="95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autoRedefine/>
    <w:qFormat/>
    <w:uiPriority w:val="0"/>
    <w:pPr>
      <w:adjustRightInd/>
      <w:jc w:val="left"/>
    </w:pPr>
    <w:rPr>
      <w:rFonts w:ascii="Calibri" w:hAnsi="Calibri"/>
      <w:kern w:val="0"/>
      <w:sz w:val="22"/>
      <w:szCs w:val="22"/>
      <w:lang w:eastAsia="en-US"/>
    </w:rPr>
  </w:style>
  <w:style w:type="paragraph" w:customStyle="1" w:styleId="95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autoRedefine/>
    <w:qFormat/>
    <w:uiPriority w:val="0"/>
    <w:rPr>
      <w:color w:val="000000"/>
      <w:shd w:val="clear" w:color="auto" w:fill="EFD200"/>
    </w:rPr>
  </w:style>
  <w:style w:type="character" w:customStyle="1" w:styleId="962">
    <w:name w:val="font71"/>
    <w:autoRedefine/>
    <w:qFormat/>
    <w:uiPriority w:val="0"/>
    <w:rPr>
      <w:rFonts w:hint="eastAsia" w:ascii="宋体" w:hAnsi="宋体" w:eastAsia="宋体" w:cs="宋体"/>
      <w:color w:val="000000"/>
      <w:sz w:val="22"/>
      <w:szCs w:val="22"/>
      <w:u w:val="none"/>
    </w:rPr>
  </w:style>
  <w:style w:type="character" w:customStyle="1" w:styleId="963">
    <w:name w:val="font91"/>
    <w:autoRedefine/>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WPSOffice手动目录 1"/>
    <w:autoRedefine/>
    <w:qFormat/>
    <w:uiPriority w:val="0"/>
    <w:rPr>
      <w:rFonts w:ascii="Times New Roman" w:hAnsi="Times New Roman" w:eastAsia="宋体" w:cs="Times New Roman"/>
      <w:lang w:val="en-US" w:eastAsia="zh-CN" w:bidi="ar-SA"/>
    </w:rPr>
  </w:style>
  <w:style w:type="paragraph" w:customStyle="1" w:styleId="968">
    <w:name w:val="内文正文"/>
    <w:basedOn w:val="32"/>
    <w:autoRedefine/>
    <w:qFormat/>
    <w:uiPriority w:val="0"/>
    <w:pPr>
      <w:autoSpaceDE w:val="0"/>
      <w:autoSpaceDN w:val="0"/>
      <w:spacing w:line="400" w:lineRule="exact"/>
      <w:ind w:firstLine="200" w:firstLineChars="200"/>
      <w:textAlignment w:val="bottom"/>
    </w:pPr>
    <w:rPr>
      <w:rFonts w:hAnsi="???|CS?o｡ﾀ?"/>
      <w:szCs w:val="28"/>
    </w:rPr>
  </w:style>
  <w:style w:type="paragraph" w:customStyle="1" w:styleId="969">
    <w:name w:val="须知二级小标题"/>
    <w:basedOn w:val="1"/>
    <w:autoRedefine/>
    <w:qFormat/>
    <w:uiPriority w:val="0"/>
    <w:pPr>
      <w:spacing w:line="500" w:lineRule="exact"/>
    </w:pPr>
    <w:rPr>
      <w:rFonts w:ascii="宋体"/>
      <w:b/>
      <w:sz w:val="24"/>
      <w:szCs w:val="20"/>
    </w:rPr>
  </w:style>
  <w:style w:type="paragraph" w:customStyle="1" w:styleId="970">
    <w:name w:val="Body Text First Indent 21"/>
    <w:basedOn w:val="971"/>
    <w:autoRedefine/>
    <w:qFormat/>
    <w:uiPriority w:val="0"/>
    <w:pPr>
      <w:ind w:firstLine="420"/>
    </w:pPr>
    <w:rPr>
      <w:rFonts w:ascii="Times New Roman" w:hAnsi="Times New Roman" w:cs="宋体"/>
    </w:rPr>
  </w:style>
  <w:style w:type="paragraph" w:customStyle="1" w:styleId="971">
    <w:name w:val="Body Text Indent1"/>
    <w:basedOn w:val="1"/>
    <w:next w:val="1"/>
    <w:autoRedefine/>
    <w:qFormat/>
    <w:uiPriority w:val="0"/>
    <w:pPr>
      <w:spacing w:after="120"/>
      <w:ind w:left="420" w:leftChars="200"/>
    </w:pPr>
    <w:rPr>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25588</Words>
  <Characters>27117</Characters>
  <Lines>467</Lines>
  <Paragraphs>131</Paragraphs>
  <TotalTime>3</TotalTime>
  <ScaleCrop>false</ScaleCrop>
  <LinksUpToDate>false</LinksUpToDate>
  <CharactersWithSpaces>27384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2022-05-07T07:35:00Z</dcterms:created>
  <dc:creator>玥</dc:creator>
  <cp:lastModifiedBy>Ai-黑妹</cp:lastModifiedBy>
  <cp:lastPrinted>2025-04-23T06:14:55Z</cp:lastPrinted>
  <dcterms:modified xsi:type="dcterms:W3CDTF">2025-04-23T06:15:51Z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3A1A37D92AAB4880B51D79D879301D87_13</vt:lpwstr>
  </property>
  <property fmtid="{D5CDD505-2E9C-101B-9397-08002B2CF9AE}" pid="5" name="commondata">
    <vt:lpwstr>eyJoZGlkIjoiNGNlMmFkMDQ1NDY0ZmRiM2Q0NjY4NTFjN2IwMTllYjMifQ==</vt:lpwstr>
  </property>
  <property fmtid="{D5CDD505-2E9C-101B-9397-08002B2CF9AE}" pid="6" name="KSOTemplateDocerSaveRecord">
    <vt:lpwstr>eyJoZGlkIjoiMzEwMWE4YzUwNmRmMDJkYjUwZjU4NDlkYWYyYzkzMjciLCJ1c2VySWQiOiIxMDAxMjIxODA2In0=</vt:lpwstr>
  </property>
</Properties>
</file>