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95024">
      <w:pPr>
        <w:pStyle w:val="31"/>
        <w:ind w:left="0" w:leftChars="0" w:firstLine="0" w:firstLineChars="0"/>
        <w:rPr>
          <w:rFonts w:hint="eastAsia" w:ascii="宋体" w:hAnsi="宋体" w:eastAsia="宋体" w:cs="宋体"/>
          <w:color w:val="auto"/>
          <w:highlight w:val="none"/>
        </w:rPr>
      </w:pPr>
    </w:p>
    <w:p w14:paraId="41CDC47F">
      <w:pPr>
        <w:rPr>
          <w:rFonts w:hint="eastAsia" w:ascii="宋体" w:hAnsi="宋体" w:eastAsia="宋体" w:cs="宋体"/>
          <w:color w:val="auto"/>
          <w:highlight w:val="none"/>
        </w:rPr>
      </w:pPr>
    </w:p>
    <w:p w14:paraId="6A00871D">
      <w:pPr>
        <w:rPr>
          <w:rFonts w:hint="eastAsia" w:ascii="宋体" w:hAnsi="宋体" w:eastAsia="宋体" w:cs="宋体"/>
          <w:color w:val="auto"/>
          <w:highlight w:val="none"/>
        </w:rPr>
      </w:pPr>
    </w:p>
    <w:p w14:paraId="5BCA5313">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hAnsi="宋体" w:eastAsia="宋体" w:cs="宋体"/>
          <w:b/>
          <w:color w:val="auto"/>
          <w:kern w:val="0"/>
          <w:sz w:val="52"/>
          <w:szCs w:val="52"/>
          <w:highlight w:val="none"/>
        </w:rPr>
      </w:pPr>
      <w:r>
        <w:rPr>
          <w:rFonts w:hint="eastAsia" w:ascii="宋体" w:hAnsi="宋体" w:eastAsia="宋体" w:cs="宋体"/>
          <w:b/>
          <w:color w:val="auto"/>
          <w:kern w:val="0"/>
          <w:sz w:val="52"/>
          <w:szCs w:val="52"/>
          <w:highlight w:val="none"/>
        </w:rPr>
        <w:t>采购竞争性磋商文件</w:t>
      </w:r>
    </w:p>
    <w:p w14:paraId="266C623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eastAsia="宋体" w:cs="宋体"/>
          <w:b w:val="0"/>
          <w:bCs w:val="0"/>
          <w:color w:val="auto"/>
          <w:kern w:val="0"/>
          <w:sz w:val="28"/>
          <w:szCs w:val="28"/>
          <w:highlight w:val="none"/>
        </w:rPr>
      </w:pPr>
    </w:p>
    <w:p w14:paraId="75D7F6B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eastAsia="宋体" w:cs="宋体"/>
          <w:b w:val="0"/>
          <w:bCs w:val="0"/>
          <w:color w:val="auto"/>
          <w:kern w:val="0"/>
          <w:sz w:val="28"/>
          <w:szCs w:val="28"/>
          <w:highlight w:val="none"/>
          <w:lang w:eastAsia="zh-CN"/>
        </w:rPr>
      </w:pPr>
      <w:r>
        <w:rPr>
          <w:rFonts w:hint="eastAsia" w:ascii="宋体" w:hAnsi="宋体" w:eastAsia="宋体" w:cs="宋体"/>
          <w:b w:val="0"/>
          <w:bCs w:val="0"/>
          <w:color w:val="auto"/>
          <w:kern w:val="0"/>
          <w:sz w:val="28"/>
          <w:szCs w:val="28"/>
          <w:highlight w:val="none"/>
        </w:rPr>
        <w:t>采购编号：</w:t>
      </w:r>
      <w:r>
        <w:rPr>
          <w:rFonts w:hint="eastAsia" w:ascii="宋体" w:hAnsi="宋体" w:eastAsia="宋体" w:cs="宋体"/>
          <w:b w:val="0"/>
          <w:bCs w:val="0"/>
          <w:color w:val="auto"/>
          <w:kern w:val="0"/>
          <w:sz w:val="28"/>
          <w:szCs w:val="28"/>
          <w:highlight w:val="none"/>
          <w:lang w:eastAsia="zh-CN"/>
        </w:rPr>
        <w:t>ZJBH-2025-F018</w:t>
      </w:r>
    </w:p>
    <w:p w14:paraId="432B34C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hint="eastAsia" w:ascii="宋体" w:hAnsi="宋体" w:eastAsia="宋体" w:cs="宋体"/>
          <w:color w:val="auto"/>
          <w:kern w:val="0"/>
          <w:sz w:val="30"/>
          <w:szCs w:val="30"/>
          <w:highlight w:val="none"/>
        </w:rPr>
      </w:pPr>
    </w:p>
    <w:p w14:paraId="45FD9D7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eastAsia="宋体" w:cs="宋体"/>
          <w:color w:val="auto"/>
          <w:kern w:val="0"/>
          <w:sz w:val="30"/>
          <w:szCs w:val="30"/>
          <w:highlight w:val="none"/>
        </w:rPr>
      </w:pPr>
    </w:p>
    <w:p w14:paraId="21E37FD6">
      <w:pPr>
        <w:pStyle w:val="2"/>
        <w:rPr>
          <w:rFonts w:hint="eastAsia" w:ascii="宋体" w:hAnsi="宋体" w:eastAsia="宋体" w:cs="宋体"/>
          <w:color w:val="auto"/>
          <w:kern w:val="0"/>
          <w:sz w:val="30"/>
          <w:szCs w:val="30"/>
          <w:highlight w:val="none"/>
        </w:rPr>
      </w:pPr>
    </w:p>
    <w:p w14:paraId="3042778D">
      <w:pPr>
        <w:pStyle w:val="2"/>
        <w:rPr>
          <w:rFonts w:hint="eastAsia" w:ascii="宋体" w:hAnsi="宋体" w:eastAsia="宋体" w:cs="宋体"/>
          <w:color w:val="auto"/>
          <w:kern w:val="0"/>
          <w:sz w:val="30"/>
          <w:szCs w:val="30"/>
          <w:highlight w:val="none"/>
        </w:rPr>
      </w:pPr>
    </w:p>
    <w:p w14:paraId="3C18935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eastAsia="宋体" w:cs="宋体"/>
          <w:color w:val="auto"/>
          <w:kern w:val="0"/>
          <w:sz w:val="30"/>
          <w:szCs w:val="30"/>
          <w:highlight w:val="none"/>
        </w:rPr>
      </w:pPr>
    </w:p>
    <w:p w14:paraId="36B046B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eastAsia="宋体" w:cs="宋体"/>
          <w:color w:val="auto"/>
          <w:kern w:val="0"/>
          <w:sz w:val="30"/>
          <w:szCs w:val="30"/>
          <w:highlight w:val="none"/>
        </w:rPr>
      </w:pPr>
    </w:p>
    <w:p w14:paraId="3CB2AA4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eastAsia="宋体" w:cs="宋体"/>
          <w:color w:val="auto"/>
          <w:kern w:val="0"/>
          <w:sz w:val="30"/>
          <w:szCs w:val="30"/>
          <w:highlight w:val="none"/>
        </w:rPr>
      </w:pPr>
    </w:p>
    <w:p w14:paraId="0AECDA3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58" w:firstLine="1960" w:firstLineChars="700"/>
        <w:jc w:val="both"/>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采购项目：</w:t>
      </w:r>
      <w:r>
        <w:rPr>
          <w:rFonts w:hint="eastAsia" w:ascii="宋体" w:hAnsi="宋体" w:eastAsia="宋体" w:cs="宋体"/>
          <w:color w:val="auto"/>
          <w:kern w:val="0"/>
          <w:sz w:val="28"/>
          <w:szCs w:val="28"/>
          <w:highlight w:val="none"/>
          <w:lang w:eastAsia="zh-CN"/>
        </w:rPr>
        <w:t>台州市公安局信息化办公驻点维护项目</w:t>
      </w:r>
    </w:p>
    <w:p w14:paraId="7DEAB5AB">
      <w:pPr>
        <w:ind w:firstLine="1960" w:firstLineChars="7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采 购 人：台州市公安局（盖章）</w:t>
      </w:r>
    </w:p>
    <w:p w14:paraId="64EDB05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eastAsia="宋体" w:cs="宋体"/>
          <w:color w:val="auto"/>
          <w:kern w:val="0"/>
          <w:sz w:val="30"/>
          <w:szCs w:val="30"/>
          <w:highlight w:val="none"/>
        </w:rPr>
      </w:pPr>
    </w:p>
    <w:p w14:paraId="5354EE6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eastAsia="宋体" w:cs="宋体"/>
          <w:color w:val="auto"/>
          <w:kern w:val="0"/>
          <w:sz w:val="30"/>
          <w:szCs w:val="30"/>
          <w:highlight w:val="none"/>
        </w:rPr>
      </w:pPr>
    </w:p>
    <w:p w14:paraId="373F6C53">
      <w:pPr>
        <w:ind w:firstLine="1400" w:firstLineChars="500"/>
        <w:jc w:val="center"/>
        <w:rPr>
          <w:rFonts w:hint="eastAsia" w:ascii="宋体" w:hAnsi="宋体" w:eastAsia="宋体" w:cs="宋体"/>
          <w:color w:val="auto"/>
          <w:kern w:val="0"/>
          <w:sz w:val="28"/>
          <w:szCs w:val="28"/>
          <w:highlight w:val="none"/>
        </w:rPr>
      </w:pPr>
    </w:p>
    <w:p w14:paraId="0ED31FDF">
      <w:pPr>
        <w:ind w:firstLine="1960" w:firstLineChars="700"/>
        <w:jc w:val="both"/>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浙江百和工程咨询有限公司（盖章）</w:t>
      </w:r>
    </w:p>
    <w:p w14:paraId="1C82C6F7">
      <w:pPr>
        <w:ind w:firstLine="3360" w:firstLineChars="1200"/>
        <w:jc w:val="both"/>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202</w:t>
      </w:r>
      <w:r>
        <w:rPr>
          <w:rFonts w:hint="eastAsia" w:ascii="宋体" w:hAnsi="宋体" w:eastAsia="宋体" w:cs="宋体"/>
          <w:color w:val="auto"/>
          <w:kern w:val="0"/>
          <w:sz w:val="28"/>
          <w:szCs w:val="28"/>
          <w:highlight w:val="none"/>
          <w:lang w:val="en-US" w:eastAsia="zh-CN"/>
        </w:rPr>
        <w:t>5</w:t>
      </w:r>
      <w:r>
        <w:rPr>
          <w:rFonts w:hint="eastAsia" w:ascii="宋体" w:hAnsi="宋体" w:eastAsia="宋体" w:cs="宋体"/>
          <w:color w:val="auto"/>
          <w:kern w:val="0"/>
          <w:sz w:val="28"/>
          <w:szCs w:val="28"/>
          <w:highlight w:val="none"/>
        </w:rPr>
        <w:t>年</w:t>
      </w:r>
      <w:r>
        <w:rPr>
          <w:rFonts w:hint="eastAsia" w:ascii="宋体" w:hAnsi="宋体" w:eastAsia="宋体" w:cs="宋体"/>
          <w:color w:val="auto"/>
          <w:kern w:val="0"/>
          <w:sz w:val="28"/>
          <w:szCs w:val="28"/>
          <w:highlight w:val="none"/>
          <w:lang w:val="en-US" w:eastAsia="zh-CN"/>
        </w:rPr>
        <w:t>5</w:t>
      </w:r>
      <w:r>
        <w:rPr>
          <w:rFonts w:hint="eastAsia" w:ascii="宋体" w:hAnsi="宋体" w:eastAsia="宋体" w:cs="宋体"/>
          <w:color w:val="auto"/>
          <w:kern w:val="0"/>
          <w:sz w:val="28"/>
          <w:szCs w:val="28"/>
          <w:highlight w:val="none"/>
        </w:rPr>
        <w:t>月</w:t>
      </w:r>
    </w:p>
    <w:p w14:paraId="1E964AE4">
      <w:pPr>
        <w:rPr>
          <w:rFonts w:hint="eastAsia" w:ascii="宋体" w:hAnsi="宋体" w:eastAsia="宋体" w:cs="宋体"/>
          <w:b/>
          <w:bCs/>
          <w:color w:val="auto"/>
          <w:sz w:val="36"/>
          <w:szCs w:val="36"/>
          <w:highlight w:val="none"/>
        </w:rPr>
      </w:pPr>
    </w:p>
    <w:p w14:paraId="5E7A2962">
      <w:pP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4FC3B399">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14:paraId="2E1CA78B">
      <w:pPr>
        <w:spacing w:line="360" w:lineRule="auto"/>
        <w:ind w:left="960"/>
        <w:rPr>
          <w:rFonts w:hint="eastAsia" w:ascii="宋体" w:hAnsi="宋体" w:eastAsia="宋体" w:cs="宋体"/>
          <w:color w:val="auto"/>
          <w:sz w:val="10"/>
          <w:highlight w:val="none"/>
        </w:rPr>
      </w:pPr>
    </w:p>
    <w:p w14:paraId="5938944C">
      <w:pPr>
        <w:spacing w:line="360" w:lineRule="auto"/>
        <w:ind w:left="960"/>
        <w:rPr>
          <w:rFonts w:hint="eastAsia" w:ascii="宋体" w:hAnsi="宋体" w:eastAsia="宋体" w:cs="宋体"/>
          <w:color w:val="auto"/>
          <w:sz w:val="10"/>
          <w:highlight w:val="none"/>
        </w:rPr>
      </w:pPr>
      <w:bookmarkStart w:id="25" w:name="_GoBack"/>
      <w:bookmarkEnd w:id="25"/>
    </w:p>
    <w:p w14:paraId="1FFD95C3">
      <w:pPr>
        <w:spacing w:line="360" w:lineRule="auto"/>
        <w:ind w:left="960"/>
        <w:rPr>
          <w:rFonts w:hint="eastAsia" w:ascii="宋体" w:hAnsi="宋体" w:eastAsia="宋体" w:cs="宋体"/>
          <w:color w:val="auto"/>
          <w:sz w:val="10"/>
          <w:highlight w:val="none"/>
        </w:rPr>
      </w:pPr>
    </w:p>
    <w:p w14:paraId="524F1370">
      <w:pPr>
        <w:spacing w:line="360" w:lineRule="auto"/>
        <w:ind w:left="359" w:leftChars="171" w:firstLine="481" w:firstLineChars="17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一、竞争性磋商公告</w:t>
      </w:r>
    </w:p>
    <w:p w14:paraId="737040CB">
      <w:pPr>
        <w:spacing w:line="360" w:lineRule="auto"/>
        <w:ind w:left="359" w:leftChars="171" w:firstLine="481" w:firstLineChars="17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二、供应商须知</w:t>
      </w:r>
    </w:p>
    <w:p w14:paraId="7340C8C8">
      <w:pPr>
        <w:spacing w:line="360" w:lineRule="auto"/>
        <w:ind w:left="359" w:leftChars="171" w:firstLine="481" w:firstLineChars="17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三、评审办法及评审标准</w:t>
      </w:r>
    </w:p>
    <w:p w14:paraId="366F7C2E">
      <w:pPr>
        <w:spacing w:line="360" w:lineRule="auto"/>
        <w:ind w:left="359" w:leftChars="171" w:firstLine="481" w:firstLineChars="17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w:t>
      </w:r>
      <w:r>
        <w:rPr>
          <w:rFonts w:hint="eastAsia" w:ascii="宋体" w:hAnsi="宋体" w:eastAsia="宋体" w:cs="宋体"/>
          <w:b/>
          <w:color w:val="auto"/>
          <w:kern w:val="0"/>
          <w:sz w:val="28"/>
          <w:szCs w:val="28"/>
          <w:highlight w:val="none"/>
          <w:lang w:val="en-US" w:eastAsia="zh-CN"/>
        </w:rPr>
        <w:t>采购</w:t>
      </w:r>
      <w:r>
        <w:rPr>
          <w:rFonts w:hint="eastAsia" w:ascii="宋体" w:hAnsi="宋体" w:eastAsia="宋体" w:cs="宋体"/>
          <w:b/>
          <w:color w:val="auto"/>
          <w:kern w:val="0"/>
          <w:sz w:val="28"/>
          <w:szCs w:val="28"/>
          <w:highlight w:val="none"/>
        </w:rPr>
        <w:t>需求</w:t>
      </w:r>
    </w:p>
    <w:p w14:paraId="30AA526A">
      <w:pPr>
        <w:spacing w:line="360" w:lineRule="auto"/>
        <w:ind w:firstLine="843" w:firstLineChars="3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五、采购合同主要条款指引</w:t>
      </w:r>
    </w:p>
    <w:p w14:paraId="1D7046F7">
      <w:pPr>
        <w:spacing w:line="360" w:lineRule="auto"/>
        <w:ind w:left="359" w:leftChars="171" w:firstLine="481" w:firstLineChars="17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六、响应文件格式附件</w:t>
      </w:r>
    </w:p>
    <w:p w14:paraId="6DC2AC61">
      <w:pPr>
        <w:spacing w:line="360" w:lineRule="auto"/>
        <w:rPr>
          <w:rFonts w:hint="eastAsia" w:ascii="宋体" w:hAnsi="宋体" w:eastAsia="宋体" w:cs="宋体"/>
          <w:b/>
          <w:color w:val="auto"/>
          <w:sz w:val="28"/>
          <w:szCs w:val="28"/>
          <w:highlight w:val="none"/>
        </w:rPr>
      </w:pPr>
    </w:p>
    <w:p w14:paraId="2552883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hint="eastAsia" w:ascii="宋体" w:hAnsi="宋体" w:eastAsia="宋体" w:cs="宋体"/>
          <w:color w:val="auto"/>
          <w:kern w:val="0"/>
          <w:sz w:val="30"/>
          <w:szCs w:val="30"/>
          <w:highlight w:val="none"/>
        </w:rPr>
      </w:pPr>
    </w:p>
    <w:p w14:paraId="5FFE820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hint="eastAsia" w:ascii="宋体" w:hAnsi="宋体" w:eastAsia="宋体" w:cs="宋体"/>
          <w:color w:val="auto"/>
          <w:kern w:val="0"/>
          <w:sz w:val="30"/>
          <w:szCs w:val="30"/>
          <w:highlight w:val="none"/>
        </w:rPr>
      </w:pPr>
    </w:p>
    <w:p w14:paraId="446EF01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hint="eastAsia" w:ascii="宋体" w:hAnsi="宋体" w:eastAsia="宋体" w:cs="宋体"/>
          <w:color w:val="auto"/>
          <w:kern w:val="0"/>
          <w:sz w:val="30"/>
          <w:szCs w:val="30"/>
          <w:highlight w:val="none"/>
        </w:rPr>
      </w:pPr>
    </w:p>
    <w:p w14:paraId="384DF9FE">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auto"/>
          <w:kern w:val="0"/>
          <w:sz w:val="36"/>
          <w:szCs w:val="36"/>
          <w:highlight w:val="none"/>
        </w:rPr>
      </w:pPr>
    </w:p>
    <w:p w14:paraId="2C41DAD0">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auto"/>
          <w:kern w:val="0"/>
          <w:sz w:val="36"/>
          <w:szCs w:val="36"/>
          <w:highlight w:val="none"/>
        </w:rPr>
      </w:pPr>
    </w:p>
    <w:p w14:paraId="00D13B6D">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auto"/>
          <w:kern w:val="0"/>
          <w:sz w:val="36"/>
          <w:szCs w:val="36"/>
          <w:highlight w:val="none"/>
        </w:rPr>
      </w:pPr>
    </w:p>
    <w:p w14:paraId="42F017B2">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auto"/>
          <w:kern w:val="0"/>
          <w:sz w:val="36"/>
          <w:szCs w:val="36"/>
          <w:highlight w:val="none"/>
        </w:rPr>
      </w:pPr>
    </w:p>
    <w:p w14:paraId="53555840">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auto"/>
          <w:kern w:val="0"/>
          <w:sz w:val="36"/>
          <w:szCs w:val="36"/>
          <w:highlight w:val="none"/>
        </w:rPr>
      </w:pPr>
    </w:p>
    <w:p w14:paraId="1494373B">
      <w:pPr>
        <w:pStyle w:val="2"/>
        <w:ind w:firstLine="480"/>
        <w:rPr>
          <w:rFonts w:hint="eastAsia" w:ascii="宋体" w:hAnsi="宋体" w:eastAsia="宋体" w:cs="宋体"/>
          <w:color w:val="auto"/>
          <w:highlight w:val="none"/>
        </w:rPr>
      </w:pPr>
    </w:p>
    <w:p w14:paraId="12F53385">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auto"/>
          <w:kern w:val="0"/>
          <w:sz w:val="36"/>
          <w:szCs w:val="36"/>
          <w:highlight w:val="none"/>
        </w:rPr>
      </w:pPr>
    </w:p>
    <w:p w14:paraId="78D8EA75">
      <w:pPr>
        <w:tabs>
          <w:tab w:val="left" w:pos="180"/>
          <w:tab w:val="left" w:pos="360"/>
          <w:tab w:val="left" w:pos="540"/>
          <w:tab w:val="left" w:pos="8280"/>
        </w:tabs>
        <w:autoSpaceDE w:val="0"/>
        <w:autoSpaceDN w:val="0"/>
        <w:adjustRightInd w:val="0"/>
        <w:spacing w:line="360" w:lineRule="auto"/>
        <w:ind w:right="23"/>
        <w:rPr>
          <w:rFonts w:hint="eastAsia" w:ascii="宋体" w:hAnsi="宋体" w:eastAsia="宋体" w:cs="宋体"/>
          <w:b/>
          <w:color w:val="auto"/>
          <w:kern w:val="0"/>
          <w:sz w:val="36"/>
          <w:szCs w:val="36"/>
          <w:highlight w:val="none"/>
        </w:rPr>
      </w:pPr>
    </w:p>
    <w:p w14:paraId="4D84AC42">
      <w:pPr>
        <w:spacing w:line="360" w:lineRule="auto"/>
        <w:rPr>
          <w:rFonts w:hint="eastAsia" w:ascii="宋体" w:hAnsi="宋体" w:eastAsia="宋体" w:cs="宋体"/>
          <w:b/>
          <w:color w:val="auto"/>
          <w:sz w:val="30"/>
          <w:szCs w:val="30"/>
          <w:highlight w:val="none"/>
        </w:rPr>
      </w:pPr>
    </w:p>
    <w:p w14:paraId="1EFFE85E">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第一章 </w:t>
      </w:r>
      <w:bookmarkStart w:id="0" w:name="_Hlk46309944"/>
      <w:r>
        <w:rPr>
          <w:rFonts w:hint="eastAsia" w:ascii="宋体" w:hAnsi="宋体" w:eastAsia="宋体" w:cs="宋体"/>
          <w:b/>
          <w:color w:val="auto"/>
          <w:sz w:val="36"/>
          <w:szCs w:val="36"/>
          <w:highlight w:val="none"/>
        </w:rPr>
        <w:t xml:space="preserve"> 竞争性磋商公告 </w:t>
      </w:r>
    </w:p>
    <w:p w14:paraId="7C1C6BE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参照《中华人民共和国政府采购法》、《中华人民共和国政府采购法实施条例》和财政部令第87号文、《政府采购竞争性磋商采购方式管理暂行办法》等有关规定, 受采购人委托，现就</w:t>
      </w:r>
      <w:r>
        <w:rPr>
          <w:rFonts w:hint="eastAsia" w:ascii="宋体" w:hAnsi="宋体" w:eastAsia="宋体" w:cs="宋体"/>
          <w:color w:val="auto"/>
          <w:kern w:val="0"/>
          <w:sz w:val="24"/>
          <w:highlight w:val="none"/>
          <w:u w:val="single"/>
        </w:rPr>
        <w:t>台州市公安局</w:t>
      </w:r>
      <w:r>
        <w:rPr>
          <w:rFonts w:hint="eastAsia" w:ascii="宋体" w:hAnsi="宋体" w:eastAsia="宋体" w:cs="宋体"/>
          <w:color w:val="auto"/>
          <w:kern w:val="0"/>
          <w:sz w:val="24"/>
          <w:highlight w:val="none"/>
        </w:rPr>
        <w:t>（单位名称）的</w:t>
      </w:r>
      <w:bookmarkStart w:id="1" w:name="_Hlk45480593"/>
      <w:r>
        <w:rPr>
          <w:rFonts w:hint="eastAsia" w:ascii="宋体" w:hAnsi="宋体" w:eastAsia="宋体" w:cs="宋体"/>
          <w:color w:val="auto"/>
          <w:kern w:val="0"/>
          <w:sz w:val="24"/>
          <w:highlight w:val="none"/>
          <w:u w:val="single"/>
          <w:lang w:eastAsia="zh-CN"/>
        </w:rPr>
        <w:t>台州市公安局信息化办公驻点维护项目</w:t>
      </w:r>
      <w:r>
        <w:rPr>
          <w:rFonts w:hint="eastAsia" w:ascii="宋体" w:hAnsi="宋体" w:eastAsia="宋体" w:cs="宋体"/>
          <w:color w:val="auto"/>
          <w:kern w:val="0"/>
          <w:sz w:val="24"/>
          <w:highlight w:val="none"/>
        </w:rPr>
        <w:t>（项目名称）进行竞争性磋商采购</w:t>
      </w:r>
      <w:bookmarkEnd w:id="1"/>
      <w:r>
        <w:rPr>
          <w:rFonts w:hint="eastAsia" w:ascii="宋体" w:hAnsi="宋体" w:eastAsia="宋体" w:cs="宋体"/>
          <w:color w:val="auto"/>
          <w:kern w:val="0"/>
          <w:sz w:val="24"/>
          <w:highlight w:val="none"/>
        </w:rPr>
        <w:t>，欢迎合格供应商前来磋商。本项目为非政府采购项目。</w:t>
      </w:r>
    </w:p>
    <w:p w14:paraId="5D2550BA">
      <w:pPr>
        <w:tabs>
          <w:tab w:val="left" w:pos="180"/>
          <w:tab w:val="left" w:pos="360"/>
          <w:tab w:val="left" w:pos="540"/>
          <w:tab w:val="left" w:pos="8280"/>
        </w:tabs>
        <w:autoSpaceDE w:val="0"/>
        <w:autoSpaceDN w:val="0"/>
        <w:adjustRightInd w:val="0"/>
        <w:spacing w:before="100" w:line="360" w:lineRule="auto"/>
        <w:ind w:right="23"/>
        <w:jc w:val="left"/>
        <w:rPr>
          <w:rFonts w:hint="eastAsia" w:ascii="宋体" w:hAnsi="宋体" w:eastAsia="宋体" w:cs="宋体"/>
          <w:color w:val="auto"/>
          <w:kern w:val="0"/>
          <w:sz w:val="24"/>
          <w:highlight w:val="none"/>
          <w:lang w:eastAsia="zh-CN"/>
        </w:rPr>
      </w:pPr>
      <w:r>
        <w:rPr>
          <w:rFonts w:hint="eastAsia" w:ascii="宋体" w:hAnsi="宋体" w:eastAsia="宋体" w:cs="宋体"/>
          <w:b/>
          <w:color w:val="auto"/>
          <w:kern w:val="0"/>
          <w:sz w:val="24"/>
          <w:highlight w:val="none"/>
        </w:rPr>
        <w:t>一、项目编号：</w:t>
      </w:r>
      <w:r>
        <w:rPr>
          <w:rFonts w:hint="eastAsia" w:ascii="宋体" w:hAnsi="宋体" w:eastAsia="宋体" w:cs="宋体"/>
          <w:b/>
          <w:color w:val="auto"/>
          <w:kern w:val="0"/>
          <w:sz w:val="24"/>
          <w:highlight w:val="none"/>
          <w:lang w:eastAsia="zh-CN"/>
        </w:rPr>
        <w:t>ZJBH-2025-F018</w:t>
      </w:r>
    </w:p>
    <w:p w14:paraId="3D33C520">
      <w:pPr>
        <w:tabs>
          <w:tab w:val="left" w:pos="180"/>
          <w:tab w:val="left" w:pos="360"/>
          <w:tab w:val="left" w:pos="540"/>
          <w:tab w:val="left" w:pos="8280"/>
        </w:tabs>
        <w:autoSpaceDE w:val="0"/>
        <w:autoSpaceDN w:val="0"/>
        <w:adjustRightInd w:val="0"/>
        <w:spacing w:before="100" w:line="360" w:lineRule="auto"/>
        <w:ind w:right="23"/>
        <w:jc w:val="left"/>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二、磋商内容：</w:t>
      </w:r>
    </w:p>
    <w:tbl>
      <w:tblPr>
        <w:tblStyle w:val="38"/>
        <w:tblW w:w="9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884"/>
        <w:gridCol w:w="1133"/>
        <w:gridCol w:w="600"/>
        <w:gridCol w:w="617"/>
        <w:gridCol w:w="1316"/>
        <w:gridCol w:w="1250"/>
        <w:gridCol w:w="1638"/>
      </w:tblGrid>
      <w:tr w14:paraId="7AC5D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34" w:type="dxa"/>
            <w:noWrap w:val="0"/>
            <w:vAlign w:val="center"/>
          </w:tcPr>
          <w:p w14:paraId="04E55643">
            <w:pPr>
              <w:tabs>
                <w:tab w:val="left" w:pos="8280"/>
              </w:tabs>
              <w:autoSpaceDE w:val="0"/>
              <w:autoSpaceDN w:val="0"/>
              <w:adjustRightInd w:val="0"/>
              <w:spacing w:line="360" w:lineRule="auto"/>
              <w:ind w:right="25"/>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标段号</w:t>
            </w:r>
          </w:p>
        </w:tc>
        <w:tc>
          <w:tcPr>
            <w:tcW w:w="1884" w:type="dxa"/>
            <w:noWrap w:val="0"/>
            <w:vAlign w:val="center"/>
          </w:tcPr>
          <w:p w14:paraId="672349C9">
            <w:pPr>
              <w:tabs>
                <w:tab w:val="left" w:pos="8280"/>
              </w:tabs>
              <w:autoSpaceDE w:val="0"/>
              <w:autoSpaceDN w:val="0"/>
              <w:adjustRightInd w:val="0"/>
              <w:spacing w:line="360" w:lineRule="auto"/>
              <w:ind w:right="25" w:firstLine="120" w:firstLineChars="5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标项内容</w:t>
            </w:r>
          </w:p>
        </w:tc>
        <w:tc>
          <w:tcPr>
            <w:tcW w:w="1133" w:type="dxa"/>
            <w:noWrap w:val="0"/>
            <w:vAlign w:val="center"/>
          </w:tcPr>
          <w:p w14:paraId="14A8138C">
            <w:pPr>
              <w:tabs>
                <w:tab w:val="left" w:pos="8280"/>
              </w:tabs>
              <w:autoSpaceDE w:val="0"/>
              <w:autoSpaceDN w:val="0"/>
              <w:adjustRightInd w:val="0"/>
              <w:spacing w:line="360" w:lineRule="auto"/>
              <w:ind w:right="25"/>
              <w:jc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简要技术要求</w:t>
            </w:r>
          </w:p>
        </w:tc>
        <w:tc>
          <w:tcPr>
            <w:tcW w:w="600" w:type="dxa"/>
            <w:noWrap w:val="0"/>
            <w:vAlign w:val="center"/>
          </w:tcPr>
          <w:p w14:paraId="5964A675">
            <w:pPr>
              <w:tabs>
                <w:tab w:val="left" w:pos="8280"/>
              </w:tabs>
              <w:autoSpaceDE w:val="0"/>
              <w:autoSpaceDN w:val="0"/>
              <w:adjustRightInd w:val="0"/>
              <w:spacing w:line="360" w:lineRule="auto"/>
              <w:ind w:right="25"/>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617" w:type="dxa"/>
            <w:noWrap w:val="0"/>
            <w:vAlign w:val="center"/>
          </w:tcPr>
          <w:p w14:paraId="23596A9C">
            <w:pPr>
              <w:tabs>
                <w:tab w:val="left" w:pos="8280"/>
              </w:tabs>
              <w:autoSpaceDE w:val="0"/>
              <w:autoSpaceDN w:val="0"/>
              <w:adjustRightInd w:val="0"/>
              <w:spacing w:line="360" w:lineRule="auto"/>
              <w:ind w:right="25"/>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单位</w:t>
            </w:r>
          </w:p>
        </w:tc>
        <w:tc>
          <w:tcPr>
            <w:tcW w:w="1316" w:type="dxa"/>
            <w:noWrap w:val="0"/>
            <w:vAlign w:val="center"/>
          </w:tcPr>
          <w:p w14:paraId="555CDA39">
            <w:pPr>
              <w:tabs>
                <w:tab w:val="left" w:pos="8280"/>
              </w:tabs>
              <w:autoSpaceDE w:val="0"/>
              <w:autoSpaceDN w:val="0"/>
              <w:adjustRightInd w:val="0"/>
              <w:ind w:right="25"/>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预算</w:t>
            </w:r>
            <w:r>
              <w:rPr>
                <w:rFonts w:hint="eastAsia" w:ascii="宋体" w:hAnsi="宋体" w:eastAsia="宋体" w:cs="宋体"/>
                <w:b/>
                <w:color w:val="auto"/>
                <w:sz w:val="24"/>
                <w:highlight w:val="none"/>
                <w:lang w:val="en-US" w:eastAsia="zh-CN"/>
              </w:rPr>
              <w:t>金额</w:t>
            </w:r>
            <w:r>
              <w:rPr>
                <w:rFonts w:hint="eastAsia" w:ascii="宋体" w:hAnsi="宋体" w:eastAsia="宋体" w:cs="宋体"/>
                <w:b/>
                <w:color w:val="auto"/>
                <w:sz w:val="24"/>
                <w:highlight w:val="none"/>
              </w:rPr>
              <w:t>（万元）</w:t>
            </w:r>
          </w:p>
        </w:tc>
        <w:tc>
          <w:tcPr>
            <w:tcW w:w="1250" w:type="dxa"/>
            <w:noWrap w:val="0"/>
            <w:vAlign w:val="center"/>
          </w:tcPr>
          <w:p w14:paraId="7508C9B1">
            <w:pPr>
              <w:tabs>
                <w:tab w:val="left" w:pos="8280"/>
              </w:tabs>
              <w:autoSpaceDE w:val="0"/>
              <w:autoSpaceDN w:val="0"/>
              <w:adjustRightInd w:val="0"/>
              <w:ind w:right="25"/>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最高限价（万元）</w:t>
            </w:r>
          </w:p>
        </w:tc>
        <w:tc>
          <w:tcPr>
            <w:tcW w:w="1638" w:type="dxa"/>
            <w:noWrap w:val="0"/>
            <w:vAlign w:val="center"/>
          </w:tcPr>
          <w:p w14:paraId="73E0BB74">
            <w:pPr>
              <w:tabs>
                <w:tab w:val="left" w:pos="8280"/>
              </w:tabs>
              <w:autoSpaceDE w:val="0"/>
              <w:autoSpaceDN w:val="0"/>
              <w:adjustRightInd w:val="0"/>
              <w:spacing w:line="360" w:lineRule="auto"/>
              <w:ind w:right="25" w:firstLine="24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服务期</w:t>
            </w:r>
          </w:p>
        </w:tc>
      </w:tr>
      <w:tr w14:paraId="7C2CC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034" w:type="dxa"/>
            <w:noWrap w:val="0"/>
            <w:vAlign w:val="center"/>
          </w:tcPr>
          <w:p w14:paraId="2502FA06">
            <w:pPr>
              <w:tabs>
                <w:tab w:val="left" w:pos="8280"/>
              </w:tabs>
              <w:autoSpaceDE w:val="0"/>
              <w:autoSpaceDN w:val="0"/>
              <w:adjustRightInd w:val="0"/>
              <w:spacing w:line="360" w:lineRule="auto"/>
              <w:ind w:right="2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84" w:type="dxa"/>
            <w:noWrap w:val="0"/>
            <w:vAlign w:val="center"/>
          </w:tcPr>
          <w:p w14:paraId="7C960332">
            <w:pPr>
              <w:tabs>
                <w:tab w:val="left" w:pos="8280"/>
              </w:tabs>
              <w:autoSpaceDE w:val="0"/>
              <w:autoSpaceDN w:val="0"/>
              <w:adjustRightInd w:val="0"/>
              <w:spacing w:line="360" w:lineRule="auto"/>
              <w:ind w:right="25"/>
              <w:jc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eastAsia="zh-CN"/>
              </w:rPr>
              <w:t>台州市公安局信息化办公驻点维护项目</w:t>
            </w:r>
          </w:p>
        </w:tc>
        <w:tc>
          <w:tcPr>
            <w:tcW w:w="1133" w:type="dxa"/>
            <w:noWrap w:val="0"/>
            <w:vAlign w:val="center"/>
          </w:tcPr>
          <w:p w14:paraId="0BF15CEA">
            <w:pPr>
              <w:tabs>
                <w:tab w:val="left" w:pos="8280"/>
              </w:tabs>
              <w:autoSpaceDE w:val="0"/>
              <w:autoSpaceDN w:val="0"/>
              <w:adjustRightInd w:val="0"/>
              <w:spacing w:line="360" w:lineRule="auto"/>
              <w:ind w:right="2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需求</w:t>
            </w:r>
          </w:p>
        </w:tc>
        <w:tc>
          <w:tcPr>
            <w:tcW w:w="600" w:type="dxa"/>
            <w:noWrap w:val="0"/>
            <w:vAlign w:val="center"/>
          </w:tcPr>
          <w:p w14:paraId="02EAE1D9">
            <w:pPr>
              <w:tabs>
                <w:tab w:val="left" w:pos="8280"/>
              </w:tabs>
              <w:autoSpaceDE w:val="0"/>
              <w:autoSpaceDN w:val="0"/>
              <w:adjustRightInd w:val="0"/>
              <w:spacing w:line="360" w:lineRule="auto"/>
              <w:ind w:right="2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617" w:type="dxa"/>
            <w:noWrap w:val="0"/>
            <w:vAlign w:val="center"/>
          </w:tcPr>
          <w:p w14:paraId="5F43BFFE">
            <w:pPr>
              <w:tabs>
                <w:tab w:val="left" w:pos="8280"/>
              </w:tabs>
              <w:autoSpaceDE w:val="0"/>
              <w:autoSpaceDN w:val="0"/>
              <w:adjustRightInd w:val="0"/>
              <w:spacing w:line="360" w:lineRule="auto"/>
              <w:ind w:right="25"/>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项</w:t>
            </w:r>
          </w:p>
        </w:tc>
        <w:tc>
          <w:tcPr>
            <w:tcW w:w="1316" w:type="dxa"/>
            <w:noWrap w:val="0"/>
            <w:vAlign w:val="center"/>
          </w:tcPr>
          <w:p w14:paraId="16297E39">
            <w:pPr>
              <w:tabs>
                <w:tab w:val="left" w:pos="8280"/>
              </w:tabs>
              <w:autoSpaceDE w:val="0"/>
              <w:autoSpaceDN w:val="0"/>
              <w:adjustRightIn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36</w:t>
            </w:r>
          </w:p>
        </w:tc>
        <w:tc>
          <w:tcPr>
            <w:tcW w:w="1250" w:type="dxa"/>
            <w:noWrap w:val="0"/>
            <w:vAlign w:val="center"/>
          </w:tcPr>
          <w:p w14:paraId="12217D50">
            <w:pPr>
              <w:tabs>
                <w:tab w:val="left" w:pos="8280"/>
              </w:tabs>
              <w:autoSpaceDE w:val="0"/>
              <w:autoSpaceDN w:val="0"/>
              <w:adjustRightIn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35.3</w:t>
            </w:r>
          </w:p>
        </w:tc>
        <w:tc>
          <w:tcPr>
            <w:tcW w:w="1638" w:type="dxa"/>
            <w:noWrap w:val="0"/>
            <w:vAlign w:val="center"/>
          </w:tcPr>
          <w:p w14:paraId="4146F582">
            <w:pPr>
              <w:tabs>
                <w:tab w:val="left" w:pos="8280"/>
              </w:tabs>
              <w:autoSpaceDE w:val="0"/>
              <w:autoSpaceDN w:val="0"/>
              <w:adjustRightIn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合同签订后一年</w:t>
            </w:r>
          </w:p>
        </w:tc>
      </w:tr>
    </w:tbl>
    <w:p w14:paraId="712F16A2">
      <w:pPr>
        <w:tabs>
          <w:tab w:val="left" w:pos="180"/>
          <w:tab w:val="left" w:pos="360"/>
          <w:tab w:val="left" w:pos="540"/>
          <w:tab w:val="left" w:pos="8280"/>
        </w:tabs>
        <w:autoSpaceDE w:val="0"/>
        <w:autoSpaceDN w:val="0"/>
        <w:adjustRightInd w:val="0"/>
        <w:spacing w:before="100" w:line="360" w:lineRule="auto"/>
        <w:ind w:right="23"/>
        <w:jc w:val="left"/>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三、合格</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的资格条件：</w:t>
      </w:r>
    </w:p>
    <w:p w14:paraId="6FC6DC29">
      <w:pPr>
        <w:pStyle w:val="67"/>
        <w:keepNext w:val="0"/>
        <w:keepLines w:val="0"/>
        <w:pageBreakBefore w:val="0"/>
        <w:kinsoku/>
        <w:wordWrap/>
        <w:overflowPunct/>
        <w:topLinePunct w:val="0"/>
        <w:autoSpaceDE/>
        <w:autoSpaceDN/>
        <w:bidi w:val="0"/>
        <w:adjustRightInd w:val="0"/>
        <w:snapToGrid/>
        <w:spacing w:before="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（一）符合《中华人民共和国政府采购法》第二十二条规定的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资格条件。</w:t>
      </w:r>
    </w:p>
    <w:p w14:paraId="170B518A">
      <w:pPr>
        <w:pStyle w:val="67"/>
        <w:keepNext w:val="0"/>
        <w:keepLines w:val="0"/>
        <w:pageBreakBefore w:val="0"/>
        <w:kinsoku/>
        <w:wordWrap/>
        <w:overflowPunct/>
        <w:topLinePunct w:val="0"/>
        <w:autoSpaceDE/>
        <w:autoSpaceDN/>
        <w:bidi w:val="0"/>
        <w:adjustRightInd w:val="0"/>
        <w:snapToGrid/>
        <w:spacing w:before="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（二）未被“信用中国”（www.creditchina.gov.cn）、中国政府采购网（www.ccgp.gov.cn）列入失信被执行人、重大税收违法失信主体、政府采购严重违法失信行为记录名单。</w:t>
      </w:r>
    </w:p>
    <w:p w14:paraId="4F1F6082">
      <w:pPr>
        <w:pStyle w:val="67"/>
        <w:keepNext w:val="0"/>
        <w:keepLines w:val="0"/>
        <w:pageBreakBefore w:val="0"/>
        <w:kinsoku/>
        <w:wordWrap/>
        <w:overflowPunct/>
        <w:topLinePunct w:val="0"/>
        <w:autoSpaceDE/>
        <w:autoSpaceDN/>
        <w:bidi w:val="0"/>
        <w:adjustRightInd w:val="0"/>
        <w:snapToGrid/>
        <w:spacing w:before="0" w:line="360" w:lineRule="auto"/>
        <w:ind w:left="0"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落实政府采购政策需满足的资格要求：本项目按照《政府采购促进中小企业发展管理办法》【财库〔2020〕46号】第七条规定：专门面向中小企业采购。参与投标的供应商出具《中小企业声明函（服务）》，监狱企业、残疾人福利性单位视同小型、微型企业。</w:t>
      </w:r>
    </w:p>
    <w:p w14:paraId="7DD75404">
      <w:pPr>
        <w:keepNext w:val="0"/>
        <w:keepLines w:val="0"/>
        <w:pageBreakBefore w:val="0"/>
        <w:tabs>
          <w:tab w:val="left" w:pos="180"/>
          <w:tab w:val="left" w:pos="360"/>
          <w:tab w:val="left" w:pos="540"/>
          <w:tab w:val="left" w:pos="8280"/>
        </w:tabs>
        <w:kinsoku/>
        <w:wordWrap/>
        <w:overflowPunct/>
        <w:topLinePunct w:val="0"/>
        <w:autoSpaceDE/>
        <w:autoSpaceDN/>
        <w:bidi w:val="0"/>
        <w:snapToGrid/>
        <w:spacing w:line="360" w:lineRule="auto"/>
        <w:ind w:left="0" w:right="0" w:firstLine="480" w:firstLineChars="20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四</w:t>
      </w:r>
      <w:r>
        <w:rPr>
          <w:rFonts w:hint="eastAsia" w:ascii="宋体" w:hAnsi="宋体" w:eastAsia="宋体" w:cs="宋体"/>
          <w:color w:val="auto"/>
          <w:sz w:val="24"/>
          <w:highlight w:val="none"/>
        </w:rPr>
        <w:t>）本项目不接受联合体</w:t>
      </w:r>
      <w:r>
        <w:rPr>
          <w:rFonts w:hint="eastAsia" w:ascii="宋体" w:hAnsi="宋体" w:eastAsia="宋体" w:cs="宋体"/>
          <w:color w:val="auto"/>
          <w:sz w:val="24"/>
          <w:highlight w:val="none"/>
          <w:lang w:val="en-US" w:eastAsia="zh-CN"/>
        </w:rPr>
        <w:t>磋商</w:t>
      </w:r>
      <w:r>
        <w:rPr>
          <w:rFonts w:hint="eastAsia" w:ascii="宋体" w:hAnsi="宋体" w:eastAsia="宋体" w:cs="宋体"/>
          <w:color w:val="auto"/>
          <w:sz w:val="24"/>
          <w:highlight w:val="none"/>
        </w:rPr>
        <w:t>。</w:t>
      </w:r>
    </w:p>
    <w:p w14:paraId="6089FE03">
      <w:pPr>
        <w:tabs>
          <w:tab w:val="left" w:pos="180"/>
          <w:tab w:val="left" w:pos="360"/>
          <w:tab w:val="left" w:pos="540"/>
          <w:tab w:val="left" w:pos="8280"/>
        </w:tabs>
        <w:autoSpaceDE w:val="0"/>
        <w:autoSpaceDN w:val="0"/>
        <w:adjustRightInd w:val="0"/>
        <w:spacing w:before="100" w:line="360" w:lineRule="auto"/>
        <w:ind w:right="23"/>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四、磋商文件获取的方式、时间：</w:t>
      </w:r>
    </w:p>
    <w:p w14:paraId="7EF096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1.获取方式：本项目实行网络报名。</w:t>
      </w:r>
    </w:p>
    <w:p w14:paraId="2BF71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网络报名：将“报名时应提交的资料”原件扫描件发送至邮箱：</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"mailto:153154789@qq.com"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lang w:val="en-US" w:eastAsia="zh-CN"/>
        </w:rPr>
        <w:t>599034843@qq.com</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,并电话</w:t>
      </w:r>
      <w:r>
        <w:rPr>
          <w:rFonts w:hint="eastAsia" w:ascii="宋体" w:hAnsi="宋体" w:eastAsia="宋体" w:cs="宋体"/>
          <w:color w:val="auto"/>
          <w:sz w:val="24"/>
          <w:highlight w:val="none"/>
          <w:lang w:val="en-US" w:eastAsia="zh-CN"/>
        </w:rPr>
        <w:t>15257699929</w:t>
      </w:r>
      <w:r>
        <w:rPr>
          <w:rFonts w:hint="eastAsia" w:ascii="宋体" w:hAnsi="宋体" w:eastAsia="宋体" w:cs="宋体"/>
          <w:color w:val="auto"/>
          <w:sz w:val="24"/>
          <w:highlight w:val="none"/>
        </w:rPr>
        <w:t>确认，代理机构将在收到报名资料后将磋商文件发送至供应商报名表上注明的邮箱。</w:t>
      </w:r>
    </w:p>
    <w:p w14:paraId="35BBF9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2.报名时应提交的资料：</w:t>
      </w:r>
    </w:p>
    <w:p w14:paraId="102D85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（1）营业执照复印件（加盖单位公章）；</w:t>
      </w:r>
    </w:p>
    <w:p w14:paraId="376E14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（2）供应商报名表（加盖单位公章）；</w:t>
      </w:r>
    </w:p>
    <w:p w14:paraId="61CB45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3.获取（公告）时间：至磋商响应截止时间</w:t>
      </w:r>
    </w:p>
    <w:p w14:paraId="7950BA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上午：8:30-12:00      下午：14：30-17:30</w:t>
      </w:r>
    </w:p>
    <w:p w14:paraId="7F68C4E1">
      <w:pPr>
        <w:tabs>
          <w:tab w:val="left" w:pos="180"/>
          <w:tab w:val="left" w:pos="360"/>
          <w:tab w:val="left" w:pos="540"/>
          <w:tab w:val="left" w:pos="8280"/>
        </w:tabs>
        <w:autoSpaceDE w:val="0"/>
        <w:autoSpaceDN w:val="0"/>
        <w:adjustRightInd w:val="0"/>
        <w:spacing w:before="100" w:line="360" w:lineRule="auto"/>
        <w:ind w:right="23"/>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五、磋商答疑会：无</w:t>
      </w:r>
    </w:p>
    <w:p w14:paraId="2A1AF0D3">
      <w:pPr>
        <w:tabs>
          <w:tab w:val="left" w:pos="180"/>
          <w:tab w:val="left" w:pos="360"/>
          <w:tab w:val="left" w:pos="540"/>
          <w:tab w:val="left" w:pos="8280"/>
        </w:tabs>
        <w:autoSpaceDE w:val="0"/>
        <w:autoSpaceDN w:val="0"/>
        <w:adjustRightInd w:val="0"/>
        <w:spacing w:before="100" w:line="360" w:lineRule="auto"/>
        <w:ind w:right="23"/>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六、磋商响应截止及开标时间、地点：</w:t>
      </w:r>
    </w:p>
    <w:p w14:paraId="2F96B4DE">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right="0"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1.磋商响应文件递交截止时间及磋商开始时间：202</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日14时30分（北京时间）；</w:t>
      </w:r>
    </w:p>
    <w:p w14:paraId="159B988E">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right="0"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2.磋商地点及磋商响应文件提交地点：台州市椒江区</w:t>
      </w:r>
      <w:r>
        <w:rPr>
          <w:rFonts w:hint="eastAsia" w:ascii="宋体" w:hAnsi="宋体" w:eastAsia="宋体" w:cs="宋体"/>
          <w:bCs/>
          <w:color w:val="auto"/>
          <w:sz w:val="24"/>
          <w:highlight w:val="none"/>
          <w:lang w:val="en-US" w:eastAsia="zh-CN"/>
        </w:rPr>
        <w:t>白云山西路铂晶国际花园北2门旁18栋2单元二层</w:t>
      </w:r>
      <w:r>
        <w:rPr>
          <w:rFonts w:hint="eastAsia" w:ascii="宋体" w:hAnsi="宋体" w:eastAsia="宋体" w:cs="宋体"/>
          <w:bCs/>
          <w:color w:val="auto"/>
          <w:sz w:val="24"/>
          <w:highlight w:val="none"/>
        </w:rPr>
        <w:t>（浙江百和工程咨询有限公司）开标室。</w:t>
      </w:r>
    </w:p>
    <w:p w14:paraId="6C1459FB">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right="0"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3.逾期或不符合规定的磋商响应文件恕不接受。</w:t>
      </w:r>
    </w:p>
    <w:p w14:paraId="23159BDA">
      <w:pPr>
        <w:tabs>
          <w:tab w:val="left" w:pos="180"/>
          <w:tab w:val="left" w:pos="360"/>
          <w:tab w:val="left" w:pos="540"/>
          <w:tab w:val="left" w:pos="8280"/>
        </w:tabs>
        <w:autoSpaceDE w:val="0"/>
        <w:autoSpaceDN w:val="0"/>
        <w:adjustRightInd w:val="0"/>
        <w:spacing w:before="100" w:line="360" w:lineRule="auto"/>
        <w:ind w:right="23"/>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七、磋商保证金：无</w:t>
      </w:r>
    </w:p>
    <w:p w14:paraId="68C91AC5">
      <w:pPr>
        <w:tabs>
          <w:tab w:val="left" w:pos="180"/>
          <w:tab w:val="left" w:pos="360"/>
          <w:tab w:val="left" w:pos="540"/>
          <w:tab w:val="left" w:pos="8280"/>
        </w:tabs>
        <w:autoSpaceDE w:val="0"/>
        <w:autoSpaceDN w:val="0"/>
        <w:adjustRightInd w:val="0"/>
        <w:spacing w:before="100" w:line="360" w:lineRule="auto"/>
        <w:ind w:right="23"/>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八、相关注意事项：</w:t>
      </w:r>
    </w:p>
    <w:p w14:paraId="172784F1">
      <w:pPr>
        <w:pStyle w:val="4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供应商认为采购文件使自己的权益受到损害的，可以自收到采购文件之日（获取/发售截止日之后收到采购文件的，以获取/发售截止采购代理机构日为准）起至采购响应截止时间之前，以书面形式一次性向采购人提出同一环节的质疑。否则，被质疑人可不予接受。</w:t>
      </w:r>
    </w:p>
    <w:p w14:paraId="28856B40">
      <w:pPr>
        <w:pStyle w:val="46"/>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本项目所有公告发布网站：“浙江政府采购网”（https://zfcg.czt.zj.gov.cn/）。</w:t>
      </w:r>
    </w:p>
    <w:p w14:paraId="7CF8F9D1">
      <w:pPr>
        <w:pStyle w:val="46"/>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九、联系方式：</w:t>
      </w:r>
    </w:p>
    <w:p w14:paraId="3A7978E2">
      <w:pPr>
        <w:pStyle w:val="33"/>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（一）采购人 </w:t>
      </w:r>
    </w:p>
    <w:p w14:paraId="73FF752F">
      <w:pPr>
        <w:pStyle w:val="33"/>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采购人名称：台州市公安局</w:t>
      </w:r>
    </w:p>
    <w:p w14:paraId="3B691061">
      <w:pPr>
        <w:pStyle w:val="33"/>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联系人：赵警官</w:t>
      </w:r>
    </w:p>
    <w:p w14:paraId="1BD7F77E">
      <w:pPr>
        <w:pStyle w:val="33"/>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联系电话：0576-88212750</w:t>
      </w:r>
    </w:p>
    <w:p w14:paraId="3377AD9D">
      <w:pPr>
        <w:pStyle w:val="33"/>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采购人地址：台州市椒江区康平路2号</w:t>
      </w:r>
    </w:p>
    <w:p w14:paraId="6B8E640F">
      <w:pPr>
        <w:pStyle w:val="33"/>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（二）采购组织机构</w:t>
      </w:r>
    </w:p>
    <w:p w14:paraId="710D1691">
      <w:pPr>
        <w:rPr>
          <w:rFonts w:hint="eastAsia"/>
          <w:color w:val="auto"/>
          <w:highlight w:val="none"/>
        </w:rPr>
      </w:pPr>
    </w:p>
    <w:p w14:paraId="5451511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名称：浙江百和工程咨询有限公司</w:t>
      </w:r>
    </w:p>
    <w:p w14:paraId="595A6CB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联系人：吴女士、陈女士　</w:t>
      </w:r>
    </w:p>
    <w:p w14:paraId="6907EBE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联系电话：15825475513 、15257699929    </w:t>
      </w:r>
    </w:p>
    <w:p w14:paraId="65AF1C0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bCs/>
          <w:color w:val="auto"/>
          <w:sz w:val="24"/>
          <w:highlight w:val="none"/>
        </w:rPr>
        <w:t>台州市椒江区</w:t>
      </w:r>
      <w:r>
        <w:rPr>
          <w:rFonts w:hint="eastAsia" w:ascii="宋体" w:hAnsi="宋体" w:eastAsia="宋体" w:cs="宋体"/>
          <w:bCs/>
          <w:color w:val="auto"/>
          <w:sz w:val="24"/>
          <w:highlight w:val="none"/>
          <w:lang w:val="en-US" w:eastAsia="zh-CN"/>
        </w:rPr>
        <w:t>白云山西路铂晶国际花园北2门旁18栋2单元二层</w:t>
      </w:r>
    </w:p>
    <w:p w14:paraId="17AA9CD7">
      <w:pPr>
        <w:pStyle w:val="33"/>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（三）质疑受理</w:t>
      </w:r>
    </w:p>
    <w:p w14:paraId="3FC96662">
      <w:pPr>
        <w:pStyle w:val="3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采购人书面质疑接收人：杨警官</w:t>
      </w:r>
    </w:p>
    <w:p w14:paraId="57B8A56B">
      <w:pPr>
        <w:pStyle w:val="3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联系电话：0576-88212531　</w:t>
      </w:r>
    </w:p>
    <w:p w14:paraId="0371C903">
      <w:pPr>
        <w:pStyle w:val="3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书面质疑接收地址：台州市椒江区康平路2号　</w:t>
      </w:r>
    </w:p>
    <w:p w14:paraId="7233A745">
      <w:pPr>
        <w:pStyle w:val="3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代理机构质疑受理联系人：徐工</w:t>
      </w:r>
    </w:p>
    <w:p w14:paraId="2BE19EF6">
      <w:pPr>
        <w:pStyle w:val="3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联系电话：13566655825</w:t>
      </w:r>
    </w:p>
    <w:p w14:paraId="6C845E99">
      <w:pPr>
        <w:pStyle w:val="3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书面质疑接收地址：</w:t>
      </w:r>
      <w:r>
        <w:rPr>
          <w:rFonts w:hint="eastAsia" w:ascii="宋体" w:hAnsi="宋体" w:eastAsia="宋体" w:cs="宋体"/>
          <w:bCs/>
          <w:color w:val="auto"/>
          <w:sz w:val="24"/>
          <w:highlight w:val="none"/>
        </w:rPr>
        <w:t>台州市椒江区</w:t>
      </w:r>
      <w:r>
        <w:rPr>
          <w:rFonts w:hint="eastAsia" w:ascii="宋体" w:hAnsi="宋体" w:eastAsia="宋体" w:cs="宋体"/>
          <w:bCs/>
          <w:color w:val="auto"/>
          <w:sz w:val="24"/>
          <w:highlight w:val="none"/>
          <w:lang w:val="en-US" w:eastAsia="zh-CN"/>
        </w:rPr>
        <w:t>白云山西路铂晶国际花园北2门旁18栋2单元二层</w:t>
      </w:r>
    </w:p>
    <w:p w14:paraId="45B3750C">
      <w:pPr>
        <w:pStyle w:val="46"/>
        <w:spacing w:line="360" w:lineRule="auto"/>
        <w:rPr>
          <w:rFonts w:hint="eastAsia" w:ascii="宋体" w:hAnsi="宋体" w:eastAsia="宋体" w:cs="宋体"/>
          <w:bCs/>
          <w:color w:val="auto"/>
          <w:sz w:val="24"/>
          <w:highlight w:val="none"/>
        </w:rPr>
      </w:pPr>
    </w:p>
    <w:p w14:paraId="50BDE123">
      <w:pPr>
        <w:pStyle w:val="46"/>
        <w:spacing w:line="360" w:lineRule="auto"/>
        <w:ind w:firstLine="480" w:firstLineChars="200"/>
        <w:rPr>
          <w:rFonts w:hint="eastAsia" w:ascii="宋体" w:hAnsi="宋体" w:eastAsia="宋体" w:cs="宋体"/>
          <w:bCs/>
          <w:color w:val="auto"/>
          <w:sz w:val="24"/>
          <w:highlight w:val="none"/>
        </w:rPr>
      </w:pPr>
    </w:p>
    <w:p w14:paraId="755A0F93">
      <w:pPr>
        <w:tabs>
          <w:tab w:val="left" w:pos="720"/>
          <w:tab w:val="left" w:pos="1440"/>
          <w:tab w:val="left" w:pos="2160"/>
          <w:tab w:val="left" w:pos="2880"/>
          <w:tab w:val="left" w:pos="3600"/>
          <w:tab w:val="left" w:pos="4320"/>
          <w:tab w:val="left" w:pos="5040"/>
          <w:tab w:val="left" w:pos="5760"/>
        </w:tabs>
        <w:autoSpaceDE w:val="0"/>
        <w:autoSpaceDN w:val="0"/>
        <w:adjustRightInd w:val="0"/>
        <w:spacing w:line="420" w:lineRule="exact"/>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采购人：台州市公安局</w:t>
      </w:r>
    </w:p>
    <w:p w14:paraId="147C8821">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420" w:lineRule="exact"/>
        <w:ind w:firstLine="2160" w:firstLineChars="9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招标代理：浙江百和工程咨询有限公司</w:t>
      </w:r>
    </w:p>
    <w:bookmarkEnd w:id="0"/>
    <w:p w14:paraId="4022A196">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5A1E2014">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第二章  供应商须知</w:t>
      </w:r>
    </w:p>
    <w:p w14:paraId="7DDCD3D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前附表</w:t>
      </w:r>
    </w:p>
    <w:tbl>
      <w:tblPr>
        <w:tblStyle w:val="38"/>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01"/>
        <w:gridCol w:w="6273"/>
      </w:tblGrid>
      <w:tr w14:paraId="128E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3E110888">
            <w:pPr>
              <w:keepNext w:val="0"/>
              <w:keepLines w:val="0"/>
              <w:pageBreakBefore w:val="0"/>
              <w:widowControl w:val="0"/>
              <w:kinsoku/>
              <w:wordWrap/>
              <w:overflowPunct/>
              <w:topLinePunct w:val="0"/>
              <w:bidi w:val="0"/>
              <w:snapToGrid/>
              <w:spacing w:line="0" w:lineRule="atLeas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901" w:type="dxa"/>
            <w:tcBorders>
              <w:top w:val="single" w:color="auto" w:sz="4" w:space="0"/>
              <w:left w:val="single" w:color="auto" w:sz="4" w:space="0"/>
              <w:bottom w:val="single" w:color="auto" w:sz="4" w:space="0"/>
              <w:right w:val="single" w:color="auto" w:sz="4" w:space="0"/>
            </w:tcBorders>
            <w:vAlign w:val="center"/>
          </w:tcPr>
          <w:p w14:paraId="2822B078">
            <w:pPr>
              <w:keepNext w:val="0"/>
              <w:keepLines w:val="0"/>
              <w:pageBreakBefore w:val="0"/>
              <w:widowControl w:val="0"/>
              <w:kinsoku/>
              <w:wordWrap/>
              <w:overflowPunct/>
              <w:topLinePunct w:val="0"/>
              <w:bidi w:val="0"/>
              <w:snapToGrid/>
              <w:spacing w:line="0" w:lineRule="atLeas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    目</w:t>
            </w:r>
          </w:p>
        </w:tc>
        <w:tc>
          <w:tcPr>
            <w:tcW w:w="6273" w:type="dxa"/>
            <w:tcBorders>
              <w:top w:val="single" w:color="auto" w:sz="4" w:space="0"/>
              <w:left w:val="single" w:color="auto" w:sz="4" w:space="0"/>
              <w:bottom w:val="single" w:color="auto" w:sz="4" w:space="0"/>
              <w:right w:val="single" w:color="auto" w:sz="4" w:space="0"/>
            </w:tcBorders>
            <w:vAlign w:val="center"/>
          </w:tcPr>
          <w:p w14:paraId="4DCDD2AB">
            <w:pPr>
              <w:keepNext w:val="0"/>
              <w:keepLines w:val="0"/>
              <w:pageBreakBefore w:val="0"/>
              <w:widowControl w:val="0"/>
              <w:kinsoku/>
              <w:wordWrap/>
              <w:overflowPunct/>
              <w:topLinePunct w:val="0"/>
              <w:bidi w:val="0"/>
              <w:snapToGrid/>
              <w:spacing w:line="0" w:lineRule="atLeas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内                 容</w:t>
            </w:r>
          </w:p>
        </w:tc>
      </w:tr>
      <w:tr w14:paraId="1A9A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218E7AAF">
            <w:pPr>
              <w:keepNext w:val="0"/>
              <w:keepLines w:val="0"/>
              <w:pageBreakBefore w:val="0"/>
              <w:widowControl w:val="0"/>
              <w:kinsoku/>
              <w:wordWrap/>
              <w:overflowPunct/>
              <w:topLinePunct w:val="0"/>
              <w:bidi w:val="0"/>
              <w:snapToGrid/>
              <w:spacing w:line="0" w:lineRule="atLeas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901" w:type="dxa"/>
            <w:tcBorders>
              <w:top w:val="single" w:color="auto" w:sz="4" w:space="0"/>
              <w:left w:val="single" w:color="auto" w:sz="4" w:space="0"/>
              <w:bottom w:val="single" w:color="auto" w:sz="4" w:space="0"/>
              <w:right w:val="single" w:color="auto" w:sz="4" w:space="0"/>
            </w:tcBorders>
            <w:vAlign w:val="center"/>
          </w:tcPr>
          <w:p w14:paraId="6EAEEB7F">
            <w:pPr>
              <w:keepNext w:val="0"/>
              <w:keepLines w:val="0"/>
              <w:pageBreakBefore w:val="0"/>
              <w:widowControl w:val="0"/>
              <w:kinsoku/>
              <w:wordWrap/>
              <w:overflowPunct/>
              <w:topLinePunct w:val="0"/>
              <w:bidi w:val="0"/>
              <w:snapToGrid/>
              <w:spacing w:line="0" w:lineRule="atLeas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供应商特定资格要求</w:t>
            </w:r>
          </w:p>
        </w:tc>
        <w:tc>
          <w:tcPr>
            <w:tcW w:w="6273" w:type="dxa"/>
            <w:tcBorders>
              <w:top w:val="single" w:color="auto" w:sz="4" w:space="0"/>
              <w:left w:val="single" w:color="auto" w:sz="4" w:space="0"/>
              <w:bottom w:val="single" w:color="auto" w:sz="4" w:space="0"/>
              <w:right w:val="single" w:color="auto" w:sz="4" w:space="0"/>
            </w:tcBorders>
            <w:vAlign w:val="center"/>
          </w:tcPr>
          <w:p w14:paraId="74487232">
            <w:pPr>
              <w:keepNext w:val="0"/>
              <w:keepLines w:val="0"/>
              <w:pageBreakBefore w:val="0"/>
              <w:widowControl w:val="0"/>
              <w:kinsoku/>
              <w:wordWrap/>
              <w:overflowPunct/>
              <w:topLinePunct w:val="0"/>
              <w:bidi w:val="0"/>
              <w:snapToGrid/>
              <w:spacing w:line="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符合竞争性磋商公告资格要求的供应商</w:t>
            </w:r>
          </w:p>
        </w:tc>
      </w:tr>
      <w:tr w14:paraId="58FA3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33EA03A5">
            <w:pPr>
              <w:keepNext w:val="0"/>
              <w:keepLines w:val="0"/>
              <w:pageBreakBefore w:val="0"/>
              <w:widowControl w:val="0"/>
              <w:kinsoku/>
              <w:wordWrap/>
              <w:overflowPunct/>
              <w:topLinePunct w:val="0"/>
              <w:bidi w:val="0"/>
              <w:snapToGrid/>
              <w:spacing w:line="0" w:lineRule="atLeas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901" w:type="dxa"/>
            <w:tcBorders>
              <w:top w:val="single" w:color="auto" w:sz="4" w:space="0"/>
              <w:left w:val="single" w:color="auto" w:sz="4" w:space="0"/>
              <w:bottom w:val="single" w:color="auto" w:sz="4" w:space="0"/>
              <w:right w:val="single" w:color="auto" w:sz="4" w:space="0"/>
            </w:tcBorders>
            <w:vAlign w:val="center"/>
          </w:tcPr>
          <w:p w14:paraId="4A59DF61">
            <w:pPr>
              <w:keepNext w:val="0"/>
              <w:keepLines w:val="0"/>
              <w:pageBreakBefore w:val="0"/>
              <w:widowControl w:val="0"/>
              <w:kinsoku/>
              <w:wordWrap/>
              <w:overflowPunct/>
              <w:topLinePunct w:val="0"/>
              <w:bidi w:val="0"/>
              <w:snapToGrid/>
              <w:spacing w:line="0" w:lineRule="atLeast"/>
              <w:jc w:val="center"/>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答疑会或</w:t>
            </w:r>
            <w:r>
              <w:rPr>
                <w:rFonts w:hint="eastAsia" w:ascii="宋体" w:hAnsi="宋体" w:eastAsia="宋体" w:cs="宋体"/>
                <w:color w:val="auto"/>
                <w:sz w:val="24"/>
                <w:highlight w:val="none"/>
              </w:rPr>
              <w:t>现场踏勘</w:t>
            </w:r>
          </w:p>
        </w:tc>
        <w:tc>
          <w:tcPr>
            <w:tcW w:w="6273" w:type="dxa"/>
            <w:tcBorders>
              <w:top w:val="single" w:color="auto" w:sz="4" w:space="0"/>
              <w:left w:val="single" w:color="auto" w:sz="4" w:space="0"/>
              <w:bottom w:val="single" w:color="auto" w:sz="4" w:space="0"/>
              <w:right w:val="single" w:color="auto" w:sz="4" w:space="0"/>
            </w:tcBorders>
            <w:vAlign w:val="center"/>
          </w:tcPr>
          <w:p w14:paraId="1B1944A1">
            <w:pPr>
              <w:keepNext w:val="0"/>
              <w:keepLines w:val="0"/>
              <w:pageBreakBefore w:val="0"/>
              <w:widowControl w:val="0"/>
              <w:kinsoku/>
              <w:wordWrap/>
              <w:overflowPunct/>
              <w:topLinePunct w:val="0"/>
              <w:bidi w:val="0"/>
              <w:snapToGrid/>
              <w:spacing w:line="0" w:lineRule="atLeas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本次采购磋商不组织现场勘察</w:t>
            </w:r>
            <w:r>
              <w:rPr>
                <w:rFonts w:hint="eastAsia" w:ascii="宋体" w:hAnsi="宋体" w:eastAsia="宋体" w:cs="宋体"/>
                <w:color w:val="auto"/>
                <w:sz w:val="24"/>
                <w:highlight w:val="none"/>
                <w:lang w:eastAsia="zh-CN"/>
              </w:rPr>
              <w:t>。</w:t>
            </w:r>
          </w:p>
        </w:tc>
      </w:tr>
      <w:tr w14:paraId="367C3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28F8ED94">
            <w:pPr>
              <w:keepNext w:val="0"/>
              <w:keepLines w:val="0"/>
              <w:pageBreakBefore w:val="0"/>
              <w:widowControl w:val="0"/>
              <w:kinsoku/>
              <w:wordWrap/>
              <w:overflowPunct/>
              <w:topLinePunct w:val="0"/>
              <w:bidi w:val="0"/>
              <w:snapToGrid/>
              <w:spacing w:line="0" w:lineRule="atLeas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901" w:type="dxa"/>
            <w:tcBorders>
              <w:top w:val="single" w:color="auto" w:sz="4" w:space="0"/>
              <w:left w:val="single" w:color="auto" w:sz="4" w:space="0"/>
              <w:bottom w:val="single" w:color="auto" w:sz="4" w:space="0"/>
              <w:right w:val="single" w:color="auto" w:sz="4" w:space="0"/>
            </w:tcBorders>
            <w:vAlign w:val="center"/>
          </w:tcPr>
          <w:p w14:paraId="05A5E0B8">
            <w:pPr>
              <w:keepNext w:val="0"/>
              <w:keepLines w:val="0"/>
              <w:pageBreakBefore w:val="0"/>
              <w:widowControl w:val="0"/>
              <w:kinsoku/>
              <w:wordWrap/>
              <w:overflowPunct/>
              <w:topLinePunct w:val="0"/>
              <w:bidi w:val="0"/>
              <w:snapToGrid/>
              <w:spacing w:line="0" w:lineRule="atLeas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磋商响应文件包装要求</w:t>
            </w:r>
          </w:p>
        </w:tc>
        <w:tc>
          <w:tcPr>
            <w:tcW w:w="6273" w:type="dxa"/>
            <w:tcBorders>
              <w:top w:val="single" w:color="auto" w:sz="4" w:space="0"/>
              <w:left w:val="single" w:color="auto" w:sz="4" w:space="0"/>
              <w:bottom w:val="single" w:color="auto" w:sz="4" w:space="0"/>
              <w:right w:val="single" w:color="auto" w:sz="4" w:space="0"/>
            </w:tcBorders>
            <w:vAlign w:val="center"/>
          </w:tcPr>
          <w:p w14:paraId="393BD718">
            <w:pPr>
              <w:keepNext w:val="0"/>
              <w:keepLines w:val="0"/>
              <w:pageBreakBefore w:val="0"/>
              <w:widowControl w:val="0"/>
              <w:kinsoku/>
              <w:wordWrap/>
              <w:overflowPunct/>
              <w:topLinePunct w:val="0"/>
              <w:bidi w:val="0"/>
              <w:snapToGrid/>
              <w:spacing w:line="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（一）资信技术文件共3份（正本1份、副本2份，正副本分开装订）（封装成一袋）</w:t>
            </w:r>
          </w:p>
          <w:p w14:paraId="11B5A61F">
            <w:pPr>
              <w:keepNext w:val="0"/>
              <w:keepLines w:val="0"/>
              <w:pageBreakBefore w:val="0"/>
              <w:widowControl w:val="0"/>
              <w:kinsoku/>
              <w:wordWrap/>
              <w:overflowPunct/>
              <w:topLinePunct w:val="0"/>
              <w:bidi w:val="0"/>
              <w:snapToGrid/>
              <w:spacing w:line="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（二）报价文件共3份（正本1份、副本2份，正副本分开装订）（封装成一袋）</w:t>
            </w:r>
          </w:p>
        </w:tc>
      </w:tr>
      <w:tr w14:paraId="54275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50BF4115">
            <w:pPr>
              <w:keepNext w:val="0"/>
              <w:keepLines w:val="0"/>
              <w:pageBreakBefore w:val="0"/>
              <w:widowControl w:val="0"/>
              <w:kinsoku/>
              <w:wordWrap/>
              <w:overflowPunct/>
              <w:topLinePunct w:val="0"/>
              <w:bidi w:val="0"/>
              <w:snapToGrid/>
              <w:spacing w:line="0" w:lineRule="atLeas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901" w:type="dxa"/>
            <w:tcBorders>
              <w:top w:val="single" w:color="auto" w:sz="4" w:space="0"/>
              <w:left w:val="single" w:color="auto" w:sz="4" w:space="0"/>
              <w:bottom w:val="single" w:color="auto" w:sz="4" w:space="0"/>
              <w:right w:val="single" w:color="auto" w:sz="4" w:space="0"/>
            </w:tcBorders>
            <w:vAlign w:val="center"/>
          </w:tcPr>
          <w:p w14:paraId="5C9EAEB5">
            <w:pPr>
              <w:keepNext w:val="0"/>
              <w:keepLines w:val="0"/>
              <w:pageBreakBefore w:val="0"/>
              <w:widowControl w:val="0"/>
              <w:kinsoku/>
              <w:wordWrap/>
              <w:overflowPunct/>
              <w:topLinePunct w:val="0"/>
              <w:bidi w:val="0"/>
              <w:snapToGrid/>
              <w:spacing w:line="0" w:lineRule="atLeas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磋商响应文件有效期</w:t>
            </w:r>
          </w:p>
        </w:tc>
        <w:tc>
          <w:tcPr>
            <w:tcW w:w="6273" w:type="dxa"/>
            <w:tcBorders>
              <w:top w:val="single" w:color="auto" w:sz="4" w:space="0"/>
              <w:left w:val="single" w:color="auto" w:sz="4" w:space="0"/>
              <w:bottom w:val="single" w:color="auto" w:sz="4" w:space="0"/>
              <w:right w:val="single" w:color="auto" w:sz="4" w:space="0"/>
            </w:tcBorders>
            <w:vAlign w:val="center"/>
          </w:tcPr>
          <w:p w14:paraId="453EB7D5">
            <w:pPr>
              <w:keepNext w:val="0"/>
              <w:keepLines w:val="0"/>
              <w:pageBreakBefore w:val="0"/>
              <w:widowControl w:val="0"/>
              <w:kinsoku/>
              <w:wordWrap/>
              <w:overflowPunct/>
              <w:topLinePunct w:val="0"/>
              <w:bidi w:val="0"/>
              <w:snapToGrid/>
              <w:spacing w:line="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磋商响应有效期为磋商后90天，磋商响应</w:t>
            </w:r>
            <w:r>
              <w:rPr>
                <w:rFonts w:hint="eastAsia" w:ascii="宋体" w:hAnsi="宋体" w:eastAsia="宋体" w:cs="宋体"/>
                <w:color w:val="auto"/>
                <w:kern w:val="0"/>
                <w:sz w:val="24"/>
                <w:highlight w:val="none"/>
              </w:rPr>
              <w:t>有效期从提交</w:t>
            </w:r>
            <w:r>
              <w:rPr>
                <w:rFonts w:hint="eastAsia" w:ascii="宋体" w:hAnsi="宋体" w:eastAsia="宋体" w:cs="宋体"/>
                <w:color w:val="auto"/>
                <w:sz w:val="24"/>
                <w:highlight w:val="none"/>
              </w:rPr>
              <w:t>磋商响应</w:t>
            </w:r>
            <w:r>
              <w:rPr>
                <w:rFonts w:hint="eastAsia" w:ascii="宋体" w:hAnsi="宋体" w:eastAsia="宋体" w:cs="宋体"/>
                <w:color w:val="auto"/>
                <w:kern w:val="0"/>
                <w:sz w:val="24"/>
                <w:highlight w:val="none"/>
              </w:rPr>
              <w:t>文件的截止之日起算。</w:t>
            </w:r>
          </w:p>
        </w:tc>
      </w:tr>
      <w:tr w14:paraId="13633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05960BD2">
            <w:pPr>
              <w:keepNext w:val="0"/>
              <w:keepLines w:val="0"/>
              <w:pageBreakBefore w:val="0"/>
              <w:widowControl w:val="0"/>
              <w:kinsoku/>
              <w:wordWrap/>
              <w:overflowPunct/>
              <w:topLinePunct w:val="0"/>
              <w:bidi w:val="0"/>
              <w:snapToGrid/>
              <w:spacing w:line="0" w:lineRule="atLeas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901" w:type="dxa"/>
            <w:tcBorders>
              <w:top w:val="single" w:color="auto" w:sz="4" w:space="0"/>
              <w:left w:val="single" w:color="auto" w:sz="4" w:space="0"/>
              <w:bottom w:val="single" w:color="auto" w:sz="4" w:space="0"/>
              <w:right w:val="single" w:color="auto" w:sz="4" w:space="0"/>
            </w:tcBorders>
            <w:vAlign w:val="center"/>
          </w:tcPr>
          <w:p w14:paraId="50383747">
            <w:pPr>
              <w:keepNext w:val="0"/>
              <w:keepLines w:val="0"/>
              <w:pageBreakBefore w:val="0"/>
              <w:widowControl w:val="0"/>
              <w:kinsoku/>
              <w:wordWrap/>
              <w:overflowPunct/>
              <w:topLinePunct w:val="0"/>
              <w:bidi w:val="0"/>
              <w:snapToGrid/>
              <w:spacing w:line="0" w:lineRule="atLeas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磋商响应文件递交</w:t>
            </w:r>
          </w:p>
        </w:tc>
        <w:tc>
          <w:tcPr>
            <w:tcW w:w="6273" w:type="dxa"/>
            <w:tcBorders>
              <w:top w:val="single" w:color="auto" w:sz="4" w:space="0"/>
              <w:left w:val="single" w:color="auto" w:sz="4" w:space="0"/>
              <w:bottom w:val="single" w:color="auto" w:sz="4" w:space="0"/>
              <w:right w:val="single" w:color="auto" w:sz="4" w:space="0"/>
            </w:tcBorders>
            <w:vAlign w:val="center"/>
          </w:tcPr>
          <w:p w14:paraId="6197A122">
            <w:pPr>
              <w:keepNext w:val="0"/>
              <w:keepLines w:val="0"/>
              <w:pageBreakBefore w:val="0"/>
              <w:widowControl w:val="0"/>
              <w:kinsoku/>
              <w:wordWrap/>
              <w:overflowPunct/>
              <w:topLinePunct w:val="0"/>
              <w:bidi w:val="0"/>
              <w:snapToGrid/>
              <w:spacing w:line="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截止时间：详见磋商公告</w:t>
            </w:r>
          </w:p>
          <w:p w14:paraId="61DFB782">
            <w:pPr>
              <w:keepNext w:val="0"/>
              <w:keepLines w:val="0"/>
              <w:pageBreakBefore w:val="0"/>
              <w:widowControl w:val="0"/>
              <w:kinsoku/>
              <w:wordWrap/>
              <w:overflowPunct/>
              <w:topLinePunct w:val="0"/>
              <w:bidi w:val="0"/>
              <w:snapToGrid/>
              <w:spacing w:line="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递交地点：详见磋商公告</w:t>
            </w:r>
          </w:p>
        </w:tc>
      </w:tr>
      <w:tr w14:paraId="218CF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476C5251">
            <w:pPr>
              <w:keepNext w:val="0"/>
              <w:keepLines w:val="0"/>
              <w:pageBreakBefore w:val="0"/>
              <w:widowControl w:val="0"/>
              <w:kinsoku/>
              <w:wordWrap/>
              <w:overflowPunct/>
              <w:topLinePunct w:val="0"/>
              <w:bidi w:val="0"/>
              <w:snapToGrid/>
              <w:spacing w:line="0" w:lineRule="atLeas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901" w:type="dxa"/>
            <w:tcBorders>
              <w:top w:val="single" w:color="auto" w:sz="4" w:space="0"/>
              <w:left w:val="single" w:color="auto" w:sz="4" w:space="0"/>
              <w:bottom w:val="single" w:color="auto" w:sz="4" w:space="0"/>
              <w:right w:val="single" w:color="auto" w:sz="4" w:space="0"/>
            </w:tcBorders>
            <w:vAlign w:val="center"/>
          </w:tcPr>
          <w:p w14:paraId="5BBDCACB">
            <w:pPr>
              <w:keepNext w:val="0"/>
              <w:keepLines w:val="0"/>
              <w:pageBreakBefore w:val="0"/>
              <w:widowControl w:val="0"/>
              <w:kinsoku/>
              <w:wordWrap/>
              <w:overflowPunct/>
              <w:topLinePunct w:val="0"/>
              <w:bidi w:val="0"/>
              <w:snapToGrid/>
              <w:spacing w:line="0" w:lineRule="atLeas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磋商时间及地点</w:t>
            </w:r>
          </w:p>
        </w:tc>
        <w:tc>
          <w:tcPr>
            <w:tcW w:w="6273" w:type="dxa"/>
            <w:tcBorders>
              <w:top w:val="single" w:color="auto" w:sz="4" w:space="0"/>
              <w:left w:val="single" w:color="auto" w:sz="4" w:space="0"/>
              <w:bottom w:val="single" w:color="auto" w:sz="4" w:space="0"/>
              <w:right w:val="single" w:color="auto" w:sz="4" w:space="0"/>
            </w:tcBorders>
            <w:vAlign w:val="center"/>
          </w:tcPr>
          <w:p w14:paraId="233BE88E">
            <w:pPr>
              <w:keepNext w:val="0"/>
              <w:keepLines w:val="0"/>
              <w:pageBreakBefore w:val="0"/>
              <w:widowControl w:val="0"/>
              <w:kinsoku/>
              <w:wordWrap/>
              <w:overflowPunct/>
              <w:topLinePunct w:val="0"/>
              <w:bidi w:val="0"/>
              <w:snapToGrid/>
              <w:spacing w:line="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同磋商响应文件递交时间及地点</w:t>
            </w:r>
          </w:p>
        </w:tc>
      </w:tr>
      <w:tr w14:paraId="3BE0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257E7B5C">
            <w:pPr>
              <w:keepNext w:val="0"/>
              <w:keepLines w:val="0"/>
              <w:pageBreakBefore w:val="0"/>
              <w:widowControl w:val="0"/>
              <w:kinsoku/>
              <w:wordWrap/>
              <w:overflowPunct/>
              <w:topLinePunct w:val="0"/>
              <w:bidi w:val="0"/>
              <w:snapToGrid/>
              <w:spacing w:line="0" w:lineRule="atLeas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901" w:type="dxa"/>
            <w:tcBorders>
              <w:top w:val="single" w:color="auto" w:sz="4" w:space="0"/>
              <w:left w:val="single" w:color="auto" w:sz="4" w:space="0"/>
              <w:bottom w:val="single" w:color="auto" w:sz="4" w:space="0"/>
              <w:right w:val="single" w:color="auto" w:sz="4" w:space="0"/>
            </w:tcBorders>
            <w:vAlign w:val="center"/>
          </w:tcPr>
          <w:p w14:paraId="3222223C">
            <w:pPr>
              <w:keepNext w:val="0"/>
              <w:keepLines w:val="0"/>
              <w:pageBreakBefore w:val="0"/>
              <w:widowControl w:val="0"/>
              <w:kinsoku/>
              <w:wordWrap/>
              <w:overflowPunct/>
              <w:topLinePunct w:val="0"/>
              <w:bidi w:val="0"/>
              <w:snapToGrid/>
              <w:spacing w:line="0" w:lineRule="atLeas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磋商保证金</w:t>
            </w:r>
          </w:p>
        </w:tc>
        <w:tc>
          <w:tcPr>
            <w:tcW w:w="6273" w:type="dxa"/>
            <w:tcBorders>
              <w:top w:val="single" w:color="auto" w:sz="4" w:space="0"/>
              <w:left w:val="single" w:color="auto" w:sz="4" w:space="0"/>
              <w:bottom w:val="single" w:color="auto" w:sz="4" w:space="0"/>
              <w:right w:val="single" w:color="auto" w:sz="4" w:space="0"/>
            </w:tcBorders>
            <w:vAlign w:val="center"/>
          </w:tcPr>
          <w:p w14:paraId="1B1C9FF7">
            <w:pPr>
              <w:keepNext w:val="0"/>
              <w:keepLines w:val="0"/>
              <w:pageBreakBefore w:val="0"/>
              <w:widowControl w:val="0"/>
              <w:kinsoku/>
              <w:wordWrap/>
              <w:overflowPunct/>
              <w:topLinePunct w:val="0"/>
              <w:bidi w:val="0"/>
              <w:snapToGrid/>
              <w:spacing w:line="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无</w:t>
            </w:r>
          </w:p>
        </w:tc>
      </w:tr>
      <w:tr w14:paraId="52BE1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20D8611C">
            <w:pPr>
              <w:keepNext w:val="0"/>
              <w:keepLines w:val="0"/>
              <w:pageBreakBefore w:val="0"/>
              <w:widowControl w:val="0"/>
              <w:kinsoku/>
              <w:wordWrap/>
              <w:overflowPunct/>
              <w:topLinePunct w:val="0"/>
              <w:bidi w:val="0"/>
              <w:snapToGrid/>
              <w:spacing w:line="0" w:lineRule="atLeas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901" w:type="dxa"/>
            <w:tcBorders>
              <w:top w:val="single" w:color="auto" w:sz="4" w:space="0"/>
              <w:left w:val="single" w:color="auto" w:sz="4" w:space="0"/>
              <w:bottom w:val="single" w:color="auto" w:sz="4" w:space="0"/>
              <w:right w:val="single" w:color="auto" w:sz="4" w:space="0"/>
            </w:tcBorders>
            <w:vAlign w:val="center"/>
          </w:tcPr>
          <w:p w14:paraId="17F70CF2">
            <w:pPr>
              <w:keepNext w:val="0"/>
              <w:keepLines w:val="0"/>
              <w:pageBreakBefore w:val="0"/>
              <w:widowControl w:val="0"/>
              <w:kinsoku/>
              <w:wordWrap/>
              <w:overflowPunct/>
              <w:topLinePunct w:val="0"/>
              <w:autoSpaceDE w:val="0"/>
              <w:autoSpaceDN w:val="0"/>
              <w:bidi w:val="0"/>
              <w:adjustRightInd w:val="0"/>
              <w:snapToGrid/>
              <w:spacing w:line="0" w:lineRule="atLeast"/>
              <w:ind w:hanging="39"/>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履约保证金</w:t>
            </w:r>
          </w:p>
        </w:tc>
        <w:tc>
          <w:tcPr>
            <w:tcW w:w="6273" w:type="dxa"/>
            <w:tcBorders>
              <w:top w:val="single" w:color="auto" w:sz="4" w:space="0"/>
              <w:left w:val="single" w:color="auto" w:sz="4" w:space="0"/>
              <w:bottom w:val="single" w:color="auto" w:sz="4" w:space="0"/>
              <w:right w:val="single" w:color="auto" w:sz="4" w:space="0"/>
            </w:tcBorders>
            <w:vAlign w:val="center"/>
          </w:tcPr>
          <w:p w14:paraId="66A7B83F">
            <w:pPr>
              <w:keepNext w:val="0"/>
              <w:keepLines w:val="0"/>
              <w:pageBreakBefore w:val="0"/>
              <w:widowControl w:val="0"/>
              <w:kinsoku/>
              <w:wordWrap/>
              <w:overflowPunct/>
              <w:topLinePunct w:val="0"/>
              <w:autoSpaceDE w:val="0"/>
              <w:autoSpaceDN w:val="0"/>
              <w:bidi w:val="0"/>
              <w:adjustRightInd w:val="0"/>
              <w:snapToGrid/>
              <w:spacing w:line="0" w:lineRule="atLeast"/>
              <w:ind w:hanging="39"/>
              <w:jc w:val="left"/>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履约保证金为合同金额的1%，中标人自收到中标通知书之日起</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个工作日内向采购人提交（履约保证金可采用网上银行转账、保函、支票、汇票、本票等形式）</w:t>
            </w:r>
            <w:r>
              <w:rPr>
                <w:rFonts w:hint="eastAsia" w:ascii="宋体" w:hAnsi="宋体" w:cs="宋体"/>
                <w:bCs/>
                <w:color w:val="auto"/>
                <w:sz w:val="24"/>
                <w:highlight w:val="none"/>
                <w:lang w:eastAsia="zh-CN"/>
              </w:rPr>
              <w:t>服务期</w:t>
            </w:r>
            <w:r>
              <w:rPr>
                <w:rFonts w:hint="eastAsia" w:ascii="宋体" w:hAnsi="宋体" w:eastAsia="宋体" w:cs="宋体"/>
                <w:bCs/>
                <w:color w:val="auto"/>
                <w:sz w:val="24"/>
                <w:highlight w:val="none"/>
              </w:rPr>
              <w:t>满后且无违约扣除情况后</w:t>
            </w:r>
            <w:r>
              <w:rPr>
                <w:rFonts w:hint="eastAsia" w:ascii="宋体" w:hAnsi="宋体" w:cs="宋体"/>
                <w:bCs/>
                <w:color w:val="auto"/>
                <w:sz w:val="24"/>
                <w:highlight w:val="none"/>
                <w:lang w:val="en-US" w:eastAsia="zh-CN"/>
              </w:rPr>
              <w:t>5</w:t>
            </w:r>
            <w:r>
              <w:rPr>
                <w:rFonts w:hint="eastAsia" w:ascii="宋体" w:hAnsi="宋体" w:eastAsia="宋体" w:cs="宋体"/>
                <w:bCs/>
                <w:color w:val="auto"/>
                <w:sz w:val="24"/>
                <w:highlight w:val="none"/>
              </w:rPr>
              <w:t>个工作日内无息退还</w:t>
            </w:r>
            <w:r>
              <w:rPr>
                <w:rFonts w:hint="eastAsia" w:ascii="宋体" w:hAnsi="宋体" w:eastAsia="宋体" w:cs="宋体"/>
                <w:bCs/>
                <w:color w:val="auto"/>
                <w:sz w:val="24"/>
                <w:highlight w:val="none"/>
                <w:lang w:eastAsia="zh-CN"/>
              </w:rPr>
              <w:t>。</w:t>
            </w:r>
          </w:p>
        </w:tc>
      </w:tr>
      <w:tr w14:paraId="78F16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48A5A237">
            <w:pPr>
              <w:keepNext w:val="0"/>
              <w:keepLines w:val="0"/>
              <w:pageBreakBefore w:val="0"/>
              <w:widowControl w:val="0"/>
              <w:kinsoku/>
              <w:wordWrap/>
              <w:overflowPunct/>
              <w:topLinePunct w:val="0"/>
              <w:bidi w:val="0"/>
              <w:snapToGrid/>
              <w:spacing w:line="0" w:lineRule="atLeas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901" w:type="dxa"/>
            <w:tcBorders>
              <w:top w:val="single" w:color="auto" w:sz="4" w:space="0"/>
              <w:left w:val="single" w:color="auto" w:sz="4" w:space="0"/>
              <w:bottom w:val="single" w:color="auto" w:sz="4" w:space="0"/>
              <w:right w:val="single" w:color="auto" w:sz="4" w:space="0"/>
            </w:tcBorders>
            <w:vAlign w:val="center"/>
          </w:tcPr>
          <w:p w14:paraId="0E011C85">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实质性条款</w:t>
            </w:r>
          </w:p>
        </w:tc>
        <w:tc>
          <w:tcPr>
            <w:tcW w:w="6273" w:type="dxa"/>
            <w:tcBorders>
              <w:top w:val="single" w:color="auto" w:sz="4" w:space="0"/>
              <w:left w:val="single" w:color="auto" w:sz="4" w:space="0"/>
              <w:bottom w:val="single" w:color="auto" w:sz="4" w:space="0"/>
              <w:right w:val="single" w:color="auto" w:sz="4" w:space="0"/>
            </w:tcBorders>
            <w:vAlign w:val="center"/>
          </w:tcPr>
          <w:p w14:paraId="3E4DF2E5">
            <w:pPr>
              <w:keepNext w:val="0"/>
              <w:keepLines w:val="0"/>
              <w:pageBreakBefore w:val="0"/>
              <w:widowControl w:val="0"/>
              <w:kinsoku/>
              <w:wordWrap/>
              <w:overflowPunct/>
              <w:topLinePunct w:val="0"/>
              <w:autoSpaceDE w:val="0"/>
              <w:autoSpaceDN w:val="0"/>
              <w:bidi w:val="0"/>
              <w:adjustRightInd w:val="0"/>
              <w:snapToGrid/>
              <w:spacing w:line="0" w:lineRule="atLeast"/>
              <w:ind w:hanging="39"/>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带“</w:t>
            </w:r>
            <w:r>
              <w:rPr>
                <w:rFonts w:hint="eastAsia" w:ascii="宋体" w:hAnsi="宋体" w:eastAsia="宋体" w:cs="宋体"/>
                <w:bCs/>
                <w:color w:val="auto"/>
                <w:sz w:val="24"/>
                <w:highlight w:val="none"/>
              </w:rPr>
              <w:t>▲”的条款是实质性条款，磋商</w:t>
            </w:r>
            <w:r>
              <w:rPr>
                <w:rFonts w:hint="eastAsia" w:ascii="宋体" w:hAnsi="宋体" w:eastAsia="宋体" w:cs="宋体"/>
                <w:color w:val="auto"/>
                <w:sz w:val="24"/>
                <w:highlight w:val="none"/>
              </w:rPr>
              <w:t>响应</w:t>
            </w:r>
            <w:r>
              <w:rPr>
                <w:rFonts w:hint="eastAsia" w:ascii="宋体" w:hAnsi="宋体" w:eastAsia="宋体" w:cs="宋体"/>
                <w:bCs/>
                <w:color w:val="auto"/>
                <w:sz w:val="24"/>
                <w:highlight w:val="none"/>
              </w:rPr>
              <w:t>文件须作出实质性响应，否则终止磋商。</w:t>
            </w:r>
          </w:p>
        </w:tc>
      </w:tr>
      <w:tr w14:paraId="5FBAD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7D631173">
            <w:pPr>
              <w:keepNext w:val="0"/>
              <w:keepLines w:val="0"/>
              <w:pageBreakBefore w:val="0"/>
              <w:widowControl w:val="0"/>
              <w:kinsoku/>
              <w:wordWrap/>
              <w:overflowPunct/>
              <w:topLinePunct w:val="0"/>
              <w:bidi w:val="0"/>
              <w:snapToGrid/>
              <w:spacing w:line="0" w:lineRule="atLeas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901" w:type="dxa"/>
            <w:tcBorders>
              <w:top w:val="single" w:color="auto" w:sz="4" w:space="0"/>
              <w:left w:val="single" w:color="auto" w:sz="4" w:space="0"/>
              <w:bottom w:val="single" w:color="auto" w:sz="4" w:space="0"/>
              <w:right w:val="single" w:color="auto" w:sz="4" w:space="0"/>
            </w:tcBorders>
            <w:vAlign w:val="center"/>
          </w:tcPr>
          <w:p w14:paraId="6CC0F4B6">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解释权</w:t>
            </w:r>
          </w:p>
        </w:tc>
        <w:tc>
          <w:tcPr>
            <w:tcW w:w="6273" w:type="dxa"/>
            <w:tcBorders>
              <w:top w:val="single" w:color="auto" w:sz="4" w:space="0"/>
              <w:left w:val="single" w:color="auto" w:sz="4" w:space="0"/>
              <w:bottom w:val="single" w:color="auto" w:sz="4" w:space="0"/>
              <w:right w:val="single" w:color="auto" w:sz="4" w:space="0"/>
            </w:tcBorders>
            <w:vAlign w:val="center"/>
          </w:tcPr>
          <w:p w14:paraId="12D682BE">
            <w:pPr>
              <w:keepNext w:val="0"/>
              <w:keepLines w:val="0"/>
              <w:pageBreakBefore w:val="0"/>
              <w:widowControl w:val="0"/>
              <w:kinsoku/>
              <w:wordWrap/>
              <w:overflowPunct/>
              <w:topLinePunct w:val="0"/>
              <w:autoSpaceDE w:val="0"/>
              <w:autoSpaceDN w:val="0"/>
              <w:bidi w:val="0"/>
              <w:adjustRightInd w:val="0"/>
              <w:snapToGrid/>
              <w:spacing w:line="0" w:lineRule="atLeas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本磋商文件解释权属于采购人和采购代理机构</w:t>
            </w:r>
          </w:p>
        </w:tc>
      </w:tr>
      <w:tr w14:paraId="0582E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0141B432">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p>
        </w:tc>
        <w:tc>
          <w:tcPr>
            <w:tcW w:w="1901" w:type="dxa"/>
            <w:tcBorders>
              <w:top w:val="single" w:color="auto" w:sz="4" w:space="0"/>
              <w:left w:val="single" w:color="auto" w:sz="4" w:space="0"/>
              <w:bottom w:val="single" w:color="auto" w:sz="4" w:space="0"/>
              <w:right w:val="single" w:color="auto" w:sz="4" w:space="0"/>
            </w:tcBorders>
            <w:vAlign w:val="center"/>
          </w:tcPr>
          <w:p w14:paraId="278A49A9">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中小企业适用行业</w:t>
            </w:r>
          </w:p>
        </w:tc>
        <w:tc>
          <w:tcPr>
            <w:tcW w:w="6273" w:type="dxa"/>
            <w:tcBorders>
              <w:top w:val="single" w:color="auto" w:sz="4" w:space="0"/>
              <w:left w:val="single" w:color="auto" w:sz="4" w:space="0"/>
              <w:bottom w:val="single" w:color="auto" w:sz="4" w:space="0"/>
              <w:right w:val="single" w:color="auto" w:sz="4" w:space="0"/>
            </w:tcBorders>
            <w:vAlign w:val="center"/>
          </w:tcPr>
          <w:p w14:paraId="481279F7">
            <w:pPr>
              <w:keepNext w:val="0"/>
              <w:keepLines w:val="0"/>
              <w:pageBreakBefore w:val="0"/>
              <w:widowControl w:val="0"/>
              <w:kinsoku/>
              <w:wordWrap/>
              <w:overflowPunct/>
              <w:topLinePunct w:val="0"/>
              <w:autoSpaceDE w:val="0"/>
              <w:autoSpaceDN w:val="0"/>
              <w:bidi w:val="0"/>
              <w:adjustRightInd w:val="0"/>
              <w:snapToGrid/>
              <w:spacing w:line="0" w:lineRule="atLeas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根据《关于印发中小企业划型标准规定的通知》（公信联企业﹝2011﹞300号），本项目属于其他未列明行业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从业人员300人以下的为中小微型企业。其中，从业人员100人及以上的为中型企业；从业人员10人及以上的为小型企业；从业人员10人以下的为微型企业</w:t>
            </w:r>
            <w:r>
              <w:rPr>
                <w:rFonts w:hint="eastAsia" w:ascii="宋体" w:hAnsi="宋体" w:eastAsia="宋体" w:cs="宋体"/>
                <w:color w:val="auto"/>
                <w:sz w:val="24"/>
                <w:highlight w:val="none"/>
                <w:lang w:eastAsia="zh-CN"/>
              </w:rPr>
              <w:t>）</w:t>
            </w:r>
          </w:p>
        </w:tc>
      </w:tr>
      <w:tr w14:paraId="1DF0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17EB39A5">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1901" w:type="dxa"/>
            <w:tcBorders>
              <w:top w:val="single" w:color="auto" w:sz="4" w:space="0"/>
              <w:left w:val="single" w:color="auto" w:sz="4" w:space="0"/>
              <w:bottom w:val="single" w:color="auto" w:sz="4" w:space="0"/>
              <w:right w:val="single" w:color="auto" w:sz="4" w:space="0"/>
            </w:tcBorders>
            <w:vAlign w:val="center"/>
          </w:tcPr>
          <w:p w14:paraId="03DCAEE7">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招标代理费</w:t>
            </w:r>
          </w:p>
        </w:tc>
        <w:tc>
          <w:tcPr>
            <w:tcW w:w="6273" w:type="dxa"/>
            <w:tcBorders>
              <w:top w:val="single" w:color="auto" w:sz="4" w:space="0"/>
              <w:left w:val="single" w:color="auto" w:sz="4" w:space="0"/>
              <w:bottom w:val="single" w:color="auto" w:sz="4" w:space="0"/>
              <w:right w:val="single" w:color="auto" w:sz="4" w:space="0"/>
            </w:tcBorders>
            <w:vAlign w:val="center"/>
          </w:tcPr>
          <w:p w14:paraId="3FCE5148">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以成交价为基数，按计价格〔2002〕1980号文件、发改办价格〔2003〕857号、发改价格〔2011〕534号收费标准的7</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%计取，不足6000元的，按6000元计取。由成交供应商在领取中标通知书时按照下列账户信息一次性支付给招标代理机构：</w:t>
            </w:r>
          </w:p>
          <w:p w14:paraId="4A1714CA">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开户名：浙江百和工程咨询有限公司</w:t>
            </w:r>
          </w:p>
          <w:p w14:paraId="620F0183">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开户银行：台州银行市府大道支行                      </w:t>
            </w:r>
          </w:p>
          <w:p w14:paraId="0D9E8FBF">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开户帐号：550109900300015 </w:t>
            </w:r>
          </w:p>
        </w:tc>
      </w:tr>
    </w:tbl>
    <w:p w14:paraId="0E28596E">
      <w:pPr>
        <w:pStyle w:val="21"/>
        <w:snapToGrid w:val="0"/>
        <w:spacing w:before="120" w:after="120" w:line="360" w:lineRule="auto"/>
        <w:rPr>
          <w:rFonts w:hint="eastAsia" w:ascii="宋体" w:hAnsi="宋体" w:eastAsia="宋体" w:cs="宋体"/>
          <w:b/>
          <w:color w:val="auto"/>
          <w:sz w:val="24"/>
          <w:highlight w:val="none"/>
        </w:rPr>
      </w:pPr>
    </w:p>
    <w:p w14:paraId="62B61961">
      <w:pPr>
        <w:pStyle w:val="21"/>
        <w:snapToGrid w:val="0"/>
        <w:spacing w:before="120" w:after="120" w:line="360" w:lineRule="auto"/>
        <w:jc w:val="left"/>
        <w:rPr>
          <w:rFonts w:hint="eastAsia" w:ascii="宋体" w:hAnsi="宋体" w:eastAsia="宋体" w:cs="宋体"/>
          <w:b/>
          <w:color w:val="auto"/>
          <w:sz w:val="24"/>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5A37361A">
      <w:pPr>
        <w:pStyle w:val="21"/>
        <w:snapToGrid w:val="0"/>
        <w:spacing w:before="120" w:after="120"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 、总  则</w:t>
      </w:r>
    </w:p>
    <w:p w14:paraId="2705463B">
      <w:pPr>
        <w:pStyle w:val="21"/>
        <w:snapToGrid w:val="0"/>
        <w:spacing w:before="120" w:after="120" w:line="360" w:lineRule="auto"/>
        <w:ind w:firstLine="361" w:firstLineChars="1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 适用范围</w:t>
      </w:r>
    </w:p>
    <w:p w14:paraId="2CCD9874">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w:t>
      </w:r>
      <w:r>
        <w:rPr>
          <w:rFonts w:hint="eastAsia" w:ascii="宋体" w:hAnsi="宋体" w:eastAsia="宋体" w:cs="宋体"/>
          <w:bCs/>
          <w:color w:val="auto"/>
          <w:sz w:val="24"/>
          <w:highlight w:val="none"/>
        </w:rPr>
        <w:t>磋商文件</w:t>
      </w:r>
      <w:r>
        <w:rPr>
          <w:rFonts w:hint="eastAsia" w:ascii="宋体" w:hAnsi="宋体" w:eastAsia="宋体" w:cs="宋体"/>
          <w:color w:val="auto"/>
          <w:sz w:val="24"/>
          <w:highlight w:val="none"/>
        </w:rPr>
        <w:t>适用于</w:t>
      </w:r>
      <w:r>
        <w:rPr>
          <w:rFonts w:hint="eastAsia" w:ascii="宋体" w:hAnsi="宋体" w:eastAsia="宋体" w:cs="宋体"/>
          <w:bCs/>
          <w:color w:val="auto"/>
          <w:sz w:val="24"/>
          <w:highlight w:val="none"/>
        </w:rPr>
        <w:t>本次</w:t>
      </w:r>
      <w:r>
        <w:rPr>
          <w:rFonts w:hint="eastAsia" w:ascii="宋体" w:hAnsi="宋体" w:eastAsia="宋体" w:cs="宋体"/>
          <w:color w:val="auto"/>
          <w:sz w:val="24"/>
          <w:highlight w:val="none"/>
        </w:rPr>
        <w:t>项目的磋商、</w:t>
      </w:r>
      <w:r>
        <w:rPr>
          <w:rFonts w:hint="eastAsia" w:ascii="宋体" w:hAnsi="宋体" w:eastAsia="宋体" w:cs="宋体"/>
          <w:bCs/>
          <w:color w:val="auto"/>
          <w:sz w:val="24"/>
          <w:highlight w:val="none"/>
        </w:rPr>
        <w:t>评审、确定成交供应商</w:t>
      </w:r>
      <w:r>
        <w:rPr>
          <w:rFonts w:hint="eastAsia" w:ascii="宋体" w:hAnsi="宋体" w:eastAsia="宋体" w:cs="宋体"/>
          <w:color w:val="auto"/>
          <w:sz w:val="24"/>
          <w:highlight w:val="none"/>
        </w:rPr>
        <w:t>、验收、</w:t>
      </w:r>
      <w:r>
        <w:rPr>
          <w:rFonts w:hint="eastAsia" w:ascii="宋体" w:hAnsi="宋体" w:eastAsia="宋体" w:cs="宋体"/>
          <w:color w:val="auto"/>
          <w:sz w:val="24"/>
          <w:highlight w:val="none"/>
          <w:lang w:val="en-US" w:eastAsia="zh-CN"/>
        </w:rPr>
        <w:t>第三方检测费用、</w:t>
      </w:r>
      <w:r>
        <w:rPr>
          <w:rFonts w:hint="eastAsia" w:ascii="宋体" w:hAnsi="宋体" w:eastAsia="宋体" w:cs="宋体"/>
          <w:color w:val="auto"/>
          <w:sz w:val="24"/>
          <w:highlight w:val="none"/>
        </w:rPr>
        <w:t>合同履约、付款等行为（审计、法规另有规定的，从其规定）。</w:t>
      </w:r>
    </w:p>
    <w:p w14:paraId="116FBF1B">
      <w:pPr>
        <w:snapToGrid w:val="0"/>
        <w:spacing w:line="360" w:lineRule="auto"/>
        <w:ind w:firstLine="482" w:firstLineChars="200"/>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（二）定义</w:t>
      </w:r>
    </w:p>
    <w:p w14:paraId="6D2635D2">
      <w:pPr>
        <w:pStyle w:val="6"/>
        <w:keepNext w:val="0"/>
        <w:keepLines w:val="0"/>
        <w:numPr>
          <w:ilvl w:val="2"/>
          <w:numId w:val="0"/>
        </w:numPr>
        <w:tabs>
          <w:tab w:val="left" w:pos="851"/>
        </w:tabs>
        <w:autoSpaceDE w:val="0"/>
        <w:autoSpaceDN w:val="0"/>
        <w:adjustRightInd w:val="0"/>
        <w:snapToGrid w:val="0"/>
        <w:ind w:firstLine="720" w:firstLineChars="3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zh-CN"/>
        </w:rPr>
        <w:t>“采购组织机构”指采购人委托组织磋商的集中采购机构或采购代理机构。</w:t>
      </w:r>
    </w:p>
    <w:p w14:paraId="085365FD">
      <w:pPr>
        <w:snapToGrid w:val="0"/>
        <w:spacing w:line="360" w:lineRule="auto"/>
        <w:ind w:firstLine="566" w:firstLineChars="236"/>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2.采购人：是指委托</w:t>
      </w:r>
      <w:r>
        <w:rPr>
          <w:rFonts w:hint="eastAsia" w:ascii="宋体" w:hAnsi="宋体" w:eastAsia="宋体" w:cs="宋体"/>
          <w:color w:val="auto"/>
          <w:sz w:val="24"/>
          <w:highlight w:val="none"/>
          <w:lang w:val="zh-CN"/>
        </w:rPr>
        <w:t>集中采购机构或</w:t>
      </w:r>
      <w:r>
        <w:rPr>
          <w:rFonts w:hint="eastAsia" w:ascii="宋体" w:hAnsi="宋体" w:eastAsia="宋体" w:cs="宋体"/>
          <w:color w:val="auto"/>
          <w:sz w:val="24"/>
          <w:highlight w:val="none"/>
        </w:rPr>
        <w:t>采购代理机构采购本次项目的国家机关、事业单位和团体组织。</w:t>
      </w:r>
    </w:p>
    <w:p w14:paraId="417415F7">
      <w:pPr>
        <w:snapToGrid w:val="0"/>
        <w:spacing w:line="360" w:lineRule="auto"/>
        <w:ind w:left="424" w:leftChars="202" w:firstLine="141" w:firstLineChars="59"/>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：是指向</w:t>
      </w:r>
      <w:r>
        <w:rPr>
          <w:rFonts w:hint="eastAsia" w:ascii="宋体" w:hAnsi="宋体" w:eastAsia="宋体" w:cs="宋体"/>
          <w:color w:val="auto"/>
          <w:sz w:val="24"/>
          <w:highlight w:val="none"/>
          <w:lang w:val="zh-CN"/>
        </w:rPr>
        <w:t>采购组织机构</w:t>
      </w:r>
      <w:r>
        <w:rPr>
          <w:rFonts w:hint="eastAsia" w:ascii="宋体" w:hAnsi="宋体" w:eastAsia="宋体" w:cs="宋体"/>
          <w:color w:val="auto"/>
          <w:sz w:val="24"/>
          <w:highlight w:val="none"/>
        </w:rPr>
        <w:t>提交磋商响应文件的单位或个人。</w:t>
      </w:r>
    </w:p>
    <w:p w14:paraId="27EB1F25">
      <w:pPr>
        <w:snapToGrid w:val="0"/>
        <w:spacing w:line="360" w:lineRule="auto"/>
        <w:ind w:left="424" w:leftChars="202" w:firstLine="143"/>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4.货物：是指各种形态和种类的物品，包括原材料、燃料、设备、产品等。</w:t>
      </w:r>
    </w:p>
    <w:p w14:paraId="23247C8C">
      <w:pPr>
        <w:snapToGrid w:val="0"/>
        <w:spacing w:line="360" w:lineRule="auto"/>
        <w:ind w:firstLine="566" w:firstLineChars="236"/>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5.服务：是指除货物和工程以外的采购对象，包括各类专业服务、信息网络开发服务、金融保险服务、运输服务，以及维修与维护服务等。</w:t>
      </w:r>
    </w:p>
    <w:p w14:paraId="2BAA7386">
      <w:pPr>
        <w:snapToGrid w:val="0"/>
        <w:spacing w:line="360" w:lineRule="auto"/>
        <w:ind w:firstLine="566" w:firstLineChars="23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6.“书面形式”包括信函、传真等。</w:t>
      </w:r>
    </w:p>
    <w:p w14:paraId="1256523D">
      <w:pPr>
        <w:snapToGrid w:val="0"/>
        <w:spacing w:line="360" w:lineRule="auto"/>
        <w:ind w:firstLine="566" w:firstLineChars="23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7.“▲”系指实质性要求条款。</w:t>
      </w:r>
    </w:p>
    <w:p w14:paraId="2032B24F">
      <w:pPr>
        <w:snapToGrid w:val="0"/>
        <w:spacing w:beforeLines="50" w:line="360" w:lineRule="auto"/>
        <w:ind w:firstLine="472" w:firstLineChars="196"/>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（三）磋商费用</w:t>
      </w:r>
    </w:p>
    <w:p w14:paraId="01607DF0">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不论磋商结果如何，供应商均应自行承担所有与磋商有关的全部费用（</w:t>
      </w:r>
      <w:r>
        <w:rPr>
          <w:rFonts w:hint="eastAsia" w:ascii="宋体" w:hAnsi="宋体" w:eastAsia="宋体" w:cs="宋体"/>
          <w:bCs/>
          <w:color w:val="auto"/>
          <w:sz w:val="24"/>
          <w:highlight w:val="none"/>
        </w:rPr>
        <w:t>磋商文件</w:t>
      </w:r>
      <w:r>
        <w:rPr>
          <w:rFonts w:hint="eastAsia" w:ascii="宋体" w:hAnsi="宋体" w:eastAsia="宋体" w:cs="宋体"/>
          <w:color w:val="auto"/>
          <w:sz w:val="24"/>
          <w:highlight w:val="none"/>
        </w:rPr>
        <w:t>有相关规定除外）。</w:t>
      </w:r>
    </w:p>
    <w:p w14:paraId="191DBF4C">
      <w:pPr>
        <w:pStyle w:val="21"/>
        <w:snapToGrid w:val="0"/>
        <w:spacing w:line="360" w:lineRule="auto"/>
        <w:ind w:left="2" w:leftChars="1"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（四）特别说明</w:t>
      </w:r>
    </w:p>
    <w:p w14:paraId="41E32ED0">
      <w:pPr>
        <w:pStyle w:val="21"/>
        <w:snapToGrid w:val="0"/>
        <w:spacing w:line="360" w:lineRule="auto"/>
        <w:ind w:left="2" w:leftChars="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1.供应商磋商所使用的资格、信誉、荣誉、业绩与企业认证必须为本法人所拥有。供应商磋商所使用的采购项目实施人员必须为本法人员工（指必须为本法人或控股公司正式员工）。</w:t>
      </w:r>
    </w:p>
    <w:p w14:paraId="5B2F3B08">
      <w:pPr>
        <w:pStyle w:val="65"/>
        <w:snapToGrid w:val="0"/>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2.供应商在</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活动中提供任何虚假材料,其响应无效，并报监管部门查处；成交后发现的,成交供应商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C144D3F">
      <w:pPr>
        <w:pStyle w:val="65"/>
        <w:snapToGrid w:val="0"/>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3.供应商不得相互串通磋商报价，不得妨碍其他供应商的公平竞争，不得损害采购人或其他供应商的合法权益，供应商不得以向采购人、磋商小组成员行贿或者采取其他不正当手段谋取成交。</w:t>
      </w:r>
    </w:p>
    <w:p w14:paraId="337EE172">
      <w:pPr>
        <w:pStyle w:val="65"/>
        <w:snapToGrid w:val="0"/>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4.为采购项目提供整体设计、规范编制或者项目管理、监理、检测等服务的供应商，不得再参加该采购项目的其他采购活动。</w:t>
      </w:r>
    </w:p>
    <w:p w14:paraId="59AB0678">
      <w:pPr>
        <w:pStyle w:val="65"/>
        <w:snapToGrid w:val="0"/>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5.磋商响应文件格式中的表格式样可以根据项目差别做适当调整,但应当保持表格样式基本形态不变。</w:t>
      </w:r>
    </w:p>
    <w:p w14:paraId="60C3221B">
      <w:pPr>
        <w:pStyle w:val="6"/>
        <w:keepNext w:val="0"/>
        <w:keepLines w:val="0"/>
        <w:numPr>
          <w:ilvl w:val="2"/>
          <w:numId w:val="0"/>
        </w:numPr>
        <w:tabs>
          <w:tab w:val="left" w:pos="851"/>
        </w:tabs>
        <w:autoSpaceDE w:val="0"/>
        <w:autoSpaceDN w:val="0"/>
        <w:adjustRightInd w:val="0"/>
        <w:snapToGrid w:val="0"/>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6.单位负责人为同一人或者存在直接控股、管理关系的不同供应商，不得参加同一合同项下的政府采购活动。</w:t>
      </w:r>
    </w:p>
    <w:p w14:paraId="02D0379F">
      <w:pPr>
        <w:pStyle w:val="6"/>
        <w:keepNext w:val="0"/>
        <w:keepLines w:val="0"/>
        <w:numPr>
          <w:ilvl w:val="2"/>
          <w:numId w:val="0"/>
        </w:numPr>
        <w:tabs>
          <w:tab w:val="left" w:pos="851"/>
        </w:tabs>
        <w:autoSpaceDE w:val="0"/>
        <w:autoSpaceDN w:val="0"/>
        <w:adjustRightInd w:val="0"/>
        <w:snapToGrid w:val="0"/>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7.除非得到甲方的书面同意，乙方不得将本合同范围的货物全部或部分分包给他人供应。</w:t>
      </w:r>
    </w:p>
    <w:p w14:paraId="720817E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354" w:firstLineChars="147"/>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二、磋商响应文件</w:t>
      </w:r>
    </w:p>
    <w:p w14:paraId="430B1A2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354" w:firstLineChars="147"/>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（一）磋商响应文件的组成</w:t>
      </w:r>
    </w:p>
    <w:p w14:paraId="74C80A5C">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供应商应仔细阅读磋商采购文件的所有内容，按磋商采购文件的要求，详细编制磋商响应文件</w:t>
      </w:r>
      <w:r>
        <w:rPr>
          <w:rFonts w:hint="eastAsia" w:ascii="宋体" w:hAnsi="宋体" w:eastAsia="宋体" w:cs="宋体"/>
          <w:color w:val="auto"/>
          <w:sz w:val="24"/>
          <w:highlight w:val="none"/>
        </w:rPr>
        <w:t>。</w:t>
      </w:r>
    </w:p>
    <w:p w14:paraId="6D0E2FF3">
      <w:pPr>
        <w:snapToGrid w:val="0"/>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zh-CN"/>
        </w:rPr>
        <w:t>资信技术</w:t>
      </w:r>
      <w:r>
        <w:rPr>
          <w:rFonts w:hint="eastAsia" w:ascii="宋体" w:hAnsi="宋体" w:eastAsia="宋体" w:cs="宋体"/>
          <w:b/>
          <w:color w:val="auto"/>
          <w:sz w:val="24"/>
          <w:highlight w:val="none"/>
        </w:rPr>
        <w:t>文件的组成：</w:t>
      </w:r>
    </w:p>
    <w:p w14:paraId="3709CCE5">
      <w:pPr>
        <w:widowControl/>
        <w:spacing w:line="360" w:lineRule="auto"/>
        <w:ind w:right="60" w:firstLine="482" w:firstLineChars="200"/>
        <w:jc w:val="left"/>
        <w:outlineLvl w:val="0"/>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（1）投标声明书（格式附后）；</w:t>
      </w:r>
    </w:p>
    <w:p w14:paraId="4BEAFE43">
      <w:pPr>
        <w:widowControl/>
        <w:spacing w:line="360" w:lineRule="auto"/>
        <w:ind w:right="60" w:firstLine="482" w:firstLineChars="200"/>
        <w:jc w:val="left"/>
        <w:outlineLvl w:val="0"/>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（2）授权委托书（格式附后）（法定代表人亲自办理投标事宜的，则无需提交）；</w:t>
      </w:r>
    </w:p>
    <w:p w14:paraId="50008504">
      <w:pPr>
        <w:widowControl/>
        <w:spacing w:line="360" w:lineRule="auto"/>
        <w:ind w:right="60" w:firstLine="482" w:firstLineChars="200"/>
        <w:jc w:val="left"/>
        <w:outlineLvl w:val="0"/>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（3）法人或者其他组织的营业执照等证明文件，自然人的身份证明；</w:t>
      </w:r>
    </w:p>
    <w:p w14:paraId="54047160">
      <w:pPr>
        <w:widowControl/>
        <w:spacing w:line="360" w:lineRule="auto"/>
        <w:ind w:right="60" w:firstLine="482" w:firstLineChars="200"/>
        <w:jc w:val="left"/>
        <w:outlineLvl w:val="0"/>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（4）提供符合资格条件的声明函（声明函格式附后）或同时提供以下四项相关材料：①财务状况报告；②依法缴纳税收；③依法缴纳社会保障资金；④具备履行合同所必需的设备和专业技术能力的证明材料。</w:t>
      </w:r>
    </w:p>
    <w:p w14:paraId="06336065">
      <w:pPr>
        <w:widowControl/>
        <w:spacing w:line="360" w:lineRule="auto"/>
        <w:ind w:right="60" w:firstLine="482" w:firstLineChars="200"/>
        <w:jc w:val="left"/>
        <w:outlineLvl w:val="0"/>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《中小企业声明函》或《残疾人福利性单位声明函》或《监狱企业资格证明材料》（格式附后）</w:t>
      </w:r>
    </w:p>
    <w:p w14:paraId="1BD69635">
      <w:pPr>
        <w:widowControl/>
        <w:spacing w:line="360" w:lineRule="auto"/>
        <w:ind w:right="60" w:firstLine="480" w:firstLineChars="20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）供应商基本情况表（格式附后）；</w:t>
      </w:r>
    </w:p>
    <w:p w14:paraId="69967FCD">
      <w:pPr>
        <w:widowControl/>
        <w:spacing w:line="360" w:lineRule="auto"/>
        <w:ind w:right="60" w:firstLine="480" w:firstLineChars="20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）项目实施人员一览表（格式附后）；</w:t>
      </w:r>
    </w:p>
    <w:p w14:paraId="54D5F9C5">
      <w:pPr>
        <w:widowControl/>
        <w:spacing w:line="360" w:lineRule="auto"/>
        <w:ind w:right="60" w:firstLine="480" w:firstLineChars="20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）作业机械、设备一览表（格式附后）；</w:t>
      </w:r>
    </w:p>
    <w:p w14:paraId="3B8F5571">
      <w:pPr>
        <w:widowControl/>
        <w:spacing w:line="360" w:lineRule="auto"/>
        <w:ind w:right="60" w:firstLine="480" w:firstLineChars="20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）商务及技术响应表（格式附后）；</w:t>
      </w:r>
    </w:p>
    <w:p w14:paraId="49A622D8">
      <w:pPr>
        <w:widowControl/>
        <w:spacing w:line="360" w:lineRule="auto"/>
        <w:ind w:right="60" w:firstLine="480" w:firstLineChars="20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）其余内容根据评标办法自拟；</w:t>
      </w:r>
    </w:p>
    <w:p w14:paraId="5D4D4CDC">
      <w:pPr>
        <w:pStyle w:val="14"/>
        <w:widowControl/>
        <w:adjustRightInd w:val="0"/>
        <w:snapToGrid w:val="0"/>
        <w:spacing w:line="360" w:lineRule="auto"/>
        <w:ind w:left="218" w:leftChars="104" w:firstLine="622" w:firstLineChars="258"/>
        <w:rPr>
          <w:rFonts w:hint="eastAsia" w:ascii="宋体" w:hAnsi="宋体" w:eastAsia="宋体" w:cs="宋体"/>
          <w:color w:val="auto"/>
          <w:sz w:val="24"/>
          <w:szCs w:val="24"/>
          <w:highlight w:val="none"/>
        </w:rPr>
      </w:pPr>
      <w:r>
        <w:rPr>
          <w:rFonts w:hint="eastAsia" w:ascii="宋体" w:hAnsi="宋体" w:eastAsia="宋体" w:cs="宋体"/>
          <w:b/>
          <w:color w:val="auto"/>
          <w:kern w:val="0"/>
          <w:sz w:val="24"/>
          <w:highlight w:val="none"/>
        </w:rPr>
        <w:t>磋商需求中要求提供的相关证明材料及根据评标办法提供的证明材料均需在磋商响应文件中提供。</w:t>
      </w:r>
    </w:p>
    <w:p w14:paraId="4D7D6F4F">
      <w:pPr>
        <w:autoSpaceDE w:val="0"/>
        <w:autoSpaceDN w:val="0"/>
        <w:adjustRightInd w:val="0"/>
        <w:spacing w:line="360" w:lineRule="auto"/>
        <w:ind w:left="426" w:firstLine="65" w:firstLineChars="2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2.报价文件的组成</w:t>
      </w:r>
    </w:p>
    <w:p w14:paraId="7BC9ECFF">
      <w:pPr>
        <w:pStyle w:val="59"/>
        <w:ind w:left="0" w:leftChars="0" w:firstLine="241" w:firstLineChars="100"/>
        <w:rPr>
          <w:rFonts w:hint="eastAsia" w:ascii="宋体" w:hAnsi="宋体" w:eastAsia="宋体" w:cs="宋体"/>
          <w:color w:val="auto"/>
          <w:kern w:val="0"/>
          <w:highlight w:val="none"/>
        </w:rPr>
      </w:pPr>
      <w:r>
        <w:rPr>
          <w:rFonts w:hint="eastAsia" w:ascii="宋体" w:hAnsi="宋体" w:eastAsia="宋体" w:cs="宋体"/>
          <w:color w:val="auto"/>
          <w:kern w:val="0"/>
          <w:highlight w:val="none"/>
        </w:rPr>
        <w:t>（1）报价文件由开标一览表、以及供应商认为其他需要说明的内容等组成。</w:t>
      </w:r>
    </w:p>
    <w:p w14:paraId="69C3A065">
      <w:pPr>
        <w:autoSpaceDE w:val="0"/>
        <w:autoSpaceDN w:val="0"/>
        <w:adjustRightInd w:val="0"/>
        <w:spacing w:line="360" w:lineRule="auto"/>
        <w:ind w:firstLine="241" w:firstLineChars="1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3.报价说明</w:t>
      </w:r>
    </w:p>
    <w:p w14:paraId="0C1C57F7">
      <w:pPr>
        <w:autoSpaceDE w:val="0"/>
        <w:autoSpaceDN w:val="0"/>
        <w:adjustRightInd w:val="0"/>
        <w:spacing w:line="360" w:lineRule="auto"/>
        <w:ind w:firstLine="480" w:firstLineChars="200"/>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磋商报价包含实现本项目的所有功能及安全保障工作所需费用，其应包括（但不限于）开发、标准附件、备品备件、服务、专用工具、安装、调试、检验、培训、运输、保险、税款、验收、劳务、人员工资、奖金、各种加班费、食宿与交通、安全、管理、质保、保险、利润、税金、政策性文件规定及合同包含的所有风险、责任等所有费用，供应商认为必需的费用，也应综合考虑。</w:t>
      </w:r>
    </w:p>
    <w:p w14:paraId="7E1B3C71">
      <w:pPr>
        <w:autoSpaceDE w:val="0"/>
        <w:autoSpaceDN w:val="0"/>
        <w:adjustRightIn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）相关报价表需打印或用不退色的墨水填写， 磋商响应报价表不得涂改和增删，如有错漏必须修改，修改处须由同一签署人签字或盖章。由于字迹模糊或表达不清引起的后果由供应商负责。</w:t>
      </w:r>
    </w:p>
    <w:p w14:paraId="6E788B27">
      <w:pPr>
        <w:snapToGrid w:val="0"/>
        <w:spacing w:line="360" w:lineRule="auto"/>
        <w:ind w:left="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）报价有关表格应按磋商采购文件中相关附表格式填写。</w:t>
      </w:r>
    </w:p>
    <w:p w14:paraId="216D51CA">
      <w:pPr>
        <w:numPr>
          <w:ilvl w:val="0"/>
          <w:numId w:val="3"/>
        </w:numPr>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b/>
          <w:bCs/>
          <w:color w:val="auto"/>
          <w:kern w:val="0"/>
          <w:sz w:val="24"/>
          <w:highlight w:val="none"/>
        </w:rPr>
        <w:t>磋商响应文件的制作、封装及递交要求</w:t>
      </w:r>
    </w:p>
    <w:p w14:paraId="1EDE74F5">
      <w:pPr>
        <w:autoSpaceDE w:val="0"/>
        <w:autoSpaceDN w:val="0"/>
        <w:adjustRightInd w:val="0"/>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1.磋商响应文件的制作要求</w:t>
      </w:r>
    </w:p>
    <w:p w14:paraId="08DDB41E">
      <w:pPr>
        <w:autoSpaceDE w:val="0"/>
        <w:autoSpaceDN w:val="0"/>
        <w:adjustRightInd w:val="0"/>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（1）供应商应按照磋商响应文件组成内容及项目磋商需求制作磋商响应文件，</w:t>
      </w:r>
      <w:r>
        <w:rPr>
          <w:rFonts w:hint="eastAsia" w:ascii="宋体" w:hAnsi="宋体" w:eastAsia="宋体" w:cs="宋体"/>
          <w:color w:val="auto"/>
          <w:kern w:val="0"/>
          <w:sz w:val="24"/>
          <w:highlight w:val="none"/>
        </w:rPr>
        <w:t>不按</w:t>
      </w:r>
      <w:r>
        <w:rPr>
          <w:rFonts w:hint="eastAsia" w:ascii="宋体" w:hAnsi="宋体" w:eastAsia="宋体" w:cs="宋体"/>
          <w:bCs/>
          <w:color w:val="auto"/>
          <w:sz w:val="24"/>
          <w:highlight w:val="none"/>
        </w:rPr>
        <w:t>磋商采购文件</w:t>
      </w:r>
      <w:r>
        <w:rPr>
          <w:rFonts w:hint="eastAsia" w:ascii="宋体" w:hAnsi="宋体" w:eastAsia="宋体" w:cs="宋体"/>
          <w:color w:val="auto"/>
          <w:kern w:val="0"/>
          <w:sz w:val="24"/>
          <w:highlight w:val="none"/>
        </w:rPr>
        <w:t>要求制作</w:t>
      </w:r>
      <w:r>
        <w:rPr>
          <w:rFonts w:hint="eastAsia" w:ascii="宋体" w:hAnsi="宋体" w:eastAsia="宋体" w:cs="宋体"/>
          <w:color w:val="auto"/>
          <w:sz w:val="24"/>
          <w:highlight w:val="none"/>
        </w:rPr>
        <w:t>磋商响应文件</w:t>
      </w:r>
      <w:r>
        <w:rPr>
          <w:rFonts w:hint="eastAsia" w:ascii="宋体" w:hAnsi="宋体" w:eastAsia="宋体" w:cs="宋体"/>
          <w:color w:val="auto"/>
          <w:kern w:val="0"/>
          <w:sz w:val="24"/>
          <w:highlight w:val="none"/>
        </w:rPr>
        <w:t>的将视情处理（拒收、扣分等），由此产生的责任由</w:t>
      </w:r>
      <w:r>
        <w:rPr>
          <w:rFonts w:hint="eastAsia" w:ascii="宋体" w:hAnsi="宋体" w:eastAsia="宋体" w:cs="宋体"/>
          <w:color w:val="auto"/>
          <w:sz w:val="24"/>
          <w:highlight w:val="none"/>
          <w:lang w:eastAsia="zh-CN"/>
        </w:rPr>
        <w:t>供应商</w:t>
      </w:r>
      <w:r>
        <w:rPr>
          <w:rFonts w:hint="eastAsia" w:ascii="宋体" w:hAnsi="宋体" w:eastAsia="宋体" w:cs="宋体"/>
          <w:color w:val="auto"/>
          <w:kern w:val="0"/>
          <w:sz w:val="24"/>
          <w:highlight w:val="none"/>
        </w:rPr>
        <w:t>自行承担。</w:t>
      </w:r>
    </w:p>
    <w:p w14:paraId="2AC32A84">
      <w:pPr>
        <w:autoSpaceDE w:val="0"/>
        <w:autoSpaceDN w:val="0"/>
        <w:adjustRightIn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（2）供应商应对所提供的全部资料的真实性承担审计责任，磋商响应文件</w:t>
      </w:r>
      <w:r>
        <w:rPr>
          <w:rFonts w:hint="eastAsia" w:ascii="宋体" w:hAnsi="宋体" w:eastAsia="宋体" w:cs="宋体"/>
          <w:color w:val="auto"/>
          <w:kern w:val="0"/>
          <w:sz w:val="24"/>
          <w:highlight w:val="none"/>
          <w:lang w:val="zh-CN"/>
        </w:rPr>
        <w:t>内容中有要求盖章或签字的地方，必须加盖</w:t>
      </w:r>
      <w:r>
        <w:rPr>
          <w:rFonts w:hint="eastAsia" w:ascii="宋体" w:hAnsi="宋体" w:eastAsia="宋体" w:cs="宋体"/>
          <w:color w:val="auto"/>
          <w:sz w:val="24"/>
          <w:highlight w:val="none"/>
          <w:lang w:eastAsia="zh-CN"/>
        </w:rPr>
        <w:t>供应商</w:t>
      </w:r>
      <w:r>
        <w:rPr>
          <w:rFonts w:hint="eastAsia" w:ascii="宋体" w:hAnsi="宋体" w:eastAsia="宋体" w:cs="宋体"/>
          <w:color w:val="auto"/>
          <w:kern w:val="0"/>
          <w:sz w:val="24"/>
          <w:highlight w:val="none"/>
          <w:lang w:val="zh-CN"/>
        </w:rPr>
        <w:t>的公章以及法定代表人或全权代表的盖章或签字，其中</w:t>
      </w:r>
      <w:r>
        <w:rPr>
          <w:rFonts w:hint="eastAsia" w:ascii="宋体" w:hAnsi="宋体" w:eastAsia="宋体" w:cs="宋体"/>
          <w:color w:val="auto"/>
          <w:sz w:val="24"/>
          <w:highlight w:val="none"/>
        </w:rPr>
        <w:t>所有证书类文件提供的复印件</w:t>
      </w:r>
      <w:r>
        <w:rPr>
          <w:rFonts w:hint="eastAsia" w:ascii="宋体" w:hAnsi="宋体" w:eastAsia="宋体" w:cs="宋体"/>
          <w:color w:val="auto"/>
          <w:kern w:val="0"/>
          <w:sz w:val="24"/>
          <w:highlight w:val="none"/>
        </w:rPr>
        <w:t>必须全部加盖单位公章且</w:t>
      </w:r>
      <w:r>
        <w:rPr>
          <w:rFonts w:hint="eastAsia" w:ascii="宋体" w:hAnsi="宋体" w:eastAsia="宋体" w:cs="宋体"/>
          <w:color w:val="auto"/>
          <w:sz w:val="24"/>
          <w:highlight w:val="none"/>
        </w:rPr>
        <w:t>必须在有效期内的。</w:t>
      </w:r>
    </w:p>
    <w:p w14:paraId="162D23AA">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磋商响应文件以及</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与采购组织机构就有关磋商事宜的所有来往函电，均应以中文汉语书写。除签字、盖章、专用名称等特殊情形外，以中文汉语以外的文字表述的磋商响应文件视同未提供。</w:t>
      </w:r>
    </w:p>
    <w:p w14:paraId="7B1DDFCB">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（4）磋商计量单位，</w:t>
      </w:r>
      <w:r>
        <w:rPr>
          <w:rFonts w:hint="eastAsia" w:ascii="宋体" w:hAnsi="宋体" w:eastAsia="宋体" w:cs="宋体"/>
          <w:bCs/>
          <w:color w:val="auto"/>
          <w:sz w:val="24"/>
          <w:highlight w:val="none"/>
        </w:rPr>
        <w:t>磋商采购文件</w:t>
      </w:r>
      <w:r>
        <w:rPr>
          <w:rFonts w:hint="eastAsia" w:ascii="宋体" w:hAnsi="宋体" w:eastAsia="宋体" w:cs="宋体"/>
          <w:color w:val="auto"/>
          <w:sz w:val="24"/>
          <w:highlight w:val="none"/>
        </w:rPr>
        <w:t>已有明确规定的，使用</w:t>
      </w:r>
      <w:r>
        <w:rPr>
          <w:rFonts w:hint="eastAsia" w:ascii="宋体" w:hAnsi="宋体" w:eastAsia="宋体" w:cs="宋体"/>
          <w:bCs/>
          <w:color w:val="auto"/>
          <w:sz w:val="24"/>
          <w:highlight w:val="none"/>
        </w:rPr>
        <w:t>磋商采购文件</w:t>
      </w:r>
      <w:r>
        <w:rPr>
          <w:rFonts w:hint="eastAsia" w:ascii="宋体" w:hAnsi="宋体" w:eastAsia="宋体" w:cs="宋体"/>
          <w:color w:val="auto"/>
          <w:sz w:val="24"/>
          <w:highlight w:val="none"/>
        </w:rPr>
        <w:t>规定的计量单位；</w:t>
      </w:r>
      <w:r>
        <w:rPr>
          <w:rFonts w:hint="eastAsia" w:ascii="宋体" w:hAnsi="宋体" w:eastAsia="宋体" w:cs="宋体"/>
          <w:bCs/>
          <w:color w:val="auto"/>
          <w:sz w:val="24"/>
          <w:highlight w:val="none"/>
        </w:rPr>
        <w:t>磋商采购文件</w:t>
      </w:r>
      <w:r>
        <w:rPr>
          <w:rFonts w:hint="eastAsia" w:ascii="宋体" w:hAnsi="宋体" w:eastAsia="宋体" w:cs="宋体"/>
          <w:color w:val="auto"/>
          <w:sz w:val="24"/>
          <w:highlight w:val="none"/>
        </w:rPr>
        <w:t>没有规定的，应采用中华人民共和国法定计量单位（货币单位：人民币元），否则视同未响应。</w:t>
      </w:r>
    </w:p>
    <w:p w14:paraId="1700E002">
      <w:pPr>
        <w:autoSpaceDE w:val="0"/>
        <w:autoSpaceDN w:val="0"/>
        <w:adjustRightIn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（5）若</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不按采购文件的要求提供资格审查材料，其风险由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自行承担。</w:t>
      </w:r>
    </w:p>
    <w:p w14:paraId="75A068AE">
      <w:pPr>
        <w:autoSpaceDE w:val="0"/>
        <w:autoSpaceDN w:val="0"/>
        <w:adjustRightIn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（6）</w:t>
      </w:r>
      <w:r>
        <w:rPr>
          <w:rFonts w:hint="eastAsia" w:ascii="宋体" w:hAnsi="宋体" w:eastAsia="宋体" w:cs="宋体"/>
          <w:color w:val="auto"/>
          <w:sz w:val="24"/>
          <w:highlight w:val="none"/>
        </w:rPr>
        <w:t>与本次磋商无关的内容请不要制作在内，确保磋商响应文件有针对性、简洁明了，同时节约纸张；磋商响应文件统一以A4纸大小双面打印并装订。</w:t>
      </w:r>
    </w:p>
    <w:p w14:paraId="2647A150">
      <w:pPr>
        <w:autoSpaceDE w:val="0"/>
        <w:autoSpaceDN w:val="0"/>
        <w:adjustRightInd w:val="0"/>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2.磋商响应文件的封装要求</w:t>
      </w:r>
    </w:p>
    <w:p w14:paraId="6C0EE1D4">
      <w:pPr>
        <w:autoSpaceDE w:val="0"/>
        <w:autoSpaceDN w:val="0"/>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（1）磋商响应文件份数：</w:t>
      </w:r>
      <w:r>
        <w:rPr>
          <w:rFonts w:hint="eastAsia" w:ascii="宋体" w:hAnsi="宋体" w:eastAsia="宋体" w:cs="宋体"/>
          <w:color w:val="auto"/>
          <w:sz w:val="24"/>
          <w:highlight w:val="none"/>
          <w:lang w:val="zh-CN"/>
        </w:rPr>
        <w:t>资信技术文件、报价文件必须分别编制并分开单独装订成册：资信技术文件共</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zh-CN"/>
        </w:rPr>
        <w:t>份（</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正本，</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副本，封装成一袋）</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报价文件共</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zh-CN"/>
        </w:rPr>
        <w:t>份（</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正本</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副本，封装成一袋）。磋商响应文件的正本封面必须注明“正本”字样，副本可以采用正本的复印件。</w:t>
      </w:r>
      <w:r>
        <w:rPr>
          <w:rFonts w:hint="eastAsia" w:ascii="宋体" w:hAnsi="宋体" w:eastAsia="宋体" w:cs="宋体"/>
          <w:color w:val="auto"/>
          <w:sz w:val="24"/>
          <w:highlight w:val="none"/>
        </w:rPr>
        <w:t>如有不同标段，请按标段号分别装订，密封要求同上。</w:t>
      </w:r>
    </w:p>
    <w:p w14:paraId="506067EC">
      <w:pPr>
        <w:autoSpaceDE w:val="0"/>
        <w:autoSpaceDN w:val="0"/>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（2）所有磋商响应资料按磋商采购文件的组成所列内容及顺序装订成册，</w:t>
      </w:r>
      <w:r>
        <w:rPr>
          <w:rFonts w:hint="eastAsia" w:ascii="宋体" w:hAnsi="宋体" w:eastAsia="宋体" w:cs="宋体"/>
          <w:color w:val="auto"/>
          <w:sz w:val="24"/>
          <w:highlight w:val="none"/>
          <w:lang w:val="zh-CN"/>
        </w:rPr>
        <w:t>并逐页连续标注页码。因磋商响应文件内容不完整、编排混乱导致磋商响应文件被误读、漏读或者查找不到相关内容的责任由供应商自行承担。</w:t>
      </w:r>
    </w:p>
    <w:p w14:paraId="6C295687">
      <w:pPr>
        <w:autoSpaceDE w:val="0"/>
        <w:autoSpaceDN w:val="0"/>
        <w:adjustRightIn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（3）请在密封袋的封口处应有</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公章或磋商全权代表签字。封皮上写明项目编号、标段、磋商采购项目名称、供应商名称，并注明“磋商响应文件名称”、“磋商时启封”字样，未按上述要求密封及加写标记，采购组织机构对磋商响应文件的误投和提前启封不负责任。</w:t>
      </w:r>
    </w:p>
    <w:p w14:paraId="51595524">
      <w:pPr>
        <w:autoSpaceDE w:val="0"/>
        <w:autoSpaceDN w:val="0"/>
        <w:adjustRightIn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（4）项目如分标段，各标段磋商响应文件必须分开编制，并按上述份数要求单独密封包装。</w:t>
      </w:r>
    </w:p>
    <w:p w14:paraId="630C8BDF">
      <w:pPr>
        <w:autoSpaceDE w:val="0"/>
        <w:autoSpaceDN w:val="0"/>
        <w:adjustRightIn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（5）</w:t>
      </w:r>
      <w:r>
        <w:rPr>
          <w:rFonts w:hint="eastAsia" w:ascii="宋体" w:hAnsi="宋体" w:eastAsia="宋体" w:cs="宋体"/>
          <w:color w:val="auto"/>
          <w:kern w:val="0"/>
          <w:sz w:val="24"/>
          <w:highlight w:val="none"/>
          <w:lang w:val="zh-CN"/>
        </w:rPr>
        <w:t>因密封不严、标记不明而造成失密、拒收、过早启封等情况，采购组织机构概不负责。</w:t>
      </w:r>
    </w:p>
    <w:p w14:paraId="0C2192EE">
      <w:pPr>
        <w:autoSpaceDE w:val="0"/>
        <w:autoSpaceDN w:val="0"/>
        <w:adjustRightInd w:val="0"/>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3.</w:t>
      </w:r>
      <w:r>
        <w:rPr>
          <w:rFonts w:hint="eastAsia" w:ascii="宋体" w:hAnsi="宋体" w:eastAsia="宋体" w:cs="宋体"/>
          <w:b/>
          <w:color w:val="auto"/>
          <w:sz w:val="24"/>
          <w:highlight w:val="none"/>
        </w:rPr>
        <w:t>磋商响应文件的递交要求</w:t>
      </w:r>
    </w:p>
    <w:p w14:paraId="223F14C5">
      <w:pPr>
        <w:tabs>
          <w:tab w:val="left" w:pos="1418"/>
        </w:tabs>
        <w:autoSpaceDE w:val="0"/>
        <w:autoSpaceDN w:val="0"/>
        <w:adjustRightIn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（1）磋商响应文件必须在规定时间前派人送达指定的磋商地点。磋商响应文件在截止时间后提交，采购组织机构将拒绝接收。</w:t>
      </w:r>
    </w:p>
    <w:p w14:paraId="7DC18A0D">
      <w:pPr>
        <w:tabs>
          <w:tab w:val="left" w:pos="1418"/>
        </w:tabs>
        <w:autoSpaceDE w:val="0"/>
        <w:autoSpaceDN w:val="0"/>
        <w:adjustRightIn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（2）如有特殊情况，采购组织机构延长截止时间和磋商时间，采购组织机构和供应商的权利和义务将受到新的截止时间和磋商时间的约束。</w:t>
      </w:r>
    </w:p>
    <w:p w14:paraId="5D718450">
      <w:pPr>
        <w:tabs>
          <w:tab w:val="left" w:pos="1898"/>
        </w:tabs>
        <w:autoSpaceDE w:val="0"/>
        <w:autoSpaceDN w:val="0"/>
        <w:adjustRightInd w:val="0"/>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4.磋商响应文件的补充、修改和撤回</w:t>
      </w:r>
    </w:p>
    <w:p w14:paraId="1B56A0E3">
      <w:pPr>
        <w:tabs>
          <w:tab w:val="left" w:pos="960"/>
          <w:tab w:val="left" w:pos="1418"/>
        </w:tabs>
        <w:autoSpaceDE w:val="0"/>
        <w:autoSpaceDN w:val="0"/>
        <w:adjustRightIn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（1）供应商如需对上交的磋商响应文件进行补充、修改或撤回的，必须在磋商响应截止时间以前将书面的修改文件或撤消通知送达采购组织机构。</w:t>
      </w:r>
    </w:p>
    <w:p w14:paraId="6BDAAF0F">
      <w:pPr>
        <w:numPr>
          <w:ilvl w:val="0"/>
          <w:numId w:val="4"/>
        </w:numPr>
        <w:tabs>
          <w:tab w:val="left" w:pos="1418"/>
        </w:tabs>
        <w:autoSpaceDE w:val="0"/>
        <w:autoSpaceDN w:val="0"/>
        <w:adjustRightIn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磋商响应修改文件必须密封，在密封袋上写明项目编号、标段、磋商采购项目名称、供应商名称、并注明“修改文件”、“磋商时启封”字样，其作为磋商响应文件的组成部份。</w:t>
      </w:r>
    </w:p>
    <w:p w14:paraId="2CADC243">
      <w:pPr>
        <w:tabs>
          <w:tab w:val="left" w:pos="1418"/>
        </w:tabs>
        <w:autoSpaceDE w:val="0"/>
        <w:autoSpaceDN w:val="0"/>
        <w:adjustRightInd w:val="0"/>
        <w:spacing w:line="360" w:lineRule="auto"/>
        <w:ind w:left="48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（三）磋商响应文件的有效期</w:t>
      </w:r>
    </w:p>
    <w:p w14:paraId="0A0D0E91">
      <w:pPr>
        <w:pStyle w:val="13"/>
        <w:widowControl w:val="0"/>
        <w:numPr>
          <w:ilvl w:val="0"/>
          <w:numId w:val="0"/>
        </w:numPr>
        <w:tabs>
          <w:tab w:val="left" w:pos="0"/>
          <w:tab w:val="left" w:pos="1200"/>
          <w:tab w:val="clear" w:pos="454"/>
        </w:tabs>
        <w:snapToGrid w:val="0"/>
        <w:spacing w:afterLines="0" w:line="360" w:lineRule="auto"/>
        <w:ind w:firstLine="480" w:firstLineChars="200"/>
        <w:rPr>
          <w:rFonts w:hint="eastAsia" w:ascii="宋体" w:hAnsi="宋体" w:eastAsia="宋体" w:cs="宋体"/>
          <w:color w:val="auto"/>
          <w:szCs w:val="24"/>
          <w:highlight w:val="none"/>
          <w:lang w:val="en-GB"/>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GB"/>
        </w:rPr>
        <w:t>自磋商响应截止日起90天磋商响应文件应保持有效。有效期不足的磋商响应文件将被拒绝。</w:t>
      </w:r>
    </w:p>
    <w:p w14:paraId="15C12935">
      <w:pPr>
        <w:pStyle w:val="13"/>
        <w:widowControl w:val="0"/>
        <w:numPr>
          <w:ilvl w:val="0"/>
          <w:numId w:val="0"/>
        </w:numPr>
        <w:tabs>
          <w:tab w:val="left" w:pos="0"/>
          <w:tab w:val="left" w:pos="1200"/>
          <w:tab w:val="clear" w:pos="454"/>
        </w:tabs>
        <w:snapToGrid w:val="0"/>
        <w:spacing w:afterLines="0"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2.在特殊情况下，采购人可与</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协商延长磋商响应文件的有效期，这种要求和答复均以书面形式进行。</w:t>
      </w:r>
    </w:p>
    <w:p w14:paraId="433AD662">
      <w:pPr>
        <w:pStyle w:val="13"/>
        <w:widowControl w:val="0"/>
        <w:numPr>
          <w:ilvl w:val="0"/>
          <w:numId w:val="0"/>
        </w:numPr>
        <w:tabs>
          <w:tab w:val="left" w:pos="0"/>
          <w:tab w:val="left" w:pos="425"/>
          <w:tab w:val="left" w:pos="1200"/>
          <w:tab w:val="clear" w:pos="454"/>
        </w:tabs>
        <w:snapToGrid w:val="0"/>
        <w:spacing w:afterLines="0" w:line="360" w:lineRule="auto"/>
        <w:ind w:firstLine="420" w:firstLineChars="175"/>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可拒绝接受延期要求。同意延长有效期的</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 xml:space="preserve">不能修改磋商响应文件。 </w:t>
      </w:r>
    </w:p>
    <w:p w14:paraId="1F8686E0">
      <w:pPr>
        <w:snapToGrid w:val="0"/>
        <w:spacing w:line="360" w:lineRule="auto"/>
        <w:ind w:firstLine="480" w:firstLineChars="200"/>
        <w:jc w:val="left"/>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4.成交供应商的</w:t>
      </w:r>
      <w:r>
        <w:rPr>
          <w:rFonts w:hint="eastAsia" w:ascii="宋体" w:hAnsi="宋体" w:eastAsia="宋体" w:cs="宋体"/>
          <w:color w:val="auto"/>
          <w:sz w:val="24"/>
          <w:highlight w:val="none"/>
        </w:rPr>
        <w:t>磋商响应文件</w:t>
      </w:r>
      <w:r>
        <w:rPr>
          <w:rFonts w:hint="eastAsia" w:ascii="宋体" w:hAnsi="宋体" w:eastAsia="宋体" w:cs="宋体"/>
          <w:color w:val="auto"/>
          <w:kern w:val="0"/>
          <w:sz w:val="24"/>
          <w:highlight w:val="none"/>
        </w:rPr>
        <w:t>自磋商之日起至合同履行完毕均应保持有效。</w:t>
      </w:r>
    </w:p>
    <w:p w14:paraId="66B116B2">
      <w:pPr>
        <w:tabs>
          <w:tab w:val="left" w:pos="1418"/>
        </w:tabs>
        <w:autoSpaceDE w:val="0"/>
        <w:autoSpaceDN w:val="0"/>
        <w:adjustRightInd w:val="0"/>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三、磋商保证金</w:t>
      </w:r>
    </w:p>
    <w:p w14:paraId="69D012D4">
      <w:pPr>
        <w:tabs>
          <w:tab w:val="left" w:pos="1418"/>
        </w:tabs>
        <w:autoSpaceDE w:val="0"/>
        <w:autoSpaceDN w:val="0"/>
        <w:adjustRightInd w:val="0"/>
        <w:spacing w:line="360" w:lineRule="auto"/>
        <w:rPr>
          <w:rFonts w:hint="eastAsia" w:ascii="宋体" w:hAnsi="宋体" w:eastAsia="宋体" w:cs="宋体"/>
          <w:bCs/>
          <w:color w:val="auto"/>
          <w:sz w:val="24"/>
          <w:highlight w:val="none"/>
        </w:rPr>
      </w:pPr>
      <w:r>
        <w:rPr>
          <w:rFonts w:hint="eastAsia" w:ascii="宋体" w:hAnsi="宋体" w:eastAsia="宋体" w:cs="宋体"/>
          <w:color w:val="auto"/>
          <w:kern w:val="0"/>
          <w:sz w:val="24"/>
          <w:highlight w:val="none"/>
        </w:rPr>
        <w:t xml:space="preserve">    无</w:t>
      </w:r>
    </w:p>
    <w:p w14:paraId="5E1719E2">
      <w:pPr>
        <w:tabs>
          <w:tab w:val="left" w:pos="1418"/>
        </w:tabs>
        <w:autoSpaceDE w:val="0"/>
        <w:autoSpaceDN w:val="0"/>
        <w:adjustRightInd w:val="0"/>
        <w:spacing w:line="360" w:lineRule="auto"/>
        <w:ind w:firstLine="364" w:firstLineChars="151"/>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四、磋商</w:t>
      </w:r>
    </w:p>
    <w:p w14:paraId="36CF4F8D">
      <w:pPr>
        <w:autoSpaceDE w:val="0"/>
        <w:autoSpaceDN w:val="0"/>
        <w:adjustRightIn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（一）磋商程序</w:t>
      </w:r>
    </w:p>
    <w:p w14:paraId="178066C9">
      <w:pPr>
        <w:autoSpaceDE w:val="0"/>
        <w:autoSpaceDN w:val="0"/>
        <w:adjustRightInd w:val="0"/>
        <w:spacing w:line="360" w:lineRule="auto"/>
        <w:ind w:firstLine="475" w:firstLineChars="198"/>
        <w:rPr>
          <w:rFonts w:hint="eastAsia" w:ascii="宋体" w:hAnsi="宋体" w:eastAsia="宋体" w:cs="宋体"/>
          <w:color w:val="auto"/>
          <w:sz w:val="24"/>
          <w:highlight w:val="none"/>
        </w:rPr>
      </w:pPr>
      <w:r>
        <w:rPr>
          <w:rFonts w:hint="eastAsia" w:ascii="宋体" w:hAnsi="宋体" w:eastAsia="宋体" w:cs="宋体"/>
          <w:color w:val="auto"/>
          <w:sz w:val="24"/>
          <w:highlight w:val="none"/>
        </w:rPr>
        <w:t>1.磋商小组由评审专家共3人组成。</w:t>
      </w:r>
    </w:p>
    <w:p w14:paraId="37D14A1A">
      <w:pPr>
        <w:autoSpaceDE w:val="0"/>
        <w:autoSpaceDN w:val="0"/>
        <w:adjustRightInd w:val="0"/>
        <w:spacing w:line="360" w:lineRule="auto"/>
        <w:ind w:firstLine="475" w:firstLineChars="198"/>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2.采购组织机构将在“磋商公告”规定的时间和地点进行磋商，磋商采购会议由采购组织机构工作人员主持，所有供应商均应准时参加磋商采购会议。</w:t>
      </w:r>
    </w:p>
    <w:p w14:paraId="7C356025">
      <w:pPr>
        <w:autoSpaceDE w:val="0"/>
        <w:autoSpaceDN w:val="0"/>
        <w:adjustRightInd w:val="0"/>
        <w:spacing w:line="360" w:lineRule="auto"/>
        <w:ind w:firstLine="475" w:firstLineChars="198"/>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3.采购组织机构工作人员应当核验出席磋商活动现场的各供应商代表及相关单位人员身份，并组织其分别登记、签到，无关人员可拒绝其进入现场。</w:t>
      </w:r>
    </w:p>
    <w:p w14:paraId="7A91D1BF">
      <w:pPr>
        <w:autoSpaceDE w:val="0"/>
        <w:autoSpaceDN w:val="0"/>
        <w:adjustRightInd w:val="0"/>
        <w:spacing w:line="360" w:lineRule="auto"/>
        <w:ind w:firstLine="475" w:firstLineChars="198"/>
        <w:rPr>
          <w:rFonts w:hint="eastAsia" w:ascii="宋体" w:hAnsi="宋体" w:eastAsia="宋体" w:cs="宋体"/>
          <w:color w:val="auto"/>
          <w:sz w:val="24"/>
          <w:highlight w:val="none"/>
        </w:rPr>
      </w:pPr>
      <w:r>
        <w:rPr>
          <w:rFonts w:hint="eastAsia" w:ascii="宋体" w:hAnsi="宋体" w:eastAsia="宋体" w:cs="宋体"/>
          <w:color w:val="auto"/>
          <w:sz w:val="24"/>
          <w:highlight w:val="none"/>
        </w:rPr>
        <w:t>4.采购组织机构工作人员接收磋商响应文件并登记，并由供应商代表对递交记录情况进行签字确认。</w:t>
      </w:r>
    </w:p>
    <w:p w14:paraId="1025D8B4">
      <w:pPr>
        <w:pStyle w:val="21"/>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5.主持人宣布磋商采购会议开始，介绍磋商现场的人员情况，宣读提交磋商响应文件的供应商名单、磋商纪律、应当回避的情形等注意事项，组织供应商签署不存在影响公平竞争的《采购活动现场确认声明书》。</w:t>
      </w:r>
    </w:p>
    <w:p w14:paraId="15407476">
      <w:pPr>
        <w:pStyle w:val="21"/>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6.提请供应商代表查验磋商响应文件密封情况。 </w:t>
      </w:r>
    </w:p>
    <w:p w14:paraId="00E4A77F">
      <w:pPr>
        <w:pStyle w:val="21"/>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7.主持人按磋商响应供应商签到的先后顺序当场拆封</w:t>
      </w:r>
      <w:r>
        <w:rPr>
          <w:rFonts w:hint="eastAsia" w:ascii="宋体" w:hAnsi="宋体" w:eastAsia="宋体" w:cs="宋体"/>
          <w:color w:val="auto"/>
          <w:sz w:val="24"/>
          <w:highlight w:val="none"/>
          <w:lang w:val="zh-CN"/>
        </w:rPr>
        <w:t>资信技术文件</w:t>
      </w:r>
      <w:r>
        <w:rPr>
          <w:rFonts w:hint="eastAsia" w:ascii="宋体" w:hAnsi="宋体" w:eastAsia="宋体" w:cs="宋体"/>
          <w:color w:val="auto"/>
          <w:sz w:val="24"/>
          <w:highlight w:val="none"/>
        </w:rPr>
        <w:t>后，进入资格审查及符合性审查环节；</w:t>
      </w:r>
    </w:p>
    <w:p w14:paraId="039D45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8.磋商小组必须按照客观、公正、审慎的原则，根据磋商文件规定的评审程序、评审办法和评审标准进行独立评审。未实质性响应磋商文件的响应文件按无效响应处理，磋商小组应当告知提交响应文件的供应商。</w:t>
      </w:r>
    </w:p>
    <w:p w14:paraId="74C7316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9.完成综合比较与评价后，由主持人按磋商响应文件的先后顺序当场拆封报价文件；</w:t>
      </w:r>
    </w:p>
    <w:p w14:paraId="5F180F8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10.磋商小组所有成员集中与单一供应商分别进行磋商，并给予所有参加磋商的供应商平等的磋商机会。</w:t>
      </w:r>
    </w:p>
    <w:p w14:paraId="080F85C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在磋商过程中，磋商小组可以根据磋商文件和磋商情况实质性变动采购需求中的服务内容、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08C81F3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12.磋商文件能够详细列明采购标的技术、服务要求的，磋商结束后，磋商小组将要求所有实质性响应的供应商在规定时间内提交最后报价，最后报价是供应商响应文件的有效组成部分。 </w:t>
      </w:r>
    </w:p>
    <w:p w14:paraId="43B129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13.经磋商确定最终采购需求和提交最后报价的供应商后，由磋商小组采用综合评分法对提交最后报价的供应商的响应文件和最后报价进行综合评分。</w:t>
      </w:r>
    </w:p>
    <w:p w14:paraId="151CE74C">
      <w:pPr>
        <w:pStyle w:val="21"/>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14.磋商小组根据综合评分情况，按照评审得分由高到低顺序确定预成交供应商，编写评审报告。</w:t>
      </w:r>
    </w:p>
    <w:p w14:paraId="2E9F11C1">
      <w:pPr>
        <w:pStyle w:val="21"/>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15.采购组织机构对磋商小组专家成员进行评价。</w:t>
      </w:r>
    </w:p>
    <w:p w14:paraId="3B589826">
      <w:pPr>
        <w:pStyle w:val="21"/>
        <w:snapToGrid w:val="0"/>
        <w:spacing w:line="360" w:lineRule="auto"/>
        <w:ind w:left="719" w:leftChars="228" w:hanging="240" w:hanging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16.主持人到磋商采购会现场宣布磋商结果（含商务与技术得分、最后报价、报价得分及总得分），磋商采购会议结束。</w:t>
      </w:r>
    </w:p>
    <w:p w14:paraId="1C9C8EFC">
      <w:pPr>
        <w:pStyle w:val="21"/>
        <w:snapToGrid w:val="0"/>
        <w:spacing w:line="360" w:lineRule="auto"/>
        <w:ind w:left="720" w:leftChars="228" w:hanging="241" w:hangingChars="100"/>
        <w:rPr>
          <w:rFonts w:hint="eastAsia" w:ascii="宋体" w:hAnsi="宋体" w:eastAsia="宋体" w:cs="宋体"/>
          <w:color w:val="auto"/>
          <w:sz w:val="24"/>
          <w:highlight w:val="none"/>
        </w:rPr>
      </w:pPr>
      <w:r>
        <w:rPr>
          <w:rFonts w:hint="eastAsia" w:ascii="宋体" w:hAnsi="宋体" w:eastAsia="宋体" w:cs="宋体"/>
          <w:b/>
          <w:color w:val="auto"/>
          <w:sz w:val="24"/>
          <w:highlight w:val="none"/>
        </w:rPr>
        <w:t>（二）澄清问题的形式</w:t>
      </w:r>
    </w:p>
    <w:p w14:paraId="3104946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的澄清、说明或者补正应当采用书面形式，并加盖公章，或者由法定代理人或其授权的代表签字，并不得超出磋商响应文件的范围或者改变磋商响应文件的实质性内容。</w:t>
      </w:r>
    </w:p>
    <w:p w14:paraId="22792D89">
      <w:pPr>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（三）错误修正</w:t>
      </w:r>
    </w:p>
    <w:p w14:paraId="481BF792">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磋商响应文件报价出现前后不一致的，除</w:t>
      </w:r>
      <w:r>
        <w:rPr>
          <w:rFonts w:hint="eastAsia" w:ascii="宋体" w:hAnsi="宋体" w:eastAsia="宋体" w:cs="宋体"/>
          <w:bCs/>
          <w:color w:val="auto"/>
          <w:highlight w:val="none"/>
        </w:rPr>
        <w:t>磋商采购文件</w:t>
      </w:r>
      <w:r>
        <w:rPr>
          <w:rFonts w:hint="eastAsia" w:ascii="宋体" w:hAnsi="宋体" w:eastAsia="宋体" w:cs="宋体"/>
          <w:color w:val="auto"/>
          <w:highlight w:val="none"/>
        </w:rPr>
        <w:t>另有规定外，按照下列规定修正：</w:t>
      </w:r>
    </w:p>
    <w:p w14:paraId="359C0F14">
      <w:pPr>
        <w:pStyle w:val="34"/>
        <w:spacing w:before="0" w:beforeAutospacing="0" w:after="0" w:afterAutospacing="0"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　　1.磋商响应文件中首次报价一览表内容与磋商响应文件中相应内容不一致的，以首次报价一览表为准；</w:t>
      </w:r>
    </w:p>
    <w:p w14:paraId="608E4857">
      <w:pPr>
        <w:pStyle w:val="34"/>
        <w:spacing w:before="0" w:beforeAutospacing="0" w:after="0" w:afterAutospacing="0"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　　2.大写金额和小写金额不一致的，以大写金额为准；</w:t>
      </w:r>
    </w:p>
    <w:p w14:paraId="32F35372">
      <w:pPr>
        <w:pStyle w:val="34"/>
        <w:spacing w:before="0" w:beforeAutospacing="0" w:after="0" w:afterAutospacing="0"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　　3.单价金额小数点或者百分比有明显错位的，以首次报价一览表的总价为准，并修改单价；</w:t>
      </w:r>
    </w:p>
    <w:p w14:paraId="087A4CB0">
      <w:pPr>
        <w:pStyle w:val="34"/>
        <w:spacing w:before="0" w:beforeAutospacing="0" w:after="0" w:afterAutospacing="0"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　　4.总价金额与按单价汇总金额不一致的，以单价金额计算结果为准；</w:t>
      </w:r>
    </w:p>
    <w:p w14:paraId="22F4DB13">
      <w:pPr>
        <w:pStyle w:val="34"/>
        <w:spacing w:before="0" w:beforeAutospacing="0" w:after="0" w:afterAutospacing="0"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同时出现两种以上不一致的，按照前款规定的顺序修正。修正应当采用书面形式，并加盖公章，或者由法定代表人或其授权的代表签字。修正后的报价经</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确认后产生约束力，</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不确认的，将终止磋商。</w:t>
      </w:r>
    </w:p>
    <w:p w14:paraId="425CC17D">
      <w:pPr>
        <w:pStyle w:val="34"/>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b/>
          <w:bCs/>
          <w:color w:val="auto"/>
          <w:highlight w:val="none"/>
        </w:rPr>
        <w:t>（四）</w:t>
      </w:r>
      <w:r>
        <w:rPr>
          <w:rFonts w:hint="eastAsia" w:ascii="宋体" w:hAnsi="宋体" w:eastAsia="宋体" w:cs="宋体"/>
          <w:b/>
          <w:color w:val="auto"/>
          <w:highlight w:val="none"/>
          <w:lang w:eastAsia="zh-CN"/>
        </w:rPr>
        <w:t>供应商</w:t>
      </w:r>
      <w:r>
        <w:rPr>
          <w:rFonts w:hint="eastAsia" w:ascii="宋体" w:hAnsi="宋体" w:eastAsia="宋体" w:cs="宋体"/>
          <w:b/>
          <w:color w:val="auto"/>
          <w:highlight w:val="none"/>
        </w:rPr>
        <w:t>存在下列情况之一的，响应无效，终止磋商</w:t>
      </w:r>
    </w:p>
    <w:p w14:paraId="7E6779D0">
      <w:pPr>
        <w:pStyle w:val="34"/>
        <w:adjustRightInd w:val="0"/>
        <w:snapToGrid w:val="0"/>
        <w:spacing w:before="0" w:beforeAutospacing="0" w:after="0" w:afterAutospacing="0" w:line="360" w:lineRule="auto"/>
        <w:ind w:firstLine="480" w:firstLineChars="200"/>
        <w:rPr>
          <w:rFonts w:hint="eastAsia" w:ascii="宋体" w:hAnsi="宋体" w:eastAsia="宋体" w:cs="宋体"/>
          <w:b/>
          <w:bCs/>
          <w:color w:val="auto"/>
          <w:highlight w:val="none"/>
        </w:rPr>
      </w:pPr>
      <w:r>
        <w:rPr>
          <w:rFonts w:hint="eastAsia" w:ascii="宋体" w:hAnsi="宋体" w:eastAsia="宋体" w:cs="宋体"/>
          <w:color w:val="auto"/>
          <w:highlight w:val="none"/>
        </w:rPr>
        <w:t>1.磋商响应文件中的报价货物跟商务与技术内容中的供应货物出现重大偏差的。</w:t>
      </w:r>
    </w:p>
    <w:p w14:paraId="6C7E5684">
      <w:pPr>
        <w:pStyle w:val="34"/>
        <w:tabs>
          <w:tab w:val="left" w:pos="7380"/>
        </w:tabs>
        <w:adjustRightInd w:val="0"/>
        <w:snapToGrid w:val="0"/>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2.不具备磋商采购文件中规定的资格要求的。</w:t>
      </w:r>
    </w:p>
    <w:p w14:paraId="3501471A">
      <w:pPr>
        <w:pStyle w:val="34"/>
        <w:adjustRightInd w:val="0"/>
        <w:snapToGrid w:val="0"/>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3.磋商响应文件含有采购人不能接受的附加条件的。</w:t>
      </w:r>
    </w:p>
    <w:p w14:paraId="38ACC7C0">
      <w:pPr>
        <w:adjustRightInd w:val="0"/>
        <w:snapToGrid w:val="0"/>
        <w:spacing w:line="360" w:lineRule="auto"/>
        <w:ind w:firstLine="480" w:firstLineChars="200"/>
        <w:jc w:val="left"/>
        <w:rPr>
          <w:rFonts w:hint="eastAsia" w:ascii="宋体" w:hAnsi="宋体" w:eastAsia="宋体" w:cs="宋体"/>
          <w:bCs/>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sz w:val="24"/>
          <w:highlight w:val="none"/>
        </w:rPr>
        <w:t>供应商代表人未能出具身份证明或与法定代表人授权委托人身份不符的。</w:t>
      </w:r>
    </w:p>
    <w:p w14:paraId="0FF92870">
      <w:pPr>
        <w:pStyle w:val="34"/>
        <w:adjustRightInd w:val="0"/>
        <w:snapToGrid w:val="0"/>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1B5393D9">
      <w:pPr>
        <w:pStyle w:val="34"/>
        <w:adjustRightInd w:val="0"/>
        <w:snapToGrid w:val="0"/>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6.报价超过磋商采购文件中规定的预算金额/最高限价。</w:t>
      </w:r>
    </w:p>
    <w:p w14:paraId="04FA0BD9">
      <w:pPr>
        <w:tabs>
          <w:tab w:val="left" w:pos="1898"/>
        </w:tabs>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7.磋商参数未如实填写的。</w:t>
      </w:r>
    </w:p>
    <w:p w14:paraId="61C1AD0F">
      <w:pPr>
        <w:tabs>
          <w:tab w:val="left" w:pos="1898"/>
        </w:tabs>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8.磋商响应文件提供虚假材料的。</w:t>
      </w:r>
    </w:p>
    <w:p w14:paraId="0B123592">
      <w:pPr>
        <w:tabs>
          <w:tab w:val="left" w:pos="1898"/>
        </w:tabs>
        <w:autoSpaceDE w:val="0"/>
        <w:autoSpaceDN w:val="0"/>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9.</w:t>
      </w:r>
      <w:r>
        <w:rPr>
          <w:rFonts w:hint="eastAsia" w:ascii="宋体" w:hAnsi="宋体" w:eastAsia="宋体" w:cs="宋体"/>
          <w:color w:val="auto"/>
          <w:sz w:val="24"/>
          <w:highlight w:val="none"/>
        </w:rPr>
        <w:t>不同供应商的磋商响应文件由同一单位或者个人编制；</w:t>
      </w:r>
    </w:p>
    <w:p w14:paraId="41003FC6">
      <w:pPr>
        <w:pStyle w:val="34"/>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10.不同供应商委托同一单位或者个人办理磋商事宜；</w:t>
      </w:r>
    </w:p>
    <w:p w14:paraId="521BEB40">
      <w:pPr>
        <w:pStyle w:val="34"/>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11.不同供应商的磋商响应文件载明的项目管理成员或者联系人员为同一人；</w:t>
      </w:r>
    </w:p>
    <w:p w14:paraId="30140B88">
      <w:pPr>
        <w:pStyle w:val="34"/>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12.不同供应商的磋商响应文件异常一致或者报价呈规律性差异；</w:t>
      </w:r>
    </w:p>
    <w:p w14:paraId="324F37C4">
      <w:pPr>
        <w:pStyle w:val="34"/>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13.不同供应商的磋商响应文件相互混装；</w:t>
      </w:r>
    </w:p>
    <w:p w14:paraId="4EBACF11">
      <w:pPr>
        <w:pStyle w:val="34"/>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14.不符合审计、法规和磋商采购文件中规定的其他实质性要求的（磋商采购文件中打“▲”内容及被拒绝的条款）。</w:t>
      </w:r>
    </w:p>
    <w:p w14:paraId="53CA4A70">
      <w:pPr>
        <w:autoSpaceDE w:val="0"/>
        <w:autoSpaceDN w:val="0"/>
        <w:adjustRightInd w:val="0"/>
        <w:spacing w:line="360" w:lineRule="auto"/>
        <w:ind w:firstLine="482" w:firstLineChars="200"/>
        <w:jc w:val="left"/>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（五）有下列情况之一的，本次磋商终止</w:t>
      </w:r>
    </w:p>
    <w:p w14:paraId="426D4E0D">
      <w:pPr>
        <w:pStyle w:val="34"/>
        <w:spacing w:before="0" w:beforeAutospacing="0" w:after="0" w:afterAutospacing="0" w:line="360" w:lineRule="auto"/>
        <w:ind w:firstLine="600" w:firstLineChars="250"/>
        <w:jc w:val="both"/>
        <w:rPr>
          <w:rFonts w:hint="eastAsia" w:ascii="宋体" w:hAnsi="宋体" w:eastAsia="宋体" w:cs="宋体"/>
          <w:color w:val="auto"/>
          <w:highlight w:val="none"/>
        </w:rPr>
      </w:pPr>
      <w:r>
        <w:rPr>
          <w:rFonts w:hint="eastAsia" w:ascii="宋体" w:hAnsi="宋体" w:eastAsia="宋体" w:cs="宋体"/>
          <w:color w:val="auto"/>
          <w:highlight w:val="none"/>
        </w:rPr>
        <w:t>1.出现影响采购公正的违法、违规行为的；</w:t>
      </w:r>
    </w:p>
    <w:p w14:paraId="3F7D7784">
      <w:pPr>
        <w:pStyle w:val="34"/>
        <w:spacing w:before="0" w:beforeAutospacing="0" w:after="0" w:afterAutospacing="0" w:line="360" w:lineRule="auto"/>
        <w:ind w:firstLine="600" w:firstLineChars="25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2.磋商小组发现磋商文件存在歧义、重大缺陷导致评审工作无法进行，或者磋商文件内容违反国家有关强制性规定的； </w:t>
      </w:r>
    </w:p>
    <w:p w14:paraId="4383E3C4">
      <w:pPr>
        <w:pStyle w:val="34"/>
        <w:spacing w:before="0" w:beforeAutospacing="0" w:after="0" w:afterAutospacing="0" w:line="360" w:lineRule="auto"/>
        <w:ind w:firstLine="600" w:firstLineChars="250"/>
        <w:jc w:val="both"/>
        <w:rPr>
          <w:rFonts w:hint="eastAsia" w:ascii="宋体" w:hAnsi="宋体" w:eastAsia="宋体" w:cs="宋体"/>
          <w:color w:val="auto"/>
          <w:highlight w:val="none"/>
        </w:rPr>
      </w:pPr>
      <w:r>
        <w:rPr>
          <w:rFonts w:hint="eastAsia" w:ascii="宋体" w:hAnsi="宋体" w:eastAsia="宋体" w:cs="宋体"/>
          <w:color w:val="auto"/>
          <w:highlight w:val="none"/>
        </w:rPr>
        <w:t>3.因重大变故，采购任务取消的；</w:t>
      </w:r>
    </w:p>
    <w:p w14:paraId="418A592F">
      <w:pPr>
        <w:pStyle w:val="34"/>
        <w:spacing w:before="0" w:beforeAutospacing="0" w:after="0" w:afterAutospacing="0" w:line="360" w:lineRule="auto"/>
        <w:ind w:firstLine="600" w:firstLineChars="250"/>
        <w:jc w:val="both"/>
        <w:rPr>
          <w:rFonts w:hint="eastAsia" w:ascii="宋体" w:hAnsi="宋体" w:eastAsia="宋体" w:cs="宋体"/>
          <w:color w:val="auto"/>
          <w:highlight w:val="none"/>
        </w:rPr>
      </w:pPr>
      <w:r>
        <w:rPr>
          <w:rFonts w:hint="eastAsia" w:ascii="宋体" w:hAnsi="宋体" w:eastAsia="宋体" w:cs="宋体"/>
          <w:color w:val="auto"/>
          <w:highlight w:val="none"/>
        </w:rPr>
        <w:t>4.审计、法规和磋商文件规定的其他导致评审结果无效的。</w:t>
      </w:r>
    </w:p>
    <w:p w14:paraId="3468B801">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（六）磋商原则和方法</w:t>
      </w:r>
    </w:p>
    <w:p w14:paraId="2EFA2BAB">
      <w:pPr>
        <w:pStyle w:val="21"/>
        <w:snapToGrid w:val="0"/>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1.磋商原则。磋商小组必须公平、公正、客观，不带任何倾向性和启发性；不得向外界透露任何与评审有关的内容；任何单位和个人不得干扰、影响评审的正常进行；磋商小组及有关工作人员不得私下与</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接触。</w:t>
      </w:r>
    </w:p>
    <w:p w14:paraId="7FA51265">
      <w:pPr>
        <w:pStyle w:val="21"/>
        <w:snapToGrid w:val="0"/>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2.磋商办法。具体磋商内容及评分标准等详见《第三章：评审办法及评分标准》。</w:t>
      </w:r>
    </w:p>
    <w:p w14:paraId="25E499C9">
      <w:pPr>
        <w:pStyle w:val="21"/>
        <w:snapToGrid w:val="0"/>
        <w:spacing w:line="360" w:lineRule="auto"/>
        <w:ind w:firstLine="602" w:firstLineChars="250"/>
        <w:rPr>
          <w:rFonts w:hint="eastAsia" w:ascii="宋体" w:hAnsi="宋体" w:eastAsia="宋体" w:cs="宋体"/>
          <w:color w:val="auto"/>
          <w:sz w:val="24"/>
          <w:highlight w:val="none"/>
        </w:rPr>
      </w:pPr>
      <w:r>
        <w:rPr>
          <w:rFonts w:hint="eastAsia" w:ascii="宋体" w:hAnsi="宋体" w:eastAsia="宋体" w:cs="宋体"/>
          <w:b/>
          <w:color w:val="auto"/>
          <w:sz w:val="24"/>
          <w:highlight w:val="none"/>
        </w:rPr>
        <w:t>（七）评审过程的监控</w:t>
      </w:r>
    </w:p>
    <w:p w14:paraId="41638B72">
      <w:pPr>
        <w:pStyle w:val="34"/>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本项目评审过程实行全程录音、录像监控，采购监管部门视情进行现场监督，供应商在评审过程中所进行的试图影响评审结果的不公正活动，可能导致其被拒绝磋商。</w:t>
      </w:r>
    </w:p>
    <w:p w14:paraId="6643ECCA">
      <w:pPr>
        <w:pStyle w:val="34"/>
        <w:spacing w:before="0" w:beforeAutospacing="0" w:after="0" w:afterAutospacing="0" w:line="360" w:lineRule="auto"/>
        <w:ind w:firstLine="482" w:firstLineChars="200"/>
        <w:jc w:val="both"/>
        <w:rPr>
          <w:rFonts w:hint="eastAsia" w:ascii="宋体" w:hAnsi="宋体" w:eastAsia="宋体" w:cs="宋体"/>
          <w:color w:val="auto"/>
          <w:highlight w:val="none"/>
        </w:rPr>
      </w:pPr>
      <w:r>
        <w:rPr>
          <w:rFonts w:hint="eastAsia" w:ascii="宋体" w:hAnsi="宋体" w:eastAsia="宋体" w:cs="宋体"/>
          <w:b/>
          <w:color w:val="auto"/>
          <w:highlight w:val="none"/>
        </w:rPr>
        <w:t>五、磋商结果确定</w:t>
      </w:r>
    </w:p>
    <w:p w14:paraId="14F4161D">
      <w:pPr>
        <w:pStyle w:val="34"/>
        <w:spacing w:before="0" w:beforeAutospacing="0" w:after="0" w:afterAutospacing="0" w:line="360" w:lineRule="auto"/>
        <w:ind w:firstLine="600" w:firstLineChars="250"/>
        <w:jc w:val="both"/>
        <w:rPr>
          <w:rFonts w:hint="eastAsia" w:ascii="宋体" w:hAnsi="宋体" w:eastAsia="宋体" w:cs="宋体"/>
          <w:color w:val="auto"/>
          <w:highlight w:val="none"/>
        </w:rPr>
      </w:pPr>
      <w:r>
        <w:rPr>
          <w:rFonts w:hint="eastAsia" w:ascii="宋体" w:hAnsi="宋体" w:eastAsia="宋体" w:cs="宋体"/>
          <w:color w:val="auto"/>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21A077A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2.发布成交结果公告。采购组织机构应当在成交供应商确定后2个工作日内，在采购信息发布媒体及相关网站上公告成交结果，并将磋商文件随同公告。</w:t>
      </w:r>
    </w:p>
    <w:p w14:paraId="5B5C11A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3.发出成交通知书。采购组织机构在发布成交结果同时，向成交供应商发出成交通知书。</w:t>
      </w:r>
    </w:p>
    <w:p w14:paraId="18BF0E29">
      <w:pPr>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六、合同签订</w:t>
      </w:r>
    </w:p>
    <w:p w14:paraId="0BF5AB76">
      <w:pPr>
        <w:pStyle w:val="3"/>
        <w:ind w:firstLine="48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（一）签订合同</w:t>
      </w:r>
    </w:p>
    <w:p w14:paraId="3B68F19C">
      <w:pPr>
        <w:pStyle w:val="3"/>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1.采购人应当自成交通知书发出之日起30天内，按照磋商采购文件确定的合同文本以及采购标的、</w:t>
      </w:r>
      <w:r>
        <w:rPr>
          <w:rFonts w:hint="eastAsia" w:ascii="宋体" w:hAnsi="宋体" w:eastAsia="宋体" w:cs="宋体"/>
          <w:color w:val="auto"/>
          <w:highlight w:val="none"/>
        </w:rPr>
        <w:t>服务内容</w:t>
      </w:r>
      <w:r>
        <w:rPr>
          <w:rFonts w:hint="eastAsia" w:ascii="宋体" w:hAnsi="宋体" w:eastAsia="宋体" w:cs="宋体"/>
          <w:color w:val="auto"/>
          <w:szCs w:val="24"/>
          <w:highlight w:val="none"/>
        </w:rPr>
        <w:t>、采购金额、采购数量和服务要求等事项签订采购合同。</w:t>
      </w:r>
    </w:p>
    <w:p w14:paraId="0D7F88C2">
      <w:pPr>
        <w:pStyle w:val="34"/>
        <w:spacing w:before="0" w:beforeAutospacing="0" w:after="0" w:afterAutospacing="0" w:line="360" w:lineRule="auto"/>
        <w:ind w:firstLine="600" w:firstLineChars="250"/>
        <w:jc w:val="both"/>
        <w:rPr>
          <w:rFonts w:hint="eastAsia" w:ascii="宋体" w:hAnsi="宋体" w:eastAsia="宋体" w:cs="宋体"/>
          <w:color w:val="auto"/>
          <w:highlight w:val="none"/>
        </w:rPr>
      </w:pPr>
      <w:r>
        <w:rPr>
          <w:rFonts w:hint="eastAsia" w:ascii="宋体" w:hAnsi="宋体" w:eastAsia="宋体" w:cs="宋体"/>
          <w:color w:val="auto"/>
          <w:highlight w:val="none"/>
        </w:rPr>
        <w:t>2.采购人不得向成交供应商提出超出磋商文件以外的任何要求作为签订合同的条件，不得与成交供应商订立背离磋商文件确定的合同文本以及采购标的、服务内容、采购金额、采购数量和服务要求等实质性内容的协议。</w:t>
      </w:r>
    </w:p>
    <w:p w14:paraId="78FEBDA0">
      <w:pPr>
        <w:pStyle w:val="34"/>
        <w:spacing w:before="0" w:beforeAutospacing="0" w:after="0" w:afterAutospacing="0" w:line="360" w:lineRule="auto"/>
        <w:ind w:firstLine="600" w:firstLineChars="250"/>
        <w:jc w:val="both"/>
        <w:rPr>
          <w:rFonts w:hint="eastAsia" w:ascii="宋体" w:hAnsi="宋体" w:eastAsia="宋体" w:cs="宋体"/>
          <w:color w:val="auto"/>
          <w:highlight w:val="none"/>
        </w:rPr>
      </w:pPr>
      <w:r>
        <w:rPr>
          <w:rFonts w:hint="eastAsia" w:ascii="宋体" w:hAnsi="宋体" w:eastAsia="宋体" w:cs="宋体"/>
          <w:color w:val="auto"/>
          <w:highlight w:val="none"/>
        </w:rPr>
        <w:t>3.成交供应商无故拖延、拒签合同的,取消成交资格。</w:t>
      </w:r>
    </w:p>
    <w:p w14:paraId="26CEB471">
      <w:pPr>
        <w:pStyle w:val="34"/>
        <w:spacing w:before="0" w:beforeAutospacing="0" w:after="0" w:afterAutospacing="0" w:line="360" w:lineRule="auto"/>
        <w:ind w:firstLine="600" w:firstLineChars="250"/>
        <w:jc w:val="both"/>
        <w:rPr>
          <w:rFonts w:hint="eastAsia" w:ascii="宋体" w:hAnsi="宋体" w:eastAsia="宋体" w:cs="宋体"/>
          <w:color w:val="auto"/>
          <w:highlight w:val="none"/>
        </w:rPr>
      </w:pPr>
      <w:r>
        <w:rPr>
          <w:rFonts w:hint="eastAsia" w:ascii="宋体" w:hAnsi="宋体" w:eastAsia="宋体" w:cs="宋体"/>
          <w:color w:val="auto"/>
          <w:highlight w:val="none"/>
        </w:rPr>
        <w:t>4.成交供应商拒绝与采购人签订合同的，采购人可以按照评审报告推荐的成交候选供应商名单排序，确定下一候选供应商为成交供应商，也可以重新开展采购活动。同时，拒绝与采购人签订合同的供应商，由同级财政部门依法作出处理。</w:t>
      </w:r>
    </w:p>
    <w:p w14:paraId="13E7D37B">
      <w:pPr>
        <w:pStyle w:val="34"/>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5.询问或者质疑事项可能影响成交结果的，采购人应当暂停签订合同，已经签订合同的，应当中止履行合同（成交结果的质疑期为成交结果公告期限届满之日起七个工作日）。</w:t>
      </w:r>
    </w:p>
    <w:p w14:paraId="73A113E2">
      <w:pPr>
        <w:pStyle w:val="3"/>
        <w:ind w:firstLine="480" w:firstLineChars="200"/>
        <w:rPr>
          <w:rFonts w:hint="eastAsia" w:ascii="宋体" w:hAnsi="宋体" w:eastAsia="宋体" w:cs="宋体"/>
          <w:color w:val="auto"/>
          <w:highlight w:val="none"/>
        </w:rPr>
      </w:pPr>
    </w:p>
    <w:p w14:paraId="770A3375">
      <w:pPr>
        <w:pStyle w:val="3"/>
        <w:ind w:firstLine="480" w:firstLineChars="200"/>
        <w:rPr>
          <w:rFonts w:hint="eastAsia" w:ascii="宋体" w:hAnsi="宋体" w:eastAsia="宋体" w:cs="宋体"/>
          <w:color w:val="auto"/>
          <w:highlight w:val="none"/>
        </w:rPr>
      </w:pPr>
    </w:p>
    <w:p w14:paraId="0B16B7F1">
      <w:pPr>
        <w:pStyle w:val="3"/>
        <w:ind w:firstLine="480" w:firstLineChars="200"/>
        <w:rPr>
          <w:rFonts w:hint="eastAsia" w:ascii="宋体" w:hAnsi="宋体" w:eastAsia="宋体" w:cs="宋体"/>
          <w:color w:val="auto"/>
          <w:highlight w:val="none"/>
        </w:rPr>
      </w:pPr>
    </w:p>
    <w:p w14:paraId="7313CF73">
      <w:pPr>
        <w:pStyle w:val="3"/>
        <w:ind w:firstLine="480" w:firstLineChars="200"/>
        <w:rPr>
          <w:rFonts w:hint="eastAsia" w:ascii="宋体" w:hAnsi="宋体" w:eastAsia="宋体" w:cs="宋体"/>
          <w:color w:val="auto"/>
          <w:highlight w:val="none"/>
        </w:rPr>
      </w:pPr>
    </w:p>
    <w:p w14:paraId="6D68A78B">
      <w:pPr>
        <w:pStyle w:val="3"/>
        <w:ind w:firstLine="480" w:firstLineChars="200"/>
        <w:rPr>
          <w:rFonts w:hint="eastAsia" w:ascii="宋体" w:hAnsi="宋体" w:eastAsia="宋体" w:cs="宋体"/>
          <w:color w:val="auto"/>
          <w:highlight w:val="none"/>
        </w:rPr>
      </w:pPr>
    </w:p>
    <w:p w14:paraId="2D5DB129">
      <w:pPr>
        <w:pStyle w:val="3"/>
        <w:ind w:firstLine="480" w:firstLineChars="200"/>
        <w:rPr>
          <w:rFonts w:hint="eastAsia" w:ascii="宋体" w:hAnsi="宋体" w:eastAsia="宋体" w:cs="宋体"/>
          <w:color w:val="auto"/>
          <w:highlight w:val="none"/>
        </w:rPr>
      </w:pPr>
    </w:p>
    <w:p w14:paraId="2A146121">
      <w:pPr>
        <w:pStyle w:val="3"/>
        <w:ind w:firstLine="480" w:firstLineChars="200"/>
        <w:rPr>
          <w:rFonts w:hint="eastAsia" w:ascii="宋体" w:hAnsi="宋体" w:eastAsia="宋体" w:cs="宋体"/>
          <w:color w:val="auto"/>
          <w:highlight w:val="none"/>
        </w:rPr>
      </w:pPr>
    </w:p>
    <w:p w14:paraId="15DDD063">
      <w:pPr>
        <w:pStyle w:val="3"/>
        <w:ind w:firstLine="480" w:firstLineChars="200"/>
        <w:rPr>
          <w:rFonts w:hint="eastAsia" w:ascii="宋体" w:hAnsi="宋体" w:eastAsia="宋体" w:cs="宋体"/>
          <w:color w:val="auto"/>
          <w:highlight w:val="none"/>
        </w:rPr>
      </w:pPr>
    </w:p>
    <w:p w14:paraId="0A848BDE">
      <w:pPr>
        <w:pStyle w:val="3"/>
        <w:ind w:firstLine="480" w:firstLineChars="200"/>
        <w:rPr>
          <w:rFonts w:hint="eastAsia" w:ascii="宋体" w:hAnsi="宋体" w:eastAsia="宋体" w:cs="宋体"/>
          <w:color w:val="auto"/>
          <w:highlight w:val="none"/>
        </w:rPr>
      </w:pPr>
    </w:p>
    <w:p w14:paraId="724FB385">
      <w:pPr>
        <w:spacing w:line="360" w:lineRule="auto"/>
        <w:jc w:val="center"/>
        <w:rPr>
          <w:rFonts w:hint="eastAsia" w:ascii="宋体" w:hAnsi="宋体" w:eastAsia="宋体" w:cs="宋体"/>
          <w:b/>
          <w:color w:val="auto"/>
          <w:sz w:val="36"/>
          <w:szCs w:val="36"/>
          <w:highlight w:val="none"/>
        </w:rPr>
        <w:sectPr>
          <w:pgSz w:w="11906" w:h="16838"/>
          <w:pgMar w:top="1440" w:right="1800" w:bottom="1440" w:left="1800" w:header="851" w:footer="992" w:gutter="0"/>
          <w:cols w:space="720" w:num="1"/>
          <w:docGrid w:type="lines" w:linePitch="312" w:charSpace="0"/>
        </w:sectPr>
      </w:pPr>
    </w:p>
    <w:p w14:paraId="2E8763EF">
      <w:pPr>
        <w:spacing w:line="360" w:lineRule="auto"/>
        <w:jc w:val="center"/>
        <w:rPr>
          <w:rFonts w:hint="eastAsia" w:ascii="宋体" w:hAnsi="宋体" w:eastAsia="宋体" w:cs="宋体"/>
          <w:color w:val="auto"/>
          <w:kern w:val="0"/>
          <w:sz w:val="36"/>
          <w:szCs w:val="36"/>
          <w:highlight w:val="none"/>
        </w:rPr>
      </w:pPr>
      <w:r>
        <w:rPr>
          <w:rFonts w:hint="eastAsia" w:ascii="宋体" w:hAnsi="宋体" w:eastAsia="宋体" w:cs="宋体"/>
          <w:b/>
          <w:color w:val="auto"/>
          <w:sz w:val="36"/>
          <w:szCs w:val="36"/>
          <w:highlight w:val="none"/>
        </w:rPr>
        <w:t>第三章　评审办法及评审标准</w:t>
      </w:r>
    </w:p>
    <w:p w14:paraId="7C53B30F">
      <w:pPr>
        <w:autoSpaceDE w:val="0"/>
        <w:autoSpaceDN w:val="0"/>
        <w:spacing w:line="360" w:lineRule="auto"/>
        <w:ind w:firstLine="480" w:firstLineChars="200"/>
        <w:rPr>
          <w:rFonts w:hint="eastAsia" w:ascii="宋体" w:hAnsi="宋体" w:eastAsia="宋体" w:cs="宋体"/>
          <w:b/>
          <w:i/>
          <w:color w:val="auto"/>
          <w:kern w:val="0"/>
          <w:sz w:val="24"/>
          <w:highlight w:val="none"/>
        </w:rPr>
      </w:pPr>
      <w:r>
        <w:rPr>
          <w:rFonts w:hint="eastAsia" w:ascii="宋体" w:hAnsi="宋体" w:eastAsia="宋体" w:cs="宋体"/>
          <w:color w:val="auto"/>
          <w:kern w:val="0"/>
          <w:sz w:val="24"/>
          <w:highlight w:val="none"/>
        </w:rPr>
        <w:t>一、采购组织机构将组织</w:t>
      </w:r>
      <w:r>
        <w:rPr>
          <w:rFonts w:hint="eastAsia" w:ascii="宋体" w:hAnsi="宋体" w:eastAsia="宋体" w:cs="宋体"/>
          <w:color w:val="auto"/>
          <w:sz w:val="24"/>
          <w:highlight w:val="none"/>
        </w:rPr>
        <w:t>磋商小组</w:t>
      </w:r>
      <w:r>
        <w:rPr>
          <w:rFonts w:hint="eastAsia" w:ascii="宋体" w:hAnsi="宋体" w:eastAsia="宋体" w:cs="宋体"/>
          <w:color w:val="auto"/>
          <w:kern w:val="0"/>
          <w:sz w:val="24"/>
          <w:highlight w:val="none"/>
        </w:rPr>
        <w:t>，对</w:t>
      </w:r>
      <w:r>
        <w:rPr>
          <w:rFonts w:hint="eastAsia" w:ascii="宋体" w:hAnsi="宋体" w:eastAsia="宋体" w:cs="宋体"/>
          <w:color w:val="auto"/>
          <w:sz w:val="24"/>
          <w:highlight w:val="none"/>
        </w:rPr>
        <w:t>供应商</w:t>
      </w:r>
      <w:r>
        <w:rPr>
          <w:rFonts w:hint="eastAsia" w:ascii="宋体" w:hAnsi="宋体" w:eastAsia="宋体" w:cs="宋体"/>
          <w:color w:val="auto"/>
          <w:kern w:val="0"/>
          <w:sz w:val="24"/>
          <w:highlight w:val="none"/>
        </w:rPr>
        <w:t>提供的</w:t>
      </w:r>
      <w:r>
        <w:rPr>
          <w:rFonts w:hint="eastAsia" w:ascii="宋体" w:hAnsi="宋体" w:eastAsia="宋体" w:cs="宋体"/>
          <w:color w:val="auto"/>
          <w:sz w:val="24"/>
          <w:highlight w:val="none"/>
        </w:rPr>
        <w:t>磋商响应文件</w:t>
      </w:r>
      <w:r>
        <w:rPr>
          <w:rFonts w:hint="eastAsia" w:ascii="宋体" w:hAnsi="宋体" w:eastAsia="宋体" w:cs="宋体"/>
          <w:color w:val="auto"/>
          <w:kern w:val="0"/>
          <w:sz w:val="24"/>
          <w:highlight w:val="none"/>
        </w:rPr>
        <w:t>进行综合评审。</w:t>
      </w:r>
    </w:p>
    <w:p w14:paraId="48190908">
      <w:pPr>
        <w:autoSpaceDE w:val="0"/>
        <w:autoSpaceDN w:val="0"/>
        <w:adjustRightInd w:val="0"/>
        <w:spacing w:line="360" w:lineRule="auto"/>
        <w:ind w:left="359" w:leftChars="171"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二、本次磋商项目的评审办法为综合评分法，总计100分。评审标准按以下2项内容及分值进行评审。</w:t>
      </w:r>
    </w:p>
    <w:tbl>
      <w:tblPr>
        <w:tblStyle w:val="38"/>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2"/>
        <w:gridCol w:w="4305"/>
      </w:tblGrid>
      <w:tr w14:paraId="593E8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002" w:type="dxa"/>
            <w:tcBorders>
              <w:tl2br w:val="single" w:color="auto" w:sz="4" w:space="0"/>
            </w:tcBorders>
          </w:tcPr>
          <w:p w14:paraId="29FAC94D">
            <w:pPr>
              <w:autoSpaceDE w:val="0"/>
              <w:autoSpaceDN w:val="0"/>
              <w:adjustRightIn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标段</w:t>
            </w:r>
          </w:p>
          <w:p w14:paraId="319D833E">
            <w:pPr>
              <w:autoSpaceDE w:val="0"/>
              <w:autoSpaceDN w:val="0"/>
              <w:adjustRightIn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类别</w:t>
            </w:r>
          </w:p>
        </w:tc>
        <w:tc>
          <w:tcPr>
            <w:tcW w:w="4305" w:type="dxa"/>
            <w:vAlign w:val="center"/>
          </w:tcPr>
          <w:p w14:paraId="2F2A768F">
            <w:pPr>
              <w:autoSpaceDE w:val="0"/>
              <w:autoSpaceDN w:val="0"/>
              <w:adjustRightInd w:val="0"/>
              <w:spacing w:line="48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1 \* CHINESENUM3</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一</w:t>
            </w:r>
            <w:r>
              <w:rPr>
                <w:rFonts w:hint="eastAsia" w:ascii="宋体" w:hAnsi="宋体" w:eastAsia="宋体" w:cs="宋体"/>
                <w:color w:val="auto"/>
                <w:sz w:val="24"/>
                <w:highlight w:val="none"/>
              </w:rPr>
              <w:fldChar w:fldCharType="end"/>
            </w:r>
          </w:p>
        </w:tc>
      </w:tr>
      <w:tr w14:paraId="06ABD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002" w:type="dxa"/>
            <w:vAlign w:val="center"/>
          </w:tcPr>
          <w:p w14:paraId="14824066">
            <w:pPr>
              <w:autoSpaceDE w:val="0"/>
              <w:autoSpaceDN w:val="0"/>
              <w:adjustRightInd w:val="0"/>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商务与技术</w:t>
            </w:r>
          </w:p>
        </w:tc>
        <w:tc>
          <w:tcPr>
            <w:tcW w:w="4305" w:type="dxa"/>
            <w:vAlign w:val="center"/>
          </w:tcPr>
          <w:p w14:paraId="571BD083">
            <w:pPr>
              <w:autoSpaceDE w:val="0"/>
              <w:autoSpaceDN w:val="0"/>
              <w:adjustRightIn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0</w:t>
            </w:r>
          </w:p>
        </w:tc>
      </w:tr>
      <w:tr w14:paraId="4CD56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002" w:type="dxa"/>
            <w:vAlign w:val="center"/>
          </w:tcPr>
          <w:p w14:paraId="5CB54F01">
            <w:pPr>
              <w:autoSpaceDE w:val="0"/>
              <w:autoSpaceDN w:val="0"/>
              <w:adjustRightInd w:val="0"/>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价格</w:t>
            </w:r>
          </w:p>
        </w:tc>
        <w:tc>
          <w:tcPr>
            <w:tcW w:w="4305" w:type="dxa"/>
            <w:vAlign w:val="center"/>
          </w:tcPr>
          <w:p w14:paraId="52777D7C">
            <w:pPr>
              <w:autoSpaceDE w:val="0"/>
              <w:autoSpaceDN w:val="0"/>
              <w:adjustRightInd w:val="0"/>
              <w:jc w:val="center"/>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20</w:t>
            </w:r>
          </w:p>
        </w:tc>
      </w:tr>
    </w:tbl>
    <w:p w14:paraId="33C5292A">
      <w:pPr>
        <w:autoSpaceDE w:val="0"/>
        <w:autoSpaceDN w:val="0"/>
        <w:adjustRightInd w:val="0"/>
        <w:spacing w:line="360" w:lineRule="auto"/>
        <w:ind w:right="84" w:firstLine="472"/>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（一）资信技术文件由</w:t>
      </w:r>
      <w:r>
        <w:rPr>
          <w:rFonts w:hint="eastAsia" w:ascii="宋体" w:hAnsi="宋体" w:eastAsia="宋体" w:cs="宋体"/>
          <w:color w:val="auto"/>
          <w:sz w:val="24"/>
          <w:highlight w:val="none"/>
        </w:rPr>
        <w:t>磋商小组</w:t>
      </w:r>
      <w:r>
        <w:rPr>
          <w:rFonts w:hint="eastAsia" w:ascii="宋体" w:hAnsi="宋体" w:eastAsia="宋体" w:cs="宋体"/>
          <w:bCs/>
          <w:color w:val="auto"/>
          <w:sz w:val="24"/>
          <w:highlight w:val="none"/>
          <w:lang w:val="zh-CN"/>
        </w:rPr>
        <w:t>在规定的分值内单独评定打分。</w:t>
      </w:r>
    </w:p>
    <w:p w14:paraId="042D86CD">
      <w:pPr>
        <w:autoSpaceDE w:val="0"/>
        <w:autoSpaceDN w:val="0"/>
        <w:adjustRightInd w:val="0"/>
        <w:spacing w:line="360" w:lineRule="auto"/>
        <w:ind w:right="84" w:firstLine="472"/>
        <w:rPr>
          <w:rFonts w:hint="eastAsia" w:ascii="宋体" w:hAnsi="宋体" w:eastAsia="宋体" w:cs="宋体"/>
          <w:bCs/>
          <w:color w:val="auto"/>
          <w:sz w:val="24"/>
          <w:highlight w:val="none"/>
          <w:shd w:val="clear" w:color="FFFFFF" w:fill="D9D9D9"/>
          <w:lang w:val="zh-CN"/>
        </w:rPr>
      </w:pPr>
      <w:r>
        <w:rPr>
          <w:rFonts w:hint="eastAsia" w:ascii="宋体" w:hAnsi="宋体" w:eastAsia="宋体" w:cs="宋体"/>
          <w:bCs/>
          <w:color w:val="auto"/>
          <w:sz w:val="24"/>
          <w:highlight w:val="none"/>
          <w:lang w:val="zh-CN"/>
        </w:rPr>
        <w:t>（二）各供应商资信技术文件</w:t>
      </w:r>
      <w:r>
        <w:rPr>
          <w:rFonts w:hint="eastAsia" w:ascii="宋体" w:hAnsi="宋体" w:eastAsia="宋体" w:cs="宋体"/>
          <w:color w:val="auto"/>
          <w:kern w:val="0"/>
          <w:sz w:val="24"/>
          <w:highlight w:val="none"/>
          <w:lang w:val="zh-CN"/>
        </w:rPr>
        <w:t>得分按照</w:t>
      </w:r>
      <w:r>
        <w:rPr>
          <w:rFonts w:hint="eastAsia" w:ascii="宋体" w:hAnsi="宋体" w:eastAsia="宋体" w:cs="宋体"/>
          <w:color w:val="auto"/>
          <w:sz w:val="24"/>
          <w:highlight w:val="none"/>
        </w:rPr>
        <w:t>磋商小组</w:t>
      </w:r>
      <w:r>
        <w:rPr>
          <w:rFonts w:hint="eastAsia" w:ascii="宋体" w:hAnsi="宋体" w:eastAsia="宋体" w:cs="宋体"/>
          <w:color w:val="auto"/>
          <w:kern w:val="0"/>
          <w:sz w:val="24"/>
          <w:highlight w:val="none"/>
          <w:lang w:val="zh-CN"/>
        </w:rPr>
        <w:t>成</w:t>
      </w:r>
      <w:r>
        <w:rPr>
          <w:rFonts w:hint="eastAsia" w:ascii="宋体" w:hAnsi="宋体" w:eastAsia="宋体" w:cs="宋体"/>
          <w:bCs/>
          <w:color w:val="auto"/>
          <w:sz w:val="24"/>
          <w:highlight w:val="none"/>
          <w:lang w:val="zh-CN"/>
        </w:rPr>
        <w:t>员的独立评分结果汇总后的算术平均分计算，计算公式为：</w:t>
      </w:r>
    </w:p>
    <w:p w14:paraId="61DEC019">
      <w:pPr>
        <w:autoSpaceDE w:val="0"/>
        <w:autoSpaceDN w:val="0"/>
        <w:adjustRightInd w:val="0"/>
        <w:spacing w:line="360" w:lineRule="auto"/>
        <w:ind w:right="84" w:firstLine="472"/>
        <w:rPr>
          <w:rFonts w:hint="eastAsia" w:ascii="宋体" w:hAnsi="宋体" w:eastAsia="宋体" w:cs="宋体"/>
          <w:bCs/>
          <w:color w:val="auto"/>
          <w:sz w:val="24"/>
          <w:highlight w:val="none"/>
          <w:shd w:val="clear" w:color="FFFFFF" w:fill="D9D9D9"/>
          <w:lang w:val="zh-CN"/>
        </w:rPr>
      </w:pPr>
      <w:r>
        <w:rPr>
          <w:rFonts w:hint="eastAsia" w:ascii="宋体" w:hAnsi="宋体" w:eastAsia="宋体" w:cs="宋体"/>
          <w:color w:val="auto"/>
          <w:sz w:val="24"/>
          <w:highlight w:val="none"/>
        </w:rPr>
        <w:t>资信技术文件得分</w:t>
      </w:r>
      <w:r>
        <w:rPr>
          <w:rFonts w:hint="eastAsia" w:ascii="宋体" w:hAnsi="宋体" w:eastAsia="宋体" w:cs="宋体"/>
          <w:bCs/>
          <w:color w:val="auto"/>
          <w:sz w:val="24"/>
          <w:highlight w:val="none"/>
          <w:lang w:val="zh-CN"/>
        </w:rPr>
        <w:t>=</w:t>
      </w:r>
      <w:r>
        <w:rPr>
          <w:rFonts w:hint="eastAsia" w:ascii="宋体" w:hAnsi="宋体" w:eastAsia="宋体" w:cs="宋体"/>
          <w:color w:val="auto"/>
          <w:sz w:val="24"/>
          <w:highlight w:val="none"/>
        </w:rPr>
        <w:t>磋商小组</w:t>
      </w:r>
      <w:r>
        <w:rPr>
          <w:rFonts w:hint="eastAsia" w:ascii="宋体" w:hAnsi="宋体" w:eastAsia="宋体" w:cs="宋体"/>
          <w:bCs/>
          <w:color w:val="auto"/>
          <w:sz w:val="24"/>
          <w:highlight w:val="none"/>
          <w:lang w:val="zh-CN"/>
        </w:rPr>
        <w:t>所有成员评分合计数/</w:t>
      </w:r>
      <w:r>
        <w:rPr>
          <w:rFonts w:hint="eastAsia" w:ascii="宋体" w:hAnsi="宋体" w:eastAsia="宋体" w:cs="宋体"/>
          <w:color w:val="auto"/>
          <w:sz w:val="24"/>
          <w:highlight w:val="none"/>
        </w:rPr>
        <w:t>磋商小组</w:t>
      </w:r>
      <w:r>
        <w:rPr>
          <w:rFonts w:hint="eastAsia" w:ascii="宋体" w:hAnsi="宋体" w:eastAsia="宋体" w:cs="宋体"/>
          <w:bCs/>
          <w:color w:val="auto"/>
          <w:sz w:val="24"/>
          <w:highlight w:val="none"/>
          <w:lang w:val="zh-CN"/>
        </w:rPr>
        <w:t>组成人员数。</w:t>
      </w:r>
    </w:p>
    <w:p w14:paraId="26F0F684">
      <w:pP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bCs/>
          <w:color w:val="auto"/>
          <w:sz w:val="24"/>
          <w:highlight w:val="none"/>
          <w:lang w:val="zh-CN"/>
        </w:rPr>
        <w:t>（三）</w:t>
      </w:r>
      <w:r>
        <w:rPr>
          <w:rFonts w:hint="eastAsia" w:ascii="宋体" w:hAnsi="宋体" w:eastAsia="宋体" w:cs="宋体"/>
          <w:color w:val="auto"/>
          <w:sz w:val="24"/>
          <w:highlight w:val="none"/>
          <w:u w:val="single"/>
        </w:rPr>
        <w:t>综合评分法中的价格分统一</w:t>
      </w:r>
      <w:r>
        <w:rPr>
          <w:rFonts w:hint="eastAsia" w:ascii="宋体" w:hAnsi="宋体" w:eastAsia="宋体" w:cs="宋体"/>
          <w:color w:val="auto"/>
          <w:sz w:val="24"/>
          <w:highlight w:val="none"/>
          <w:lang w:val="zh-CN"/>
        </w:rPr>
        <w:t>采用低价优先法计算，即满足磋商文件要求且最后报价最低的供应商的价格作为磋商基准价，其报价得满分。其他供应商的价格分统一按照下列公式计算：</w:t>
      </w:r>
    </w:p>
    <w:p w14:paraId="58BCFFCC">
      <w:pPr>
        <w:autoSpaceDE w:val="0"/>
        <w:autoSpaceDN w:val="0"/>
        <w:adjustRightInd w:val="0"/>
        <w:spacing w:line="360" w:lineRule="auto"/>
        <w:ind w:right="85"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磋商报价得分=(</w:t>
      </w:r>
      <w:r>
        <w:rPr>
          <w:rFonts w:hint="eastAsia" w:ascii="宋体" w:hAnsi="宋体" w:eastAsia="宋体" w:cs="宋体"/>
          <w:color w:val="auto"/>
          <w:sz w:val="24"/>
          <w:highlight w:val="none"/>
          <w:u w:val="single"/>
          <w:lang w:val="zh-CN"/>
        </w:rPr>
        <w:t>磋商基准价</w:t>
      </w:r>
      <w:r>
        <w:rPr>
          <w:rFonts w:hint="eastAsia" w:ascii="宋体" w:hAnsi="宋体" w:eastAsia="宋体" w:cs="宋体"/>
          <w:color w:val="auto"/>
          <w:sz w:val="24"/>
          <w:highlight w:val="none"/>
          <w:u w:val="single"/>
        </w:rPr>
        <w:t>／最后磋商报价)×</w:t>
      </w:r>
      <w:r>
        <w:rPr>
          <w:rFonts w:hint="eastAsia" w:ascii="宋体" w:hAnsi="宋体" w:eastAsia="宋体" w:cs="宋体"/>
          <w:color w:val="auto"/>
          <w:sz w:val="24"/>
          <w:highlight w:val="none"/>
          <w:u w:val="single"/>
          <w:lang w:val="en-US" w:eastAsia="zh-CN"/>
        </w:rPr>
        <w:t>20</w:t>
      </w:r>
      <w:r>
        <w:rPr>
          <w:rFonts w:hint="eastAsia" w:ascii="宋体" w:hAnsi="宋体" w:eastAsia="宋体" w:cs="宋体"/>
          <w:color w:val="auto"/>
          <w:sz w:val="24"/>
          <w:highlight w:val="none"/>
          <w:u w:val="single"/>
        </w:rPr>
        <w:t>%×100。</w:t>
      </w:r>
    </w:p>
    <w:p w14:paraId="6B5DFDDA">
      <w:pP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bCs/>
          <w:color w:val="auto"/>
          <w:sz w:val="24"/>
          <w:highlight w:val="none"/>
          <w:lang w:val="zh-CN"/>
        </w:rPr>
        <w:t>（四）</w:t>
      </w:r>
      <w:r>
        <w:rPr>
          <w:rFonts w:hint="eastAsia" w:ascii="宋体" w:hAnsi="宋体" w:eastAsia="宋体" w:cs="宋体"/>
          <w:color w:val="auto"/>
          <w:sz w:val="24"/>
          <w:highlight w:val="none"/>
          <w:lang w:val="zh-CN"/>
        </w:rPr>
        <w:t>本项目专门面向中小企业采购，不再执行价格评审优惠的扶持政策。注：得分保留2位小数。</w:t>
      </w:r>
    </w:p>
    <w:p w14:paraId="3C6C6B36">
      <w:pP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三、在最大限度地满足磋商文件实质性要求前提下，</w:t>
      </w:r>
      <w:r>
        <w:rPr>
          <w:rFonts w:hint="eastAsia" w:ascii="宋体" w:hAnsi="宋体" w:eastAsia="宋体" w:cs="宋体"/>
          <w:color w:val="auto"/>
          <w:sz w:val="24"/>
          <w:highlight w:val="none"/>
        </w:rPr>
        <w:t>磋商小组</w:t>
      </w:r>
      <w:r>
        <w:rPr>
          <w:rFonts w:hint="eastAsia" w:ascii="宋体" w:hAnsi="宋体" w:eastAsia="宋体" w:cs="宋体"/>
          <w:color w:val="auto"/>
          <w:sz w:val="24"/>
          <w:highlight w:val="none"/>
          <w:lang w:val="zh-CN"/>
        </w:rPr>
        <w:t>按照磋商文件中规定的各项因素进行综合评审后，以评审总得分最高的供应商为第一成交候选供应商，总得分次高的为第二成交候选供应商，总得分第三高的为第三成交候选供应商。</w:t>
      </w:r>
    </w:p>
    <w:p w14:paraId="572C820E">
      <w:pP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四、如综合得分相同，最后报价低者为先；如综合得分且最后报价相同的，货物类采购项目以技术性能得分较高者为先，服务类采购项目以实力信誉及业绩得分较高者为先。</w:t>
      </w:r>
    </w:p>
    <w:p w14:paraId="00895AD0">
      <w:pPr>
        <w:autoSpaceDE w:val="0"/>
        <w:autoSpaceDN w:val="0"/>
        <w:adjustRightInd w:val="0"/>
        <w:spacing w:line="360" w:lineRule="auto"/>
        <w:ind w:firstLine="480" w:firstLineChars="20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五、本次评分具体分值细化条款如下表</w:t>
      </w:r>
      <w:r>
        <w:rPr>
          <w:rFonts w:hint="eastAsia" w:ascii="宋体" w:hAnsi="宋体" w:eastAsia="宋体" w:cs="宋体"/>
          <w:color w:val="auto"/>
          <w:kern w:val="0"/>
          <w:sz w:val="24"/>
          <w:highlight w:val="none"/>
          <w:lang w:eastAsia="zh-CN"/>
        </w:rPr>
        <w:t>：</w:t>
      </w:r>
    </w:p>
    <w:tbl>
      <w:tblPr>
        <w:tblStyle w:val="38"/>
        <w:tblW w:w="92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3"/>
        <w:gridCol w:w="7034"/>
        <w:gridCol w:w="757"/>
      </w:tblGrid>
      <w:tr w14:paraId="14F9D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1413" w:type="dxa"/>
            <w:tcBorders>
              <w:top w:val="single" w:color="000000" w:sz="4" w:space="0"/>
              <w:left w:val="single" w:color="000000" w:sz="4" w:space="0"/>
              <w:bottom w:val="single" w:color="000000" w:sz="4" w:space="0"/>
              <w:right w:val="single" w:color="000000" w:sz="4" w:space="0"/>
            </w:tcBorders>
            <w:noWrap/>
            <w:vAlign w:val="center"/>
          </w:tcPr>
          <w:p w14:paraId="263D55D3">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评分项目</w:t>
            </w:r>
          </w:p>
        </w:tc>
        <w:tc>
          <w:tcPr>
            <w:tcW w:w="7034" w:type="dxa"/>
            <w:tcBorders>
              <w:top w:val="single" w:color="000000" w:sz="4" w:space="0"/>
              <w:left w:val="single" w:color="000000" w:sz="4" w:space="0"/>
              <w:bottom w:val="single" w:color="000000" w:sz="4" w:space="0"/>
              <w:right w:val="single" w:color="000000" w:sz="4" w:space="0"/>
            </w:tcBorders>
            <w:noWrap/>
            <w:vAlign w:val="center"/>
          </w:tcPr>
          <w:p w14:paraId="54DCBEA9">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评分细则</w:t>
            </w:r>
          </w:p>
        </w:tc>
        <w:tc>
          <w:tcPr>
            <w:tcW w:w="757" w:type="dxa"/>
            <w:tcBorders>
              <w:top w:val="single" w:color="000000" w:sz="4" w:space="0"/>
              <w:left w:val="single" w:color="000000" w:sz="4" w:space="0"/>
              <w:bottom w:val="single" w:color="000000" w:sz="4" w:space="0"/>
              <w:right w:val="single" w:color="000000" w:sz="4" w:space="0"/>
            </w:tcBorders>
            <w:noWrap/>
            <w:vAlign w:val="center"/>
          </w:tcPr>
          <w:p w14:paraId="36977836">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分值</w:t>
            </w:r>
          </w:p>
        </w:tc>
      </w:tr>
      <w:tr w14:paraId="07CC9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2" w:hRule="atLeast"/>
          <w:jc w:val="center"/>
        </w:trPr>
        <w:tc>
          <w:tcPr>
            <w:tcW w:w="1413" w:type="dxa"/>
            <w:vMerge w:val="restart"/>
            <w:tcBorders>
              <w:top w:val="single" w:color="000000" w:sz="4" w:space="0"/>
              <w:left w:val="single" w:color="000000" w:sz="4" w:space="0"/>
              <w:right w:val="single" w:color="000000" w:sz="4" w:space="0"/>
            </w:tcBorders>
            <w:noWrap w:val="0"/>
            <w:vAlign w:val="center"/>
          </w:tcPr>
          <w:p w14:paraId="30DDDBE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项目的理解与分析</w:t>
            </w:r>
          </w:p>
          <w:p w14:paraId="601F867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（20分）</w:t>
            </w:r>
          </w:p>
        </w:tc>
        <w:tc>
          <w:tcPr>
            <w:tcW w:w="7034" w:type="dxa"/>
            <w:tcBorders>
              <w:top w:val="single" w:color="000000" w:sz="4" w:space="0"/>
              <w:left w:val="single" w:color="000000" w:sz="4" w:space="0"/>
              <w:bottom w:val="single" w:color="auto" w:sz="4" w:space="0"/>
              <w:right w:val="single" w:color="000000" w:sz="4" w:space="0"/>
            </w:tcBorders>
            <w:noWrap w:val="0"/>
            <w:vAlign w:val="center"/>
          </w:tcPr>
          <w:p w14:paraId="3FA828FF">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根据供应商对本项目理解与分析（</w:t>
            </w:r>
            <w:r>
              <w:rPr>
                <w:rFonts w:hint="eastAsia" w:ascii="宋体" w:hAnsi="宋体" w:cs="宋体"/>
                <w:b/>
                <w:bCs/>
                <w:i w:val="0"/>
                <w:iCs w:val="0"/>
                <w:color w:val="auto"/>
                <w:kern w:val="0"/>
                <w:sz w:val="24"/>
                <w:szCs w:val="24"/>
                <w:highlight w:val="none"/>
                <w:u w:val="none"/>
                <w:lang w:val="en-US" w:eastAsia="zh-CN" w:bidi="ar"/>
              </w:rPr>
              <w:t>对采购</w:t>
            </w:r>
            <w:r>
              <w:rPr>
                <w:rFonts w:hint="eastAsia" w:ascii="宋体" w:hAnsi="宋体" w:eastAsia="宋体" w:cs="宋体"/>
                <w:b/>
                <w:bCs/>
                <w:i w:val="0"/>
                <w:iCs w:val="0"/>
                <w:color w:val="auto"/>
                <w:kern w:val="0"/>
                <w:sz w:val="24"/>
                <w:szCs w:val="24"/>
                <w:highlight w:val="none"/>
                <w:u w:val="none"/>
                <w:lang w:val="en-US" w:eastAsia="zh-CN" w:bidi="ar"/>
              </w:rPr>
              <w:t>需求</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b/>
                <w:bCs/>
                <w:i w:val="0"/>
                <w:iCs w:val="0"/>
                <w:color w:val="auto"/>
                <w:kern w:val="0"/>
                <w:sz w:val="24"/>
                <w:szCs w:val="24"/>
                <w:highlight w:val="none"/>
                <w:u w:val="none"/>
                <w:lang w:val="en-US" w:eastAsia="zh-CN" w:bidi="ar"/>
              </w:rPr>
              <w:t>现有信息化相关内部制度</w:t>
            </w:r>
            <w:r>
              <w:rPr>
                <w:rFonts w:hint="eastAsia" w:ascii="宋体" w:hAnsi="宋体" w:cs="宋体"/>
                <w:b/>
                <w:bCs/>
                <w:i w:val="0"/>
                <w:iCs w:val="0"/>
                <w:color w:val="auto"/>
                <w:kern w:val="0"/>
                <w:sz w:val="24"/>
                <w:szCs w:val="24"/>
                <w:highlight w:val="none"/>
                <w:u w:val="none"/>
                <w:lang w:val="en-US" w:eastAsia="zh-CN" w:bidi="ar"/>
              </w:rPr>
              <w:t>等内容</w:t>
            </w:r>
            <w:r>
              <w:rPr>
                <w:rFonts w:hint="eastAsia" w:ascii="宋体" w:hAnsi="宋体" w:eastAsia="宋体" w:cs="宋体"/>
                <w:b/>
                <w:bCs/>
                <w:i w:val="0"/>
                <w:iCs w:val="0"/>
                <w:color w:val="auto"/>
                <w:kern w:val="0"/>
                <w:sz w:val="24"/>
                <w:szCs w:val="24"/>
                <w:highlight w:val="none"/>
                <w:u w:val="none"/>
                <w:lang w:val="en-US" w:eastAsia="zh-CN" w:bidi="ar"/>
              </w:rPr>
              <w:t>）进行综合评分：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（1）项目理解透彻、分析全面合理的得9.1-12.0分；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（2）项目理解较为透彻、分析较为全面合理的得6.1-9.0分；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（3）项目理解度稍欠、分析不够全面合理的得3.1-6.0分；</w:t>
            </w:r>
          </w:p>
          <w:p w14:paraId="5B1BA5D4">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（4）项目理解度不够、分析不全面合理的得0.1-3.0分。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未提供不得分。</w:t>
            </w:r>
          </w:p>
        </w:tc>
        <w:tc>
          <w:tcPr>
            <w:tcW w:w="757" w:type="dxa"/>
            <w:tcBorders>
              <w:top w:val="single" w:color="000000" w:sz="4" w:space="0"/>
              <w:left w:val="single" w:color="000000" w:sz="4" w:space="0"/>
              <w:bottom w:val="single" w:color="auto" w:sz="4" w:space="0"/>
              <w:right w:val="single" w:color="000000" w:sz="4" w:space="0"/>
            </w:tcBorders>
            <w:noWrap w:val="0"/>
            <w:vAlign w:val="center"/>
          </w:tcPr>
          <w:p w14:paraId="085790E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12</w:t>
            </w:r>
          </w:p>
        </w:tc>
      </w:tr>
      <w:tr w14:paraId="67E16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4" w:hRule="atLeast"/>
          <w:jc w:val="center"/>
        </w:trPr>
        <w:tc>
          <w:tcPr>
            <w:tcW w:w="1413" w:type="dxa"/>
            <w:vMerge w:val="continue"/>
            <w:tcBorders>
              <w:left w:val="single" w:color="000000" w:sz="4" w:space="0"/>
              <w:bottom w:val="single" w:color="000000" w:sz="4" w:space="0"/>
              <w:right w:val="single" w:color="000000" w:sz="4" w:space="0"/>
            </w:tcBorders>
            <w:noWrap w:val="0"/>
            <w:vAlign w:val="center"/>
          </w:tcPr>
          <w:p w14:paraId="0EA632E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034" w:type="dxa"/>
            <w:tcBorders>
              <w:top w:val="single" w:color="auto" w:sz="4" w:space="0"/>
              <w:left w:val="single" w:color="000000" w:sz="4" w:space="0"/>
              <w:bottom w:val="single" w:color="000000" w:sz="4" w:space="0"/>
              <w:right w:val="single" w:color="000000" w:sz="4" w:space="0"/>
            </w:tcBorders>
            <w:noWrap w:val="0"/>
            <w:vAlign w:val="center"/>
          </w:tcPr>
          <w:p w14:paraId="79709A89">
            <w:pPr>
              <w:keepNext w:val="0"/>
              <w:keepLines w:val="0"/>
              <w:widowControl/>
              <w:suppressLineNumbers w:val="0"/>
              <w:spacing w:line="360" w:lineRule="auto"/>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根据供应商针对本项目的重点难点分析及解决方案及合理化建议等进行综合评分：</w:t>
            </w:r>
          </w:p>
          <w:p w14:paraId="732EA233">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（1）项目重点、难点把握精准，解决方案及合理化建议切合实际的得5.1-8.0分；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（2）项目重点、难点把握一般，解决方案及合理化建议一般的得2.1-5.0分；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（3）项目重点、难点把握、解决方案及合理化建议欠缺的得0.1-2.0分。</w:t>
            </w:r>
          </w:p>
          <w:p w14:paraId="24B6F34A">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未提供不得分。</w:t>
            </w:r>
          </w:p>
        </w:tc>
        <w:tc>
          <w:tcPr>
            <w:tcW w:w="757" w:type="dxa"/>
            <w:tcBorders>
              <w:top w:val="single" w:color="auto" w:sz="4" w:space="0"/>
              <w:left w:val="single" w:color="000000" w:sz="4" w:space="0"/>
              <w:bottom w:val="single" w:color="000000" w:sz="4" w:space="0"/>
              <w:right w:val="single" w:color="000000" w:sz="4" w:space="0"/>
            </w:tcBorders>
            <w:noWrap w:val="0"/>
            <w:vAlign w:val="center"/>
          </w:tcPr>
          <w:p w14:paraId="156DBF7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r>
      <w:tr w14:paraId="1C1CC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4" w:hRule="atLeast"/>
          <w:jc w:val="center"/>
        </w:trPr>
        <w:tc>
          <w:tcPr>
            <w:tcW w:w="1413" w:type="dxa"/>
            <w:tcBorders>
              <w:top w:val="single" w:color="000000" w:sz="4" w:space="0"/>
              <w:left w:val="single" w:color="000000" w:sz="4" w:space="0"/>
              <w:bottom w:val="single" w:color="000000" w:sz="4" w:space="0"/>
              <w:right w:val="single" w:color="000000" w:sz="4" w:space="0"/>
            </w:tcBorders>
            <w:noWrap w:val="0"/>
            <w:vAlign w:val="center"/>
          </w:tcPr>
          <w:p w14:paraId="1CA0CB0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实施方案</w:t>
            </w:r>
          </w:p>
          <w:p w14:paraId="41DC56D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（12分）</w:t>
            </w:r>
          </w:p>
        </w:tc>
        <w:tc>
          <w:tcPr>
            <w:tcW w:w="7034" w:type="dxa"/>
            <w:tcBorders>
              <w:top w:val="single" w:color="000000" w:sz="4" w:space="0"/>
              <w:left w:val="single" w:color="000000" w:sz="4" w:space="0"/>
              <w:bottom w:val="single" w:color="000000" w:sz="4" w:space="0"/>
              <w:right w:val="single" w:color="000000" w:sz="4" w:space="0"/>
            </w:tcBorders>
            <w:noWrap w:val="0"/>
            <w:vAlign w:val="center"/>
          </w:tcPr>
          <w:p w14:paraId="73479F1F">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根据供应商提供的维护计划、服务质量保证措施、人员配置、服务交付流程、故障响应流程、服务操作规范等内容进行综合评分：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（1）方案描述条款明确、内容齐全，维护计划详细、服务质量保证措施合理、人员配置优于</w:t>
            </w:r>
            <w:r>
              <w:rPr>
                <w:rFonts w:hint="eastAsia" w:ascii="宋体" w:hAnsi="宋体" w:cs="宋体"/>
                <w:i w:val="0"/>
                <w:iCs w:val="0"/>
                <w:color w:val="auto"/>
                <w:kern w:val="0"/>
                <w:sz w:val="24"/>
                <w:szCs w:val="24"/>
                <w:highlight w:val="none"/>
                <w:u w:val="none"/>
                <w:lang w:val="en-US" w:eastAsia="zh-CN" w:bidi="ar"/>
              </w:rPr>
              <w:t>采购</w:t>
            </w:r>
            <w:r>
              <w:rPr>
                <w:rFonts w:hint="eastAsia" w:ascii="宋体" w:hAnsi="宋体" w:eastAsia="宋体" w:cs="宋体"/>
                <w:i w:val="0"/>
                <w:iCs w:val="0"/>
                <w:color w:val="auto"/>
                <w:kern w:val="0"/>
                <w:sz w:val="24"/>
                <w:szCs w:val="24"/>
                <w:highlight w:val="none"/>
                <w:u w:val="none"/>
                <w:lang w:val="en-US" w:eastAsia="zh-CN" w:bidi="ar"/>
              </w:rPr>
              <w:t>需求，相关流程切实可行的得9.1-12.0分；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（2）方案描述条款较明确、内容较齐全，维护计划较详细、服务质量保证措施较合理、人员配置满足</w:t>
            </w:r>
            <w:r>
              <w:rPr>
                <w:rFonts w:hint="eastAsia" w:ascii="宋体" w:hAnsi="宋体" w:cs="宋体"/>
                <w:i w:val="0"/>
                <w:iCs w:val="0"/>
                <w:color w:val="auto"/>
                <w:kern w:val="0"/>
                <w:sz w:val="24"/>
                <w:szCs w:val="24"/>
                <w:highlight w:val="none"/>
                <w:u w:val="none"/>
                <w:lang w:val="en-US" w:eastAsia="zh-CN" w:bidi="ar"/>
              </w:rPr>
              <w:t>采购</w:t>
            </w:r>
            <w:r>
              <w:rPr>
                <w:rFonts w:hint="eastAsia" w:ascii="宋体" w:hAnsi="宋体" w:eastAsia="宋体" w:cs="宋体"/>
                <w:i w:val="0"/>
                <w:iCs w:val="0"/>
                <w:color w:val="auto"/>
                <w:kern w:val="0"/>
                <w:sz w:val="24"/>
                <w:szCs w:val="24"/>
                <w:highlight w:val="none"/>
                <w:u w:val="none"/>
                <w:lang w:val="en-US" w:eastAsia="zh-CN" w:bidi="ar"/>
              </w:rPr>
              <w:t>需求，相关流程较可行的得6.1-9.0分；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（3）方案描述条款</w:t>
            </w:r>
            <w:r>
              <w:rPr>
                <w:rFonts w:hint="eastAsia" w:ascii="宋体" w:hAnsi="宋体" w:cs="宋体"/>
                <w:i w:val="0"/>
                <w:iCs w:val="0"/>
                <w:color w:val="auto"/>
                <w:kern w:val="0"/>
                <w:sz w:val="24"/>
                <w:szCs w:val="24"/>
                <w:highlight w:val="none"/>
                <w:u w:val="none"/>
                <w:lang w:val="en-US" w:eastAsia="zh-CN" w:bidi="ar"/>
              </w:rPr>
              <w:t>及</w:t>
            </w:r>
            <w:r>
              <w:rPr>
                <w:rFonts w:hint="eastAsia" w:ascii="宋体" w:hAnsi="宋体" w:eastAsia="宋体" w:cs="宋体"/>
                <w:i w:val="0"/>
                <w:iCs w:val="0"/>
                <w:color w:val="auto"/>
                <w:kern w:val="0"/>
                <w:sz w:val="24"/>
                <w:szCs w:val="24"/>
                <w:highlight w:val="none"/>
                <w:u w:val="none"/>
                <w:lang w:val="en-US" w:eastAsia="zh-CN" w:bidi="ar"/>
              </w:rPr>
              <w:t>内容</w:t>
            </w:r>
            <w:r>
              <w:rPr>
                <w:rFonts w:hint="eastAsia" w:ascii="宋体" w:hAnsi="宋体" w:cs="宋体"/>
                <w:i w:val="0"/>
                <w:iCs w:val="0"/>
                <w:color w:val="auto"/>
                <w:kern w:val="0"/>
                <w:sz w:val="24"/>
                <w:szCs w:val="24"/>
                <w:highlight w:val="none"/>
                <w:u w:val="none"/>
                <w:lang w:val="en-US" w:eastAsia="zh-CN" w:bidi="ar"/>
              </w:rPr>
              <w:t>稍欠</w:t>
            </w:r>
            <w:r>
              <w:rPr>
                <w:rFonts w:hint="eastAsia" w:ascii="宋体" w:hAnsi="宋体" w:eastAsia="宋体" w:cs="宋体"/>
                <w:i w:val="0"/>
                <w:iCs w:val="0"/>
                <w:color w:val="auto"/>
                <w:kern w:val="0"/>
                <w:sz w:val="24"/>
                <w:szCs w:val="24"/>
                <w:highlight w:val="none"/>
                <w:u w:val="none"/>
                <w:lang w:val="en-US" w:eastAsia="zh-CN" w:bidi="ar"/>
              </w:rPr>
              <w:t>，维护计划不明确、服务质量保证措施基本合理，相关流程基本可行的得3.1-6.0分；</w:t>
            </w:r>
          </w:p>
          <w:p w14:paraId="1C9351B5">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（4）方案描述条款</w:t>
            </w:r>
            <w:r>
              <w:rPr>
                <w:rFonts w:hint="eastAsia" w:ascii="宋体" w:hAnsi="宋体" w:cs="宋体"/>
                <w:i w:val="0"/>
                <w:iCs w:val="0"/>
                <w:color w:val="auto"/>
                <w:kern w:val="0"/>
                <w:sz w:val="24"/>
                <w:szCs w:val="24"/>
                <w:highlight w:val="none"/>
                <w:u w:val="none"/>
                <w:lang w:val="en-US" w:eastAsia="zh-CN" w:bidi="ar"/>
              </w:rPr>
              <w:t>片面</w:t>
            </w:r>
            <w:r>
              <w:rPr>
                <w:rFonts w:hint="eastAsia" w:ascii="宋体" w:hAnsi="宋体" w:eastAsia="宋体" w:cs="宋体"/>
                <w:i w:val="0"/>
                <w:iCs w:val="0"/>
                <w:color w:val="auto"/>
                <w:kern w:val="0"/>
                <w:sz w:val="24"/>
                <w:szCs w:val="24"/>
                <w:highlight w:val="none"/>
                <w:u w:val="none"/>
                <w:lang w:val="en-US" w:eastAsia="zh-CN" w:bidi="ar"/>
              </w:rPr>
              <w:t>、内容</w:t>
            </w:r>
            <w:r>
              <w:rPr>
                <w:rFonts w:hint="eastAsia" w:ascii="宋体" w:hAnsi="宋体" w:cs="宋体"/>
                <w:i w:val="0"/>
                <w:iCs w:val="0"/>
                <w:color w:val="auto"/>
                <w:kern w:val="0"/>
                <w:sz w:val="24"/>
                <w:szCs w:val="24"/>
                <w:highlight w:val="none"/>
                <w:u w:val="none"/>
                <w:lang w:val="en-US" w:eastAsia="zh-CN" w:bidi="ar"/>
              </w:rPr>
              <w:t>不足</w:t>
            </w:r>
            <w:r>
              <w:rPr>
                <w:rFonts w:hint="eastAsia" w:ascii="宋体" w:hAnsi="宋体" w:eastAsia="宋体" w:cs="宋体"/>
                <w:i w:val="0"/>
                <w:iCs w:val="0"/>
                <w:color w:val="auto"/>
                <w:kern w:val="0"/>
                <w:sz w:val="24"/>
                <w:szCs w:val="24"/>
                <w:highlight w:val="none"/>
                <w:u w:val="none"/>
                <w:lang w:val="en-US" w:eastAsia="zh-CN" w:bidi="ar"/>
              </w:rPr>
              <w:t>的得0.1-3.0分。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未提供不得分。</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14:paraId="471483C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r>
      <w:tr w14:paraId="26554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413" w:type="dxa"/>
            <w:tcBorders>
              <w:top w:val="single" w:color="000000" w:sz="4" w:space="0"/>
              <w:left w:val="single" w:color="000000" w:sz="4" w:space="0"/>
              <w:bottom w:val="single" w:color="000000" w:sz="4" w:space="0"/>
              <w:right w:val="single" w:color="000000" w:sz="4" w:space="0"/>
            </w:tcBorders>
            <w:noWrap w:val="0"/>
            <w:vAlign w:val="center"/>
          </w:tcPr>
          <w:p w14:paraId="04EA8DF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服务质量保障承诺文件</w:t>
            </w:r>
          </w:p>
          <w:p w14:paraId="7A34E22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（5分）</w:t>
            </w:r>
          </w:p>
        </w:tc>
        <w:tc>
          <w:tcPr>
            <w:tcW w:w="7034" w:type="dxa"/>
            <w:tcBorders>
              <w:top w:val="single" w:color="000000" w:sz="4" w:space="0"/>
              <w:left w:val="single" w:color="000000" w:sz="4" w:space="0"/>
              <w:bottom w:val="single" w:color="000000" w:sz="4" w:space="0"/>
              <w:right w:val="single" w:color="000000" w:sz="4" w:space="0"/>
            </w:tcBorders>
            <w:noWrap w:val="0"/>
            <w:vAlign w:val="center"/>
          </w:tcPr>
          <w:p w14:paraId="274E1CC3">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根据供应商提供相应的服务质量保障承诺的完善程度、可行性与合理性进行综合评分。服务质量保障承诺必须对以下5个问题提出解决方案和承诺（以下5点内容均不得缺项，缺项</w:t>
            </w:r>
            <w:r>
              <w:rPr>
                <w:rFonts w:hint="eastAsia" w:ascii="宋体" w:hAnsi="宋体" w:cs="宋体"/>
                <w:b/>
                <w:bCs/>
                <w:i w:val="0"/>
                <w:iCs w:val="0"/>
                <w:color w:val="auto"/>
                <w:kern w:val="0"/>
                <w:sz w:val="24"/>
                <w:szCs w:val="24"/>
                <w:highlight w:val="none"/>
                <w:u w:val="none"/>
                <w:lang w:val="en-US" w:eastAsia="zh-CN" w:bidi="ar"/>
              </w:rPr>
              <w:t>不得分</w:t>
            </w:r>
            <w:r>
              <w:rPr>
                <w:rFonts w:hint="eastAsia" w:ascii="宋体" w:hAnsi="宋体" w:eastAsia="宋体" w:cs="宋体"/>
                <w:b/>
                <w:bCs/>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①电脑硬盘、移动硬盘、U盘等公安相关数据泄密的罚则；</w:t>
            </w:r>
            <w:r>
              <w:rPr>
                <w:rFonts w:hint="eastAsia" w:ascii="宋体" w:hAnsi="宋体" w:eastAsia="宋体" w:cs="宋体"/>
                <w:b/>
                <w:bCs/>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②对故障判断错误的罚则；</w:t>
            </w:r>
            <w:r>
              <w:rPr>
                <w:rFonts w:hint="eastAsia" w:ascii="宋体" w:hAnsi="宋体" w:eastAsia="宋体" w:cs="宋体"/>
                <w:b/>
                <w:bCs/>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③月度累计有效投诉次数及罚则；</w:t>
            </w:r>
            <w:r>
              <w:rPr>
                <w:rFonts w:hint="eastAsia" w:ascii="宋体" w:hAnsi="宋体" w:eastAsia="宋体" w:cs="宋体"/>
                <w:b/>
                <w:bCs/>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④服务响应度、故障解决率、用户满意度的罚则；</w:t>
            </w:r>
            <w:r>
              <w:rPr>
                <w:rFonts w:hint="eastAsia" w:ascii="宋体" w:hAnsi="宋体" w:eastAsia="宋体" w:cs="宋体"/>
                <w:b/>
                <w:bCs/>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⑤</w:t>
            </w:r>
            <w:r>
              <w:rPr>
                <w:rFonts w:hint="eastAsia" w:ascii="宋体" w:hAnsi="宋体" w:cs="宋体"/>
                <w:b/>
                <w:bCs/>
                <w:i w:val="0"/>
                <w:iCs w:val="0"/>
                <w:color w:val="auto"/>
                <w:kern w:val="0"/>
                <w:sz w:val="24"/>
                <w:szCs w:val="24"/>
                <w:highlight w:val="none"/>
                <w:u w:val="none"/>
                <w:lang w:val="en-US" w:eastAsia="zh-CN" w:bidi="ar"/>
              </w:rPr>
              <w:t>驻点人员</w:t>
            </w:r>
            <w:r>
              <w:rPr>
                <w:rFonts w:hint="eastAsia" w:ascii="宋体" w:hAnsi="宋体" w:eastAsia="宋体" w:cs="宋体"/>
                <w:b/>
                <w:bCs/>
                <w:i w:val="0"/>
                <w:iCs w:val="0"/>
                <w:color w:val="auto"/>
                <w:kern w:val="0"/>
                <w:sz w:val="24"/>
                <w:szCs w:val="24"/>
                <w:highlight w:val="none"/>
                <w:u w:val="none"/>
                <w:lang w:val="en-US" w:eastAsia="zh-CN" w:bidi="ar"/>
              </w:rPr>
              <w:t>违反市局相关管理规定的罚则。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（1）提供相应的服务质量保障承诺文件罚则的完善、可行性与合理性高的得3.1-5.0分；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（2）提供相应的服务质量保障承诺文件罚则的较为完善、可行性与合理性一般的得1.1-3.0分；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（3）提供相应的服务质量保障承诺文件罚则的不完善、可行性与合理性差的得0.1-1.0分。</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14:paraId="07FCAB7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r>
      <w:tr w14:paraId="4AD83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413" w:type="dxa"/>
            <w:tcBorders>
              <w:top w:val="single" w:color="000000" w:sz="4" w:space="0"/>
              <w:left w:val="single" w:color="000000" w:sz="4" w:space="0"/>
              <w:bottom w:val="single" w:color="000000" w:sz="4" w:space="0"/>
              <w:right w:val="single" w:color="000000" w:sz="4" w:space="0"/>
            </w:tcBorders>
            <w:noWrap w:val="0"/>
            <w:vAlign w:val="center"/>
          </w:tcPr>
          <w:p w14:paraId="2ADC5F9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服务保障应急</w:t>
            </w:r>
            <w:r>
              <w:rPr>
                <w:rFonts w:hint="eastAsia" w:ascii="宋体" w:hAnsi="宋体" w:eastAsia="宋体" w:cs="宋体"/>
                <w:i w:val="0"/>
                <w:iCs w:val="0"/>
                <w:color w:val="auto"/>
                <w:kern w:val="0"/>
                <w:sz w:val="24"/>
                <w:szCs w:val="24"/>
                <w:highlight w:val="none"/>
                <w:u w:val="none"/>
                <w:lang w:val="en-US" w:eastAsia="zh-CN" w:bidi="ar"/>
              </w:rPr>
              <w:t>预案</w:t>
            </w:r>
          </w:p>
          <w:p w14:paraId="03F25D8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8分</w:t>
            </w:r>
            <w:r>
              <w:rPr>
                <w:rFonts w:hint="eastAsia" w:ascii="宋体" w:hAnsi="宋体" w:eastAsia="宋体" w:cs="宋体"/>
                <w:i w:val="0"/>
                <w:iCs w:val="0"/>
                <w:color w:val="auto"/>
                <w:kern w:val="0"/>
                <w:sz w:val="24"/>
                <w:szCs w:val="24"/>
                <w:highlight w:val="none"/>
                <w:u w:val="none"/>
                <w:lang w:val="en-US" w:eastAsia="zh-CN" w:bidi="ar"/>
              </w:rPr>
              <w:t>）</w:t>
            </w:r>
          </w:p>
        </w:tc>
        <w:tc>
          <w:tcPr>
            <w:tcW w:w="7034" w:type="dxa"/>
            <w:tcBorders>
              <w:top w:val="single" w:color="000000" w:sz="4" w:space="0"/>
              <w:left w:val="single" w:color="000000" w:sz="4" w:space="0"/>
              <w:bottom w:val="single" w:color="000000" w:sz="4" w:space="0"/>
              <w:right w:val="single" w:color="000000" w:sz="4" w:space="0"/>
            </w:tcBorders>
            <w:noWrap w:val="0"/>
            <w:vAlign w:val="center"/>
          </w:tcPr>
          <w:p w14:paraId="1291A01F">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根据供应商针对本项目建立的运行服务保障应急预案，进行综合评分：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（1）预案描述方向思路明确、内容齐全，对运维过程中可能遇到的问题及其应对措施考虑周密的，所采取的故障处理组织和联系机制合理且有效的得</w:t>
            </w:r>
            <w:r>
              <w:rPr>
                <w:rFonts w:hint="eastAsia" w:ascii="宋体" w:hAnsi="宋体" w:cs="宋体"/>
                <w:i w:val="0"/>
                <w:iCs w:val="0"/>
                <w:color w:val="auto"/>
                <w:kern w:val="0"/>
                <w:sz w:val="24"/>
                <w:szCs w:val="24"/>
                <w:highlight w:val="none"/>
                <w:u w:val="none"/>
                <w:lang w:val="en-US" w:eastAsia="zh-CN" w:bidi="ar"/>
              </w:rPr>
              <w:t>6.1-8.0</w:t>
            </w:r>
            <w:r>
              <w:rPr>
                <w:rFonts w:hint="eastAsia" w:ascii="宋体" w:hAnsi="宋体" w:eastAsia="宋体" w:cs="宋体"/>
                <w:i w:val="0"/>
                <w:iCs w:val="0"/>
                <w:color w:val="auto"/>
                <w:kern w:val="0"/>
                <w:sz w:val="24"/>
                <w:szCs w:val="24"/>
                <w:highlight w:val="none"/>
                <w:u w:val="none"/>
                <w:lang w:val="en-US" w:eastAsia="zh-CN" w:bidi="ar"/>
              </w:rPr>
              <w:t>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（2）预案描述方向思路较明确、内容较齐全，对运维过程中可能遇到的问题及其应对措施考虑较周密的，所采取的故障处理组织和联系机制较合理的得</w:t>
            </w: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（3）预案描述方向思路基本明确、内容基本齐全，对运维过程中可能遇到的问题及其应对措施考虑一般的，所采取的故障处理组织和联系机制一般的得0.1-</w:t>
            </w: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未提供不得分。</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14:paraId="1A5EC60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8</w:t>
            </w:r>
          </w:p>
        </w:tc>
      </w:tr>
      <w:tr w14:paraId="42BD2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1" w:hRule="atLeast"/>
          <w:jc w:val="center"/>
        </w:trPr>
        <w:tc>
          <w:tcPr>
            <w:tcW w:w="1413" w:type="dxa"/>
            <w:tcBorders>
              <w:top w:val="single" w:color="000000" w:sz="4" w:space="0"/>
              <w:left w:val="single" w:color="000000" w:sz="4" w:space="0"/>
              <w:bottom w:val="single" w:color="000000" w:sz="4" w:space="0"/>
              <w:right w:val="single" w:color="000000" w:sz="4" w:space="0"/>
            </w:tcBorders>
            <w:noWrap w:val="0"/>
            <w:vAlign w:val="center"/>
          </w:tcPr>
          <w:p w14:paraId="1AEE1FC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售后服务承诺</w:t>
            </w:r>
          </w:p>
          <w:p w14:paraId="7DC7C57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（8分）</w:t>
            </w:r>
          </w:p>
        </w:tc>
        <w:tc>
          <w:tcPr>
            <w:tcW w:w="7034" w:type="dxa"/>
            <w:tcBorders>
              <w:top w:val="single" w:color="000000" w:sz="4" w:space="0"/>
              <w:left w:val="single" w:color="000000" w:sz="4" w:space="0"/>
              <w:bottom w:val="single" w:color="000000" w:sz="4" w:space="0"/>
              <w:right w:val="single" w:color="000000" w:sz="4" w:space="0"/>
            </w:tcBorders>
            <w:noWrap w:val="0"/>
            <w:vAlign w:val="center"/>
          </w:tcPr>
          <w:p w14:paraId="57965426">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根据供应商针对本次项目所涉及已脱保的前端设备（电脑、打印机、复印机、操作系统，办公软件等），提供原厂维保延长服务的详细程度、建议合理化程度、原厂服务</w:t>
            </w:r>
            <w:r>
              <w:rPr>
                <w:rFonts w:hint="eastAsia" w:ascii="宋体" w:hAnsi="宋体" w:cs="宋体"/>
                <w:b/>
                <w:bCs/>
                <w:i w:val="0"/>
                <w:iCs w:val="0"/>
                <w:color w:val="auto"/>
                <w:kern w:val="0"/>
                <w:sz w:val="24"/>
                <w:szCs w:val="24"/>
                <w:highlight w:val="none"/>
                <w:u w:val="none"/>
                <w:lang w:val="en-US" w:eastAsia="zh-CN" w:bidi="ar"/>
              </w:rPr>
              <w:t>及</w:t>
            </w:r>
            <w:r>
              <w:rPr>
                <w:rFonts w:hint="eastAsia" w:ascii="宋体" w:hAnsi="宋体" w:eastAsia="宋体" w:cs="宋体"/>
                <w:b/>
                <w:bCs/>
                <w:i w:val="0"/>
                <w:iCs w:val="0"/>
                <w:color w:val="auto"/>
                <w:kern w:val="0"/>
                <w:sz w:val="24"/>
                <w:szCs w:val="24"/>
                <w:highlight w:val="none"/>
                <w:u w:val="none"/>
                <w:lang w:val="en-US" w:eastAsia="zh-CN" w:bidi="ar"/>
              </w:rPr>
              <w:t>原厂质保情况等进行综合评分：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（1）供应商所承诺维保延长服务的详实、建议合理、原厂服务</w:t>
            </w:r>
            <w:r>
              <w:rPr>
                <w:rFonts w:hint="eastAsia" w:ascii="宋体" w:hAnsi="宋体" w:cs="宋体"/>
                <w:i w:val="0"/>
                <w:iCs w:val="0"/>
                <w:color w:val="auto"/>
                <w:kern w:val="0"/>
                <w:sz w:val="24"/>
                <w:szCs w:val="24"/>
                <w:highlight w:val="none"/>
                <w:u w:val="none"/>
                <w:lang w:val="en-US" w:eastAsia="zh-CN" w:bidi="ar"/>
              </w:rPr>
              <w:t>及</w:t>
            </w:r>
            <w:r>
              <w:rPr>
                <w:rFonts w:hint="eastAsia" w:ascii="宋体" w:hAnsi="宋体" w:eastAsia="宋体" w:cs="宋体"/>
                <w:i w:val="0"/>
                <w:iCs w:val="0"/>
                <w:color w:val="auto"/>
                <w:kern w:val="0"/>
                <w:sz w:val="24"/>
                <w:szCs w:val="24"/>
                <w:highlight w:val="none"/>
                <w:u w:val="none"/>
                <w:lang w:val="en-US" w:eastAsia="zh-CN" w:bidi="ar"/>
              </w:rPr>
              <w:t>原厂质保</w:t>
            </w:r>
            <w:r>
              <w:rPr>
                <w:rFonts w:hint="eastAsia" w:ascii="宋体" w:hAnsi="宋体" w:cs="宋体"/>
                <w:i w:val="0"/>
                <w:iCs w:val="0"/>
                <w:color w:val="auto"/>
                <w:kern w:val="0"/>
                <w:sz w:val="24"/>
                <w:szCs w:val="24"/>
                <w:highlight w:val="none"/>
                <w:u w:val="none"/>
                <w:lang w:val="en-US" w:eastAsia="zh-CN" w:bidi="ar"/>
              </w:rPr>
              <w:t>能高度保障的</w:t>
            </w:r>
            <w:r>
              <w:rPr>
                <w:rFonts w:hint="eastAsia" w:ascii="宋体" w:hAnsi="宋体" w:eastAsia="宋体" w:cs="宋体"/>
                <w:i w:val="0"/>
                <w:iCs w:val="0"/>
                <w:color w:val="auto"/>
                <w:kern w:val="0"/>
                <w:sz w:val="24"/>
                <w:szCs w:val="24"/>
                <w:highlight w:val="none"/>
                <w:u w:val="none"/>
                <w:lang w:val="en-US" w:eastAsia="zh-CN" w:bidi="ar"/>
              </w:rPr>
              <w:t>得5.1-8.0分。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（2）供应商所承诺维保延长服务的较详实、建议较合理、</w:t>
            </w:r>
            <w:r>
              <w:rPr>
                <w:rFonts w:hint="eastAsia" w:ascii="宋体" w:hAnsi="宋体" w:cs="宋体"/>
                <w:i w:val="0"/>
                <w:iCs w:val="0"/>
                <w:color w:val="auto"/>
                <w:kern w:val="0"/>
                <w:sz w:val="24"/>
                <w:szCs w:val="24"/>
                <w:highlight w:val="none"/>
                <w:u w:val="none"/>
                <w:lang w:val="en-US" w:eastAsia="zh-CN" w:bidi="ar"/>
              </w:rPr>
              <w:t>具有</w:t>
            </w:r>
            <w:r>
              <w:rPr>
                <w:rFonts w:hint="eastAsia" w:ascii="宋体" w:hAnsi="宋体" w:eastAsia="宋体" w:cs="宋体"/>
                <w:i w:val="0"/>
                <w:iCs w:val="0"/>
                <w:color w:val="auto"/>
                <w:kern w:val="0"/>
                <w:sz w:val="24"/>
                <w:szCs w:val="24"/>
                <w:highlight w:val="none"/>
                <w:u w:val="none"/>
                <w:lang w:val="en-US" w:eastAsia="zh-CN" w:bidi="ar"/>
              </w:rPr>
              <w:t>原厂服务</w:t>
            </w:r>
            <w:r>
              <w:rPr>
                <w:rFonts w:hint="eastAsia" w:ascii="宋体" w:hAnsi="宋体" w:cs="宋体"/>
                <w:i w:val="0"/>
                <w:iCs w:val="0"/>
                <w:color w:val="auto"/>
                <w:kern w:val="0"/>
                <w:sz w:val="24"/>
                <w:szCs w:val="24"/>
                <w:highlight w:val="none"/>
                <w:u w:val="none"/>
                <w:lang w:val="en-US" w:eastAsia="zh-CN" w:bidi="ar"/>
              </w:rPr>
              <w:t>及</w:t>
            </w:r>
            <w:r>
              <w:rPr>
                <w:rFonts w:hint="eastAsia" w:ascii="宋体" w:hAnsi="宋体" w:eastAsia="宋体" w:cs="宋体"/>
                <w:i w:val="0"/>
                <w:iCs w:val="0"/>
                <w:color w:val="auto"/>
                <w:kern w:val="0"/>
                <w:sz w:val="24"/>
                <w:szCs w:val="24"/>
                <w:highlight w:val="none"/>
                <w:u w:val="none"/>
                <w:lang w:val="en-US" w:eastAsia="zh-CN" w:bidi="ar"/>
              </w:rPr>
              <w:t>原厂质</w:t>
            </w:r>
            <w:r>
              <w:rPr>
                <w:rFonts w:hint="eastAsia" w:ascii="宋体" w:hAnsi="宋体" w:cs="宋体"/>
                <w:i w:val="0"/>
                <w:iCs w:val="0"/>
                <w:color w:val="auto"/>
                <w:kern w:val="0"/>
                <w:sz w:val="24"/>
                <w:szCs w:val="24"/>
                <w:highlight w:val="none"/>
                <w:u w:val="none"/>
                <w:lang w:val="en-US" w:eastAsia="zh-CN" w:bidi="ar"/>
              </w:rPr>
              <w:t>保线管承诺</w:t>
            </w:r>
            <w:r>
              <w:rPr>
                <w:rFonts w:hint="eastAsia" w:ascii="宋体" w:hAnsi="宋体" w:eastAsia="宋体" w:cs="宋体"/>
                <w:i w:val="0"/>
                <w:iCs w:val="0"/>
                <w:color w:val="auto"/>
                <w:kern w:val="0"/>
                <w:sz w:val="24"/>
                <w:szCs w:val="24"/>
                <w:highlight w:val="none"/>
                <w:u w:val="none"/>
                <w:lang w:val="en-US" w:eastAsia="zh-CN" w:bidi="ar"/>
              </w:rPr>
              <w:t>的得2.1-5.0分。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（3）供应商所承诺维保延长服务的较不详实、建议较不合理、</w:t>
            </w:r>
            <w:r>
              <w:rPr>
                <w:rFonts w:hint="eastAsia" w:ascii="宋体" w:hAnsi="宋体" w:cs="宋体"/>
                <w:i w:val="0"/>
                <w:iCs w:val="0"/>
                <w:color w:val="auto"/>
                <w:kern w:val="0"/>
                <w:sz w:val="24"/>
                <w:szCs w:val="24"/>
                <w:highlight w:val="none"/>
                <w:u w:val="none"/>
                <w:lang w:val="en-US" w:eastAsia="zh-CN" w:bidi="ar"/>
              </w:rPr>
              <w:t>具有保障力度不够</w:t>
            </w:r>
            <w:r>
              <w:rPr>
                <w:rFonts w:hint="eastAsia" w:ascii="宋体" w:hAnsi="宋体" w:eastAsia="宋体" w:cs="宋体"/>
                <w:i w:val="0"/>
                <w:iCs w:val="0"/>
                <w:color w:val="auto"/>
                <w:kern w:val="0"/>
                <w:sz w:val="24"/>
                <w:szCs w:val="24"/>
                <w:highlight w:val="none"/>
                <w:u w:val="none"/>
                <w:lang w:val="en-US" w:eastAsia="zh-CN" w:bidi="ar"/>
              </w:rPr>
              <w:t>的得0.1-2.0分。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未提供不得分。</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14:paraId="309C0C7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r>
      <w:tr w14:paraId="2B7C0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1" w:hRule="atLeast"/>
          <w:jc w:val="center"/>
        </w:trPr>
        <w:tc>
          <w:tcPr>
            <w:tcW w:w="1413" w:type="dxa"/>
            <w:tcBorders>
              <w:top w:val="single" w:color="000000" w:sz="4" w:space="0"/>
              <w:left w:val="single" w:color="000000" w:sz="4" w:space="0"/>
              <w:bottom w:val="single" w:color="000000" w:sz="4" w:space="0"/>
              <w:right w:val="single" w:color="000000" w:sz="4" w:space="0"/>
            </w:tcBorders>
            <w:noWrap w:val="0"/>
            <w:vAlign w:val="center"/>
          </w:tcPr>
          <w:p w14:paraId="1FE8B19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备品备件库情况</w:t>
            </w:r>
          </w:p>
          <w:p w14:paraId="1684967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（5分）</w:t>
            </w:r>
          </w:p>
        </w:tc>
        <w:tc>
          <w:tcPr>
            <w:tcW w:w="7034" w:type="dxa"/>
            <w:tcBorders>
              <w:top w:val="single" w:color="000000" w:sz="4" w:space="0"/>
              <w:left w:val="single" w:color="000000" w:sz="4" w:space="0"/>
              <w:bottom w:val="single" w:color="000000" w:sz="4" w:space="0"/>
              <w:right w:val="single" w:color="000000" w:sz="4" w:space="0"/>
            </w:tcBorders>
            <w:noWrap w:val="0"/>
            <w:vAlign w:val="center"/>
          </w:tcPr>
          <w:p w14:paraId="6987A7A0">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供应商应设有备品备件库</w:t>
            </w:r>
            <w:r>
              <w:rPr>
                <w:rFonts w:hint="eastAsia" w:ascii="宋体" w:hAnsi="宋体" w:cs="宋体"/>
                <w:i w:val="0"/>
                <w:iCs w:val="0"/>
                <w:color w:val="auto"/>
                <w:kern w:val="0"/>
                <w:sz w:val="24"/>
                <w:szCs w:val="24"/>
                <w:highlight w:val="none"/>
                <w:u w:val="none"/>
                <w:lang w:val="en-US" w:eastAsia="zh-CN" w:bidi="ar"/>
              </w:rPr>
              <w:t>（或承诺中标后15天内设立，在磋商响应文件中提供承诺书）</w:t>
            </w:r>
            <w:r>
              <w:rPr>
                <w:rFonts w:hint="eastAsia" w:ascii="宋体" w:hAnsi="宋体" w:eastAsia="宋体" w:cs="宋体"/>
                <w:i w:val="0"/>
                <w:iCs w:val="0"/>
                <w:color w:val="auto"/>
                <w:kern w:val="0"/>
                <w:sz w:val="24"/>
                <w:szCs w:val="24"/>
                <w:highlight w:val="none"/>
                <w:u w:val="none"/>
                <w:lang w:val="en-US" w:eastAsia="zh-CN" w:bidi="ar"/>
              </w:rPr>
              <w:t>根据供应商为本项目提供的维修用备品备件</w:t>
            </w:r>
            <w:r>
              <w:rPr>
                <w:rFonts w:hint="eastAsia" w:ascii="宋体" w:hAnsi="宋体" w:cs="宋体"/>
                <w:i w:val="0"/>
                <w:iCs w:val="0"/>
                <w:color w:val="auto"/>
                <w:kern w:val="0"/>
                <w:sz w:val="24"/>
                <w:szCs w:val="24"/>
                <w:highlight w:val="none"/>
                <w:u w:val="none"/>
                <w:lang w:val="en-US" w:eastAsia="zh-CN" w:bidi="ar"/>
              </w:rPr>
              <w:t>情况</w:t>
            </w:r>
            <w:r>
              <w:rPr>
                <w:rFonts w:hint="eastAsia" w:ascii="宋体" w:hAnsi="宋体" w:eastAsia="宋体" w:cs="宋体"/>
                <w:i w:val="0"/>
                <w:iCs w:val="0"/>
                <w:color w:val="auto"/>
                <w:kern w:val="0"/>
                <w:sz w:val="24"/>
                <w:szCs w:val="24"/>
                <w:highlight w:val="none"/>
                <w:u w:val="none"/>
                <w:lang w:val="en-US" w:eastAsia="zh-CN" w:bidi="ar"/>
              </w:rPr>
              <w:t>（主要包括显示器、电脑主机、打印机、复印机、扫描仪等应急备品备件），以及备品备件到达现场的响应时间进行综合评分：</w:t>
            </w:r>
          </w:p>
          <w:p w14:paraId="0884D326">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（1）备件库备件储备充实且承诺备品备件到达现场响应时间为2（含本数）小时以内的得3.1-5.0分；</w:t>
            </w:r>
          </w:p>
          <w:p w14:paraId="324B04C5">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（2）备件库备件较多且承诺备品备件到达现场响应时间为2（不含本数）-3（含本数）小时的得1.1-3.0分；</w:t>
            </w:r>
          </w:p>
          <w:p w14:paraId="10ACAC51">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（3）备件库有部分备件且承诺备品备件到达现场响应时间为3（不含本数）-4（含本数）小时的得0.1-1.0分；</w:t>
            </w:r>
          </w:p>
          <w:p w14:paraId="59159332">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（4）备品备件到达现场响应时间为4小时（不含本数）以上或备品备件库满足不了成交需求或响应时间不切合实际的均不得分。</w:t>
            </w:r>
          </w:p>
          <w:p w14:paraId="6AC6D47A">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未提供不得分。</w:t>
            </w:r>
          </w:p>
          <w:p w14:paraId="5F9AF342">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color w:val="auto"/>
                <w:kern w:val="2"/>
                <w:sz w:val="24"/>
                <w:szCs w:val="24"/>
                <w:highlight w:val="none"/>
                <w:lang w:val="en-US" w:eastAsia="zh-CN" w:bidi="ar-SA"/>
              </w:rPr>
              <w:t>注：供应商须提供备品备件库具体地址至</w:t>
            </w:r>
            <w:r>
              <w:rPr>
                <w:rFonts w:hint="eastAsia" w:ascii="宋体" w:hAnsi="宋体" w:cs="宋体"/>
                <w:b/>
                <w:bCs/>
                <w:color w:val="auto"/>
                <w:kern w:val="2"/>
                <w:sz w:val="24"/>
                <w:szCs w:val="24"/>
                <w:highlight w:val="none"/>
                <w:lang w:val="en-US" w:eastAsia="zh-CN" w:bidi="ar-SA"/>
              </w:rPr>
              <w:t>采购人</w:t>
            </w:r>
            <w:r>
              <w:rPr>
                <w:rFonts w:hint="eastAsia" w:ascii="宋体" w:hAnsi="宋体" w:eastAsia="宋体" w:cs="宋体"/>
                <w:b/>
                <w:bCs/>
                <w:color w:val="auto"/>
                <w:kern w:val="2"/>
                <w:sz w:val="24"/>
                <w:szCs w:val="24"/>
                <w:highlight w:val="none"/>
                <w:lang w:val="en-US" w:eastAsia="zh-CN" w:bidi="ar-SA"/>
              </w:rPr>
              <w:t>之间路线时间证明材料，如包含时间显示的电子地图截图复印件，未提供或缺项均不得分)。</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14:paraId="075C756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r>
      <w:tr w14:paraId="22BFC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1413" w:type="dxa"/>
            <w:tcBorders>
              <w:top w:val="single" w:color="000000" w:sz="4" w:space="0"/>
              <w:left w:val="single" w:color="000000" w:sz="4" w:space="0"/>
              <w:bottom w:val="single" w:color="000000" w:sz="4" w:space="0"/>
              <w:right w:val="single" w:color="000000" w:sz="4" w:space="0"/>
            </w:tcBorders>
            <w:noWrap w:val="0"/>
            <w:vAlign w:val="center"/>
          </w:tcPr>
          <w:p w14:paraId="20672C2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类似</w:t>
            </w:r>
            <w:r>
              <w:rPr>
                <w:rFonts w:hint="eastAsia" w:ascii="宋体" w:hAnsi="宋体" w:eastAsia="宋体" w:cs="宋体"/>
                <w:i w:val="0"/>
                <w:iCs w:val="0"/>
                <w:color w:val="auto"/>
                <w:kern w:val="0"/>
                <w:sz w:val="24"/>
                <w:szCs w:val="24"/>
                <w:highlight w:val="none"/>
                <w:u w:val="none"/>
                <w:lang w:val="en-US" w:eastAsia="zh-CN" w:bidi="ar"/>
              </w:rPr>
              <w:t>业绩</w:t>
            </w:r>
          </w:p>
          <w:p w14:paraId="79FBD2C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（2分）</w:t>
            </w:r>
          </w:p>
        </w:tc>
        <w:tc>
          <w:tcPr>
            <w:tcW w:w="7034" w:type="dxa"/>
            <w:tcBorders>
              <w:top w:val="single" w:color="000000" w:sz="4" w:space="0"/>
              <w:left w:val="single" w:color="000000" w:sz="4" w:space="0"/>
              <w:bottom w:val="single" w:color="000000" w:sz="4" w:space="0"/>
              <w:right w:val="single" w:color="000000" w:sz="4" w:space="0"/>
            </w:tcBorders>
            <w:noWrap w:val="0"/>
            <w:vAlign w:val="center"/>
          </w:tcPr>
          <w:p w14:paraId="3AADEDD5">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供应商自2022年5月1日以来</w:t>
            </w:r>
            <w:r>
              <w:rPr>
                <w:rFonts w:hint="eastAsia" w:ascii="宋体" w:hAnsi="宋体" w:eastAsia="宋体" w:cs="宋体"/>
                <w:b/>
                <w:bCs/>
                <w:i w:val="0"/>
                <w:iCs w:val="0"/>
                <w:color w:val="auto"/>
                <w:kern w:val="0"/>
                <w:sz w:val="24"/>
                <w:szCs w:val="24"/>
                <w:highlight w:val="none"/>
                <w:u w:val="none"/>
                <w:lang w:val="en-US" w:eastAsia="zh-CN" w:bidi="ar"/>
              </w:rPr>
              <w:t>（以合同签订时间为准）</w:t>
            </w:r>
            <w:r>
              <w:rPr>
                <w:rFonts w:hint="eastAsia" w:ascii="宋体" w:hAnsi="宋体" w:eastAsia="宋体" w:cs="宋体"/>
                <w:i w:val="0"/>
                <w:iCs w:val="0"/>
                <w:color w:val="auto"/>
                <w:kern w:val="0"/>
                <w:sz w:val="24"/>
                <w:szCs w:val="24"/>
                <w:highlight w:val="none"/>
                <w:u w:val="none"/>
                <w:lang w:val="en-US" w:eastAsia="zh-CN" w:bidi="ar"/>
              </w:rPr>
              <w:t>类似维保服务案例，每提供一份有效业绩得0.5分。相同用户业绩不重复计分，本项最多得2分。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注：</w:t>
            </w:r>
            <w:r>
              <w:rPr>
                <w:rFonts w:hint="eastAsia" w:ascii="宋体" w:hAnsi="宋体" w:cs="宋体"/>
                <w:b/>
                <w:bCs/>
                <w:i w:val="0"/>
                <w:iCs w:val="0"/>
                <w:color w:val="auto"/>
                <w:kern w:val="0"/>
                <w:sz w:val="24"/>
                <w:szCs w:val="24"/>
                <w:highlight w:val="none"/>
                <w:u w:val="none"/>
                <w:lang w:val="en-US" w:eastAsia="zh-CN" w:bidi="ar"/>
              </w:rPr>
              <w:t>在磋商响应文件中</w:t>
            </w:r>
            <w:r>
              <w:rPr>
                <w:rFonts w:hint="eastAsia" w:ascii="宋体" w:hAnsi="宋体" w:eastAsia="宋体" w:cs="宋体"/>
                <w:b/>
                <w:bCs/>
                <w:i w:val="0"/>
                <w:iCs w:val="0"/>
                <w:color w:val="auto"/>
                <w:kern w:val="0"/>
                <w:sz w:val="24"/>
                <w:szCs w:val="24"/>
                <w:highlight w:val="none"/>
                <w:u w:val="none"/>
                <w:lang w:val="en-US" w:eastAsia="zh-CN" w:bidi="ar"/>
              </w:rPr>
              <w:t>提供合同复印件，否则不得分。</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14:paraId="1F499AB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14:paraId="22F7E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9" w:hRule="atLeast"/>
          <w:jc w:val="center"/>
        </w:trPr>
        <w:tc>
          <w:tcPr>
            <w:tcW w:w="1413" w:type="dxa"/>
            <w:vMerge w:val="restart"/>
            <w:tcBorders>
              <w:top w:val="single" w:color="000000" w:sz="4" w:space="0"/>
              <w:left w:val="single" w:color="000000" w:sz="4" w:space="0"/>
              <w:bottom w:val="single" w:color="000000" w:sz="4" w:space="0"/>
              <w:right w:val="single" w:color="000000" w:sz="4" w:space="0"/>
            </w:tcBorders>
            <w:noWrap w:val="0"/>
            <w:vAlign w:val="center"/>
          </w:tcPr>
          <w:p w14:paraId="55FF323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项目团队实力</w:t>
            </w:r>
          </w:p>
          <w:p w14:paraId="6ADDC09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分）</w:t>
            </w:r>
          </w:p>
        </w:tc>
        <w:tc>
          <w:tcPr>
            <w:tcW w:w="7034" w:type="dxa"/>
            <w:tcBorders>
              <w:top w:val="single" w:color="000000" w:sz="4" w:space="0"/>
              <w:left w:val="single" w:color="000000" w:sz="4" w:space="0"/>
              <w:bottom w:val="single" w:color="000000" w:sz="4" w:space="0"/>
              <w:right w:val="single" w:color="000000" w:sz="4" w:space="0"/>
            </w:tcBorders>
            <w:noWrap w:val="0"/>
            <w:vAlign w:val="center"/>
          </w:tcPr>
          <w:p w14:paraId="15B3D58D">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1.供应商为本项目提供的项目负责人：</w:t>
            </w:r>
          </w:p>
          <w:p w14:paraId="235DB0C6">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具有</w:t>
            </w:r>
            <w:r>
              <w:rPr>
                <w:rFonts w:hint="eastAsia" w:ascii="宋体" w:hAnsi="宋体" w:eastAsia="宋体" w:cs="宋体"/>
                <w:i w:val="0"/>
                <w:iCs w:val="0"/>
                <w:color w:val="auto"/>
                <w:kern w:val="0"/>
                <w:sz w:val="24"/>
                <w:szCs w:val="24"/>
                <w:highlight w:val="none"/>
                <w:u w:val="single"/>
                <w:lang w:val="en-US" w:eastAsia="zh-CN" w:bidi="ar"/>
              </w:rPr>
              <w:t>信息系统集成及服务项目经理证书</w:t>
            </w:r>
            <w:r>
              <w:rPr>
                <w:rFonts w:hint="eastAsia" w:ascii="宋体" w:hAnsi="宋体" w:eastAsia="宋体" w:cs="宋体"/>
                <w:i w:val="0"/>
                <w:iCs w:val="0"/>
                <w:color w:val="auto"/>
                <w:kern w:val="0"/>
                <w:sz w:val="24"/>
                <w:szCs w:val="24"/>
                <w:highlight w:val="none"/>
                <w:u w:val="none"/>
                <w:lang w:val="en-US" w:eastAsia="zh-CN" w:bidi="ar"/>
              </w:rPr>
              <w:t>的得</w:t>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分；</w:t>
            </w:r>
          </w:p>
          <w:p w14:paraId="1D4D1889">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具有（国家有关部门认可的如人力资源和社会保障部、工业和信息化部颁发的）</w:t>
            </w:r>
            <w:r>
              <w:rPr>
                <w:rFonts w:hint="eastAsia" w:ascii="宋体" w:hAnsi="宋体" w:eastAsia="宋体" w:cs="宋体"/>
                <w:i w:val="0"/>
                <w:iCs w:val="0"/>
                <w:color w:val="auto"/>
                <w:kern w:val="0"/>
                <w:sz w:val="24"/>
                <w:szCs w:val="24"/>
                <w:highlight w:val="none"/>
                <w:u w:val="single"/>
                <w:lang w:val="en-US" w:eastAsia="zh-CN" w:bidi="ar"/>
              </w:rPr>
              <w:t>计算机技术与软件专业技术资格(水平)</w:t>
            </w:r>
            <w:r>
              <w:rPr>
                <w:rFonts w:hint="eastAsia" w:ascii="宋体" w:hAnsi="宋体" w:eastAsia="宋体" w:cs="宋体"/>
                <w:i w:val="0"/>
                <w:iCs w:val="0"/>
                <w:color w:val="auto"/>
                <w:kern w:val="0"/>
                <w:sz w:val="24"/>
                <w:szCs w:val="24"/>
                <w:highlight w:val="none"/>
                <w:u w:val="none"/>
                <w:lang w:val="en-US" w:eastAsia="zh-CN" w:bidi="ar"/>
              </w:rPr>
              <w:t>证书的得</w:t>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分；</w:t>
            </w:r>
          </w:p>
          <w:p w14:paraId="74FA5943">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本项</w:t>
            </w:r>
            <w:r>
              <w:rPr>
                <w:rFonts w:hint="eastAsia" w:ascii="宋体" w:hAnsi="宋体" w:cs="宋体"/>
                <w:i w:val="0"/>
                <w:iCs w:val="0"/>
                <w:color w:val="auto"/>
                <w:kern w:val="0"/>
                <w:sz w:val="24"/>
                <w:szCs w:val="24"/>
                <w:highlight w:val="none"/>
                <w:u w:val="none"/>
                <w:lang w:val="en-US" w:eastAsia="zh-CN" w:bidi="ar"/>
              </w:rPr>
              <w:t>共</w:t>
            </w:r>
            <w:r>
              <w:rPr>
                <w:rFonts w:hint="eastAsia" w:ascii="宋体" w:hAnsi="宋体" w:eastAsia="宋体" w:cs="宋体"/>
                <w:i w:val="0"/>
                <w:iCs w:val="0"/>
                <w:color w:val="auto"/>
                <w:kern w:val="0"/>
                <w:sz w:val="24"/>
                <w:szCs w:val="24"/>
                <w:highlight w:val="none"/>
                <w:u w:val="none"/>
                <w:lang w:val="en-US" w:eastAsia="zh-CN" w:bidi="ar"/>
              </w:rPr>
              <w:t>得</w:t>
            </w:r>
            <w:r>
              <w:rPr>
                <w:rFonts w:hint="eastAsia" w:ascii="宋体" w:hAnsi="宋体" w:eastAsia="宋体"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分。</w:t>
            </w:r>
          </w:p>
          <w:p w14:paraId="2485C770">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注：在磋商响应文件中提供相关人员证书复印件及社保部门出具的磋商截止时间前近一个月供应商为其缴纳社会保险的证明材料复印件并加盖供应商公章，不提供或提供不全的不得分</w:t>
            </w:r>
            <w:r>
              <w:rPr>
                <w:rFonts w:hint="eastAsia" w:ascii="宋体" w:hAnsi="宋体" w:cs="宋体"/>
                <w:b/>
                <w:bCs/>
                <w:i w:val="0"/>
                <w:iCs w:val="0"/>
                <w:color w:val="auto"/>
                <w:kern w:val="0"/>
                <w:sz w:val="24"/>
                <w:szCs w:val="24"/>
                <w:highlight w:val="none"/>
                <w:u w:val="none"/>
                <w:lang w:val="en-US" w:eastAsia="zh-CN" w:bidi="ar"/>
              </w:rPr>
              <w:t>。</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14:paraId="17FD300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4</w:t>
            </w:r>
          </w:p>
        </w:tc>
      </w:tr>
      <w:tr w14:paraId="3C5B6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006CB8">
            <w:pPr>
              <w:spacing w:line="360" w:lineRule="auto"/>
              <w:jc w:val="center"/>
              <w:rPr>
                <w:rFonts w:hint="eastAsia" w:ascii="宋体" w:hAnsi="宋体" w:eastAsia="宋体" w:cs="宋体"/>
                <w:i w:val="0"/>
                <w:iCs w:val="0"/>
                <w:color w:val="auto"/>
                <w:sz w:val="24"/>
                <w:szCs w:val="24"/>
                <w:highlight w:val="none"/>
                <w:u w:val="none"/>
              </w:rPr>
            </w:pPr>
          </w:p>
        </w:tc>
        <w:tc>
          <w:tcPr>
            <w:tcW w:w="7034" w:type="dxa"/>
            <w:tcBorders>
              <w:top w:val="single" w:color="000000" w:sz="4" w:space="0"/>
              <w:left w:val="single" w:color="000000" w:sz="4" w:space="0"/>
              <w:bottom w:val="single" w:color="auto" w:sz="4" w:space="0"/>
              <w:right w:val="single" w:color="000000" w:sz="4" w:space="0"/>
            </w:tcBorders>
            <w:noWrap w:val="0"/>
            <w:vAlign w:val="center"/>
          </w:tcPr>
          <w:p w14:paraId="3436896D">
            <w:pPr>
              <w:keepNext w:val="0"/>
              <w:keepLines w:val="0"/>
              <w:widowControl/>
              <w:numPr>
                <w:ilvl w:val="0"/>
                <w:numId w:val="0"/>
              </w:numPr>
              <w:suppressLineNumbers w:val="0"/>
              <w:spacing w:line="360" w:lineRule="auto"/>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拟派驻点人员（除项目负责人外）具</w:t>
            </w:r>
            <w:r>
              <w:rPr>
                <w:rFonts w:hint="eastAsia" w:ascii="宋体" w:hAnsi="宋体" w:cs="宋体"/>
                <w:i w:val="0"/>
                <w:iCs w:val="0"/>
                <w:color w:val="auto"/>
                <w:kern w:val="0"/>
                <w:sz w:val="24"/>
                <w:szCs w:val="24"/>
                <w:highlight w:val="none"/>
                <w:u w:val="none"/>
                <w:lang w:val="en-US" w:eastAsia="zh-CN" w:bidi="ar"/>
              </w:rPr>
              <w:t>有</w:t>
            </w:r>
            <w:r>
              <w:rPr>
                <w:rFonts w:hint="eastAsia" w:ascii="宋体" w:hAnsi="宋体" w:eastAsia="宋体" w:cs="宋体"/>
                <w:i w:val="0"/>
                <w:iCs w:val="0"/>
                <w:color w:val="auto"/>
                <w:kern w:val="0"/>
                <w:sz w:val="24"/>
                <w:szCs w:val="24"/>
                <w:highlight w:val="none"/>
                <w:u w:val="none"/>
                <w:lang w:val="en-US" w:eastAsia="zh-CN" w:bidi="ar"/>
              </w:rPr>
              <w:t>(国家有关部门认可的，如人力资源和社会保障部、工业和信息化部颁发的）计算机技术与软件专业技术资格(水平)证书，（工业和信息化部教育与考试中心等机构颁发的）中级及以上网络工程师等职业技能证书</w:t>
            </w:r>
            <w:r>
              <w:rPr>
                <w:rFonts w:hint="eastAsia" w:ascii="宋体" w:hAnsi="宋体" w:cs="宋体"/>
                <w:i w:val="0"/>
                <w:iCs w:val="0"/>
                <w:color w:val="auto"/>
                <w:kern w:val="0"/>
                <w:sz w:val="24"/>
                <w:szCs w:val="24"/>
                <w:highlight w:val="none"/>
                <w:u w:val="none"/>
                <w:lang w:val="en-US" w:eastAsia="zh-CN" w:bidi="ar"/>
              </w:rPr>
              <w:t>的，</w:t>
            </w:r>
            <w:r>
              <w:rPr>
                <w:rFonts w:hint="eastAsia" w:ascii="宋体" w:hAnsi="宋体" w:eastAsia="宋体" w:cs="宋体"/>
                <w:i w:val="0"/>
                <w:iCs w:val="0"/>
                <w:color w:val="auto"/>
                <w:kern w:val="0"/>
                <w:sz w:val="24"/>
                <w:szCs w:val="24"/>
                <w:highlight w:val="none"/>
                <w:u w:val="none"/>
                <w:lang w:val="en-US" w:eastAsia="zh-CN" w:bidi="ar"/>
              </w:rPr>
              <w:t>每个</w:t>
            </w:r>
            <w:r>
              <w:rPr>
                <w:rFonts w:hint="eastAsia" w:ascii="宋体" w:hAnsi="宋体" w:cs="宋体"/>
                <w:i w:val="0"/>
                <w:iCs w:val="0"/>
                <w:color w:val="auto"/>
                <w:kern w:val="0"/>
                <w:sz w:val="24"/>
                <w:szCs w:val="24"/>
                <w:highlight w:val="none"/>
                <w:u w:val="none"/>
                <w:lang w:val="en-US" w:eastAsia="zh-CN" w:bidi="ar"/>
              </w:rPr>
              <w:t>证书</w:t>
            </w:r>
            <w:r>
              <w:rPr>
                <w:rFonts w:hint="eastAsia" w:ascii="宋体" w:hAnsi="宋体" w:eastAsia="宋体" w:cs="宋体"/>
                <w:i w:val="0"/>
                <w:iCs w:val="0"/>
                <w:color w:val="auto"/>
                <w:kern w:val="0"/>
                <w:sz w:val="24"/>
                <w:szCs w:val="24"/>
                <w:highlight w:val="none"/>
                <w:u w:val="none"/>
                <w:lang w:val="en-US" w:eastAsia="zh-CN" w:bidi="ar"/>
              </w:rPr>
              <w:t>得2分，最高得</w:t>
            </w: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分。</w:t>
            </w:r>
          </w:p>
          <w:p w14:paraId="2F244EA6">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注：在磋商响应文件中提供相关人员证书复印件及社保部门出具的在磋商截止时间前近一个月供应商为其缴纳社会保险的证明材料复印件并加盖供应商公章，不提供或提供不全的不得分。一人多项资格或多人具有同一项资格的均按1分</w:t>
            </w:r>
            <w:r>
              <w:rPr>
                <w:rFonts w:hint="eastAsia" w:ascii="宋体" w:hAnsi="宋体" w:cs="宋体"/>
                <w:b/>
                <w:bCs/>
                <w:i w:val="0"/>
                <w:iCs w:val="0"/>
                <w:color w:val="auto"/>
                <w:kern w:val="0"/>
                <w:sz w:val="24"/>
                <w:szCs w:val="24"/>
                <w:highlight w:val="none"/>
                <w:u w:val="none"/>
                <w:lang w:val="en-US" w:eastAsia="zh-CN" w:bidi="ar"/>
              </w:rPr>
              <w:t>。</w:t>
            </w:r>
          </w:p>
        </w:tc>
        <w:tc>
          <w:tcPr>
            <w:tcW w:w="757" w:type="dxa"/>
            <w:tcBorders>
              <w:top w:val="single" w:color="000000" w:sz="4" w:space="0"/>
              <w:left w:val="single" w:color="000000" w:sz="4" w:space="0"/>
              <w:bottom w:val="single" w:color="auto" w:sz="4" w:space="0"/>
              <w:right w:val="single" w:color="000000" w:sz="4" w:space="0"/>
            </w:tcBorders>
            <w:noWrap w:val="0"/>
            <w:vAlign w:val="center"/>
          </w:tcPr>
          <w:p w14:paraId="38E5123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4</w:t>
            </w:r>
          </w:p>
        </w:tc>
      </w:tr>
      <w:tr w14:paraId="5A64F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jc w:val="center"/>
        </w:trPr>
        <w:tc>
          <w:tcPr>
            <w:tcW w:w="1413" w:type="dxa"/>
            <w:vMerge w:val="continue"/>
            <w:tcBorders>
              <w:left w:val="single" w:color="000000" w:sz="4" w:space="0"/>
              <w:bottom w:val="single" w:color="000000" w:sz="4" w:space="0"/>
              <w:right w:val="single" w:color="000000" w:sz="4" w:space="0"/>
            </w:tcBorders>
            <w:noWrap w:val="0"/>
            <w:vAlign w:val="center"/>
          </w:tcPr>
          <w:p w14:paraId="4C4CC2ED">
            <w:pPr>
              <w:spacing w:line="360" w:lineRule="auto"/>
              <w:jc w:val="center"/>
              <w:rPr>
                <w:rFonts w:hint="eastAsia" w:ascii="宋体" w:hAnsi="宋体" w:eastAsia="宋体" w:cs="宋体"/>
                <w:i w:val="0"/>
                <w:iCs w:val="0"/>
                <w:color w:val="auto"/>
                <w:sz w:val="24"/>
                <w:szCs w:val="24"/>
                <w:highlight w:val="none"/>
                <w:u w:val="none"/>
              </w:rPr>
            </w:pPr>
          </w:p>
        </w:tc>
        <w:tc>
          <w:tcPr>
            <w:tcW w:w="7034" w:type="dxa"/>
            <w:tcBorders>
              <w:top w:val="single" w:color="auto" w:sz="4" w:space="0"/>
              <w:left w:val="single" w:color="000000" w:sz="4" w:space="0"/>
              <w:bottom w:val="single" w:color="000000" w:sz="4" w:space="0"/>
              <w:right w:val="single" w:color="000000" w:sz="4" w:space="0"/>
            </w:tcBorders>
            <w:noWrap w:val="0"/>
            <w:vAlign w:val="center"/>
          </w:tcPr>
          <w:p w14:paraId="0346334B">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24"/>
                <w:szCs w:val="24"/>
                <w:highlight w:val="none"/>
                <w:u w:val="none"/>
                <w:lang w:val="en-US" w:eastAsia="zh-CN" w:bidi="ar"/>
              </w:rPr>
              <w:t>3.拟派驻点人员具</w:t>
            </w:r>
            <w:r>
              <w:rPr>
                <w:rFonts w:hint="eastAsia" w:ascii="宋体" w:hAnsi="宋体" w:cs="宋体"/>
                <w:i w:val="0"/>
                <w:iCs w:val="0"/>
                <w:color w:val="auto"/>
                <w:kern w:val="0"/>
                <w:sz w:val="24"/>
                <w:szCs w:val="24"/>
                <w:highlight w:val="none"/>
                <w:u w:val="none"/>
                <w:lang w:val="en-US" w:eastAsia="zh-CN" w:bidi="ar"/>
              </w:rPr>
              <w:t>有</w:t>
            </w:r>
            <w:r>
              <w:rPr>
                <w:rFonts w:hint="eastAsia" w:ascii="宋体" w:hAnsi="宋体" w:eastAsia="宋体" w:cs="宋体"/>
                <w:i w:val="0"/>
                <w:iCs w:val="0"/>
                <w:color w:val="auto"/>
                <w:kern w:val="0"/>
                <w:sz w:val="24"/>
                <w:szCs w:val="24"/>
                <w:highlight w:val="none"/>
                <w:u w:val="none"/>
                <w:lang w:val="en-US" w:eastAsia="zh-CN" w:bidi="ar"/>
              </w:rPr>
              <w:t>3年以上信息化办公维护经验</w:t>
            </w:r>
            <w:r>
              <w:rPr>
                <w:rFonts w:hint="eastAsia" w:ascii="宋体" w:hAnsi="宋体" w:cs="宋体"/>
                <w:i w:val="0"/>
                <w:iCs w:val="0"/>
                <w:color w:val="auto"/>
                <w:kern w:val="0"/>
                <w:sz w:val="24"/>
                <w:szCs w:val="24"/>
                <w:highlight w:val="none"/>
                <w:u w:val="none"/>
                <w:lang w:val="en-US" w:eastAsia="zh-CN" w:bidi="ar"/>
              </w:rPr>
              <w:t>的</w:t>
            </w:r>
            <w:r>
              <w:rPr>
                <w:rFonts w:hint="eastAsia" w:ascii="宋体" w:hAnsi="宋体" w:eastAsia="宋体" w:cs="宋体"/>
                <w:i w:val="0"/>
                <w:iCs w:val="0"/>
                <w:color w:val="auto"/>
                <w:kern w:val="0"/>
                <w:sz w:val="24"/>
                <w:szCs w:val="24"/>
                <w:highlight w:val="none"/>
                <w:u w:val="none"/>
                <w:lang w:val="en-US" w:eastAsia="zh-CN" w:bidi="ar"/>
              </w:rPr>
              <w:t>，每个</w:t>
            </w:r>
            <w:r>
              <w:rPr>
                <w:rFonts w:hint="eastAsia" w:ascii="宋体" w:hAnsi="宋体" w:cs="宋体"/>
                <w:i w:val="0"/>
                <w:iCs w:val="0"/>
                <w:color w:val="auto"/>
                <w:kern w:val="0"/>
                <w:sz w:val="24"/>
                <w:szCs w:val="24"/>
                <w:highlight w:val="none"/>
                <w:u w:val="none"/>
                <w:lang w:val="en-US" w:eastAsia="zh-CN" w:bidi="ar"/>
              </w:rPr>
              <w:t>人员</w:t>
            </w:r>
            <w:r>
              <w:rPr>
                <w:rFonts w:hint="eastAsia" w:ascii="宋体" w:hAnsi="宋体" w:eastAsia="宋体" w:cs="宋体"/>
                <w:i w:val="0"/>
                <w:iCs w:val="0"/>
                <w:color w:val="auto"/>
                <w:kern w:val="0"/>
                <w:sz w:val="24"/>
                <w:szCs w:val="24"/>
                <w:highlight w:val="none"/>
                <w:u w:val="none"/>
                <w:lang w:val="en-US" w:eastAsia="zh-CN" w:bidi="ar"/>
              </w:rPr>
              <w:t>得2分，最高得</w:t>
            </w:r>
            <w:r>
              <w:rPr>
                <w:rFonts w:hint="eastAsia" w:ascii="宋体" w:hAnsi="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分。</w:t>
            </w:r>
          </w:p>
          <w:p w14:paraId="6EF878B4">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color w:val="auto"/>
                <w:highlight w:val="none"/>
              </w:rPr>
            </w:pPr>
            <w:r>
              <w:rPr>
                <w:rFonts w:hint="eastAsia" w:ascii="宋体" w:hAnsi="宋体" w:cs="宋体"/>
                <w:b/>
                <w:bCs/>
                <w:i w:val="0"/>
                <w:iCs w:val="0"/>
                <w:color w:val="auto"/>
                <w:kern w:val="0"/>
                <w:sz w:val="24"/>
                <w:szCs w:val="24"/>
                <w:highlight w:val="none"/>
                <w:u w:val="none"/>
                <w:lang w:val="en-US" w:eastAsia="zh-CN" w:bidi="ar"/>
              </w:rPr>
              <w:t>注：</w:t>
            </w:r>
            <w:r>
              <w:rPr>
                <w:rFonts w:hint="eastAsia" w:ascii="宋体" w:hAnsi="宋体" w:eastAsia="宋体" w:cs="宋体"/>
                <w:b/>
                <w:bCs/>
                <w:i w:val="0"/>
                <w:iCs w:val="0"/>
                <w:color w:val="auto"/>
                <w:kern w:val="0"/>
                <w:sz w:val="24"/>
                <w:szCs w:val="24"/>
                <w:highlight w:val="none"/>
                <w:u w:val="none"/>
                <w:lang w:val="en-US" w:eastAsia="zh-CN" w:bidi="ar"/>
              </w:rPr>
              <w:t>在磋商响应文件中提供用户单位证明及社保部门出具的在磋商截止时间前近一个月供应商为其缴纳社会保险的证明材料复印件并加盖供应商公章，不提供或提供不全的不得分）</w:t>
            </w:r>
          </w:p>
        </w:tc>
        <w:tc>
          <w:tcPr>
            <w:tcW w:w="757" w:type="dxa"/>
            <w:tcBorders>
              <w:top w:val="single" w:color="auto" w:sz="4" w:space="0"/>
              <w:left w:val="single" w:color="000000" w:sz="4" w:space="0"/>
              <w:bottom w:val="single" w:color="000000" w:sz="4" w:space="0"/>
              <w:right w:val="single" w:color="000000" w:sz="4" w:space="0"/>
            </w:tcBorders>
            <w:noWrap w:val="0"/>
            <w:vAlign w:val="center"/>
          </w:tcPr>
          <w:p w14:paraId="3F3BDBF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w:t>
            </w:r>
          </w:p>
        </w:tc>
      </w:tr>
      <w:tr w14:paraId="564B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7" w:hRule="atLeast"/>
          <w:jc w:val="center"/>
        </w:trPr>
        <w:tc>
          <w:tcPr>
            <w:tcW w:w="1413" w:type="dxa"/>
            <w:tcBorders>
              <w:top w:val="single" w:color="000000" w:sz="4" w:space="0"/>
              <w:left w:val="single" w:color="000000" w:sz="4" w:space="0"/>
              <w:bottom w:val="single" w:color="000000" w:sz="4" w:space="0"/>
              <w:right w:val="single" w:color="000000" w:sz="4" w:space="0"/>
            </w:tcBorders>
            <w:noWrap w:val="0"/>
            <w:vAlign w:val="center"/>
          </w:tcPr>
          <w:p w14:paraId="5D7D085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维护工具配备</w:t>
            </w:r>
          </w:p>
          <w:p w14:paraId="085D8B3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分）</w:t>
            </w:r>
          </w:p>
        </w:tc>
        <w:tc>
          <w:tcPr>
            <w:tcW w:w="7034" w:type="dxa"/>
            <w:tcBorders>
              <w:top w:val="single" w:color="000000" w:sz="4" w:space="0"/>
              <w:left w:val="single" w:color="000000" w:sz="4" w:space="0"/>
              <w:bottom w:val="single" w:color="000000" w:sz="4" w:space="0"/>
              <w:right w:val="single" w:color="000000" w:sz="4" w:space="0"/>
            </w:tcBorders>
            <w:noWrap w:val="0"/>
            <w:vAlign w:val="center"/>
          </w:tcPr>
          <w:p w14:paraId="41340E74">
            <w:pPr>
              <w:keepNext w:val="0"/>
              <w:keepLines w:val="0"/>
              <w:widowControl/>
              <w:suppressLineNumbers w:val="0"/>
              <w:spacing w:line="360" w:lineRule="auto"/>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供应商给驻场维护人员配备必要的设备维修、保养、检测工具，根据配备的设备</w:t>
            </w:r>
            <w:r>
              <w:rPr>
                <w:rFonts w:hint="eastAsia" w:ascii="宋体" w:hAnsi="宋体" w:cs="宋体"/>
                <w:b/>
                <w:bCs/>
                <w:i w:val="0"/>
                <w:iCs w:val="0"/>
                <w:color w:val="auto"/>
                <w:kern w:val="0"/>
                <w:sz w:val="24"/>
                <w:szCs w:val="24"/>
                <w:highlight w:val="none"/>
                <w:u w:val="none"/>
                <w:lang w:val="en-US" w:eastAsia="zh-CN" w:bidi="ar"/>
              </w:rPr>
              <w:t>情况</w:t>
            </w:r>
            <w:r>
              <w:rPr>
                <w:rFonts w:hint="eastAsia" w:ascii="宋体" w:hAnsi="宋体" w:eastAsia="宋体" w:cs="宋体"/>
                <w:b/>
                <w:bCs/>
                <w:i w:val="0"/>
                <w:iCs w:val="0"/>
                <w:color w:val="auto"/>
                <w:kern w:val="0"/>
                <w:sz w:val="24"/>
                <w:szCs w:val="24"/>
                <w:highlight w:val="none"/>
                <w:u w:val="none"/>
                <w:lang w:val="en-US" w:eastAsia="zh-CN" w:bidi="ar"/>
              </w:rPr>
              <w:t>进行综合评分：</w:t>
            </w:r>
          </w:p>
          <w:p w14:paraId="67428B77">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（1）配备的设备种类齐全数量充足，类型完备的得4.1-6.0分；</w:t>
            </w:r>
          </w:p>
          <w:p w14:paraId="61893FDC">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（2）配备的设备种类基本完善且数量充足，类型较完备的得2.1-4.0分；</w:t>
            </w:r>
          </w:p>
          <w:p w14:paraId="738219FF">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（3）配备的设备种类不够齐全或数量不够充足，类型有待完备的得0.1-2.0分；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未提供不得分。</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14:paraId="6F99507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r>
      <w:tr w14:paraId="54E28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jc w:val="center"/>
        </w:trPr>
        <w:tc>
          <w:tcPr>
            <w:tcW w:w="1413" w:type="dxa"/>
            <w:tcBorders>
              <w:top w:val="single" w:color="000000" w:sz="4" w:space="0"/>
              <w:left w:val="single" w:color="000000" w:sz="4" w:space="0"/>
              <w:bottom w:val="single" w:color="000000" w:sz="4" w:space="0"/>
              <w:right w:val="single" w:color="000000" w:sz="4" w:space="0"/>
            </w:tcBorders>
            <w:noWrap w:val="0"/>
            <w:vAlign w:val="center"/>
          </w:tcPr>
          <w:p w14:paraId="4F8B287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报价得分</w:t>
            </w:r>
          </w:p>
          <w:p w14:paraId="46C2120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（20分）</w:t>
            </w:r>
          </w:p>
        </w:tc>
        <w:tc>
          <w:tcPr>
            <w:tcW w:w="7034" w:type="dxa"/>
            <w:tcBorders>
              <w:top w:val="single" w:color="000000" w:sz="4" w:space="0"/>
              <w:left w:val="single" w:color="000000" w:sz="4" w:space="0"/>
              <w:bottom w:val="single" w:color="000000" w:sz="4" w:space="0"/>
              <w:right w:val="single" w:color="000000" w:sz="4" w:space="0"/>
            </w:tcBorders>
            <w:noWrap w:val="0"/>
            <w:vAlign w:val="center"/>
          </w:tcPr>
          <w:p w14:paraId="0AD09884">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以合格供应商有效总报价中的最低价为基准价，基准价为20分。报价得分＝（评标基准价/最终响应报价）×20%×100（小数点后保留2位小数）。</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14:paraId="66AB550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r>
    </w:tbl>
    <w:p w14:paraId="650B707A">
      <w:pPr>
        <w:autoSpaceDE w:val="0"/>
        <w:autoSpaceDN w:val="0"/>
        <w:adjustRightInd w:val="0"/>
        <w:spacing w:line="360" w:lineRule="auto"/>
        <w:ind w:firstLine="723" w:firstLineChars="200"/>
        <w:jc w:val="left"/>
        <w:rPr>
          <w:rFonts w:hint="eastAsia" w:ascii="宋体" w:hAnsi="宋体" w:eastAsia="宋体" w:cs="宋体"/>
          <w:b/>
          <w:color w:val="auto"/>
          <w:sz w:val="36"/>
          <w:szCs w:val="36"/>
          <w:highlight w:val="none"/>
        </w:rPr>
      </w:pPr>
    </w:p>
    <w:p w14:paraId="3D537179">
      <w:pPr>
        <w:rPr>
          <w:rFonts w:hint="eastAsia" w:ascii="宋体" w:hAnsi="宋体" w:eastAsia="宋体" w:cs="宋体"/>
          <w:color w:val="auto"/>
          <w:highlight w:val="none"/>
        </w:rPr>
        <w:sectPr>
          <w:pgSz w:w="11906" w:h="16838"/>
          <w:pgMar w:top="1440" w:right="1800" w:bottom="1440" w:left="1800" w:header="851" w:footer="992" w:gutter="0"/>
          <w:cols w:space="720" w:num="1"/>
          <w:docGrid w:type="lines" w:linePitch="312" w:charSpace="0"/>
        </w:sectPr>
      </w:pPr>
    </w:p>
    <w:p w14:paraId="018F5C84">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第四章 采购需求</w:t>
      </w:r>
    </w:p>
    <w:p w14:paraId="0D468FBD">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磋商项目概况</w:t>
      </w:r>
    </w:p>
    <w:p w14:paraId="447ED0A3">
      <w:pPr>
        <w:tabs>
          <w:tab w:val="left" w:pos="8280"/>
        </w:tabs>
        <w:autoSpaceDE w:val="0"/>
        <w:autoSpaceDN w:val="0"/>
        <w:adjustRightIn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本次磋商共</w:t>
      </w:r>
      <w:r>
        <w:rPr>
          <w:rFonts w:hint="eastAsia" w:ascii="宋体" w:hAnsi="宋体" w:eastAsia="宋体" w:cs="宋体"/>
          <w:color w:val="auto"/>
          <w:sz w:val="24"/>
          <w:highlight w:val="none"/>
          <w:u w:val="single"/>
        </w:rPr>
        <w:t>1</w:t>
      </w:r>
      <w:r>
        <w:rPr>
          <w:rFonts w:hint="eastAsia" w:ascii="宋体" w:hAnsi="宋体" w:eastAsia="宋体" w:cs="宋体"/>
          <w:color w:val="auto"/>
          <w:sz w:val="24"/>
          <w:highlight w:val="none"/>
        </w:rPr>
        <w:t>个标段，具体内容如下表：</w:t>
      </w:r>
    </w:p>
    <w:tbl>
      <w:tblPr>
        <w:tblStyle w:val="38"/>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884"/>
        <w:gridCol w:w="1133"/>
        <w:gridCol w:w="600"/>
        <w:gridCol w:w="617"/>
        <w:gridCol w:w="1316"/>
        <w:gridCol w:w="1250"/>
        <w:gridCol w:w="1779"/>
      </w:tblGrid>
      <w:tr w14:paraId="42453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34" w:type="dxa"/>
            <w:noWrap w:val="0"/>
            <w:vAlign w:val="center"/>
          </w:tcPr>
          <w:p w14:paraId="187641D6">
            <w:pPr>
              <w:tabs>
                <w:tab w:val="left" w:pos="8280"/>
              </w:tabs>
              <w:autoSpaceDE w:val="0"/>
              <w:autoSpaceDN w:val="0"/>
              <w:adjustRightInd w:val="0"/>
              <w:spacing w:line="360" w:lineRule="auto"/>
              <w:ind w:right="25"/>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标段号</w:t>
            </w:r>
          </w:p>
        </w:tc>
        <w:tc>
          <w:tcPr>
            <w:tcW w:w="1884" w:type="dxa"/>
            <w:noWrap w:val="0"/>
            <w:vAlign w:val="center"/>
          </w:tcPr>
          <w:p w14:paraId="6F07F1B5">
            <w:pPr>
              <w:tabs>
                <w:tab w:val="left" w:pos="8280"/>
              </w:tabs>
              <w:autoSpaceDE w:val="0"/>
              <w:autoSpaceDN w:val="0"/>
              <w:adjustRightInd w:val="0"/>
              <w:spacing w:line="360" w:lineRule="auto"/>
              <w:ind w:right="25" w:firstLine="120" w:firstLineChars="5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标项内容</w:t>
            </w:r>
          </w:p>
        </w:tc>
        <w:tc>
          <w:tcPr>
            <w:tcW w:w="1133" w:type="dxa"/>
            <w:noWrap w:val="0"/>
            <w:vAlign w:val="center"/>
          </w:tcPr>
          <w:p w14:paraId="5187C743">
            <w:pPr>
              <w:tabs>
                <w:tab w:val="left" w:pos="8280"/>
              </w:tabs>
              <w:autoSpaceDE w:val="0"/>
              <w:autoSpaceDN w:val="0"/>
              <w:adjustRightInd w:val="0"/>
              <w:spacing w:line="360" w:lineRule="auto"/>
              <w:ind w:right="25"/>
              <w:jc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简要技术要求</w:t>
            </w:r>
          </w:p>
        </w:tc>
        <w:tc>
          <w:tcPr>
            <w:tcW w:w="600" w:type="dxa"/>
            <w:noWrap w:val="0"/>
            <w:vAlign w:val="center"/>
          </w:tcPr>
          <w:p w14:paraId="561042B2">
            <w:pPr>
              <w:tabs>
                <w:tab w:val="left" w:pos="8280"/>
              </w:tabs>
              <w:autoSpaceDE w:val="0"/>
              <w:autoSpaceDN w:val="0"/>
              <w:adjustRightInd w:val="0"/>
              <w:spacing w:line="360" w:lineRule="auto"/>
              <w:ind w:right="25"/>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617" w:type="dxa"/>
            <w:noWrap w:val="0"/>
            <w:vAlign w:val="center"/>
          </w:tcPr>
          <w:p w14:paraId="60D0ED20">
            <w:pPr>
              <w:tabs>
                <w:tab w:val="left" w:pos="8280"/>
              </w:tabs>
              <w:autoSpaceDE w:val="0"/>
              <w:autoSpaceDN w:val="0"/>
              <w:adjustRightInd w:val="0"/>
              <w:spacing w:line="360" w:lineRule="auto"/>
              <w:ind w:right="25"/>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单位</w:t>
            </w:r>
          </w:p>
        </w:tc>
        <w:tc>
          <w:tcPr>
            <w:tcW w:w="1316" w:type="dxa"/>
            <w:noWrap w:val="0"/>
            <w:vAlign w:val="center"/>
          </w:tcPr>
          <w:p w14:paraId="569B145C">
            <w:pPr>
              <w:tabs>
                <w:tab w:val="left" w:pos="8280"/>
              </w:tabs>
              <w:autoSpaceDE w:val="0"/>
              <w:autoSpaceDN w:val="0"/>
              <w:adjustRightInd w:val="0"/>
              <w:ind w:right="25"/>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预算</w:t>
            </w:r>
            <w:r>
              <w:rPr>
                <w:rFonts w:hint="eastAsia" w:ascii="宋体" w:hAnsi="宋体" w:eastAsia="宋体" w:cs="宋体"/>
                <w:b/>
                <w:color w:val="auto"/>
                <w:sz w:val="24"/>
                <w:highlight w:val="none"/>
                <w:lang w:val="en-US" w:eastAsia="zh-CN"/>
              </w:rPr>
              <w:t>金额</w:t>
            </w:r>
            <w:r>
              <w:rPr>
                <w:rFonts w:hint="eastAsia" w:ascii="宋体" w:hAnsi="宋体" w:eastAsia="宋体" w:cs="宋体"/>
                <w:b/>
                <w:color w:val="auto"/>
                <w:sz w:val="24"/>
                <w:highlight w:val="none"/>
              </w:rPr>
              <w:t>（万元）</w:t>
            </w:r>
          </w:p>
        </w:tc>
        <w:tc>
          <w:tcPr>
            <w:tcW w:w="1250" w:type="dxa"/>
            <w:noWrap w:val="0"/>
            <w:vAlign w:val="center"/>
          </w:tcPr>
          <w:p w14:paraId="73132364">
            <w:pPr>
              <w:tabs>
                <w:tab w:val="left" w:pos="8280"/>
              </w:tabs>
              <w:autoSpaceDE w:val="0"/>
              <w:autoSpaceDN w:val="0"/>
              <w:adjustRightInd w:val="0"/>
              <w:ind w:right="25"/>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最高限价（万元）</w:t>
            </w:r>
          </w:p>
        </w:tc>
        <w:tc>
          <w:tcPr>
            <w:tcW w:w="1779" w:type="dxa"/>
            <w:noWrap w:val="0"/>
            <w:vAlign w:val="center"/>
          </w:tcPr>
          <w:p w14:paraId="6E748B28">
            <w:pPr>
              <w:tabs>
                <w:tab w:val="left" w:pos="8280"/>
              </w:tabs>
              <w:autoSpaceDE w:val="0"/>
              <w:autoSpaceDN w:val="0"/>
              <w:adjustRightInd w:val="0"/>
              <w:spacing w:line="360" w:lineRule="auto"/>
              <w:ind w:right="25" w:firstLine="24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服务期</w:t>
            </w:r>
          </w:p>
        </w:tc>
      </w:tr>
      <w:tr w14:paraId="2B7B1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034" w:type="dxa"/>
            <w:noWrap w:val="0"/>
            <w:vAlign w:val="center"/>
          </w:tcPr>
          <w:p w14:paraId="52CFD18C">
            <w:pPr>
              <w:tabs>
                <w:tab w:val="left" w:pos="8280"/>
              </w:tabs>
              <w:autoSpaceDE w:val="0"/>
              <w:autoSpaceDN w:val="0"/>
              <w:adjustRightInd w:val="0"/>
              <w:spacing w:line="360" w:lineRule="auto"/>
              <w:ind w:right="2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84" w:type="dxa"/>
            <w:noWrap w:val="0"/>
            <w:vAlign w:val="center"/>
          </w:tcPr>
          <w:p w14:paraId="0B0C73EB">
            <w:pPr>
              <w:tabs>
                <w:tab w:val="left" w:pos="8280"/>
              </w:tabs>
              <w:autoSpaceDE w:val="0"/>
              <w:autoSpaceDN w:val="0"/>
              <w:adjustRightInd w:val="0"/>
              <w:spacing w:line="360" w:lineRule="auto"/>
              <w:ind w:right="25"/>
              <w:jc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eastAsia="zh-CN"/>
              </w:rPr>
              <w:t>台州市公安局信息化办公驻点维护项目</w:t>
            </w:r>
          </w:p>
        </w:tc>
        <w:tc>
          <w:tcPr>
            <w:tcW w:w="1133" w:type="dxa"/>
            <w:noWrap w:val="0"/>
            <w:vAlign w:val="center"/>
          </w:tcPr>
          <w:p w14:paraId="5BED9963">
            <w:pPr>
              <w:tabs>
                <w:tab w:val="left" w:pos="8280"/>
              </w:tabs>
              <w:autoSpaceDE w:val="0"/>
              <w:autoSpaceDN w:val="0"/>
              <w:adjustRightInd w:val="0"/>
              <w:spacing w:line="360" w:lineRule="auto"/>
              <w:ind w:right="2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需求</w:t>
            </w:r>
          </w:p>
        </w:tc>
        <w:tc>
          <w:tcPr>
            <w:tcW w:w="600" w:type="dxa"/>
            <w:noWrap w:val="0"/>
            <w:vAlign w:val="center"/>
          </w:tcPr>
          <w:p w14:paraId="6BD2E222">
            <w:pPr>
              <w:tabs>
                <w:tab w:val="left" w:pos="8280"/>
              </w:tabs>
              <w:autoSpaceDE w:val="0"/>
              <w:autoSpaceDN w:val="0"/>
              <w:adjustRightInd w:val="0"/>
              <w:spacing w:line="360" w:lineRule="auto"/>
              <w:ind w:right="2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617" w:type="dxa"/>
            <w:noWrap w:val="0"/>
            <w:vAlign w:val="center"/>
          </w:tcPr>
          <w:p w14:paraId="37B78399">
            <w:pPr>
              <w:tabs>
                <w:tab w:val="left" w:pos="8280"/>
              </w:tabs>
              <w:autoSpaceDE w:val="0"/>
              <w:autoSpaceDN w:val="0"/>
              <w:adjustRightInd w:val="0"/>
              <w:spacing w:line="360" w:lineRule="auto"/>
              <w:ind w:right="25"/>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项</w:t>
            </w:r>
          </w:p>
        </w:tc>
        <w:tc>
          <w:tcPr>
            <w:tcW w:w="1316" w:type="dxa"/>
            <w:noWrap w:val="0"/>
            <w:vAlign w:val="center"/>
          </w:tcPr>
          <w:p w14:paraId="3024953A">
            <w:pPr>
              <w:tabs>
                <w:tab w:val="left" w:pos="8280"/>
              </w:tabs>
              <w:autoSpaceDE w:val="0"/>
              <w:autoSpaceDN w:val="0"/>
              <w:adjustRightIn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36</w:t>
            </w:r>
          </w:p>
        </w:tc>
        <w:tc>
          <w:tcPr>
            <w:tcW w:w="1250" w:type="dxa"/>
            <w:noWrap w:val="0"/>
            <w:vAlign w:val="center"/>
          </w:tcPr>
          <w:p w14:paraId="49CE3817">
            <w:pPr>
              <w:tabs>
                <w:tab w:val="left" w:pos="8280"/>
              </w:tabs>
              <w:autoSpaceDE w:val="0"/>
              <w:autoSpaceDN w:val="0"/>
              <w:adjustRightIn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35.3</w:t>
            </w:r>
          </w:p>
        </w:tc>
        <w:tc>
          <w:tcPr>
            <w:tcW w:w="1779" w:type="dxa"/>
            <w:noWrap w:val="0"/>
            <w:vAlign w:val="center"/>
          </w:tcPr>
          <w:p w14:paraId="49DFD720">
            <w:pPr>
              <w:tabs>
                <w:tab w:val="left" w:pos="8280"/>
              </w:tabs>
              <w:autoSpaceDE w:val="0"/>
              <w:autoSpaceDN w:val="0"/>
              <w:adjustRightIn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合同签订后一年</w:t>
            </w:r>
          </w:p>
        </w:tc>
      </w:tr>
    </w:tbl>
    <w:p w14:paraId="6E4149A2">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hint="eastAsia" w:ascii="宋体" w:hAnsi="宋体" w:eastAsia="宋体" w:cs="宋体"/>
          <w:color w:val="auto"/>
          <w:highlight w:val="none"/>
          <w:lang w:val="en-US" w:eastAsia="zh-CN"/>
        </w:rPr>
      </w:pPr>
    </w:p>
    <w:p w14:paraId="4A5F0308">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技术参数要求</w:t>
      </w:r>
    </w:p>
    <w:p w14:paraId="5F466F45">
      <w:pPr>
        <w:keepNext w:val="0"/>
        <w:keepLines w:val="0"/>
        <w:pageBreakBefore w:val="0"/>
        <w:widowControl w:val="0"/>
        <w:kinsoku/>
        <w:wordWrap/>
        <w:overflowPunct/>
        <w:topLinePunct w:val="0"/>
        <w:autoSpaceDE/>
        <w:autoSpaceDN/>
        <w:bidi w:val="0"/>
        <w:adjustRightInd/>
        <w:snapToGrid w:val="0"/>
        <w:spacing w:line="360" w:lineRule="auto"/>
        <w:ind w:right="0" w:rightChars="0" w:firstLine="0" w:firstLineChars="0"/>
        <w:textAlignment w:val="auto"/>
        <w:outlineLvl w:val="0"/>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eastAsia="zh-CN"/>
        </w:rPr>
        <w:t>（</w:t>
      </w:r>
      <w:r>
        <w:rPr>
          <w:rFonts w:hint="eastAsia" w:ascii="宋体" w:hAnsi="宋体" w:eastAsia="宋体" w:cs="宋体"/>
          <w:b/>
          <w:bCs/>
          <w:color w:val="auto"/>
          <w:kern w:val="0"/>
          <w:sz w:val="28"/>
          <w:szCs w:val="28"/>
          <w:highlight w:val="none"/>
          <w:lang w:val="en-US" w:eastAsia="zh-CN"/>
        </w:rPr>
        <w:t>一）</w:t>
      </w:r>
      <w:r>
        <w:rPr>
          <w:rFonts w:hint="eastAsia" w:ascii="宋体" w:hAnsi="宋体" w:eastAsia="宋体" w:cs="宋体"/>
          <w:b/>
          <w:bCs/>
          <w:color w:val="auto"/>
          <w:kern w:val="0"/>
          <w:sz w:val="28"/>
          <w:szCs w:val="28"/>
          <w:highlight w:val="none"/>
        </w:rPr>
        <w:t>项目背景：</w:t>
      </w:r>
    </w:p>
    <w:p w14:paraId="7DB5B87D">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textAlignment w:val="auto"/>
        <w:outlineLvl w:val="0"/>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台州市公安局以及下辖市局机关、机场分局、警校、特警支队、考试服务中心、公共安全教育馆、出入境大厅，看守所，戒毒所等各类结构45个，办公场所80多处。其中涉及到的信息化办公设备种类繁多，主要有计算机（国产、非国产，便携式），打印机（彩色、黑色、喷墨、激光、针式、专用证件打印机），扫描仪（平板式、反馈式），传真机、复印机、网络交换机、路由器、显示器、及相关配件（、内存、硬盘、U盘、光驱、光盘等），触摸屏，二代证读卡，高拍仪，有线电话，数字电视，等办案、办公办证所需信息化设备。</w:t>
      </w:r>
    </w:p>
    <w:p w14:paraId="4A3FAAD4">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textAlignment w:val="auto"/>
        <w:outlineLvl w:val="0"/>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本次项目服务目标主要是台州市公安局以及下机场分局、警校、考试服务中心、公共安全教育馆，出入境大厅，看守所，戒毒所等部门45个，办公场所80余处的信息化设备维修保养。</w:t>
      </w:r>
    </w:p>
    <w:p w14:paraId="4E2A2C54">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textAlignment w:val="auto"/>
        <w:outlineLvl w:val="0"/>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为推进台州市公安局信息化工作、提升市局信息化应用管理水平、也为了保障和提高市局网络及各类设备终端的运行质量，市局希望将部分网络和设备终端的运行维护进行外包，以解决市局信息化服务方面日益增长的需要和信息化运行维护人员不足的矛盾。</w:t>
      </w:r>
    </w:p>
    <w:p w14:paraId="3C83088F">
      <w:pPr>
        <w:keepNext w:val="0"/>
        <w:keepLines w:val="0"/>
        <w:pageBreakBefore w:val="0"/>
        <w:widowControl w:val="0"/>
        <w:kinsoku/>
        <w:wordWrap/>
        <w:overflowPunct/>
        <w:topLinePunct w:val="0"/>
        <w:autoSpaceDE/>
        <w:autoSpaceDN/>
        <w:bidi w:val="0"/>
        <w:adjustRightInd/>
        <w:snapToGrid w:val="0"/>
        <w:spacing w:line="360" w:lineRule="auto"/>
        <w:ind w:right="0" w:rightChars="0" w:firstLine="0" w:firstLineChars="0"/>
        <w:textAlignment w:val="auto"/>
        <w:outlineLvl w:val="0"/>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（二）服务内容</w:t>
      </w:r>
      <w:r>
        <w:rPr>
          <w:rFonts w:hint="eastAsia" w:ascii="宋体" w:hAnsi="宋体" w:eastAsia="宋体" w:cs="宋体"/>
          <w:b/>
          <w:bCs/>
          <w:color w:val="auto"/>
          <w:kern w:val="0"/>
          <w:sz w:val="28"/>
          <w:szCs w:val="28"/>
          <w:highlight w:val="none"/>
        </w:rPr>
        <w:t>：</w:t>
      </w:r>
    </w:p>
    <w:p w14:paraId="38E848C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公安局信息化设备原则在设备所在地维修，确需返厂送修的，要严格履行报批制度，严防一机两用及泄密事件发生。</w:t>
      </w:r>
    </w:p>
    <w:p w14:paraId="50F2360F">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硬件类服务内容</w:t>
      </w:r>
    </w:p>
    <w:p w14:paraId="195A13A9">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负责市局及各下属单位的计算机、路由器、交换机、打印机、传真机、扫描仪、显示器、触控屏、二代证读卡器、高拍仪</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有线电话、数字电视</w:t>
      </w:r>
      <w:r>
        <w:rPr>
          <w:rFonts w:hint="eastAsia" w:ascii="宋体" w:hAnsi="宋体" w:eastAsia="宋体" w:cs="宋体"/>
          <w:color w:val="auto"/>
          <w:sz w:val="24"/>
          <w:highlight w:val="none"/>
        </w:rPr>
        <w:t>等设备以及各配线架、建筑内网络端口的巡检（每月至少一次）及日常维护。</w:t>
      </w:r>
    </w:p>
    <w:p w14:paraId="246683B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负责市局及各下属单位的监控相机、硬盘录像机、门禁、拾音器等安防设备的巡检（每月至少一次）和日常维护。</w:t>
      </w:r>
    </w:p>
    <w:p w14:paraId="090928B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负责市局政务网、公安网、互联网、视频专网的终端接入安装和维护。</w:t>
      </w:r>
    </w:p>
    <w:p w14:paraId="7E12F9C0">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承担各个会议室的投影、音箱、话筒的调试工作，保障各类会议的顺利进行。</w:t>
      </w:r>
    </w:p>
    <w:p w14:paraId="7ABEE77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配合警务保障处做好其他运维相关工作。</w:t>
      </w:r>
    </w:p>
    <w:p w14:paraId="4A4F987A">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软件类服务内容</w:t>
      </w:r>
    </w:p>
    <w:p w14:paraId="648D8BD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负责市局</w:t>
      </w:r>
      <w:r>
        <w:rPr>
          <w:rFonts w:hint="eastAsia" w:ascii="宋体" w:hAnsi="宋体" w:eastAsia="宋体" w:cs="宋体"/>
          <w:color w:val="auto"/>
          <w:sz w:val="24"/>
          <w:highlight w:val="none"/>
          <w:lang w:val="en-US" w:eastAsia="zh-CN"/>
        </w:rPr>
        <w:t>内网终端、一机两用客户端客户端安装调试等相关工作</w:t>
      </w:r>
      <w:r>
        <w:rPr>
          <w:rFonts w:hint="eastAsia" w:ascii="宋体" w:hAnsi="宋体" w:eastAsia="宋体" w:cs="宋体"/>
          <w:color w:val="auto"/>
          <w:sz w:val="24"/>
          <w:highlight w:val="none"/>
        </w:rPr>
        <w:t>。</w:t>
      </w:r>
    </w:p>
    <w:p w14:paraId="345EAED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配合市局相关部门做好软件适配、控制安装工作。</w:t>
      </w:r>
    </w:p>
    <w:p w14:paraId="262350F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配合警务保障处做好信息化台账等工作</w:t>
      </w:r>
      <w:r>
        <w:rPr>
          <w:rFonts w:hint="eastAsia" w:ascii="宋体" w:hAnsi="宋体" w:eastAsia="宋体" w:cs="宋体"/>
          <w:color w:val="auto"/>
          <w:sz w:val="24"/>
          <w:highlight w:val="none"/>
          <w:lang w:eastAsia="zh-CN"/>
        </w:rPr>
        <w:t>。</w:t>
      </w:r>
    </w:p>
    <w:p w14:paraId="4512B485">
      <w:pPr>
        <w:keepNext w:val="0"/>
        <w:keepLines w:val="0"/>
        <w:pageBreakBefore w:val="0"/>
        <w:widowControl w:val="0"/>
        <w:kinsoku/>
        <w:wordWrap/>
        <w:overflowPunct/>
        <w:topLinePunct w:val="0"/>
        <w:bidi w:val="0"/>
        <w:adjustRightInd w:val="0"/>
        <w:snapToGrid w:val="0"/>
        <w:spacing w:line="360" w:lineRule="auto"/>
        <w:ind w:right="0" w:rightChars="0" w:firstLine="0" w:firstLineChars="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rPr>
        <w:t>具体要求</w:t>
      </w:r>
    </w:p>
    <w:p w14:paraId="39F75780">
      <w:pPr>
        <w:keepNext w:val="0"/>
        <w:keepLines w:val="0"/>
        <w:pageBreakBefore w:val="0"/>
        <w:widowControl w:val="0"/>
        <w:kinsoku/>
        <w:wordWrap/>
        <w:overflowPunct/>
        <w:topLinePunct w:val="0"/>
        <w:bidi w:val="0"/>
        <w:adjustRightInd w:val="0"/>
        <w:snapToGrid w:val="0"/>
        <w:spacing w:line="360" w:lineRule="auto"/>
        <w:ind w:right="0" w:rightChars="0" w:firstLine="0" w:firstLineChars="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所需提供服务类型</w:t>
      </w:r>
    </w:p>
    <w:p w14:paraId="5CFF946E">
      <w:pPr>
        <w:keepNext w:val="0"/>
        <w:keepLines w:val="0"/>
        <w:pageBreakBefore w:val="0"/>
        <w:widowControl w:val="0"/>
        <w:kinsoku/>
        <w:wordWrap/>
        <w:overflowPunct/>
        <w:topLinePunct w:val="0"/>
        <w:bidi w:val="0"/>
        <w:adjustRightInd w:val="0"/>
        <w:snapToGrid w:val="0"/>
        <w:spacing w:line="360" w:lineRule="auto"/>
        <w:ind w:right="0" w:rightChars="0" w:firstLine="0" w:firstLineChars="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1.1</w:t>
      </w:r>
      <w:r>
        <w:rPr>
          <w:rFonts w:hint="eastAsia" w:ascii="宋体" w:hAnsi="宋体" w:eastAsia="宋体" w:cs="宋体"/>
          <w:b/>
          <w:bCs/>
          <w:color w:val="auto"/>
          <w:sz w:val="24"/>
          <w:highlight w:val="none"/>
        </w:rPr>
        <w:t>硬件终端维护</w:t>
      </w:r>
    </w:p>
    <w:p w14:paraId="4830D9A0">
      <w:pPr>
        <w:keepNext w:val="0"/>
        <w:keepLines w:val="0"/>
        <w:pageBreakBefore w:val="0"/>
        <w:widowControl w:val="0"/>
        <w:kinsoku/>
        <w:wordWrap/>
        <w:overflowPunct/>
        <w:topLinePunct w:val="0"/>
        <w:bidi w:val="0"/>
        <w:adjustRightInd w:val="0"/>
        <w:snapToGrid w:val="0"/>
        <w:spacing w:line="360" w:lineRule="auto"/>
        <w:ind w:right="0" w:rightChars="0" w:firstLine="0" w:firstLine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（1）服务范围</w:t>
      </w:r>
    </w:p>
    <w:p w14:paraId="37655FF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包括市局及各下属单位的网络交换机、台式电脑、笔记本电脑、硬盘录像机、监控探头、门禁、拾音器、扫描仪、打印机、触摸屏</w:t>
      </w:r>
      <w:r>
        <w:rPr>
          <w:rFonts w:hint="eastAsia" w:ascii="宋体" w:hAnsi="宋体" w:eastAsia="宋体" w:cs="宋体"/>
          <w:color w:val="auto"/>
          <w:sz w:val="24"/>
          <w:highlight w:val="none"/>
          <w:lang w:eastAsia="zh-CN"/>
        </w:rPr>
        <w:t>、</w:t>
      </w:r>
      <w:r>
        <w:rPr>
          <w:rFonts w:hint="eastAsia" w:ascii="宋体" w:hAnsi="宋体" w:eastAsia="宋体" w:cs="宋体"/>
          <w:color w:val="auto"/>
          <w:sz w:val="24"/>
          <w:szCs w:val="24"/>
          <w:highlight w:val="none"/>
        </w:rPr>
        <w:t>二代证读卡器、高拍仪</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有线电话、数字电视</w:t>
      </w:r>
      <w:r>
        <w:rPr>
          <w:rFonts w:hint="eastAsia" w:ascii="宋体" w:hAnsi="宋体" w:eastAsia="宋体" w:cs="宋体"/>
          <w:color w:val="auto"/>
          <w:sz w:val="24"/>
          <w:highlight w:val="none"/>
        </w:rPr>
        <w:t>以及客户端等所有硬件及常用的办公软件（包括操作系统软件、系统应用软件、系统管理软件、办公软件、工具软件、网络管理软件等）。</w:t>
      </w:r>
    </w:p>
    <w:p w14:paraId="4F58BE0A">
      <w:pPr>
        <w:keepNext w:val="0"/>
        <w:keepLines w:val="0"/>
        <w:pageBreakBefore w:val="0"/>
        <w:widowControl w:val="0"/>
        <w:kinsoku/>
        <w:wordWrap/>
        <w:overflowPunct/>
        <w:topLinePunct w:val="0"/>
        <w:bidi w:val="0"/>
        <w:adjustRightInd w:val="0"/>
        <w:snapToGrid w:val="0"/>
        <w:spacing w:line="360" w:lineRule="auto"/>
        <w:ind w:right="0" w:rightChars="0" w:firstLine="0" w:firstLine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（2）维护内容</w:t>
      </w:r>
    </w:p>
    <w:p w14:paraId="2556B59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1）安装、调试及升级操作系统；</w:t>
      </w:r>
    </w:p>
    <w:p w14:paraId="3E4A952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2）安装调试外设（打印机、扫描仪、复印机、传真机等设备）的相关驱动程序及软件，相关耗材的更换及维护；</w:t>
      </w:r>
    </w:p>
    <w:p w14:paraId="7E982BD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3）经采购人授权进行软件安装、升级并排除软件使用过程中的故障；</w:t>
      </w:r>
    </w:p>
    <w:p w14:paraId="20D74B9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4）解决软件冲突造成的系统故障；</w:t>
      </w:r>
    </w:p>
    <w:p w14:paraId="74C5FCE4">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5）检测和清除计算机病毒，防止病毒扩散；</w:t>
      </w:r>
    </w:p>
    <w:p w14:paraId="07F82C0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6）终端网络配置。</w:t>
      </w:r>
    </w:p>
    <w:p w14:paraId="65F3F13A">
      <w:pPr>
        <w:keepNext w:val="0"/>
        <w:keepLines w:val="0"/>
        <w:pageBreakBefore w:val="0"/>
        <w:widowControl w:val="0"/>
        <w:kinsoku/>
        <w:wordWrap/>
        <w:overflowPunct/>
        <w:topLinePunct w:val="0"/>
        <w:bidi w:val="0"/>
        <w:adjustRightInd w:val="0"/>
        <w:snapToGrid w:val="0"/>
        <w:spacing w:line="360" w:lineRule="auto"/>
        <w:ind w:right="0" w:rightChars="0" w:firstLine="0" w:firstLineChars="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1.2</w:t>
      </w:r>
      <w:r>
        <w:rPr>
          <w:rFonts w:hint="eastAsia" w:ascii="宋体" w:hAnsi="宋体" w:eastAsia="宋体" w:cs="宋体"/>
          <w:b/>
          <w:bCs/>
          <w:color w:val="auto"/>
          <w:sz w:val="24"/>
          <w:highlight w:val="none"/>
        </w:rPr>
        <w:t>硬件网络维护</w:t>
      </w:r>
    </w:p>
    <w:p w14:paraId="19233C63">
      <w:pPr>
        <w:keepNext w:val="0"/>
        <w:keepLines w:val="0"/>
        <w:pageBreakBefore w:val="0"/>
        <w:widowControl w:val="0"/>
        <w:kinsoku/>
        <w:wordWrap/>
        <w:overflowPunct/>
        <w:topLinePunct w:val="0"/>
        <w:bidi w:val="0"/>
        <w:adjustRightInd w:val="0"/>
        <w:snapToGrid w:val="0"/>
        <w:spacing w:line="360" w:lineRule="auto"/>
        <w:ind w:right="0" w:rightChars="0" w:firstLine="0" w:firstLine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（1）服务范围</w:t>
      </w:r>
    </w:p>
    <w:p w14:paraId="24A2362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负责维护市局及各下属单位的接入层交换机、汇聚层交换机、水平布线系统的维护（不含线缆重新铺设）。</w:t>
      </w:r>
    </w:p>
    <w:p w14:paraId="0E0481B5">
      <w:pPr>
        <w:keepNext w:val="0"/>
        <w:keepLines w:val="0"/>
        <w:pageBreakBefore w:val="0"/>
        <w:widowControl w:val="0"/>
        <w:kinsoku/>
        <w:wordWrap/>
        <w:overflowPunct/>
        <w:topLinePunct w:val="0"/>
        <w:bidi w:val="0"/>
        <w:adjustRightInd w:val="0"/>
        <w:snapToGrid w:val="0"/>
        <w:spacing w:line="360" w:lineRule="auto"/>
        <w:ind w:right="0" w:rightChars="0" w:firstLine="0" w:firstLine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（2）维护内容</w:t>
      </w:r>
    </w:p>
    <w:p w14:paraId="5424096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1）在响应时间内完成上述范围的网络故障的分析和修复，属于后台核心网络问题的及时通知市局相关人员；</w:t>
      </w:r>
    </w:p>
    <w:p w14:paraId="566109C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2）负责更换故障跳线、调测不稳定端口、优化网络配置和部署；</w:t>
      </w:r>
    </w:p>
    <w:p w14:paraId="4DD1CCD4">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3）定期检查网络健康状况，及时发现和协助解决存在的问题，形成网络维护配置管理手册。</w:t>
      </w:r>
    </w:p>
    <w:p w14:paraId="683E297A">
      <w:pPr>
        <w:keepNext w:val="0"/>
        <w:keepLines w:val="0"/>
        <w:pageBreakBefore w:val="0"/>
        <w:widowControl w:val="0"/>
        <w:kinsoku/>
        <w:wordWrap/>
        <w:overflowPunct/>
        <w:topLinePunct w:val="0"/>
        <w:bidi w:val="0"/>
        <w:adjustRightInd w:val="0"/>
        <w:snapToGrid w:val="0"/>
        <w:spacing w:line="360" w:lineRule="auto"/>
        <w:ind w:right="0" w:rightChars="0" w:firstLine="0" w:firstLineChars="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1.3</w:t>
      </w:r>
      <w:r>
        <w:rPr>
          <w:rFonts w:hint="eastAsia" w:ascii="宋体" w:hAnsi="宋体" w:eastAsia="宋体" w:cs="宋体"/>
          <w:b/>
          <w:bCs/>
          <w:color w:val="auto"/>
          <w:sz w:val="24"/>
          <w:highlight w:val="none"/>
        </w:rPr>
        <w:t>软件维护</w:t>
      </w:r>
    </w:p>
    <w:p w14:paraId="745D2438">
      <w:pPr>
        <w:keepNext w:val="0"/>
        <w:keepLines w:val="0"/>
        <w:pageBreakBefore w:val="0"/>
        <w:widowControl w:val="0"/>
        <w:kinsoku/>
        <w:wordWrap/>
        <w:overflowPunct/>
        <w:topLinePunct w:val="0"/>
        <w:bidi w:val="0"/>
        <w:adjustRightInd w:val="0"/>
        <w:snapToGrid w:val="0"/>
        <w:spacing w:line="360" w:lineRule="auto"/>
        <w:ind w:right="0" w:rightChars="0" w:firstLine="0" w:firstLine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（1）软件系统运维服务管理</w:t>
      </w:r>
    </w:p>
    <w:p w14:paraId="2FA09439">
      <w:pPr>
        <w:keepNext w:val="0"/>
        <w:keepLines w:val="0"/>
        <w:pageBreakBefore w:val="0"/>
        <w:widowControl w:val="0"/>
        <w:kinsoku/>
        <w:wordWrap/>
        <w:overflowPunct/>
        <w:topLinePunct w:val="0"/>
        <w:bidi w:val="0"/>
        <w:adjustRightInd w:val="0"/>
        <w:snapToGrid w:val="0"/>
        <w:spacing w:line="360" w:lineRule="auto"/>
        <w:ind w:right="0" w:rightChars="0" w:firstLine="240" w:firstLineChars="1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1）服务内容</w:t>
      </w:r>
    </w:p>
    <w:p w14:paraId="23E57350">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a.</w:t>
      </w:r>
      <w:r>
        <w:rPr>
          <w:rFonts w:hint="eastAsia" w:ascii="宋体" w:hAnsi="宋体" w:eastAsia="宋体" w:cs="宋体"/>
          <w:color w:val="auto"/>
          <w:sz w:val="24"/>
          <w:highlight w:val="none"/>
        </w:rPr>
        <w:t>完成对常用软件的日常维护工作，保障软件的正常使用、业务的正常开展；</w:t>
      </w:r>
    </w:p>
    <w:p w14:paraId="6087A0E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b.</w:t>
      </w:r>
      <w:r>
        <w:rPr>
          <w:rFonts w:hint="eastAsia" w:ascii="宋体" w:hAnsi="宋体" w:eastAsia="宋体" w:cs="宋体"/>
          <w:color w:val="auto"/>
          <w:sz w:val="24"/>
          <w:highlight w:val="none"/>
        </w:rPr>
        <w:t>对用户使用过程中提出的问题进行处理；</w:t>
      </w:r>
    </w:p>
    <w:p w14:paraId="51A3B4B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c.</w:t>
      </w:r>
      <w:r>
        <w:rPr>
          <w:rFonts w:hint="eastAsia" w:ascii="宋体" w:hAnsi="宋体" w:eastAsia="宋体" w:cs="宋体"/>
          <w:color w:val="auto"/>
          <w:sz w:val="24"/>
          <w:highlight w:val="none"/>
        </w:rPr>
        <w:t>对软件所涉及到的各项信息进行保密。</w:t>
      </w:r>
    </w:p>
    <w:p w14:paraId="1C61576B">
      <w:pPr>
        <w:keepNext w:val="0"/>
        <w:keepLines w:val="0"/>
        <w:pageBreakBefore w:val="0"/>
        <w:widowControl w:val="0"/>
        <w:kinsoku/>
        <w:wordWrap/>
        <w:overflowPunct/>
        <w:topLinePunct w:val="0"/>
        <w:bidi w:val="0"/>
        <w:adjustRightInd w:val="0"/>
        <w:snapToGrid w:val="0"/>
        <w:spacing w:line="360" w:lineRule="auto"/>
        <w:ind w:right="0" w:rightChars="0" w:firstLine="0" w:firstLineChars="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服务响应要求</w:t>
      </w:r>
    </w:p>
    <w:p w14:paraId="068B1D6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提供驻场式服务，达到100%的用户响应度。对于服务请求，在工作时间内1小时响应，一般问题4个小时内解决。维护服务用户满意度不低于95% 。</w:t>
      </w:r>
    </w:p>
    <w:p w14:paraId="023EB8E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提供5*8小时服务。8小时之外、双休日、节假日必须提供热线或电话支持服务，并安排人员值班，如有需要，须现场解决。</w:t>
      </w:r>
    </w:p>
    <w:p w14:paraId="7AB9490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所谓响应即为</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技术员接到用户报障赶往现场处理。</w:t>
      </w:r>
    </w:p>
    <w:p w14:paraId="0582F52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工作时间内，一般问题4小时内予以解决；</w:t>
      </w:r>
    </w:p>
    <w:p w14:paraId="3A4FBE5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市局下属单位的网络问题应在24小时内予以解决（房间面板到桌面部份，配合科信做好整体网络排障）。</w:t>
      </w:r>
    </w:p>
    <w:p w14:paraId="31E4ACA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特殊情况下，</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必须承诺增加技术人员，确保按时保质保量地维护好设备和系统的稳定正常运行。</w:t>
      </w:r>
    </w:p>
    <w:p w14:paraId="6569685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做好用户网络开通的登记及资料整理。</w:t>
      </w:r>
    </w:p>
    <w:p w14:paraId="3A1C9EA1">
      <w:pPr>
        <w:keepNext w:val="0"/>
        <w:keepLines w:val="0"/>
        <w:pageBreakBefore w:val="0"/>
        <w:widowControl w:val="0"/>
        <w:kinsoku/>
        <w:wordWrap/>
        <w:overflowPunct/>
        <w:topLinePunct w:val="0"/>
        <w:bidi w:val="0"/>
        <w:adjustRightInd w:val="0"/>
        <w:snapToGrid w:val="0"/>
        <w:spacing w:line="360" w:lineRule="auto"/>
        <w:ind w:right="0" w:rightChars="0" w:firstLine="0" w:firstLineChars="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项目组织和人员要求</w:t>
      </w:r>
    </w:p>
    <w:p w14:paraId="6C664468">
      <w:pPr>
        <w:keepNext w:val="0"/>
        <w:keepLines w:val="0"/>
        <w:pageBreakBefore w:val="0"/>
        <w:widowControl w:val="0"/>
        <w:kinsoku/>
        <w:wordWrap/>
        <w:overflowPunct/>
        <w:topLinePunct w:val="0"/>
        <w:bidi w:val="0"/>
        <w:adjustRightInd w:val="0"/>
        <w:snapToGrid w:val="0"/>
        <w:spacing w:line="360" w:lineRule="auto"/>
        <w:ind w:right="0" w:rightChars="0" w:firstLine="0" w:firstLineChars="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1人员要求</w:t>
      </w:r>
    </w:p>
    <w:p w14:paraId="5E11D4E9">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至少提供3名</w:t>
      </w:r>
      <w:r>
        <w:rPr>
          <w:rFonts w:hint="eastAsia" w:ascii="宋体" w:hAnsi="宋体" w:cs="宋体"/>
          <w:b/>
          <w:bCs/>
          <w:color w:val="auto"/>
          <w:sz w:val="24"/>
          <w:highlight w:val="none"/>
          <w:lang w:eastAsia="zh-CN"/>
        </w:rPr>
        <w:t>驻点人员</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shd w:val="clear" w:color="auto" w:fill="auto"/>
        </w:rPr>
        <w:t>要求派驻</w:t>
      </w:r>
      <w:r>
        <w:rPr>
          <w:rFonts w:hint="eastAsia" w:ascii="宋体" w:hAnsi="宋体" w:cs="宋体"/>
          <w:b/>
          <w:bCs/>
          <w:color w:val="auto"/>
          <w:sz w:val="24"/>
          <w:highlight w:val="none"/>
          <w:shd w:val="clear" w:color="auto" w:fill="auto"/>
          <w:lang w:eastAsia="zh-CN"/>
        </w:rPr>
        <w:t>驻点人员</w:t>
      </w:r>
      <w:r>
        <w:rPr>
          <w:rFonts w:hint="eastAsia" w:ascii="宋体" w:hAnsi="宋体" w:eastAsia="宋体" w:cs="宋体"/>
          <w:b/>
          <w:bCs/>
          <w:color w:val="auto"/>
          <w:sz w:val="24"/>
          <w:highlight w:val="none"/>
          <w:shd w:val="clear" w:color="auto" w:fill="auto"/>
        </w:rPr>
        <w:t>具备电脑网络打印复印维护经验，具备较强的故障处理能力</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驻点人员</w:t>
      </w:r>
      <w:r>
        <w:rPr>
          <w:rFonts w:hint="eastAsia" w:ascii="宋体" w:hAnsi="宋体" w:eastAsia="宋体" w:cs="宋体"/>
          <w:color w:val="auto"/>
          <w:sz w:val="24"/>
          <w:highlight w:val="none"/>
        </w:rPr>
        <w:t>不得频繁变更，原则上合同期内</w:t>
      </w:r>
      <w:r>
        <w:rPr>
          <w:rFonts w:hint="eastAsia" w:ascii="宋体" w:hAnsi="宋体" w:cs="宋体"/>
          <w:color w:val="auto"/>
          <w:sz w:val="24"/>
          <w:highlight w:val="none"/>
          <w:lang w:eastAsia="zh-CN"/>
        </w:rPr>
        <w:t>驻点人员</w:t>
      </w:r>
      <w:r>
        <w:rPr>
          <w:rFonts w:hint="eastAsia" w:ascii="宋体" w:hAnsi="宋体" w:eastAsia="宋体" w:cs="宋体"/>
          <w:color w:val="auto"/>
          <w:sz w:val="24"/>
          <w:highlight w:val="none"/>
        </w:rPr>
        <w:t>变更不得超过3人次。项目经理或项目主管具有一定的技术及管理知识和经验，能够熟练地与客户沟通，能够很好地</w:t>
      </w:r>
      <w:bookmarkStart w:id="2" w:name="_Toc150759811"/>
      <w:bookmarkStart w:id="3" w:name="_Toc89225331"/>
      <w:bookmarkStart w:id="4" w:name="_Toc150773080"/>
      <w:bookmarkStart w:id="5" w:name="_Toc152562450"/>
      <w:bookmarkStart w:id="6" w:name="_Toc150919395"/>
      <w:r>
        <w:rPr>
          <w:rFonts w:hint="eastAsia" w:ascii="宋体" w:hAnsi="宋体" w:eastAsia="宋体" w:cs="宋体"/>
          <w:color w:val="auto"/>
          <w:sz w:val="24"/>
          <w:highlight w:val="none"/>
        </w:rPr>
        <w:t>执行维护服务任务，并能根据一些特殊的情况，具有一定权力适当增加维修人员，接受市局的统一管理。</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必须提供人员管理及配备方案，并确保其人员的稳定性，如有变更，必须经市局同意并签字确认，原则上替换人员的技术水平不得低于调出人员。如果投标价明显低于市场成本的应作出书面说明并提供个人实际每月养老缴费基数证明和纳税证明，否则视为无效报价。</w:t>
      </w:r>
    </w:p>
    <w:bookmarkEnd w:id="2"/>
    <w:bookmarkEnd w:id="3"/>
    <w:bookmarkEnd w:id="4"/>
    <w:bookmarkEnd w:id="5"/>
    <w:bookmarkEnd w:id="6"/>
    <w:p w14:paraId="291E4236">
      <w:pPr>
        <w:keepNext w:val="0"/>
        <w:keepLines w:val="0"/>
        <w:pageBreakBefore w:val="0"/>
        <w:widowControl w:val="0"/>
        <w:kinsoku/>
        <w:wordWrap/>
        <w:overflowPunct/>
        <w:topLinePunct w:val="0"/>
        <w:bidi w:val="0"/>
        <w:spacing w:line="360" w:lineRule="auto"/>
        <w:ind w:right="0" w:rightChars="0" w:firstLine="0" w:firstLineChars="0"/>
        <w:textAlignment w:val="auto"/>
        <w:rPr>
          <w:rFonts w:hint="eastAsia" w:ascii="宋体" w:hAnsi="宋体" w:eastAsia="宋体" w:cs="宋体"/>
          <w:b/>
          <w:bCs/>
          <w:color w:val="auto"/>
          <w:sz w:val="24"/>
          <w:highlight w:val="none"/>
        </w:rPr>
      </w:pPr>
      <w:bookmarkStart w:id="7" w:name="_Toc184536799"/>
      <w:bookmarkStart w:id="8" w:name="_Toc184456419"/>
      <w:bookmarkStart w:id="9" w:name="_Toc150759813"/>
      <w:bookmarkStart w:id="10" w:name="_Toc184453105"/>
      <w:bookmarkStart w:id="11" w:name="_Toc152562452"/>
      <w:bookmarkStart w:id="12" w:name="_Toc186267133"/>
      <w:bookmarkStart w:id="13" w:name="_Toc172025191"/>
      <w:bookmarkStart w:id="14" w:name="_Ref184444976"/>
      <w:bookmarkStart w:id="15" w:name="_Toc150773082"/>
      <w:bookmarkStart w:id="16" w:name="_Toc150919397"/>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2项目文档要求</w:t>
      </w:r>
      <w:bookmarkEnd w:id="7"/>
      <w:bookmarkEnd w:id="8"/>
      <w:bookmarkEnd w:id="9"/>
      <w:bookmarkEnd w:id="10"/>
      <w:bookmarkEnd w:id="11"/>
      <w:bookmarkEnd w:id="12"/>
      <w:bookmarkEnd w:id="13"/>
      <w:bookmarkEnd w:id="14"/>
      <w:bookmarkEnd w:id="15"/>
      <w:bookmarkEnd w:id="16"/>
    </w:p>
    <w:p w14:paraId="6C026D96">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highlight w:val="none"/>
        </w:rPr>
      </w:pPr>
      <w:bookmarkStart w:id="17" w:name="_Toc150773084"/>
      <w:bookmarkStart w:id="18" w:name="_Toc150919399"/>
      <w:bookmarkStart w:id="19" w:name="_Toc152562454"/>
      <w:bookmarkStart w:id="20" w:name="_Toc150759815"/>
      <w:bookmarkStart w:id="21" w:name="_Toc89225335"/>
      <w:r>
        <w:rPr>
          <w:rFonts w:hint="eastAsia" w:ascii="宋体" w:hAnsi="宋体" w:eastAsia="宋体" w:cs="宋体"/>
          <w:color w:val="auto"/>
          <w:sz w:val="24"/>
          <w:highlight w:val="none"/>
        </w:rPr>
        <w:t>（1）对于每一个维护的任务，必须做相应的记录。</w:t>
      </w:r>
    </w:p>
    <w:p w14:paraId="5B4EDB2B">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（2）系统维护应严格遵照相关维护的规范进行。</w:t>
      </w:r>
    </w:p>
    <w:p w14:paraId="2D39E7B6">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应提供市局认为必要的文档。</w:t>
      </w:r>
    </w:p>
    <w:bookmarkEnd w:id="17"/>
    <w:bookmarkEnd w:id="18"/>
    <w:bookmarkEnd w:id="19"/>
    <w:bookmarkEnd w:id="20"/>
    <w:bookmarkEnd w:id="21"/>
    <w:p w14:paraId="13AA5F9C">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本项目所有文档最终必须向业主提供纸质文档和电子文档。</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必须设置专人在项目建设期间对文档进行检查和管理，并随时供市局查阅，项目最终验收后全部移交市局。</w:t>
      </w:r>
    </w:p>
    <w:p w14:paraId="4D596DF2">
      <w:pPr>
        <w:keepNext w:val="0"/>
        <w:keepLines w:val="0"/>
        <w:pageBreakBefore w:val="0"/>
        <w:widowControl w:val="0"/>
        <w:kinsoku/>
        <w:wordWrap/>
        <w:overflowPunct/>
        <w:topLinePunct w:val="0"/>
        <w:bidi w:val="0"/>
        <w:spacing w:line="360" w:lineRule="auto"/>
        <w:ind w:right="0" w:rightChars="0" w:firstLine="0" w:firstLineChars="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3运维资源管理</w:t>
      </w:r>
    </w:p>
    <w:p w14:paraId="773085EF">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（1）要求制订硬件维修保养操作标准规程，并对具体技术人员进行相应培训和训练，使之达到快速响应、规范操作、保质保量、专业准确的能力要求。</w:t>
      </w:r>
    </w:p>
    <w:p w14:paraId="79D316DE">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（2）定期汇总编制运维月报、年报。</w:t>
      </w:r>
    </w:p>
    <w:p w14:paraId="4D1AC3EC">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（3）管理维护好运维场地、设备、工具等资源。 </w:t>
      </w:r>
    </w:p>
    <w:p w14:paraId="1BC93962">
      <w:pPr>
        <w:keepNext w:val="0"/>
        <w:keepLines w:val="0"/>
        <w:pageBreakBefore w:val="0"/>
        <w:widowControl w:val="0"/>
        <w:kinsoku/>
        <w:wordWrap/>
        <w:overflowPunct/>
        <w:topLinePunct w:val="0"/>
        <w:bidi w:val="0"/>
        <w:spacing w:line="360" w:lineRule="auto"/>
        <w:ind w:right="0" w:rightChars="0" w:firstLine="0" w:firstLineChars="0"/>
        <w:textAlignment w:val="auto"/>
        <w:rPr>
          <w:rFonts w:hint="eastAsia" w:ascii="宋体" w:hAnsi="宋体" w:eastAsia="宋体" w:cs="宋体"/>
          <w:b/>
          <w:bCs/>
          <w:color w:val="auto"/>
          <w:sz w:val="24"/>
          <w:highlight w:val="none"/>
        </w:rPr>
      </w:pPr>
      <w:bookmarkStart w:id="22" w:name="_Toc237763152"/>
      <w:bookmarkStart w:id="23" w:name="_Toc176761567"/>
      <w:bookmarkStart w:id="24" w:name="_Toc229545369"/>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4服务管理</w:t>
      </w:r>
      <w:bookmarkEnd w:id="22"/>
      <w:bookmarkEnd w:id="23"/>
      <w:bookmarkEnd w:id="24"/>
    </w:p>
    <w:p w14:paraId="0311F288">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（1）要求建立服务管理，提供优质、专业的报障受理、跟进服务；</w:t>
      </w:r>
    </w:p>
    <w:p w14:paraId="14EBB13A">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（2）跟踪处理进度，确保服务时效；</w:t>
      </w:r>
    </w:p>
    <w:p w14:paraId="18ABBCCF">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（3）及时进行用户回访，调查用户满意度；</w:t>
      </w:r>
    </w:p>
    <w:p w14:paraId="51A2DBF1">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（4）对于用户的一般性服务需求进行分析处理，如无法解决，按照运维管理规范予以处理</w:t>
      </w:r>
      <w:r>
        <w:rPr>
          <w:rFonts w:hint="eastAsia" w:ascii="宋体" w:hAnsi="宋体" w:eastAsia="宋体" w:cs="宋体"/>
          <w:color w:val="auto"/>
          <w:sz w:val="24"/>
          <w:highlight w:val="none"/>
          <w:lang w:eastAsia="zh-CN"/>
        </w:rPr>
        <w:t>。</w:t>
      </w:r>
    </w:p>
    <w:p w14:paraId="3D4956AF">
      <w:pPr>
        <w:keepNext w:val="0"/>
        <w:keepLines w:val="0"/>
        <w:pageBreakBefore w:val="0"/>
        <w:widowControl w:val="0"/>
        <w:kinsoku/>
        <w:wordWrap/>
        <w:overflowPunct/>
        <w:topLinePunct w:val="0"/>
        <w:bidi w:val="0"/>
        <w:spacing w:line="360" w:lineRule="auto"/>
        <w:ind w:right="0" w:rightChars="0" w:firstLine="0" w:firstLineChars="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3.5</w:t>
      </w:r>
      <w:r>
        <w:rPr>
          <w:rFonts w:hint="eastAsia" w:ascii="宋体" w:hAnsi="宋体" w:eastAsia="宋体" w:cs="宋体"/>
          <w:b/>
          <w:bCs/>
          <w:color w:val="auto"/>
          <w:sz w:val="24"/>
          <w:highlight w:val="none"/>
        </w:rPr>
        <w:t>有关说明及要求</w:t>
      </w:r>
    </w:p>
    <w:p w14:paraId="1CFBBF81">
      <w:pPr>
        <w:keepNext w:val="0"/>
        <w:keepLines w:val="0"/>
        <w:pageBreakBefore w:val="0"/>
        <w:widowControl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color w:val="auto"/>
          <w:sz w:val="24"/>
          <w:highlight w:val="none"/>
        </w:rPr>
        <w:t>（1）维护人员日常使用的互联网电脑由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自行配备，并接受警保部门的管理，同时原则上不提供公安网电脑，确因需要使用公安网电脑的，必须报警保部门审批。合同签订后，所承诺的办公/维修设备必须全部配备到位。</w:t>
      </w:r>
    </w:p>
    <w:p w14:paraId="14114449">
      <w:pPr>
        <w:keepNext w:val="0"/>
        <w:keepLines w:val="0"/>
        <w:pageBreakBefore w:val="0"/>
        <w:widowControl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维护设备配备：供应商必须给3名驻场维护人员至少配备3套以上的必要的设备维修、保养、检测工具，且每满一服务年度对设备维修、保养、检测工具进行补充和更换。合同签订后，所承诺的设备维修、保养、检测工具必须全部配备到位。</w:t>
      </w:r>
    </w:p>
    <w:p w14:paraId="02FEE155">
      <w:pPr>
        <w:keepNext w:val="0"/>
        <w:keepLines w:val="0"/>
        <w:pageBreakBefore w:val="0"/>
        <w:widowControl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（3）交通费用：</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需配备必要的交通工具以便维护人员前往市局下属单位进行巡检/维护。</w:t>
      </w:r>
    </w:p>
    <w:p w14:paraId="272BC75F">
      <w:pPr>
        <w:keepNext w:val="0"/>
        <w:keepLines w:val="0"/>
        <w:pageBreakBefore w:val="0"/>
        <w:widowControl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（4）故障配件费用：维护人员对设备故障进行检测判断，判断为硬件故障</w:t>
      </w:r>
      <w:r>
        <w:rPr>
          <w:rFonts w:hint="eastAsia" w:ascii="宋体" w:hAnsi="宋体" w:eastAsia="宋体" w:cs="宋体"/>
          <w:color w:val="auto"/>
          <w:sz w:val="24"/>
          <w:highlight w:val="none"/>
          <w:lang w:val="en-US" w:eastAsia="zh-CN"/>
        </w:rPr>
        <w:t>需更换</w:t>
      </w:r>
      <w:r>
        <w:rPr>
          <w:rFonts w:hint="eastAsia" w:ascii="宋体" w:hAnsi="宋体" w:eastAsia="宋体" w:cs="宋体"/>
          <w:color w:val="auto"/>
          <w:sz w:val="24"/>
          <w:highlight w:val="none"/>
        </w:rPr>
        <w:t>的，价格不得高于市场价（具体可参考京东官网）上报给故障设备使用人，由设备使用人上报给相关上级部门，同意后才可进行零配件更换。产生的更换费用每月按实结算。更换下来的配件不许带离现场，交由使用人自行处理。</w:t>
      </w:r>
    </w:p>
    <w:p w14:paraId="57120BC2">
      <w:pPr>
        <w:pStyle w:val="2"/>
        <w:keepNext w:val="0"/>
        <w:keepLines w:val="0"/>
        <w:pageBreakBefore w:val="0"/>
        <w:widowControl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（5）备品备件：</w:t>
      </w:r>
      <w:r>
        <w:rPr>
          <w:rFonts w:hint="eastAsia" w:ascii="宋体" w:hAnsi="宋体" w:eastAsia="宋体" w:cs="宋体"/>
          <w:color w:val="auto"/>
          <w:kern w:val="2"/>
          <w:szCs w:val="24"/>
          <w:highlight w:val="none"/>
          <w:lang w:eastAsia="zh-CN"/>
        </w:rPr>
        <w:t>供应商</w:t>
      </w:r>
      <w:r>
        <w:rPr>
          <w:rFonts w:hint="eastAsia" w:ascii="宋体" w:hAnsi="宋体" w:eastAsia="宋体" w:cs="宋体"/>
          <w:color w:val="auto"/>
          <w:kern w:val="2"/>
          <w:szCs w:val="24"/>
          <w:highlight w:val="none"/>
        </w:rPr>
        <w:t>承诺提供备品备件的，根据清单在下达中标通知书后7日内将备品备件存放至市局制定地点。</w:t>
      </w:r>
    </w:p>
    <w:p w14:paraId="79832E8C">
      <w:pPr>
        <w:keepNext w:val="0"/>
        <w:keepLines w:val="0"/>
        <w:pageBreakBefore w:val="0"/>
        <w:widowControl w:val="0"/>
        <w:kinsoku/>
        <w:wordWrap/>
        <w:overflowPunct/>
        <w:topLinePunct w:val="0"/>
        <w:bidi w:val="0"/>
        <w:spacing w:line="360" w:lineRule="auto"/>
        <w:ind w:right="0" w:rightChars="0" w:firstLine="0" w:firstLineChars="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3.6</w:t>
      </w:r>
      <w:r>
        <w:rPr>
          <w:rFonts w:hint="eastAsia" w:ascii="宋体" w:hAnsi="宋体" w:eastAsia="宋体" w:cs="宋体"/>
          <w:b/>
          <w:bCs/>
          <w:color w:val="auto"/>
          <w:sz w:val="24"/>
          <w:highlight w:val="none"/>
        </w:rPr>
        <w:t xml:space="preserve">供应商应提供相应的服务质量保障承诺文件，且必须对以下问题提出解决方案和承诺： </w:t>
      </w:r>
    </w:p>
    <w:p w14:paraId="43E171C0">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（1）电脑硬盘、移动硬盘、U盘等公安相关数据泄密的罚则；</w:t>
      </w:r>
    </w:p>
    <w:p w14:paraId="4B90BF7D">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（2）对故障判断错误的罚则；</w:t>
      </w:r>
    </w:p>
    <w:p w14:paraId="663CA193">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（3）月度累计有效投诉次数及罚则；</w:t>
      </w:r>
    </w:p>
    <w:p w14:paraId="3354E008">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（4）服务响应度、故障解决率、用户满意度的罚则；</w:t>
      </w:r>
    </w:p>
    <w:p w14:paraId="00E0778D">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w:t>
      </w:r>
      <w:r>
        <w:rPr>
          <w:rFonts w:hint="eastAsia" w:ascii="宋体" w:hAnsi="宋体" w:cs="宋体"/>
          <w:b/>
          <w:bCs/>
          <w:color w:val="auto"/>
          <w:sz w:val="24"/>
          <w:highlight w:val="none"/>
          <w:lang w:eastAsia="zh-CN"/>
        </w:rPr>
        <w:t>驻点人员</w:t>
      </w:r>
      <w:r>
        <w:rPr>
          <w:rFonts w:hint="eastAsia" w:ascii="宋体" w:hAnsi="宋体" w:eastAsia="宋体" w:cs="宋体"/>
          <w:b/>
          <w:bCs/>
          <w:color w:val="auto"/>
          <w:sz w:val="24"/>
          <w:highlight w:val="none"/>
        </w:rPr>
        <w:t>违反市局相关管理规定的罚则。</w:t>
      </w:r>
    </w:p>
    <w:p w14:paraId="304D23A3">
      <w:pPr>
        <w:keepNext w:val="0"/>
        <w:keepLines w:val="0"/>
        <w:pageBreakBefore w:val="0"/>
        <w:widowControl w:val="0"/>
        <w:kinsoku/>
        <w:wordWrap/>
        <w:overflowPunct/>
        <w:topLinePunct w:val="0"/>
        <w:bidi w:val="0"/>
        <w:spacing w:line="360" w:lineRule="auto"/>
        <w:ind w:right="0" w:rightChars="0" w:firstLine="0" w:firstLineChars="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（四）</w:t>
      </w:r>
      <w:r>
        <w:rPr>
          <w:rFonts w:hint="eastAsia" w:ascii="宋体" w:hAnsi="宋体" w:eastAsia="宋体" w:cs="宋体"/>
          <w:b/>
          <w:bCs/>
          <w:color w:val="auto"/>
          <w:sz w:val="24"/>
          <w:highlight w:val="none"/>
        </w:rPr>
        <w:t>考核标准</w:t>
      </w:r>
    </w:p>
    <w:p w14:paraId="613FB9AE">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）服务请求提出后，未按时响应的每次扣100元；连续两个月响应度未达到100%的，扣5000元；连续三个月响应度未达到100%的，终止维护合同；</w:t>
      </w:r>
    </w:p>
    <w:p w14:paraId="63446A70">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）每个月的故障解决率达不到98%的，每下降一个百分点扣500元；连续三个月的故障解决率达不到98%的，终止维护合同；</w:t>
      </w:r>
    </w:p>
    <w:p w14:paraId="2A8477E5">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）每个月的用户满意率达不到95%的，每下降一个百分点扣500元；连续三个月的用户满意率达不到95%的，终止维护合同；</w:t>
      </w:r>
    </w:p>
    <w:p w14:paraId="7E3A7374">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）维护人员在维护过程中不得发生一机两用违规外联的情况，第一次发生一机两用违规外联扣10000元，第二次发生一机两用违规外联则终止维护合同；</w:t>
      </w:r>
    </w:p>
    <w:p w14:paraId="69139A2B">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）不维护</w:t>
      </w:r>
      <w:r>
        <w:rPr>
          <w:rFonts w:hint="eastAsia" w:ascii="宋体" w:hAnsi="宋体" w:cs="宋体"/>
          <w:color w:val="auto"/>
          <w:sz w:val="24"/>
          <w:highlight w:val="none"/>
          <w:lang w:eastAsia="zh-CN"/>
        </w:rPr>
        <w:t>驻点人员</w:t>
      </w:r>
      <w:r>
        <w:rPr>
          <w:rFonts w:hint="eastAsia" w:ascii="宋体" w:hAnsi="宋体" w:eastAsia="宋体" w:cs="宋体"/>
          <w:color w:val="auto"/>
          <w:sz w:val="24"/>
          <w:highlight w:val="none"/>
        </w:rPr>
        <w:t>应遵守公安局相关</w:t>
      </w:r>
      <w:r>
        <w:rPr>
          <w:rFonts w:hint="eastAsia" w:ascii="宋体" w:hAnsi="宋体" w:eastAsia="宋体" w:cs="宋体"/>
          <w:color w:val="auto"/>
          <w:sz w:val="24"/>
          <w:highlight w:val="none"/>
          <w:lang w:val="en-US" w:eastAsia="zh-CN"/>
        </w:rPr>
        <w:t>考勤</w:t>
      </w:r>
      <w:r>
        <w:rPr>
          <w:rFonts w:hint="eastAsia" w:ascii="宋体" w:hAnsi="宋体" w:eastAsia="宋体" w:cs="宋体"/>
          <w:color w:val="auto"/>
          <w:sz w:val="24"/>
          <w:highlight w:val="none"/>
        </w:rPr>
        <w:t>规定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不迟到、不早退</w:t>
      </w:r>
      <w:r>
        <w:rPr>
          <w:rFonts w:hint="eastAsia" w:ascii="宋体" w:hAnsi="宋体" w:eastAsia="宋体" w:cs="宋体"/>
          <w:color w:val="auto"/>
          <w:sz w:val="24"/>
          <w:highlight w:val="none"/>
        </w:rPr>
        <w:t>；月度内不能保障3人的维护</w:t>
      </w:r>
      <w:r>
        <w:rPr>
          <w:rFonts w:hint="eastAsia" w:ascii="宋体" w:hAnsi="宋体" w:cs="宋体"/>
          <w:color w:val="auto"/>
          <w:sz w:val="24"/>
          <w:highlight w:val="none"/>
          <w:lang w:eastAsia="zh-CN"/>
        </w:rPr>
        <w:t>驻点人员</w:t>
      </w:r>
      <w:r>
        <w:rPr>
          <w:rFonts w:hint="eastAsia" w:ascii="宋体" w:hAnsi="宋体" w:eastAsia="宋体" w:cs="宋体"/>
          <w:color w:val="auto"/>
          <w:sz w:val="24"/>
          <w:highlight w:val="none"/>
        </w:rPr>
        <w:t>力量达到10日以上的，终止维护合同；</w:t>
      </w:r>
    </w:p>
    <w:p w14:paraId="450EB047">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）维护</w:t>
      </w:r>
      <w:r>
        <w:rPr>
          <w:rFonts w:hint="eastAsia" w:ascii="宋体" w:hAnsi="宋体" w:cs="宋体"/>
          <w:color w:val="auto"/>
          <w:sz w:val="24"/>
          <w:highlight w:val="none"/>
          <w:lang w:eastAsia="zh-CN"/>
        </w:rPr>
        <w:t>驻点人员</w:t>
      </w:r>
      <w:r>
        <w:rPr>
          <w:rFonts w:hint="eastAsia" w:ascii="宋体" w:hAnsi="宋体" w:eastAsia="宋体" w:cs="宋体"/>
          <w:color w:val="auto"/>
          <w:sz w:val="24"/>
          <w:highlight w:val="none"/>
        </w:rPr>
        <w:t>应遵守公安局相关规定，不得在上班期间玩游戏、炒股，发现一次扣100元，被督察、纪委或上级部门查到上述问题并通报的，扣500元；上述情况在年度内累计出现6次以上的，终止维护合同；</w:t>
      </w:r>
    </w:p>
    <w:p w14:paraId="33828A42">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）公安网计算机的操作系统补丁打全率、杀毒软件安装率、敏感信息条数、计算机弱口令需达到规定要求，其中任一项没达到要求被通报的，每项扣2000元；连续3次被通报的，终止维护合同；</w:t>
      </w:r>
    </w:p>
    <w:p w14:paraId="105BD2C2">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）驻场维护人员遵守相关保密协议，造成机房系统信息泄露或者公安网信息泄露的，除拒付合同款外，严重的追究相关法律责任。</w:t>
      </w:r>
    </w:p>
    <w:p w14:paraId="6E1A1787">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商务需求</w:t>
      </w:r>
    </w:p>
    <w:p w14:paraId="0A39A7C6">
      <w:pPr>
        <w:keepNext w:val="0"/>
        <w:keepLines w:val="0"/>
        <w:pageBreakBefore w:val="0"/>
        <w:widowControl w:val="0"/>
        <w:kinsoku/>
        <w:wordWrap/>
        <w:overflowPunct/>
        <w:topLinePunct w:val="0"/>
        <w:bidi w:val="0"/>
        <w:snapToGrid w:val="0"/>
        <w:spacing w:line="360" w:lineRule="auto"/>
        <w:ind w:right="0" w:rightChars="0" w:firstLine="480" w:firstLineChars="200"/>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1.</w:t>
      </w:r>
      <w:r>
        <w:rPr>
          <w:rFonts w:hint="eastAsia" w:ascii="宋体" w:hAnsi="宋体" w:eastAsia="宋体" w:cs="宋体"/>
          <w:bCs/>
          <w:color w:val="auto"/>
          <w:sz w:val="24"/>
          <w:highlight w:val="none"/>
          <w:lang w:eastAsia="zh-CN"/>
        </w:rPr>
        <w:t>服务期</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eastAsia="zh-CN"/>
        </w:rPr>
        <w:t>合同签订后一年</w:t>
      </w:r>
      <w:r>
        <w:rPr>
          <w:rFonts w:hint="eastAsia" w:ascii="宋体" w:hAnsi="宋体" w:cs="宋体"/>
          <w:bCs/>
          <w:color w:val="auto"/>
          <w:sz w:val="24"/>
          <w:highlight w:val="none"/>
          <w:lang w:eastAsia="zh-CN"/>
        </w:rPr>
        <w:t>。</w:t>
      </w:r>
    </w:p>
    <w:p w14:paraId="45695556">
      <w:pPr>
        <w:pStyle w:val="3"/>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480" w:firstLineChars="200"/>
        <w:textAlignment w:val="auto"/>
        <w:rPr>
          <w:rFonts w:hint="default"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服务时间及地点：采购人指定地点。</w:t>
      </w:r>
    </w:p>
    <w:p w14:paraId="61EE79A0">
      <w:pPr>
        <w:pStyle w:val="3"/>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480" w:firstLineChars="200"/>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3.</w:t>
      </w:r>
      <w:r>
        <w:rPr>
          <w:rFonts w:hint="eastAsia" w:ascii="宋体" w:hAnsi="宋体" w:eastAsia="宋体" w:cs="宋体"/>
          <w:b w:val="0"/>
          <w:bCs w:val="0"/>
          <w:color w:val="auto"/>
          <w:highlight w:val="none"/>
        </w:rPr>
        <w:t>履约保证金：履约保证金为合同金额的1%，中标人自收到中标通知书之日起3个工作日内向采购人提交（履约保证金可采用网上银行转账、保函、支票、汇票、本票等形式）</w:t>
      </w:r>
      <w:r>
        <w:rPr>
          <w:rFonts w:hint="eastAsia" w:ascii="宋体" w:hAnsi="宋体" w:cs="宋体"/>
          <w:bCs/>
          <w:color w:val="auto"/>
          <w:sz w:val="24"/>
          <w:highlight w:val="none"/>
          <w:lang w:eastAsia="zh-CN"/>
        </w:rPr>
        <w:t>服务期</w:t>
      </w:r>
      <w:r>
        <w:rPr>
          <w:rFonts w:hint="eastAsia" w:ascii="宋体" w:hAnsi="宋体" w:eastAsia="宋体" w:cs="宋体"/>
          <w:bCs/>
          <w:color w:val="auto"/>
          <w:sz w:val="24"/>
          <w:highlight w:val="none"/>
        </w:rPr>
        <w:t>满后且无违约扣除情况后</w:t>
      </w:r>
      <w:r>
        <w:rPr>
          <w:rFonts w:hint="eastAsia" w:ascii="宋体" w:hAnsi="宋体" w:cs="宋体"/>
          <w:bCs/>
          <w:color w:val="auto"/>
          <w:sz w:val="24"/>
          <w:highlight w:val="none"/>
          <w:lang w:val="en-US" w:eastAsia="zh-CN"/>
        </w:rPr>
        <w:t>5</w:t>
      </w:r>
      <w:r>
        <w:rPr>
          <w:rFonts w:hint="eastAsia" w:ascii="宋体" w:hAnsi="宋体" w:eastAsia="宋体" w:cs="宋体"/>
          <w:bCs/>
          <w:color w:val="auto"/>
          <w:sz w:val="24"/>
          <w:highlight w:val="none"/>
        </w:rPr>
        <w:t>个工作日内无息退还</w:t>
      </w:r>
      <w:r>
        <w:rPr>
          <w:rFonts w:hint="eastAsia" w:ascii="宋体" w:hAnsi="宋体" w:eastAsia="宋体" w:cs="宋体"/>
          <w:bCs/>
          <w:color w:val="auto"/>
          <w:sz w:val="24"/>
          <w:highlight w:val="none"/>
          <w:lang w:eastAsia="zh-CN"/>
        </w:rPr>
        <w:t>。</w:t>
      </w:r>
    </w:p>
    <w:p w14:paraId="2EAB6C7B">
      <w:pPr>
        <w:keepNext w:val="0"/>
        <w:keepLines w:val="0"/>
        <w:pageBreakBefore w:val="0"/>
        <w:widowControl w:val="0"/>
        <w:kinsoku/>
        <w:wordWrap/>
        <w:overflowPunct/>
        <w:topLinePunct w:val="0"/>
        <w:bidi w:val="0"/>
        <w:snapToGrid w:val="0"/>
        <w:spacing w:line="360" w:lineRule="auto"/>
        <w:ind w:right="0" w:rightChars="0" w:firstLine="480" w:firstLineChars="200"/>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val="en-US" w:eastAsia="zh-CN"/>
        </w:rPr>
        <w:t>4.</w:t>
      </w:r>
      <w:r>
        <w:rPr>
          <w:rFonts w:hint="eastAsia" w:ascii="宋体" w:hAnsi="宋体" w:eastAsia="宋体" w:cs="宋体"/>
          <w:b w:val="0"/>
          <w:bCs w:val="0"/>
          <w:color w:val="auto"/>
          <w:sz w:val="24"/>
          <w:highlight w:val="none"/>
        </w:rPr>
        <w:t>付款方式：合同签订后支付合同金额的40%作为预付款；</w:t>
      </w:r>
      <w:r>
        <w:rPr>
          <w:rFonts w:hint="eastAsia" w:ascii="宋体" w:hAnsi="宋体" w:cs="仿宋"/>
          <w:color w:val="auto"/>
          <w:sz w:val="24"/>
          <w:szCs w:val="24"/>
          <w:highlight w:val="none"/>
        </w:rPr>
        <w:t>服务期开始满6个月后</w:t>
      </w:r>
      <w:r>
        <w:rPr>
          <w:rFonts w:hint="eastAsia" w:ascii="宋体" w:hAnsi="宋体" w:eastAsia="宋体" w:cs="宋体"/>
          <w:b w:val="0"/>
          <w:bCs w:val="0"/>
          <w:color w:val="auto"/>
          <w:sz w:val="24"/>
          <w:highlight w:val="none"/>
        </w:rPr>
        <w:t>，</w:t>
      </w:r>
      <w:r>
        <w:rPr>
          <w:rFonts w:hint="eastAsia" w:ascii="宋体" w:hAnsi="宋体" w:cs="仿宋"/>
          <w:color w:val="auto"/>
          <w:sz w:val="24"/>
          <w:szCs w:val="24"/>
          <w:highlight w:val="none"/>
        </w:rPr>
        <w:t>支付合同金额的20%；服务期满且终验通过后</w:t>
      </w:r>
      <w:r>
        <w:rPr>
          <w:rFonts w:hint="eastAsia" w:ascii="宋体" w:hAnsi="宋体" w:cs="仿宋"/>
          <w:color w:val="auto"/>
          <w:sz w:val="24"/>
          <w:szCs w:val="24"/>
          <w:highlight w:val="none"/>
          <w:lang w:eastAsia="zh-CN"/>
        </w:rPr>
        <w:t>，</w:t>
      </w:r>
      <w:r>
        <w:rPr>
          <w:rFonts w:hint="eastAsia" w:ascii="宋体" w:hAnsi="宋体" w:eastAsia="宋体" w:cs="宋体"/>
          <w:b w:val="0"/>
          <w:bCs w:val="0"/>
          <w:color w:val="auto"/>
          <w:sz w:val="24"/>
          <w:highlight w:val="none"/>
        </w:rPr>
        <w:t>扣除相应服务不到位等违约金后，支付合同剩余</w:t>
      </w:r>
      <w:r>
        <w:rPr>
          <w:rFonts w:hint="eastAsia" w:ascii="宋体" w:hAnsi="宋体" w:eastAsia="宋体" w:cs="宋体"/>
          <w:b w:val="0"/>
          <w:bCs w:val="0"/>
          <w:color w:val="auto"/>
          <w:sz w:val="24"/>
          <w:highlight w:val="none"/>
          <w:lang w:val="en-US" w:eastAsia="zh-CN"/>
        </w:rPr>
        <w:t>金额</w:t>
      </w:r>
      <w:r>
        <w:rPr>
          <w:rFonts w:hint="eastAsia" w:ascii="宋体" w:hAnsi="宋体" w:eastAsia="宋体" w:cs="宋体"/>
          <w:b w:val="0"/>
          <w:bCs w:val="0"/>
          <w:color w:val="auto"/>
          <w:sz w:val="24"/>
          <w:highlight w:val="none"/>
        </w:rPr>
        <w:t>。（以上付款条件是在采购人所在地财政资金下达且收到成交供应商正式发票后7个工作日内支付</w:t>
      </w:r>
      <w:r>
        <w:rPr>
          <w:rFonts w:hint="eastAsia" w:ascii="宋体" w:hAnsi="宋体" w:eastAsia="宋体" w:cs="宋体"/>
          <w:b w:val="0"/>
          <w:bCs w:val="0"/>
          <w:color w:val="auto"/>
          <w:sz w:val="24"/>
          <w:highlight w:val="none"/>
          <w:lang w:eastAsia="zh-CN"/>
        </w:rPr>
        <w:t>）</w:t>
      </w:r>
    </w:p>
    <w:p w14:paraId="4A9A9901">
      <w:pPr>
        <w:keepNext w:val="0"/>
        <w:keepLines w:val="0"/>
        <w:pageBreakBefore w:val="0"/>
        <w:widowControl w:val="0"/>
        <w:kinsoku/>
        <w:wordWrap/>
        <w:overflowPunct/>
        <w:topLinePunct w:val="0"/>
        <w:autoSpaceDE w:val="0"/>
        <w:autoSpaceDN w:val="0"/>
        <w:bidi w:val="0"/>
        <w:adjustRightInd w:val="0"/>
        <w:spacing w:line="360" w:lineRule="auto"/>
        <w:ind w:right="0" w:rightChars="0"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5.</w:t>
      </w:r>
      <w:r>
        <w:rPr>
          <w:rFonts w:hint="eastAsia" w:ascii="宋体" w:hAnsi="宋体" w:eastAsia="宋体" w:cs="宋体"/>
          <w:b w:val="0"/>
          <w:bCs w:val="0"/>
          <w:color w:val="auto"/>
          <w:sz w:val="24"/>
          <w:highlight w:val="none"/>
        </w:rPr>
        <w:t>其他说明：</w:t>
      </w:r>
    </w:p>
    <w:p w14:paraId="396C928D">
      <w:pPr>
        <w:keepNext w:val="0"/>
        <w:keepLines w:val="0"/>
        <w:pageBreakBefore w:val="0"/>
        <w:widowControl w:val="0"/>
        <w:kinsoku/>
        <w:wordWrap/>
        <w:overflowPunct/>
        <w:topLinePunct w:val="0"/>
        <w:autoSpaceDE w:val="0"/>
        <w:autoSpaceDN w:val="0"/>
        <w:bidi w:val="0"/>
        <w:adjustRightInd w:val="0"/>
        <w:spacing w:line="360" w:lineRule="auto"/>
        <w:ind w:right="0" w:rightChars="0" w:firstLine="480" w:firstLineChars="200"/>
        <w:textAlignment w:val="auto"/>
        <w:rPr>
          <w:rFonts w:hint="eastAsia" w:ascii="宋体" w:hAnsi="宋体" w:eastAsia="宋体" w:cs="宋体"/>
          <w:b/>
          <w:color w:val="auto"/>
          <w:sz w:val="36"/>
          <w:szCs w:val="36"/>
          <w:highlight w:val="none"/>
          <w:lang w:val="en-US" w:eastAsia="zh-CN"/>
        </w:rPr>
      </w:pPr>
      <w:r>
        <w:rPr>
          <w:rFonts w:hint="eastAsia" w:ascii="宋体" w:hAnsi="宋体" w:eastAsia="宋体" w:cs="宋体"/>
          <w:b w:val="0"/>
          <w:bCs w:val="0"/>
          <w:color w:val="auto"/>
          <w:sz w:val="24"/>
          <w:highlight w:val="none"/>
          <w:lang w:val="en-US" w:eastAsia="zh-CN"/>
        </w:rPr>
        <w:t>磋商</w:t>
      </w:r>
      <w:r>
        <w:rPr>
          <w:rFonts w:hint="eastAsia" w:ascii="宋体" w:hAnsi="宋体" w:eastAsia="宋体" w:cs="宋体"/>
          <w:b w:val="0"/>
          <w:bCs w:val="0"/>
          <w:color w:val="auto"/>
          <w:sz w:val="24"/>
          <w:highlight w:val="none"/>
        </w:rPr>
        <w:t>报价包含实现本项目的所有功能及安全保障工作所需费用，其应包括（但不限于）</w:t>
      </w:r>
      <w:r>
        <w:rPr>
          <w:rFonts w:hint="eastAsia" w:ascii="宋体" w:hAnsi="宋体" w:eastAsia="宋体" w:cs="宋体"/>
          <w:color w:val="auto"/>
          <w:sz w:val="24"/>
          <w:highlight w:val="none"/>
        </w:rPr>
        <w:t>开发、标准附件、备品备件、服务、专用工具、安装、调试、检验、培训、运输、保险、税款、验收、</w:t>
      </w:r>
      <w:r>
        <w:rPr>
          <w:rFonts w:hint="eastAsia" w:ascii="宋体" w:hAnsi="宋体" w:eastAsia="宋体" w:cs="宋体"/>
          <w:b w:val="0"/>
          <w:bCs w:val="0"/>
          <w:color w:val="auto"/>
          <w:sz w:val="24"/>
          <w:highlight w:val="none"/>
        </w:rPr>
        <w:t>劳务、人员工资、奖金、各种加班费、食宿与交通、安全、管理、质保、保险、利润、税金、政策性文件规定及合同包含的所有风险、责任等所有费用，</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认为必需的费用，也应综合考虑</w:t>
      </w:r>
      <w:r>
        <w:rPr>
          <w:rFonts w:hint="eastAsia" w:ascii="宋体" w:hAnsi="宋体" w:cs="宋体"/>
          <w:b w:val="0"/>
          <w:bCs w:val="0"/>
          <w:color w:val="auto"/>
          <w:sz w:val="24"/>
          <w:highlight w:val="none"/>
          <w:lang w:eastAsia="zh-CN"/>
        </w:rPr>
        <w:t>。</w:t>
      </w:r>
    </w:p>
    <w:p w14:paraId="630ED992">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635E058A">
      <w:pPr>
        <w:autoSpaceDE w:val="0"/>
        <w:autoSpaceDN w:val="0"/>
        <w:adjustRightInd w:val="0"/>
        <w:spacing w:line="480" w:lineRule="auto"/>
        <w:ind w:right="-50" w:rightChars="-24"/>
        <w:jc w:val="center"/>
        <w:rPr>
          <w:rFonts w:hint="eastAsia" w:ascii="宋体" w:hAnsi="宋体" w:eastAsia="宋体" w:cs="宋体"/>
          <w:b/>
          <w:bCs/>
          <w:color w:val="auto"/>
          <w:sz w:val="32"/>
          <w:szCs w:val="32"/>
          <w:highlight w:val="none"/>
        </w:rPr>
      </w:pPr>
      <w:r>
        <w:rPr>
          <w:rFonts w:hint="eastAsia" w:ascii="宋体" w:hAnsi="宋体" w:eastAsia="宋体" w:cs="宋体"/>
          <w:b/>
          <w:color w:val="auto"/>
          <w:sz w:val="36"/>
          <w:szCs w:val="36"/>
          <w:highlight w:val="none"/>
        </w:rPr>
        <w:t xml:space="preserve">第五章 </w:t>
      </w:r>
      <w:r>
        <w:rPr>
          <w:rFonts w:hint="eastAsia" w:ascii="宋体" w:hAnsi="宋体" w:eastAsia="宋体" w:cs="宋体"/>
          <w:b/>
          <w:bCs/>
          <w:color w:val="auto"/>
          <w:sz w:val="32"/>
          <w:szCs w:val="32"/>
          <w:highlight w:val="none"/>
        </w:rPr>
        <w:t>采购合同主要条款</w:t>
      </w:r>
      <w:r>
        <w:rPr>
          <w:rFonts w:hint="eastAsia" w:ascii="宋体" w:hAnsi="宋体" w:eastAsia="宋体" w:cs="宋体"/>
          <w:b/>
          <w:color w:val="auto"/>
          <w:sz w:val="32"/>
          <w:szCs w:val="32"/>
          <w:highlight w:val="none"/>
        </w:rPr>
        <w:t>指引</w:t>
      </w:r>
    </w:p>
    <w:p w14:paraId="106BA3CC">
      <w:pPr>
        <w:keepNext w:val="0"/>
        <w:keepLines w:val="0"/>
        <w:pageBreakBefore w:val="0"/>
        <w:widowControl/>
        <w:shd w:val="clear" w:color="auto" w:fill="FFFFFF"/>
        <w:kinsoku/>
        <w:wordWrap/>
        <w:overflowPunct/>
        <w:topLinePunct w:val="0"/>
        <w:bidi w:val="0"/>
        <w:spacing w:line="300" w:lineRule="auto"/>
        <w:ind w:left="0"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以下为成交后签订本项目合同的通用条款，成交供应商不得提出实质性的修改，关于专用条款将由采购人与成交供应商结合本项目具体情况协商后签订。</w:t>
      </w:r>
    </w:p>
    <w:p w14:paraId="4166385D">
      <w:pPr>
        <w:pStyle w:val="21"/>
        <w:keepNext w:val="0"/>
        <w:keepLines w:val="0"/>
        <w:pageBreakBefore w:val="0"/>
        <w:kinsoku/>
        <w:wordWrap/>
        <w:overflowPunct/>
        <w:topLinePunct w:val="0"/>
        <w:bidi w:val="0"/>
        <w:snapToGrid w:val="0"/>
        <w:spacing w:line="300" w:lineRule="auto"/>
        <w:ind w:left="0" w:right="0" w:rightChars="0" w:firstLine="0" w:firstLineChars="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xml:space="preserve">项目名称： </w:t>
      </w:r>
      <w:r>
        <w:rPr>
          <w:rFonts w:hint="eastAsia" w:ascii="宋体" w:hAnsi="宋体" w:eastAsia="宋体" w:cs="宋体"/>
          <w:b/>
          <w:color w:val="auto"/>
          <w:kern w:val="0"/>
          <w:sz w:val="24"/>
          <w:highlight w:val="none"/>
          <w:lang w:eastAsia="zh-CN"/>
        </w:rPr>
        <w:t>台州市公安局信息化办公驻点维护项目</w:t>
      </w:r>
      <w:r>
        <w:rPr>
          <w:rFonts w:hint="eastAsia" w:ascii="宋体" w:hAnsi="宋体" w:eastAsia="宋体" w:cs="宋体"/>
          <w:b/>
          <w:color w:val="auto"/>
          <w:kern w:val="0"/>
          <w:sz w:val="24"/>
          <w:highlight w:val="none"/>
        </w:rPr>
        <w:t xml:space="preserve">                                     </w:t>
      </w:r>
    </w:p>
    <w:p w14:paraId="7D9D647C">
      <w:pPr>
        <w:pStyle w:val="21"/>
        <w:keepNext w:val="0"/>
        <w:keepLines w:val="0"/>
        <w:pageBreakBefore w:val="0"/>
        <w:kinsoku/>
        <w:wordWrap/>
        <w:overflowPunct/>
        <w:topLinePunct w:val="0"/>
        <w:bidi w:val="0"/>
        <w:snapToGrid w:val="0"/>
        <w:spacing w:line="300" w:lineRule="auto"/>
        <w:ind w:left="0" w:right="0" w:rightChars="0" w:firstLine="0" w:firstLineChars="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项目编号：</w:t>
      </w:r>
    </w:p>
    <w:p w14:paraId="4CF7135D">
      <w:pPr>
        <w:pStyle w:val="21"/>
        <w:keepNext w:val="0"/>
        <w:keepLines w:val="0"/>
        <w:pageBreakBefore w:val="0"/>
        <w:kinsoku/>
        <w:wordWrap/>
        <w:overflowPunct/>
        <w:topLinePunct w:val="0"/>
        <w:bidi w:val="0"/>
        <w:snapToGrid w:val="0"/>
        <w:spacing w:line="300" w:lineRule="auto"/>
        <w:ind w:left="0" w:right="0" w:rightChars="0" w:firstLine="0" w:firstLineChars="0"/>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甲方：（采购单位）台州市公安局</w:t>
      </w:r>
    </w:p>
    <w:p w14:paraId="64A15AF6">
      <w:pPr>
        <w:pStyle w:val="21"/>
        <w:keepNext w:val="0"/>
        <w:keepLines w:val="0"/>
        <w:pageBreakBefore w:val="0"/>
        <w:kinsoku/>
        <w:wordWrap/>
        <w:overflowPunct/>
        <w:topLinePunct w:val="0"/>
        <w:bidi w:val="0"/>
        <w:snapToGrid w:val="0"/>
        <w:spacing w:line="300" w:lineRule="auto"/>
        <w:ind w:left="0" w:right="0" w:rightChars="0" w:firstLine="0" w:firstLineChars="0"/>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xml:space="preserve">所在地：浙江台州                              </w:t>
      </w:r>
    </w:p>
    <w:p w14:paraId="3EF2E602">
      <w:pPr>
        <w:pStyle w:val="21"/>
        <w:keepNext w:val="0"/>
        <w:keepLines w:val="0"/>
        <w:pageBreakBefore w:val="0"/>
        <w:kinsoku/>
        <w:wordWrap/>
        <w:overflowPunct/>
        <w:topLinePunct w:val="0"/>
        <w:bidi w:val="0"/>
        <w:snapToGrid w:val="0"/>
        <w:spacing w:line="300" w:lineRule="auto"/>
        <w:ind w:left="0" w:right="0" w:rightChars="0" w:firstLine="0" w:firstLineChars="0"/>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xml:space="preserve">乙方：（成交供应商）            </w:t>
      </w:r>
    </w:p>
    <w:p w14:paraId="084F00F4">
      <w:pPr>
        <w:pStyle w:val="21"/>
        <w:keepNext w:val="0"/>
        <w:keepLines w:val="0"/>
        <w:pageBreakBefore w:val="0"/>
        <w:kinsoku/>
        <w:wordWrap/>
        <w:overflowPunct/>
        <w:topLinePunct w:val="0"/>
        <w:bidi w:val="0"/>
        <w:snapToGrid w:val="0"/>
        <w:spacing w:line="300" w:lineRule="auto"/>
        <w:ind w:left="0" w:right="0" w:rightChars="0" w:firstLine="0" w:firstLineChars="0"/>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xml:space="preserve">所在地： </w:t>
      </w:r>
    </w:p>
    <w:p w14:paraId="5D1535E4">
      <w:pPr>
        <w:pStyle w:val="21"/>
        <w:keepNext w:val="0"/>
        <w:keepLines w:val="0"/>
        <w:pageBreakBefore w:val="0"/>
        <w:kinsoku/>
        <w:wordWrap/>
        <w:overflowPunct/>
        <w:topLinePunct w:val="0"/>
        <w:bidi w:val="0"/>
        <w:snapToGrid w:val="0"/>
        <w:spacing w:line="300" w:lineRule="auto"/>
        <w:ind w:left="0" w:right="0" w:rightChars="0" w:firstLine="0" w:firstLineChars="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甲、乙双方根据</w:t>
      </w:r>
      <w:r>
        <w:rPr>
          <w:rFonts w:hint="eastAsia" w:ascii="宋体" w:hAnsi="宋体" w:eastAsia="宋体" w:cs="宋体"/>
          <w:color w:val="auto"/>
          <w:kern w:val="0"/>
          <w:sz w:val="24"/>
          <w:highlight w:val="none"/>
          <w:u w:val="single"/>
        </w:rPr>
        <w:t>台州市公安局</w:t>
      </w:r>
      <w:r>
        <w:rPr>
          <w:rFonts w:hint="eastAsia" w:ascii="宋体" w:hAnsi="宋体" w:eastAsia="宋体" w:cs="宋体"/>
          <w:color w:val="auto"/>
          <w:kern w:val="0"/>
          <w:sz w:val="24"/>
          <w:highlight w:val="none"/>
        </w:rPr>
        <w:t>关于</w:t>
      </w:r>
      <w:r>
        <w:rPr>
          <w:rFonts w:hint="eastAsia" w:ascii="宋体" w:hAnsi="宋体" w:eastAsia="宋体" w:cs="宋体"/>
          <w:color w:val="auto"/>
          <w:kern w:val="0"/>
          <w:sz w:val="24"/>
          <w:highlight w:val="none"/>
          <w:u w:val="single"/>
          <w:lang w:eastAsia="zh-CN"/>
        </w:rPr>
        <w:t>台州市公安局信息化办公驻点维护项目</w:t>
      </w:r>
      <w:r>
        <w:rPr>
          <w:rFonts w:hint="eastAsia" w:ascii="宋体" w:hAnsi="宋体" w:eastAsia="宋体" w:cs="宋体"/>
          <w:color w:val="auto"/>
          <w:kern w:val="0"/>
          <w:sz w:val="24"/>
          <w:highlight w:val="none"/>
        </w:rPr>
        <w:t>竞争性磋商结果，签署本合同。</w:t>
      </w:r>
    </w:p>
    <w:p w14:paraId="7540A26E">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lang w:val="zh-CN"/>
        </w:rPr>
      </w:pPr>
      <w:r>
        <w:rPr>
          <w:rFonts w:hint="eastAsia" w:ascii="宋体" w:hAnsi="宋体" w:eastAsia="宋体" w:cs="宋体"/>
          <w:b/>
          <w:bCs/>
          <w:color w:val="auto"/>
          <w:sz w:val="24"/>
          <w:highlight w:val="none"/>
          <w:lang w:val="zh-CN"/>
        </w:rPr>
        <w:t>一、合同文件：</w:t>
      </w:r>
      <w:r>
        <w:rPr>
          <w:rFonts w:hint="eastAsia" w:ascii="宋体" w:hAnsi="宋体" w:eastAsia="宋体" w:cs="宋体"/>
          <w:color w:val="auto"/>
          <w:sz w:val="24"/>
          <w:highlight w:val="none"/>
          <w:lang w:val="zh-CN"/>
        </w:rPr>
        <w:t xml:space="preserve"> </w:t>
      </w:r>
    </w:p>
    <w:p w14:paraId="592542D9">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1.合同条款。</w:t>
      </w:r>
    </w:p>
    <w:p w14:paraId="62A20FD0">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2.中标通知书。</w:t>
      </w:r>
    </w:p>
    <w:p w14:paraId="3AA1FF2F">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3.更正补充文件。</w:t>
      </w:r>
    </w:p>
    <w:p w14:paraId="0F30F1C8">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4.磋商文件。</w:t>
      </w:r>
    </w:p>
    <w:p w14:paraId="7B974236">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5.中标供应商磋商响应文件。</w:t>
      </w:r>
    </w:p>
    <w:p w14:paraId="66E0879E">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6.其他。</w:t>
      </w:r>
    </w:p>
    <w:p w14:paraId="1E55FD89">
      <w:pPr>
        <w:pStyle w:val="21"/>
        <w:keepNext w:val="0"/>
        <w:keepLines w:val="0"/>
        <w:pageBreakBefore w:val="0"/>
        <w:kinsoku/>
        <w:wordWrap/>
        <w:overflowPunct/>
        <w:topLinePunct w:val="0"/>
        <w:bidi w:val="0"/>
        <w:snapToGrid w:val="0"/>
        <w:spacing w:line="300" w:lineRule="auto"/>
        <w:ind w:left="0" w:right="0" w:rightChars="0" w:firstLine="0" w:firstLine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上述所指合同文件应认为是互相补充和解释的，但是有模棱两可或互相矛盾之处，以其所列内容顺序为准。</w:t>
      </w:r>
    </w:p>
    <w:p w14:paraId="130C881B">
      <w:pPr>
        <w:keepNext w:val="0"/>
        <w:keepLines w:val="0"/>
        <w:pageBreakBefore w:val="0"/>
        <w:kinsoku/>
        <w:wordWrap/>
        <w:overflowPunct/>
        <w:topLinePunct w:val="0"/>
        <w:bidi w:val="0"/>
        <w:snapToGrid w:val="0"/>
        <w:spacing w:line="300" w:lineRule="auto"/>
        <w:ind w:left="0" w:right="0" w:rightChars="0" w:firstLine="0" w:firstLine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二、合同内容</w:t>
      </w:r>
    </w:p>
    <w:p w14:paraId="54A5ACFE">
      <w:pPr>
        <w:keepNext w:val="0"/>
        <w:keepLines w:val="0"/>
        <w:pageBreakBefore w:val="0"/>
        <w:widowControl w:val="0"/>
        <w:kinsoku/>
        <w:wordWrap/>
        <w:overflowPunct/>
        <w:topLinePunct w:val="0"/>
        <w:autoSpaceDE/>
        <w:autoSpaceDN/>
        <w:bidi w:val="0"/>
        <w:adjustRightInd/>
        <w:snapToGrid/>
        <w:spacing w:line="300" w:lineRule="auto"/>
        <w:ind w:left="0" w:right="0" w:rightChars="0" w:firstLine="0" w:firstLine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根据采购需求及乙方投标承诺确定</w:t>
      </w:r>
    </w:p>
    <w:p w14:paraId="6D73AFB8">
      <w:pPr>
        <w:keepNext w:val="0"/>
        <w:keepLines w:val="0"/>
        <w:pageBreakBefore w:val="0"/>
        <w:kinsoku/>
        <w:wordWrap/>
        <w:overflowPunct/>
        <w:topLinePunct w:val="0"/>
        <w:bidi w:val="0"/>
        <w:snapToGrid w:val="0"/>
        <w:spacing w:line="300" w:lineRule="auto"/>
        <w:ind w:left="0" w:right="0" w:rightChars="0" w:firstLine="0" w:firstLine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三、合同金额</w:t>
      </w:r>
    </w:p>
    <w:p w14:paraId="2BA0B124">
      <w:pPr>
        <w:keepNext w:val="0"/>
        <w:keepLines w:val="0"/>
        <w:pageBreakBefore w:val="0"/>
        <w:widowControl w:val="0"/>
        <w:kinsoku/>
        <w:wordWrap/>
        <w:overflowPunct/>
        <w:topLinePunct w:val="0"/>
        <w:autoSpaceDE/>
        <w:autoSpaceDN/>
        <w:bidi w:val="0"/>
        <w:adjustRightInd/>
        <w:snapToGrid/>
        <w:spacing w:line="300" w:lineRule="auto"/>
        <w:ind w:left="0" w:right="0" w:rightChars="0" w:firstLine="0" w:firstLine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1.本合同金额为（大写）：_________元（￥______元）人民币。</w:t>
      </w:r>
    </w:p>
    <w:p w14:paraId="2D30912F">
      <w:pPr>
        <w:keepNext w:val="0"/>
        <w:keepLines w:val="0"/>
        <w:pageBreakBefore w:val="0"/>
        <w:widowControl w:val="0"/>
        <w:kinsoku/>
        <w:wordWrap/>
        <w:overflowPunct/>
        <w:topLinePunct w:val="0"/>
        <w:autoSpaceDE/>
        <w:autoSpaceDN/>
        <w:bidi w:val="0"/>
        <w:adjustRightInd/>
        <w:snapToGrid/>
        <w:spacing w:line="300" w:lineRule="auto"/>
        <w:ind w:left="0" w:right="0" w:rightChars="0" w:firstLine="0" w:firstLineChars="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2.合同金额应</w:t>
      </w:r>
      <w:r>
        <w:rPr>
          <w:rFonts w:hint="eastAsia" w:ascii="宋体" w:hAnsi="宋体" w:eastAsia="宋体" w:cs="宋体"/>
          <w:b w:val="0"/>
          <w:bCs w:val="0"/>
          <w:color w:val="auto"/>
          <w:sz w:val="24"/>
          <w:highlight w:val="none"/>
        </w:rPr>
        <w:t>包含实现本项目的所有功能及安全保障工作所需费用，包括（但不限于）</w:t>
      </w:r>
      <w:r>
        <w:rPr>
          <w:rFonts w:hint="eastAsia" w:ascii="宋体" w:hAnsi="宋体" w:eastAsia="宋体" w:cs="宋体"/>
          <w:color w:val="auto"/>
          <w:sz w:val="24"/>
          <w:highlight w:val="none"/>
        </w:rPr>
        <w:t>开发、标准附件、备品备件、服务、专用工具、安装、调试、检验、培训、运输、保险、税款、验收、</w:t>
      </w:r>
      <w:r>
        <w:rPr>
          <w:rFonts w:hint="eastAsia" w:ascii="宋体" w:hAnsi="宋体" w:eastAsia="宋体" w:cs="宋体"/>
          <w:b w:val="0"/>
          <w:bCs w:val="0"/>
          <w:color w:val="auto"/>
          <w:sz w:val="24"/>
          <w:highlight w:val="none"/>
        </w:rPr>
        <w:t>劳务、人员工资、奖金、各种加班费、食宿与交通、安全、管理、质保、保险、利润、税金、政策性文件规定及合同包含的所有风险、责任等所有费用</w:t>
      </w:r>
      <w:r>
        <w:rPr>
          <w:rFonts w:hint="eastAsia" w:ascii="宋体" w:hAnsi="宋体" w:eastAsia="宋体" w:cs="宋体"/>
          <w:b w:val="0"/>
          <w:bCs w:val="0"/>
          <w:color w:val="auto"/>
          <w:sz w:val="24"/>
          <w:highlight w:val="none"/>
          <w:lang w:val="en-US" w:eastAsia="zh-CN"/>
        </w:rPr>
        <w:t>均已包含在本合同金额中。</w:t>
      </w:r>
    </w:p>
    <w:p w14:paraId="7517DA3A">
      <w:pPr>
        <w:pStyle w:val="2"/>
        <w:keepNext w:val="0"/>
        <w:keepLines w:val="0"/>
        <w:pageBreakBefore w:val="0"/>
        <w:numPr>
          <w:ilvl w:val="255"/>
          <w:numId w:val="0"/>
        </w:numPr>
        <w:kinsoku/>
        <w:wordWrap/>
        <w:overflowPunct/>
        <w:topLinePunct w:val="0"/>
        <w:bidi w:val="0"/>
        <w:spacing w:line="300" w:lineRule="auto"/>
        <w:ind w:left="0" w:right="0" w:rightChars="0" w:firstLine="0" w:firstLineChars="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四</w:t>
      </w:r>
      <w:r>
        <w:rPr>
          <w:rFonts w:hint="eastAsia" w:ascii="宋体" w:hAnsi="宋体" w:eastAsia="宋体" w:cs="宋体"/>
          <w:b/>
          <w:bCs/>
          <w:color w:val="auto"/>
          <w:sz w:val="24"/>
          <w:highlight w:val="none"/>
        </w:rPr>
        <w:t>、技术资料</w:t>
      </w:r>
    </w:p>
    <w:p w14:paraId="424A30CF">
      <w:pPr>
        <w:pStyle w:val="2"/>
        <w:keepNext w:val="0"/>
        <w:keepLines w:val="0"/>
        <w:pageBreakBefore w:val="0"/>
        <w:numPr>
          <w:ilvl w:val="255"/>
          <w:numId w:val="0"/>
        </w:numPr>
        <w:kinsoku/>
        <w:wordWrap/>
        <w:overflowPunct/>
        <w:topLinePunct w:val="0"/>
        <w:bidi w:val="0"/>
        <w:spacing w:line="300" w:lineRule="auto"/>
        <w:ind w:left="0" w:right="0" w:rightChars="0" w:firstLine="0" w:firstLineChars="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1.乙方应按采购文件规定的时间向甲方提供使用软硬件的有关技术资料。</w:t>
      </w:r>
    </w:p>
    <w:p w14:paraId="6B9CEA04">
      <w:pPr>
        <w:pStyle w:val="2"/>
        <w:keepNext w:val="0"/>
        <w:keepLines w:val="0"/>
        <w:pageBreakBefore w:val="0"/>
        <w:numPr>
          <w:ilvl w:val="255"/>
          <w:numId w:val="0"/>
        </w:numPr>
        <w:kinsoku/>
        <w:wordWrap/>
        <w:overflowPunct/>
        <w:topLinePunct w:val="0"/>
        <w:bidi w:val="0"/>
        <w:spacing w:line="300" w:lineRule="auto"/>
        <w:ind w:left="0" w:right="0" w:rightChars="0" w:firstLine="0" w:firstLineChars="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2.本项目知识产权及源代码归属甲方</w:t>
      </w:r>
    </w:p>
    <w:p w14:paraId="4C68FCEE">
      <w:pPr>
        <w:pStyle w:val="2"/>
        <w:keepNext w:val="0"/>
        <w:keepLines w:val="0"/>
        <w:pageBreakBefore w:val="0"/>
        <w:numPr>
          <w:ilvl w:val="255"/>
          <w:numId w:val="0"/>
        </w:numPr>
        <w:kinsoku/>
        <w:wordWrap/>
        <w:overflowPunct/>
        <w:topLinePunct w:val="0"/>
        <w:bidi w:val="0"/>
        <w:spacing w:line="300" w:lineRule="auto"/>
        <w:ind w:left="0" w:right="0" w:rightChars="0" w:firstLine="0" w:firstLineChars="0"/>
        <w:textAlignment w:val="auto"/>
        <w:rPr>
          <w:rFonts w:hint="eastAsia" w:ascii="宋体" w:hAnsi="宋体" w:eastAsia="宋体" w:cs="宋体"/>
          <w:b/>
          <w:bCs/>
          <w:color w:val="auto"/>
          <w:sz w:val="24"/>
          <w:highlight w:val="none"/>
        </w:rPr>
      </w:pPr>
      <w:r>
        <w:rPr>
          <w:rFonts w:hint="eastAsia" w:ascii="宋体" w:hAnsi="宋体" w:eastAsia="宋体" w:cs="宋体"/>
          <w:b w:val="0"/>
          <w:bCs w:val="0"/>
          <w:color w:val="auto"/>
          <w:sz w:val="24"/>
          <w:highlight w:val="none"/>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EEBF9E1">
      <w:pPr>
        <w:pStyle w:val="2"/>
        <w:keepNext w:val="0"/>
        <w:keepLines w:val="0"/>
        <w:pageBreakBefore w:val="0"/>
        <w:numPr>
          <w:ilvl w:val="255"/>
          <w:numId w:val="0"/>
        </w:numPr>
        <w:kinsoku/>
        <w:wordWrap/>
        <w:overflowPunct/>
        <w:topLinePunct w:val="0"/>
        <w:bidi w:val="0"/>
        <w:spacing w:line="300" w:lineRule="auto"/>
        <w:ind w:left="0" w:right="0" w:rightChars="0" w:firstLine="0" w:firstLineChars="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五、知识产权</w:t>
      </w:r>
    </w:p>
    <w:p w14:paraId="0EDFE221">
      <w:pPr>
        <w:pStyle w:val="2"/>
        <w:keepNext w:val="0"/>
        <w:keepLines w:val="0"/>
        <w:pageBreakBefore w:val="0"/>
        <w:numPr>
          <w:ilvl w:val="255"/>
          <w:numId w:val="0"/>
        </w:numPr>
        <w:kinsoku/>
        <w:wordWrap/>
        <w:overflowPunct/>
        <w:topLinePunct w:val="0"/>
        <w:bidi w:val="0"/>
        <w:spacing w:line="300" w:lineRule="auto"/>
        <w:ind w:left="0" w:right="0" w:rightChars="0" w:firstLine="0" w:firstLineChars="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1.乙方应保证</w:t>
      </w:r>
      <w:r>
        <w:rPr>
          <w:rFonts w:hint="eastAsia" w:ascii="宋体" w:hAnsi="宋体" w:eastAsia="宋体" w:cs="宋体"/>
          <w:b w:val="0"/>
          <w:bCs w:val="0"/>
          <w:color w:val="auto"/>
          <w:sz w:val="24"/>
          <w:highlight w:val="none"/>
          <w:lang w:val="en-US" w:eastAsia="zh-CN"/>
        </w:rPr>
        <w:t>提供服务过程中及</w:t>
      </w:r>
      <w:r>
        <w:rPr>
          <w:rFonts w:hint="eastAsia" w:ascii="宋体" w:hAnsi="宋体" w:eastAsia="宋体" w:cs="宋体"/>
          <w:b w:val="0"/>
          <w:bCs w:val="0"/>
          <w:color w:val="auto"/>
          <w:sz w:val="24"/>
          <w:highlight w:val="none"/>
        </w:rPr>
        <w:t>所提供的软硬件或其任何一部分均不会侵犯任何第三方的知识产权。</w:t>
      </w:r>
    </w:p>
    <w:p w14:paraId="19024B6C">
      <w:pPr>
        <w:pStyle w:val="2"/>
        <w:keepNext w:val="0"/>
        <w:keepLines w:val="0"/>
        <w:pageBreakBefore w:val="0"/>
        <w:numPr>
          <w:ilvl w:val="255"/>
          <w:numId w:val="0"/>
        </w:numPr>
        <w:kinsoku/>
        <w:wordWrap/>
        <w:overflowPunct/>
        <w:topLinePunct w:val="0"/>
        <w:bidi w:val="0"/>
        <w:spacing w:line="300" w:lineRule="auto"/>
        <w:ind w:left="0" w:right="0" w:rightChars="0" w:firstLine="0" w:firstLineChars="0"/>
        <w:textAlignment w:val="auto"/>
        <w:rPr>
          <w:rFonts w:hint="eastAsia" w:ascii="宋体" w:hAnsi="宋体" w:eastAsia="宋体" w:cs="宋体"/>
          <w:b/>
          <w:bCs/>
          <w:color w:val="auto"/>
          <w:sz w:val="24"/>
          <w:highlight w:val="none"/>
        </w:rPr>
      </w:pPr>
      <w:r>
        <w:rPr>
          <w:rFonts w:hint="eastAsia" w:ascii="宋体" w:hAnsi="宋体" w:eastAsia="宋体" w:cs="宋体"/>
          <w:b w:val="0"/>
          <w:bCs w:val="0"/>
          <w:color w:val="auto"/>
          <w:sz w:val="24"/>
          <w:highlight w:val="none"/>
        </w:rPr>
        <w:t>2.若侵犯,由乙方赔偿甲方因此遭受的损失（包括但不限于应对及追偿过程中所支付的律师费、差旅费、诉讼费、保全费、鉴定费、评估费等）。</w:t>
      </w:r>
    </w:p>
    <w:p w14:paraId="2B20B076">
      <w:pPr>
        <w:pStyle w:val="2"/>
        <w:keepNext w:val="0"/>
        <w:keepLines w:val="0"/>
        <w:pageBreakBefore w:val="0"/>
        <w:numPr>
          <w:ilvl w:val="255"/>
          <w:numId w:val="0"/>
        </w:numPr>
        <w:kinsoku/>
        <w:wordWrap/>
        <w:overflowPunct/>
        <w:topLinePunct w:val="0"/>
        <w:bidi w:val="0"/>
        <w:spacing w:line="300" w:lineRule="auto"/>
        <w:ind w:left="0" w:right="0" w:rightChars="0" w:firstLine="0" w:firstLineChars="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六、产权担保</w:t>
      </w:r>
    </w:p>
    <w:p w14:paraId="0BC85B68">
      <w:pPr>
        <w:pStyle w:val="2"/>
        <w:keepNext w:val="0"/>
        <w:keepLines w:val="0"/>
        <w:pageBreakBefore w:val="0"/>
        <w:numPr>
          <w:ilvl w:val="255"/>
          <w:numId w:val="0"/>
        </w:numPr>
        <w:kinsoku/>
        <w:wordWrap/>
        <w:overflowPunct/>
        <w:topLinePunct w:val="0"/>
        <w:bidi w:val="0"/>
        <w:spacing w:line="300" w:lineRule="auto"/>
        <w:ind w:left="0" w:right="0" w:rightChars="0" w:firstLine="0" w:firstLineChars="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乙方保证所交付软硬件的所有权完全属于乙方且无任何抵押、查封等产权瑕疵。</w:t>
      </w:r>
    </w:p>
    <w:p w14:paraId="75DF2EEB">
      <w:pPr>
        <w:pStyle w:val="2"/>
        <w:keepNext w:val="0"/>
        <w:keepLines w:val="0"/>
        <w:pageBreakBefore w:val="0"/>
        <w:numPr>
          <w:ilvl w:val="255"/>
          <w:numId w:val="0"/>
        </w:numPr>
        <w:kinsoku/>
        <w:wordWrap/>
        <w:overflowPunct/>
        <w:topLinePunct w:val="0"/>
        <w:bidi w:val="0"/>
        <w:spacing w:line="300" w:lineRule="auto"/>
        <w:ind w:left="0" w:right="0" w:rightChars="0" w:firstLine="0" w:firstLineChars="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七、履约保证金</w:t>
      </w:r>
    </w:p>
    <w:p w14:paraId="164015DB">
      <w:pPr>
        <w:pStyle w:val="2"/>
        <w:keepNext w:val="0"/>
        <w:keepLines w:val="0"/>
        <w:pageBreakBefore w:val="0"/>
        <w:numPr>
          <w:ilvl w:val="255"/>
          <w:numId w:val="0"/>
        </w:numPr>
        <w:kinsoku/>
        <w:wordWrap/>
        <w:overflowPunct/>
        <w:topLinePunct w:val="0"/>
        <w:bidi w:val="0"/>
        <w:spacing w:line="300" w:lineRule="auto"/>
        <w:ind w:left="0" w:right="0" w:rightChars="0" w:firstLine="0" w:firstLineChars="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履约保证金为合同金额的1%，</w:t>
      </w:r>
      <w:r>
        <w:rPr>
          <w:rFonts w:hint="eastAsia" w:ascii="宋体" w:hAnsi="宋体" w:eastAsia="宋体" w:cs="宋体"/>
          <w:b w:val="0"/>
          <w:bCs w:val="0"/>
          <w:color w:val="auto"/>
          <w:sz w:val="24"/>
          <w:highlight w:val="none"/>
          <w:lang w:val="en-US" w:eastAsia="zh-CN"/>
        </w:rPr>
        <w:t>乙方</w:t>
      </w:r>
      <w:r>
        <w:rPr>
          <w:rFonts w:hint="eastAsia" w:ascii="宋体" w:hAnsi="宋体" w:eastAsia="宋体" w:cs="宋体"/>
          <w:b w:val="0"/>
          <w:bCs w:val="0"/>
          <w:color w:val="auto"/>
          <w:sz w:val="24"/>
          <w:highlight w:val="none"/>
        </w:rPr>
        <w:t>自收到中标通知书之日起3个工作日内向</w:t>
      </w:r>
      <w:r>
        <w:rPr>
          <w:rFonts w:hint="eastAsia" w:ascii="宋体" w:hAnsi="宋体" w:eastAsia="宋体" w:cs="宋体"/>
          <w:b w:val="0"/>
          <w:bCs w:val="0"/>
          <w:color w:val="auto"/>
          <w:sz w:val="24"/>
          <w:highlight w:val="none"/>
          <w:lang w:val="en-US" w:eastAsia="zh-CN"/>
        </w:rPr>
        <w:t>甲方</w:t>
      </w:r>
      <w:r>
        <w:rPr>
          <w:rFonts w:hint="eastAsia" w:ascii="宋体" w:hAnsi="宋体" w:eastAsia="宋体" w:cs="宋体"/>
          <w:b w:val="0"/>
          <w:bCs w:val="0"/>
          <w:color w:val="auto"/>
          <w:sz w:val="24"/>
          <w:highlight w:val="none"/>
        </w:rPr>
        <w:t>提交（履约保证金可采用网上银行转账、保函、支票、汇票、本票等形式），</w:t>
      </w:r>
      <w:r>
        <w:rPr>
          <w:rFonts w:hint="eastAsia" w:hAnsi="宋体" w:cs="宋体"/>
          <w:b w:val="0"/>
          <w:bCs w:val="0"/>
          <w:color w:val="auto"/>
          <w:sz w:val="24"/>
          <w:highlight w:val="none"/>
          <w:lang w:eastAsia="zh-CN"/>
        </w:rPr>
        <w:t>服务期</w:t>
      </w:r>
      <w:r>
        <w:rPr>
          <w:rFonts w:hint="eastAsia" w:ascii="宋体" w:hAnsi="宋体" w:eastAsia="宋体" w:cs="宋体"/>
          <w:b w:val="0"/>
          <w:bCs w:val="0"/>
          <w:color w:val="auto"/>
          <w:sz w:val="24"/>
          <w:highlight w:val="none"/>
        </w:rPr>
        <w:t>满后且无违约扣除情况后30个工作日内无息退还。</w:t>
      </w:r>
    </w:p>
    <w:p w14:paraId="1B55FC4A">
      <w:pPr>
        <w:pStyle w:val="2"/>
        <w:keepNext w:val="0"/>
        <w:keepLines w:val="0"/>
        <w:pageBreakBefore w:val="0"/>
        <w:numPr>
          <w:ilvl w:val="255"/>
          <w:numId w:val="0"/>
        </w:numPr>
        <w:kinsoku/>
        <w:wordWrap/>
        <w:overflowPunct/>
        <w:topLinePunct w:val="0"/>
        <w:bidi w:val="0"/>
        <w:spacing w:line="300" w:lineRule="auto"/>
        <w:ind w:left="0" w:right="0" w:rightChars="0" w:firstLine="0" w:firstLineChars="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八、转包或分包</w:t>
      </w:r>
    </w:p>
    <w:p w14:paraId="714EC43D">
      <w:pPr>
        <w:pStyle w:val="2"/>
        <w:keepNext w:val="0"/>
        <w:keepLines w:val="0"/>
        <w:pageBreakBefore w:val="0"/>
        <w:numPr>
          <w:ilvl w:val="255"/>
          <w:numId w:val="0"/>
        </w:numPr>
        <w:kinsoku/>
        <w:wordWrap/>
        <w:overflowPunct/>
        <w:topLinePunct w:val="0"/>
        <w:bidi w:val="0"/>
        <w:spacing w:line="300" w:lineRule="auto"/>
        <w:ind w:left="0" w:right="0" w:rightChars="0" w:firstLine="0" w:firstLineChars="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1.本合同范围的软硬件，应由乙方直接供应，不得转让他人供应；</w:t>
      </w:r>
    </w:p>
    <w:p w14:paraId="494BB2D7">
      <w:pPr>
        <w:pStyle w:val="2"/>
        <w:keepNext w:val="0"/>
        <w:keepLines w:val="0"/>
        <w:pageBreakBefore w:val="0"/>
        <w:numPr>
          <w:ilvl w:val="255"/>
          <w:numId w:val="0"/>
        </w:numPr>
        <w:kinsoku/>
        <w:wordWrap/>
        <w:overflowPunct/>
        <w:topLinePunct w:val="0"/>
        <w:bidi w:val="0"/>
        <w:spacing w:line="300" w:lineRule="auto"/>
        <w:ind w:left="0" w:right="0" w:rightChars="0" w:firstLine="0" w:firstLineChars="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2.如有转让和未经甲方同意的分包行为，甲方有权解除合同，并按本合同第十</w:t>
      </w:r>
      <w:r>
        <w:rPr>
          <w:rFonts w:hint="eastAsia" w:ascii="宋体" w:hAnsi="宋体" w:eastAsia="宋体" w:cs="宋体"/>
          <w:b w:val="0"/>
          <w:bCs w:val="0"/>
          <w:color w:val="auto"/>
          <w:sz w:val="24"/>
          <w:highlight w:val="none"/>
          <w:lang w:val="en-US" w:eastAsia="zh-CN"/>
        </w:rPr>
        <w:t>三</w:t>
      </w:r>
      <w:r>
        <w:rPr>
          <w:rFonts w:hint="eastAsia" w:ascii="宋体" w:hAnsi="宋体" w:eastAsia="宋体" w:cs="宋体"/>
          <w:b w:val="0"/>
          <w:bCs w:val="0"/>
          <w:color w:val="auto"/>
          <w:sz w:val="24"/>
          <w:highlight w:val="none"/>
        </w:rPr>
        <w:t>条第三款追究乙方的违约责任。</w:t>
      </w:r>
    </w:p>
    <w:p w14:paraId="5BE7E205">
      <w:pPr>
        <w:pStyle w:val="2"/>
        <w:keepNext w:val="0"/>
        <w:keepLines w:val="0"/>
        <w:pageBreakBefore w:val="0"/>
        <w:numPr>
          <w:ilvl w:val="255"/>
          <w:numId w:val="0"/>
        </w:numPr>
        <w:kinsoku/>
        <w:wordWrap/>
        <w:overflowPunct/>
        <w:topLinePunct w:val="0"/>
        <w:bidi w:val="0"/>
        <w:spacing w:line="300" w:lineRule="auto"/>
        <w:ind w:left="0" w:right="0" w:rightChars="0" w:firstLine="0" w:firstLineChars="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九、</w:t>
      </w:r>
      <w:r>
        <w:rPr>
          <w:rFonts w:hint="eastAsia" w:ascii="宋体" w:hAnsi="宋体" w:eastAsia="宋体" w:cs="宋体"/>
          <w:b/>
          <w:bCs/>
          <w:color w:val="auto"/>
          <w:sz w:val="24"/>
          <w:highlight w:val="none"/>
          <w:lang w:eastAsia="zh-CN"/>
        </w:rPr>
        <w:t>服务期</w:t>
      </w:r>
    </w:p>
    <w:p w14:paraId="56599A4F">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合同签订后一年</w:t>
      </w:r>
    </w:p>
    <w:p w14:paraId="2AC08D14">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十</w:t>
      </w:r>
      <w:r>
        <w:rPr>
          <w:rFonts w:hint="eastAsia" w:ascii="宋体" w:hAnsi="宋体" w:eastAsia="宋体" w:cs="宋体"/>
          <w:b/>
          <w:bCs/>
          <w:color w:val="auto"/>
          <w:sz w:val="24"/>
          <w:highlight w:val="none"/>
        </w:rPr>
        <w:t>、款项支付：</w:t>
      </w:r>
    </w:p>
    <w:p w14:paraId="53E306C1">
      <w:pPr>
        <w:keepNext w:val="0"/>
        <w:keepLines w:val="0"/>
        <w:pageBreakBefore w:val="0"/>
        <w:widowControl w:val="0"/>
        <w:kinsoku/>
        <w:wordWrap/>
        <w:overflowPunct/>
        <w:topLinePunct w:val="0"/>
        <w:bidi w:val="0"/>
        <w:snapToGrid w:val="0"/>
        <w:spacing w:line="300" w:lineRule="auto"/>
        <w:ind w:left="0" w:right="0" w:rightChars="0" w:firstLine="0" w:firstLineChars="0"/>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合同签订后支付合同金额的40%作为预付款；</w:t>
      </w:r>
      <w:r>
        <w:rPr>
          <w:rFonts w:hint="eastAsia" w:ascii="宋体" w:hAnsi="宋体" w:cs="仿宋"/>
          <w:color w:val="auto"/>
          <w:sz w:val="24"/>
          <w:szCs w:val="24"/>
          <w:highlight w:val="none"/>
        </w:rPr>
        <w:t>服务期开始满6个月后</w:t>
      </w:r>
      <w:r>
        <w:rPr>
          <w:rFonts w:hint="eastAsia" w:ascii="宋体" w:hAnsi="宋体" w:eastAsia="宋体" w:cs="宋体"/>
          <w:b w:val="0"/>
          <w:bCs w:val="0"/>
          <w:color w:val="auto"/>
          <w:sz w:val="24"/>
          <w:highlight w:val="none"/>
        </w:rPr>
        <w:t>，</w:t>
      </w:r>
      <w:r>
        <w:rPr>
          <w:rFonts w:hint="eastAsia" w:ascii="宋体" w:hAnsi="宋体" w:cs="仿宋"/>
          <w:color w:val="auto"/>
          <w:sz w:val="24"/>
          <w:szCs w:val="24"/>
          <w:highlight w:val="none"/>
        </w:rPr>
        <w:t>支付合同金额的20%；服务期满且终验通过后</w:t>
      </w:r>
      <w:r>
        <w:rPr>
          <w:rFonts w:hint="eastAsia" w:ascii="宋体" w:hAnsi="宋体" w:cs="仿宋"/>
          <w:color w:val="auto"/>
          <w:sz w:val="24"/>
          <w:szCs w:val="24"/>
          <w:highlight w:val="none"/>
          <w:lang w:eastAsia="zh-CN"/>
        </w:rPr>
        <w:t>，</w:t>
      </w:r>
      <w:r>
        <w:rPr>
          <w:rFonts w:hint="eastAsia" w:ascii="宋体" w:hAnsi="宋体" w:eastAsia="宋体" w:cs="宋体"/>
          <w:b w:val="0"/>
          <w:bCs w:val="0"/>
          <w:color w:val="auto"/>
          <w:sz w:val="24"/>
          <w:highlight w:val="none"/>
        </w:rPr>
        <w:t>扣除相应服务不到位等违约金后，支付合同剩余</w:t>
      </w:r>
      <w:r>
        <w:rPr>
          <w:rFonts w:hint="eastAsia" w:ascii="宋体" w:hAnsi="宋体" w:eastAsia="宋体" w:cs="宋体"/>
          <w:b w:val="0"/>
          <w:bCs w:val="0"/>
          <w:color w:val="auto"/>
          <w:sz w:val="24"/>
          <w:highlight w:val="none"/>
          <w:lang w:val="en-US" w:eastAsia="zh-CN"/>
        </w:rPr>
        <w:t>金额</w:t>
      </w:r>
      <w:r>
        <w:rPr>
          <w:rFonts w:hint="eastAsia" w:ascii="宋体" w:hAnsi="宋体" w:eastAsia="宋体" w:cs="宋体"/>
          <w:b w:val="0"/>
          <w:bCs w:val="0"/>
          <w:color w:val="auto"/>
          <w:sz w:val="24"/>
          <w:highlight w:val="none"/>
        </w:rPr>
        <w:t>。（以上付款条件是在</w:t>
      </w:r>
      <w:r>
        <w:rPr>
          <w:rFonts w:hint="eastAsia" w:ascii="宋体" w:hAnsi="宋体" w:eastAsia="宋体" w:cs="宋体"/>
          <w:b w:val="0"/>
          <w:bCs w:val="0"/>
          <w:color w:val="auto"/>
          <w:sz w:val="24"/>
          <w:highlight w:val="none"/>
          <w:lang w:val="en-US" w:eastAsia="zh-CN"/>
        </w:rPr>
        <w:t>甲方</w:t>
      </w:r>
      <w:r>
        <w:rPr>
          <w:rFonts w:hint="eastAsia" w:ascii="宋体" w:hAnsi="宋体" w:eastAsia="宋体" w:cs="宋体"/>
          <w:b w:val="0"/>
          <w:bCs w:val="0"/>
          <w:color w:val="auto"/>
          <w:sz w:val="24"/>
          <w:highlight w:val="none"/>
        </w:rPr>
        <w:t>所在地财政资金下达且收到</w:t>
      </w:r>
      <w:r>
        <w:rPr>
          <w:rFonts w:hint="eastAsia" w:ascii="宋体" w:hAnsi="宋体" w:eastAsia="宋体" w:cs="宋体"/>
          <w:b w:val="0"/>
          <w:bCs w:val="0"/>
          <w:color w:val="auto"/>
          <w:sz w:val="24"/>
          <w:highlight w:val="none"/>
          <w:lang w:val="en-US" w:eastAsia="zh-CN"/>
        </w:rPr>
        <w:t>乙方</w:t>
      </w:r>
      <w:r>
        <w:rPr>
          <w:rFonts w:hint="eastAsia" w:ascii="宋体" w:hAnsi="宋体" w:eastAsia="宋体" w:cs="宋体"/>
          <w:b w:val="0"/>
          <w:bCs w:val="0"/>
          <w:color w:val="auto"/>
          <w:sz w:val="24"/>
          <w:highlight w:val="none"/>
        </w:rPr>
        <w:t>正式发票后7个工作日内支付</w:t>
      </w:r>
      <w:r>
        <w:rPr>
          <w:rFonts w:hint="eastAsia" w:ascii="宋体" w:hAnsi="宋体" w:eastAsia="宋体" w:cs="宋体"/>
          <w:b w:val="0"/>
          <w:bCs w:val="0"/>
          <w:color w:val="auto"/>
          <w:sz w:val="24"/>
          <w:highlight w:val="none"/>
          <w:lang w:eastAsia="zh-CN"/>
        </w:rPr>
        <w:t>）</w:t>
      </w:r>
    </w:p>
    <w:p w14:paraId="4A170179">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十一</w:t>
      </w:r>
      <w:r>
        <w:rPr>
          <w:rFonts w:hint="eastAsia" w:ascii="宋体" w:hAnsi="宋体" w:eastAsia="宋体" w:cs="宋体"/>
          <w:b/>
          <w:color w:val="auto"/>
          <w:sz w:val="24"/>
          <w:highlight w:val="none"/>
        </w:rPr>
        <w:t>、税费</w:t>
      </w:r>
    </w:p>
    <w:p w14:paraId="5D8318EF">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本合同执行中相关的一切税费均由乙方负担。</w:t>
      </w:r>
    </w:p>
    <w:p w14:paraId="0E847A79">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十二、</w:t>
      </w:r>
      <w:r>
        <w:rPr>
          <w:rFonts w:hint="eastAsia" w:ascii="宋体" w:hAnsi="宋体" w:eastAsia="宋体" w:cs="宋体"/>
          <w:b/>
          <w:color w:val="auto"/>
          <w:sz w:val="24"/>
          <w:highlight w:val="none"/>
        </w:rPr>
        <w:t>质量保证及后续服务</w:t>
      </w:r>
    </w:p>
    <w:p w14:paraId="7D193BE9">
      <w:pPr>
        <w:pStyle w:val="21"/>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.乙方应按招标文件规定的货物性能、技术要求、质量标准向甲方提供未经使用的全新产品。</w:t>
      </w:r>
    </w:p>
    <w:p w14:paraId="0C8D5F06">
      <w:pPr>
        <w:pStyle w:val="21"/>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2.乙方提供的成果在质保期内因本身的质量问题发生故障，乙方应负责免费提供后续服务。对达不到技术要求者，根据实际情况，经双方协商，可按以下办法处理：</w:t>
      </w:r>
    </w:p>
    <w:p w14:paraId="39030EFF">
      <w:pPr>
        <w:pStyle w:val="21"/>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⑴重做：由乙方承担所发生的全部费用。</w:t>
      </w:r>
    </w:p>
    <w:p w14:paraId="4BE09BF3">
      <w:pPr>
        <w:pStyle w:val="21"/>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⑵贬值处理：由甲乙双方合议定价。</w:t>
      </w:r>
    </w:p>
    <w:p w14:paraId="5CFB1343">
      <w:pPr>
        <w:pStyle w:val="21"/>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⑶退货处理：乙方应退还甲方支付的合同款，同时应承担该货物的直接费用（运输、清洗、保险、检验、货款利息及银行手续费等）。</w:t>
      </w:r>
    </w:p>
    <w:p w14:paraId="389BBCFC">
      <w:pPr>
        <w:pStyle w:val="21"/>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上述三种方式如协商不成，甲方有权直接自行选择上述三项处理方式任一项进行处理，乙方不得异议。</w:t>
      </w:r>
    </w:p>
    <w:p w14:paraId="02AFB0D8">
      <w:pPr>
        <w:pStyle w:val="21"/>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3.质保期内，乙方应对成果出现的质量及安全问题负责处理解决并承担一切</w:t>
      </w:r>
    </w:p>
    <w:p w14:paraId="231E008D">
      <w:pPr>
        <w:pStyle w:val="21"/>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费用。</w:t>
      </w:r>
    </w:p>
    <w:p w14:paraId="24F44FE6">
      <w:pPr>
        <w:pStyle w:val="21"/>
        <w:keepNext w:val="0"/>
        <w:keepLines w:val="0"/>
        <w:pageBreakBefore w:val="0"/>
        <w:numPr>
          <w:ilvl w:val="0"/>
          <w:numId w:val="0"/>
        </w:numPr>
        <w:kinsoku/>
        <w:wordWrap/>
        <w:overflowPunct/>
        <w:topLinePunct w:val="0"/>
        <w:bidi w:val="0"/>
        <w:spacing w:line="300" w:lineRule="auto"/>
        <w:ind w:right="0" w:right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4.如乙方不能按约定履行质量保证及售后服务的，甲方可委托第三方代替乙方履行，费用由乙方承担。</w:t>
      </w:r>
    </w:p>
    <w:p w14:paraId="6F062206">
      <w:pPr>
        <w:pStyle w:val="21"/>
        <w:keepNext w:val="0"/>
        <w:keepLines w:val="0"/>
        <w:pageBreakBefore w:val="0"/>
        <w:numPr>
          <w:ilvl w:val="0"/>
          <w:numId w:val="0"/>
        </w:numPr>
        <w:kinsoku/>
        <w:wordWrap/>
        <w:overflowPunct/>
        <w:topLinePunct w:val="0"/>
        <w:bidi w:val="0"/>
        <w:spacing w:line="300" w:lineRule="auto"/>
        <w:ind w:right="0" w:rightChars="0"/>
        <w:textAlignment w:val="auto"/>
        <w:rPr>
          <w:rFonts w:hint="eastAsia" w:ascii="宋体" w:hAnsi="宋体" w:cs="仿宋"/>
          <w:color w:val="auto"/>
          <w:sz w:val="24"/>
          <w:highlight w:val="none"/>
          <w:lang w:eastAsia="zh-CN"/>
        </w:rPr>
      </w:pPr>
      <w:r>
        <w:rPr>
          <w:rFonts w:hint="eastAsia" w:ascii="宋体" w:hAnsi="宋体" w:eastAsia="宋体" w:cs="宋体"/>
          <w:color w:val="auto"/>
          <w:sz w:val="24"/>
          <w:highlight w:val="none"/>
          <w:lang w:val="en-US" w:eastAsia="zh-CN"/>
        </w:rPr>
        <w:t>5.</w:t>
      </w:r>
      <w:r>
        <w:rPr>
          <w:rFonts w:hint="eastAsia" w:ascii="宋体" w:hAnsi="宋体" w:cs="仿宋"/>
          <w:color w:val="auto"/>
          <w:sz w:val="24"/>
          <w:highlight w:val="none"/>
        </w:rPr>
        <w:t>服务响应要求</w:t>
      </w:r>
      <w:r>
        <w:rPr>
          <w:rFonts w:hint="eastAsia" w:ascii="宋体" w:hAnsi="宋体" w:cs="仿宋"/>
          <w:color w:val="auto"/>
          <w:sz w:val="24"/>
          <w:highlight w:val="none"/>
          <w:lang w:eastAsia="zh-CN"/>
        </w:rPr>
        <w:t>：</w:t>
      </w:r>
    </w:p>
    <w:p w14:paraId="2A463677">
      <w:pPr>
        <w:pStyle w:val="21"/>
        <w:keepNext w:val="0"/>
        <w:keepLines w:val="0"/>
        <w:pageBreakBefore w:val="0"/>
        <w:numPr>
          <w:ilvl w:val="0"/>
          <w:numId w:val="0"/>
        </w:numPr>
        <w:kinsoku/>
        <w:wordWrap/>
        <w:overflowPunct/>
        <w:topLinePunct w:val="0"/>
        <w:bidi w:val="0"/>
        <w:spacing w:line="300" w:lineRule="auto"/>
        <w:ind w:right="0" w:right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（1）乙方提供驻场式服务，达到100%的用户响应度。对于服务请求，在工作时间内1小时响应，一般问题4个小时内解决。维护服务用户满意度不低于95% 。</w:t>
      </w:r>
    </w:p>
    <w:p w14:paraId="69FD2585">
      <w:pPr>
        <w:pStyle w:val="21"/>
        <w:keepNext w:val="0"/>
        <w:keepLines w:val="0"/>
        <w:pageBreakBefore w:val="0"/>
        <w:numPr>
          <w:ilvl w:val="0"/>
          <w:numId w:val="0"/>
        </w:numPr>
        <w:kinsoku/>
        <w:wordWrap/>
        <w:overflowPunct/>
        <w:topLinePunct w:val="0"/>
        <w:bidi w:val="0"/>
        <w:spacing w:line="300" w:lineRule="auto"/>
        <w:ind w:right="0" w:right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（2）乙方提供5*8小时服务。8小时之外、双休日、节假日必须提供热线或电话支持服务，并安排人员值班，如有需要，须现场解决。</w:t>
      </w:r>
    </w:p>
    <w:p w14:paraId="5AA253B8">
      <w:pPr>
        <w:pStyle w:val="21"/>
        <w:keepNext w:val="0"/>
        <w:keepLines w:val="0"/>
        <w:pageBreakBefore w:val="0"/>
        <w:numPr>
          <w:ilvl w:val="0"/>
          <w:numId w:val="0"/>
        </w:numPr>
        <w:kinsoku/>
        <w:wordWrap/>
        <w:overflowPunct/>
        <w:topLinePunct w:val="0"/>
        <w:bidi w:val="0"/>
        <w:spacing w:line="300" w:lineRule="auto"/>
        <w:ind w:right="0" w:right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（3）所谓响应即为乙方技术员接到用户报障赶往现场处理。</w:t>
      </w:r>
    </w:p>
    <w:p w14:paraId="4E82644F">
      <w:pPr>
        <w:pStyle w:val="21"/>
        <w:keepNext w:val="0"/>
        <w:keepLines w:val="0"/>
        <w:pageBreakBefore w:val="0"/>
        <w:numPr>
          <w:ilvl w:val="0"/>
          <w:numId w:val="0"/>
        </w:numPr>
        <w:kinsoku/>
        <w:wordWrap/>
        <w:overflowPunct/>
        <w:topLinePunct w:val="0"/>
        <w:bidi w:val="0"/>
        <w:spacing w:line="300" w:lineRule="auto"/>
        <w:ind w:right="0" w:right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（4）工作时间内，一般问题4小时内予以解决；</w:t>
      </w:r>
    </w:p>
    <w:p w14:paraId="02648815">
      <w:pPr>
        <w:pStyle w:val="21"/>
        <w:keepNext w:val="0"/>
        <w:keepLines w:val="0"/>
        <w:pageBreakBefore w:val="0"/>
        <w:numPr>
          <w:ilvl w:val="0"/>
          <w:numId w:val="0"/>
        </w:numPr>
        <w:kinsoku/>
        <w:wordWrap/>
        <w:overflowPunct/>
        <w:topLinePunct w:val="0"/>
        <w:bidi w:val="0"/>
        <w:spacing w:line="300" w:lineRule="auto"/>
        <w:ind w:right="0" w:right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（5）市局下属单位的网络问题应在24小时内予以解决（房间面板到桌面部份，配合科信做好整体网络排障）。</w:t>
      </w:r>
    </w:p>
    <w:p w14:paraId="3BBD5B50">
      <w:pPr>
        <w:pStyle w:val="21"/>
        <w:keepNext w:val="0"/>
        <w:keepLines w:val="0"/>
        <w:pageBreakBefore w:val="0"/>
        <w:numPr>
          <w:ilvl w:val="0"/>
          <w:numId w:val="0"/>
        </w:numPr>
        <w:kinsoku/>
        <w:wordWrap/>
        <w:overflowPunct/>
        <w:topLinePunct w:val="0"/>
        <w:bidi w:val="0"/>
        <w:spacing w:line="300" w:lineRule="auto"/>
        <w:ind w:right="0" w:right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（6）特殊情况下，乙方必须承诺增加技术人员，确保按时保质保量地维护好设备和系统的稳定正常运行。</w:t>
      </w:r>
    </w:p>
    <w:p w14:paraId="50B2BBB4">
      <w:pPr>
        <w:pStyle w:val="21"/>
        <w:keepNext w:val="0"/>
        <w:keepLines w:val="0"/>
        <w:pageBreakBefore w:val="0"/>
        <w:numPr>
          <w:ilvl w:val="0"/>
          <w:numId w:val="0"/>
        </w:numPr>
        <w:kinsoku/>
        <w:wordWrap/>
        <w:overflowPunct/>
        <w:topLinePunct w:val="0"/>
        <w:bidi w:val="0"/>
        <w:spacing w:line="300" w:lineRule="auto"/>
        <w:ind w:right="0" w:right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（7）做好用户网络开通的登记及资料整理。</w:t>
      </w:r>
    </w:p>
    <w:p w14:paraId="6F0506BA">
      <w:pPr>
        <w:pStyle w:val="21"/>
        <w:keepNext w:val="0"/>
        <w:keepLines w:val="0"/>
        <w:pageBreakBefore w:val="0"/>
        <w:numPr>
          <w:ilvl w:val="0"/>
          <w:numId w:val="0"/>
        </w:numPr>
        <w:kinsoku/>
        <w:wordWrap/>
        <w:overflowPunct/>
        <w:topLinePunct w:val="0"/>
        <w:bidi w:val="0"/>
        <w:spacing w:line="300" w:lineRule="auto"/>
        <w:ind w:right="0" w:right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6.考核标准：</w:t>
      </w:r>
    </w:p>
    <w:p w14:paraId="07BB5F12">
      <w:pPr>
        <w:keepNext w:val="0"/>
        <w:keepLines w:val="0"/>
        <w:pageBreakBefore w:val="0"/>
        <w:widowControl w:val="0"/>
        <w:kinsoku/>
        <w:wordWrap/>
        <w:overflowPunct/>
        <w:topLinePunct w:val="0"/>
        <w:autoSpaceDE/>
        <w:autoSpaceDN/>
        <w:bidi w:val="0"/>
        <w:adjustRightInd/>
        <w:snapToGrid/>
        <w:spacing w:line="300" w:lineRule="auto"/>
        <w:ind w:right="0" w:righ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（1）服务请求提出后，乙方未按时响应的每次扣100元；连续两个月响应度未达到100%的，扣5000元；连续三个月响应度未达到100%的，终止维护合同；</w:t>
      </w:r>
    </w:p>
    <w:p w14:paraId="62E779C2">
      <w:pPr>
        <w:keepNext w:val="0"/>
        <w:keepLines w:val="0"/>
        <w:pageBreakBefore w:val="0"/>
        <w:widowControl w:val="0"/>
        <w:kinsoku/>
        <w:wordWrap/>
        <w:overflowPunct/>
        <w:topLinePunct w:val="0"/>
        <w:autoSpaceDE/>
        <w:autoSpaceDN/>
        <w:bidi w:val="0"/>
        <w:adjustRightInd/>
        <w:snapToGrid/>
        <w:spacing w:line="300" w:lineRule="auto"/>
        <w:ind w:right="0" w:righ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（2）每个月的故障解决率达不到98%的，每下降一个百分点扣500元；连续三个月的故障解决率达不到98%的，终止维护合同；</w:t>
      </w:r>
    </w:p>
    <w:p w14:paraId="11CB7CC5">
      <w:pPr>
        <w:keepNext w:val="0"/>
        <w:keepLines w:val="0"/>
        <w:pageBreakBefore w:val="0"/>
        <w:widowControl w:val="0"/>
        <w:kinsoku/>
        <w:wordWrap/>
        <w:overflowPunct/>
        <w:topLinePunct w:val="0"/>
        <w:autoSpaceDE/>
        <w:autoSpaceDN/>
        <w:bidi w:val="0"/>
        <w:adjustRightInd/>
        <w:snapToGrid/>
        <w:spacing w:line="300" w:lineRule="auto"/>
        <w:ind w:right="0" w:righ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（3）每个月的用户满意率达不到95%的，每下降一个百分点扣500元；连续三个月的用户满意率达不到95%的，终止维护合同；</w:t>
      </w:r>
    </w:p>
    <w:p w14:paraId="17174DDF">
      <w:pPr>
        <w:keepNext w:val="0"/>
        <w:keepLines w:val="0"/>
        <w:pageBreakBefore w:val="0"/>
        <w:widowControl w:val="0"/>
        <w:kinsoku/>
        <w:wordWrap/>
        <w:overflowPunct/>
        <w:topLinePunct w:val="0"/>
        <w:autoSpaceDE/>
        <w:autoSpaceDN/>
        <w:bidi w:val="0"/>
        <w:adjustRightInd/>
        <w:snapToGrid/>
        <w:spacing w:line="300" w:lineRule="auto"/>
        <w:ind w:right="0" w:righ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（4）维护人员在维护过程中不得发生一机两用违规外联的情况，第一次发生一机两用违规外联扣10000元，第二次发生一机两用违规外联则终止维护合同；</w:t>
      </w:r>
    </w:p>
    <w:p w14:paraId="79FBD711">
      <w:pPr>
        <w:keepNext w:val="0"/>
        <w:keepLines w:val="0"/>
        <w:pageBreakBefore w:val="0"/>
        <w:widowControl w:val="0"/>
        <w:kinsoku/>
        <w:wordWrap/>
        <w:overflowPunct/>
        <w:topLinePunct w:val="0"/>
        <w:autoSpaceDE/>
        <w:autoSpaceDN/>
        <w:bidi w:val="0"/>
        <w:adjustRightInd/>
        <w:snapToGrid/>
        <w:spacing w:line="300" w:lineRule="auto"/>
        <w:ind w:right="0" w:righ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（5）不维护</w:t>
      </w:r>
      <w:r>
        <w:rPr>
          <w:rFonts w:hint="eastAsia" w:ascii="宋体" w:hAnsi="宋体" w:cs="宋体"/>
          <w:color w:val="auto"/>
          <w:kern w:val="2"/>
          <w:sz w:val="24"/>
          <w:szCs w:val="24"/>
          <w:highlight w:val="none"/>
          <w:lang w:val="en-US" w:eastAsia="zh-CN" w:bidi="ar-SA"/>
        </w:rPr>
        <w:t>驻点人员</w:t>
      </w:r>
      <w:r>
        <w:rPr>
          <w:rFonts w:hint="eastAsia" w:ascii="宋体" w:hAnsi="宋体" w:eastAsia="宋体" w:cs="宋体"/>
          <w:color w:val="auto"/>
          <w:kern w:val="2"/>
          <w:sz w:val="24"/>
          <w:szCs w:val="24"/>
          <w:highlight w:val="none"/>
          <w:lang w:val="en-US" w:eastAsia="zh-CN" w:bidi="ar-SA"/>
        </w:rPr>
        <w:t>应遵守公安局相关考勤规定，不迟到、不早退；月度内不能保障3人的维护</w:t>
      </w:r>
      <w:r>
        <w:rPr>
          <w:rFonts w:hint="eastAsia" w:ascii="宋体" w:hAnsi="宋体" w:cs="宋体"/>
          <w:color w:val="auto"/>
          <w:kern w:val="2"/>
          <w:sz w:val="24"/>
          <w:szCs w:val="24"/>
          <w:highlight w:val="none"/>
          <w:lang w:val="en-US" w:eastAsia="zh-CN" w:bidi="ar-SA"/>
        </w:rPr>
        <w:t>驻点人员</w:t>
      </w:r>
      <w:r>
        <w:rPr>
          <w:rFonts w:hint="eastAsia" w:ascii="宋体" w:hAnsi="宋体" w:eastAsia="宋体" w:cs="宋体"/>
          <w:color w:val="auto"/>
          <w:kern w:val="2"/>
          <w:sz w:val="24"/>
          <w:szCs w:val="24"/>
          <w:highlight w:val="none"/>
          <w:lang w:val="en-US" w:eastAsia="zh-CN" w:bidi="ar-SA"/>
        </w:rPr>
        <w:t>力量达到10日以上的，终止维护合同；</w:t>
      </w:r>
    </w:p>
    <w:p w14:paraId="26D753B9">
      <w:pPr>
        <w:keepNext w:val="0"/>
        <w:keepLines w:val="0"/>
        <w:pageBreakBefore w:val="0"/>
        <w:widowControl w:val="0"/>
        <w:kinsoku/>
        <w:wordWrap/>
        <w:overflowPunct/>
        <w:topLinePunct w:val="0"/>
        <w:autoSpaceDE/>
        <w:autoSpaceDN/>
        <w:bidi w:val="0"/>
        <w:adjustRightInd/>
        <w:snapToGrid/>
        <w:spacing w:line="300" w:lineRule="auto"/>
        <w:ind w:right="0" w:righ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（6）维护</w:t>
      </w:r>
      <w:r>
        <w:rPr>
          <w:rFonts w:hint="eastAsia" w:ascii="宋体" w:hAnsi="宋体" w:cs="宋体"/>
          <w:color w:val="auto"/>
          <w:kern w:val="2"/>
          <w:sz w:val="24"/>
          <w:szCs w:val="24"/>
          <w:highlight w:val="none"/>
          <w:lang w:val="en-US" w:eastAsia="zh-CN" w:bidi="ar-SA"/>
        </w:rPr>
        <w:t>驻点人员</w:t>
      </w:r>
      <w:r>
        <w:rPr>
          <w:rFonts w:hint="eastAsia" w:ascii="宋体" w:hAnsi="宋体" w:eastAsia="宋体" w:cs="宋体"/>
          <w:color w:val="auto"/>
          <w:kern w:val="2"/>
          <w:sz w:val="24"/>
          <w:szCs w:val="24"/>
          <w:highlight w:val="none"/>
          <w:lang w:val="en-US" w:eastAsia="zh-CN" w:bidi="ar-SA"/>
        </w:rPr>
        <w:t>应遵守公安局相关规定，不得在上班期间玩游戏、炒股，发现一次扣100元，被督察、纪委或上级部门查到上述问题并通报的，扣500元；上述情况在年度内累计出现6次以上的，终止维护合同；</w:t>
      </w:r>
    </w:p>
    <w:p w14:paraId="2242ADF7">
      <w:pPr>
        <w:keepNext w:val="0"/>
        <w:keepLines w:val="0"/>
        <w:pageBreakBefore w:val="0"/>
        <w:widowControl w:val="0"/>
        <w:kinsoku/>
        <w:wordWrap/>
        <w:overflowPunct/>
        <w:topLinePunct w:val="0"/>
        <w:autoSpaceDE/>
        <w:autoSpaceDN/>
        <w:bidi w:val="0"/>
        <w:adjustRightInd/>
        <w:snapToGrid/>
        <w:spacing w:line="300" w:lineRule="auto"/>
        <w:ind w:right="0" w:righ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（7）公安网计算机的操作系统补丁打全率、杀毒软件安装率、敏感信息条数、计算机弱口令需达到规定要求，其中任一项没达到要求被通报的，每项扣2000元；连续3次被通报的，终止维护合同；</w:t>
      </w:r>
    </w:p>
    <w:p w14:paraId="7422D89A">
      <w:pPr>
        <w:pStyle w:val="21"/>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firstLine="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（8）驻场维护人员遵守相关保密协议，造成机房系统信息泄露或者公安网信息泄露的，除拒付合同款外，严重的追究相关法律责任。。</w:t>
      </w:r>
    </w:p>
    <w:p w14:paraId="7F9AA032">
      <w:pPr>
        <w:pStyle w:val="21"/>
        <w:keepNext w:val="0"/>
        <w:keepLines w:val="0"/>
        <w:pageBreakBefore w:val="0"/>
        <w:numPr>
          <w:ilvl w:val="0"/>
          <w:numId w:val="0"/>
        </w:numPr>
        <w:kinsoku/>
        <w:wordWrap/>
        <w:overflowPunct/>
        <w:topLinePunct w:val="0"/>
        <w:bidi w:val="0"/>
        <w:spacing w:line="300" w:lineRule="auto"/>
        <w:ind w:leftChars="0"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十三</w:t>
      </w:r>
      <w:r>
        <w:rPr>
          <w:rFonts w:hint="eastAsia" w:ascii="宋体" w:hAnsi="宋体" w:eastAsia="宋体" w:cs="宋体"/>
          <w:b/>
          <w:color w:val="auto"/>
          <w:sz w:val="24"/>
          <w:highlight w:val="none"/>
        </w:rPr>
        <w:t>、违约责任</w:t>
      </w:r>
    </w:p>
    <w:p w14:paraId="76FA0E6C">
      <w:pPr>
        <w:pStyle w:val="21"/>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1.甲方无正当理由拒绝验收的，甲方应向乙方支付合同总金额的百分之五违约金。</w:t>
      </w:r>
    </w:p>
    <w:p w14:paraId="5B0D7B9B">
      <w:pPr>
        <w:pStyle w:val="21"/>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2.方无故逾期验收和办理支付手续的,甲方应按逾期付款金额万分之五每日向乙方支付违约金。</w:t>
      </w:r>
    </w:p>
    <w:p w14:paraId="5B2957FE">
      <w:pPr>
        <w:pStyle w:val="21"/>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3.乙方逾期交付的，乙方应按合同总金额的千分之六每日向甲方支付违约金，由甲方从待支付款中扣除。逾期超过约定日期10个工作日不能交付的，甲方有权解除本合同。因乙方逾期交付或因其他违约行为导致甲方解除合同的，乙方应向甲方支付合同总金额的百分之五的违约金，还应退还甲方已支付的费用及承担自收取之日起至实际退还之日止按月利率2%计算的利息。如造成甲方损失超过上述费用的，超出部分由乙方继续承担赔偿责任。 </w:t>
      </w:r>
    </w:p>
    <w:p w14:paraId="590FEADF">
      <w:pPr>
        <w:pStyle w:val="21"/>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乙方提供的服务成果不符合合同规定及采购文件规定标准或不能使用的，甲方有权拒收，乙方愿意整改但逾期交付的，按乙方逾期交付处理。乙方拒绝整改的，甲方可单方面解除合同，并按本合同第十四条第三款追究乙方责任。</w:t>
      </w:r>
    </w:p>
    <w:p w14:paraId="36ED5B97">
      <w:pPr>
        <w:pStyle w:val="21"/>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5.若发生纠纷，由违约方赔偿守约方因纠纷所支付的费用（包括但不限于律师费、差旅费、诉讼费、保全费、鉴定费、评估费等）。</w:t>
      </w:r>
    </w:p>
    <w:p w14:paraId="20851A6F">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十四</w:t>
      </w:r>
      <w:r>
        <w:rPr>
          <w:rFonts w:hint="eastAsia" w:ascii="宋体" w:hAnsi="宋体" w:eastAsia="宋体" w:cs="宋体"/>
          <w:b/>
          <w:color w:val="auto"/>
          <w:sz w:val="24"/>
          <w:highlight w:val="none"/>
        </w:rPr>
        <w:t>、不可抗力事件处理</w:t>
      </w:r>
    </w:p>
    <w:p w14:paraId="418CC63E">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在合同有效期内，任何一方因不可抗力事件导致不能履行合同，则合同履行期可延长，其延长期与不可抗力影响期相同。</w:t>
      </w:r>
    </w:p>
    <w:p w14:paraId="0AE95AEF">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不可抗力事件发生后，应立即通知对方，并寄送有关权威机构出具的证明。</w:t>
      </w:r>
    </w:p>
    <w:p w14:paraId="4DD07CA1">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不可抗力事件延续120天以上，双方应通过友好协商，确定是否继续履行合同。</w:t>
      </w:r>
    </w:p>
    <w:p w14:paraId="6CCB9D7A">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w:t>
      </w:r>
      <w:r>
        <w:rPr>
          <w:rFonts w:hint="eastAsia" w:ascii="宋体" w:hAnsi="宋体" w:eastAsia="宋体" w:cs="宋体"/>
          <w:b/>
          <w:color w:val="auto"/>
          <w:sz w:val="24"/>
          <w:highlight w:val="none"/>
          <w:lang w:val="en-US" w:eastAsia="zh-CN"/>
        </w:rPr>
        <w:t>五</w:t>
      </w:r>
      <w:r>
        <w:rPr>
          <w:rFonts w:hint="eastAsia" w:ascii="宋体" w:hAnsi="宋体" w:eastAsia="宋体" w:cs="宋体"/>
          <w:b/>
          <w:color w:val="auto"/>
          <w:sz w:val="24"/>
          <w:highlight w:val="none"/>
        </w:rPr>
        <w:t>、诉讼</w:t>
      </w:r>
    </w:p>
    <w:p w14:paraId="5F6D0303">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双方在执行合同中所发生的一切争议，应通过友好协商解决。如协商不成，可向甲方所在地的人民法院起诉。</w:t>
      </w:r>
    </w:p>
    <w:p w14:paraId="46AFF9B9">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w:t>
      </w:r>
      <w:r>
        <w:rPr>
          <w:rFonts w:hint="eastAsia" w:ascii="宋体" w:hAnsi="宋体" w:eastAsia="宋体" w:cs="宋体"/>
          <w:b/>
          <w:color w:val="auto"/>
          <w:sz w:val="24"/>
          <w:highlight w:val="none"/>
          <w:lang w:val="en-US" w:eastAsia="zh-CN"/>
        </w:rPr>
        <w:t>六</w:t>
      </w:r>
      <w:r>
        <w:rPr>
          <w:rFonts w:hint="eastAsia" w:ascii="宋体" w:hAnsi="宋体" w:eastAsia="宋体" w:cs="宋体"/>
          <w:b/>
          <w:color w:val="auto"/>
          <w:sz w:val="24"/>
          <w:highlight w:val="none"/>
        </w:rPr>
        <w:t>、合同生效及其它</w:t>
      </w:r>
    </w:p>
    <w:p w14:paraId="38AA0DC9">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合同经双方法定代表人或授权委托代理人签字或盖章并加盖单位公章或合同专用章后生效。</w:t>
      </w:r>
    </w:p>
    <w:p w14:paraId="7BBAAAF6">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如需调整完善或补充合同内容，经协商，双方应签署书面调整完善或补充协议，该协议将作为本合同的一个组成部分。</w:t>
      </w:r>
    </w:p>
    <w:p w14:paraId="2695EF93">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本合同未尽事宜，遵照《中华人民共和国民法典》有关条文执行。</w:t>
      </w:r>
    </w:p>
    <w:p w14:paraId="6C2F5FF3">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snapToGrid w:val="0"/>
          <w:color w:val="auto"/>
          <w:kern w:val="0"/>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w:t>
      </w:r>
      <w:r>
        <w:rPr>
          <w:rFonts w:hint="eastAsia" w:ascii="宋体" w:hAnsi="宋体" w:eastAsia="宋体" w:cs="宋体"/>
          <w:snapToGrid w:val="0"/>
          <w:color w:val="auto"/>
          <w:kern w:val="0"/>
          <w:sz w:val="24"/>
          <w:highlight w:val="none"/>
        </w:rPr>
        <w:t>本合同一式</w:t>
      </w:r>
      <w:r>
        <w:rPr>
          <w:rFonts w:hint="eastAsia" w:ascii="宋体" w:hAnsi="宋体" w:eastAsia="宋体" w:cs="宋体"/>
          <w:snapToGrid w:val="0"/>
          <w:color w:val="auto"/>
          <w:kern w:val="0"/>
          <w:sz w:val="24"/>
          <w:highlight w:val="none"/>
          <w:u w:val="single"/>
        </w:rPr>
        <w:t>捌</w:t>
      </w:r>
      <w:r>
        <w:rPr>
          <w:rFonts w:hint="eastAsia" w:ascii="宋体" w:hAnsi="宋体" w:eastAsia="宋体" w:cs="宋体"/>
          <w:snapToGrid w:val="0"/>
          <w:color w:val="auto"/>
          <w:kern w:val="0"/>
          <w:sz w:val="24"/>
          <w:highlight w:val="none"/>
        </w:rPr>
        <w:t>份。甲方执</w:t>
      </w:r>
      <w:r>
        <w:rPr>
          <w:rFonts w:hint="eastAsia" w:ascii="宋体" w:hAnsi="宋体" w:eastAsia="宋体" w:cs="宋体"/>
          <w:snapToGrid w:val="0"/>
          <w:color w:val="auto"/>
          <w:kern w:val="0"/>
          <w:sz w:val="24"/>
          <w:highlight w:val="none"/>
          <w:u w:val="single"/>
        </w:rPr>
        <w:t>叁</w:t>
      </w:r>
      <w:r>
        <w:rPr>
          <w:rFonts w:hint="eastAsia" w:ascii="宋体" w:hAnsi="宋体" w:eastAsia="宋体" w:cs="宋体"/>
          <w:snapToGrid w:val="0"/>
          <w:color w:val="auto"/>
          <w:kern w:val="0"/>
          <w:sz w:val="24"/>
          <w:highlight w:val="none"/>
        </w:rPr>
        <w:t>份、乙方执</w:t>
      </w:r>
      <w:r>
        <w:rPr>
          <w:rFonts w:hint="eastAsia" w:ascii="宋体" w:hAnsi="宋体" w:eastAsia="宋体" w:cs="宋体"/>
          <w:snapToGrid w:val="0"/>
          <w:color w:val="auto"/>
          <w:kern w:val="0"/>
          <w:sz w:val="24"/>
          <w:highlight w:val="none"/>
          <w:u w:val="single"/>
        </w:rPr>
        <w:t>叁</w:t>
      </w:r>
      <w:r>
        <w:rPr>
          <w:rFonts w:hint="eastAsia" w:ascii="宋体" w:hAnsi="宋体" w:eastAsia="宋体" w:cs="宋体"/>
          <w:snapToGrid w:val="0"/>
          <w:color w:val="auto"/>
          <w:kern w:val="0"/>
          <w:sz w:val="24"/>
          <w:highlight w:val="none"/>
        </w:rPr>
        <w:t>份，招标代理服务公司及政府采购监管部门各执壹份。本项目未尽事宜以招标文件、投标文件及澄清文件等为准，相互间表述不一致的地方应作出以利于甲方的解释。</w:t>
      </w:r>
    </w:p>
    <w:p w14:paraId="0B9339DD">
      <w:pPr>
        <w:pStyle w:val="2"/>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b/>
          <w:snapToGrid w:val="0"/>
          <w:color w:val="auto"/>
          <w:kern w:val="0"/>
          <w:sz w:val="24"/>
          <w:highlight w:val="none"/>
        </w:rPr>
      </w:pPr>
    </w:p>
    <w:p w14:paraId="2451B851">
      <w:pPr>
        <w:pStyle w:val="2"/>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p>
    <w:p w14:paraId="154F1969">
      <w:pPr>
        <w:pStyle w:val="32"/>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highlight w:val="none"/>
        </w:rPr>
      </w:pPr>
    </w:p>
    <w:p w14:paraId="581E1690">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甲方（公章）                                     乙方（公章）</w:t>
      </w:r>
    </w:p>
    <w:p w14:paraId="295B0DDD">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                                     法定代表人：</w:t>
      </w:r>
    </w:p>
    <w:p w14:paraId="78B0743A">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                                     委托代理人：</w:t>
      </w:r>
    </w:p>
    <w:p w14:paraId="08D1B6FB">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                                       联系电话：</w:t>
      </w:r>
    </w:p>
    <w:p w14:paraId="3E59ED9D">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                                       开户银行：</w:t>
      </w:r>
    </w:p>
    <w:p w14:paraId="3FB6427F">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帐号：                                           帐号：</w:t>
      </w:r>
    </w:p>
    <w:p w14:paraId="459ECCEC">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地址及邮编：                                     地址及邮编：</w:t>
      </w:r>
    </w:p>
    <w:p w14:paraId="002E3CC3">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p>
    <w:p w14:paraId="26569802">
      <w:pPr>
        <w:keepNext w:val="0"/>
        <w:keepLines w:val="0"/>
        <w:pageBreakBefore w:val="0"/>
        <w:kinsoku/>
        <w:wordWrap/>
        <w:overflowPunct/>
        <w:topLinePunct w:val="0"/>
        <w:autoSpaceDE w:val="0"/>
        <w:autoSpaceDN w:val="0"/>
        <w:bidi w:val="0"/>
        <w:adjustRightInd w:val="0"/>
        <w:spacing w:line="300" w:lineRule="auto"/>
        <w:ind w:left="0" w:right="0" w:rightChars="0" w:firstLine="0" w:firstLineChars="0"/>
        <w:textAlignment w:val="auto"/>
        <w:rPr>
          <w:rFonts w:hint="eastAsia" w:ascii="宋体" w:hAnsi="宋体" w:eastAsia="宋体" w:cs="宋体"/>
          <w:b/>
          <w:bCs/>
          <w:color w:val="auto"/>
          <w:sz w:val="28"/>
          <w:szCs w:val="28"/>
          <w:highlight w:val="none"/>
        </w:rPr>
      </w:pPr>
      <w:r>
        <w:rPr>
          <w:rFonts w:hint="eastAsia" w:ascii="宋体" w:hAnsi="宋体" w:eastAsia="宋体" w:cs="宋体"/>
          <w:color w:val="auto"/>
          <w:sz w:val="24"/>
          <w:highlight w:val="none"/>
        </w:rPr>
        <w:t xml:space="preserve">签订时间：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年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月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日</w:t>
      </w:r>
      <w:r>
        <w:rPr>
          <w:rFonts w:hint="eastAsia" w:ascii="宋体" w:hAnsi="宋体" w:eastAsia="宋体" w:cs="宋体"/>
          <w:b/>
          <w:bCs/>
          <w:color w:val="auto"/>
          <w:sz w:val="28"/>
          <w:szCs w:val="28"/>
          <w:highlight w:val="none"/>
        </w:rPr>
        <w:br w:type="page"/>
      </w:r>
    </w:p>
    <w:p w14:paraId="72AF56ED">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合同附件一</w:t>
      </w:r>
    </w:p>
    <w:p w14:paraId="7141D439">
      <w:pPr>
        <w:keepNext w:val="0"/>
        <w:keepLines w:val="0"/>
        <w:pageBreakBefore w:val="0"/>
        <w:kinsoku/>
        <w:wordWrap/>
        <w:overflowPunct/>
        <w:topLinePunct w:val="0"/>
        <w:bidi w:val="0"/>
        <w:spacing w:line="300" w:lineRule="auto"/>
        <w:ind w:left="0" w:right="0" w:righ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公安网络与信息安全保密协议</w:t>
      </w:r>
    </w:p>
    <w:p w14:paraId="22BA72E3">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台州市公安局</w:t>
      </w:r>
    </w:p>
    <w:p w14:paraId="71D8BAEA">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0EC34BAD">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为切实保障公安网络和信息安全保密，根据《中华人民共和国保守国家秘密法》和有关法律、法规之规定，为确保甲方所涉及的国家秘密和警务工作秘密的网络与信息安全，双方同意签订如下保密协议：</w:t>
      </w:r>
    </w:p>
    <w:p w14:paraId="7182E2AF">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一、保密范围</w:t>
      </w:r>
    </w:p>
    <w:p w14:paraId="2970779A">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为甲方提供技术咨询、技术服务、系统建设而了解、掌握的甲方公安信息网络系统的拓扑结构、安全保密措施、各项参数等，以及甲方场地环境、硬件、软件、电子信息和所有资料内容（以上简称专有信息）。</w:t>
      </w:r>
    </w:p>
    <w:p w14:paraId="53AC1C12">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二、保密责任</w:t>
      </w:r>
    </w:p>
    <w:p w14:paraId="5A7C5F73">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.乙方须确定项目开发与维护的专门人员，并将有关人员情况报甲方备案并须通过甲方审查和书面确认。其中，对涉密数据加载运行后承担系统维护的人员，甲乙双方须按照各自职责进行更为严格的审查。</w:t>
      </w:r>
    </w:p>
    <w:p w14:paraId="28E1EA92">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.乙方须在签订本保密协议后，才可使用甲方提供的有关专有信息开展相关工作。</w:t>
      </w:r>
    </w:p>
    <w:p w14:paraId="6EFA6AF1">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.乙方须与参加项目的有关人员签订《保密协议》，经常对有关人员进行保密教育，监督个人履约情况；未经甲方书面确认，乙方不得随意增减、更换有关技术人员。</w:t>
      </w:r>
    </w:p>
    <w:p w14:paraId="6F49AF55">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乙方须严格控制使用甲方的专有信息，保证不向第三方泄露甲方提供的任何专有信息，并对专有信息提供管理良好的安全保密措施。乙方不能将甲方的专有信息用于其他任何目的。除乙方直接参与本项目工程的员工之外，不将专有信息透露给其他任何人，禁止无关人员介入或了解项目相关情况。乙方及其参与本项工作的员工严禁在系统建设中私设“后门”，非法访问系统。</w:t>
      </w:r>
    </w:p>
    <w:p w14:paraId="5996E766">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.建设涉密信息系统，乙方须具有国家保密工作部门核发的《资质证书》，制定甲方认可的安全保密管理方案，并采用适当的安全保密技术和措施对涉密系统进行集成。</w:t>
      </w:r>
    </w:p>
    <w:p w14:paraId="19AA4AD5">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.对项目实施过程中乙方出现的不符合保密规定的问题，甲方有责任及时指出，并督促乙方纠正。</w:t>
      </w:r>
    </w:p>
    <w:p w14:paraId="4F27FF46">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甲方向乙方提供的所有资料，仅供项目小组人员参考使用，乙方须严守资料中所涉及秘密，妥善保管，不得遗失、复制。乙方发现保密范围内的有关事项已经泄露或可能泄露时应当报告甲方，并及时采取补救措施。</w:t>
      </w:r>
    </w:p>
    <w:p w14:paraId="40EDEA5A">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.当甲方以书面形式要求乙方交回专有信息时，乙方应当立即交回所有书面的或其他形式的专有信息以及所有描述和概括该专有信息的文件资料，不能以任何形式保留或擅自处理。</w:t>
      </w:r>
    </w:p>
    <w:p w14:paraId="1B6608BC">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乙方在进行现场系统维护时，非经允许，不得使用自行携带的笔记本电脑，应使用甲方提供的工作环境完成现场维护任务。原则上不允许乙方使用U盘、移动硬盘等存储设备；若因特殊情况要使用U盘、移动硬盘等存储设备的，须提出书面申请，通过甲方审查和确认后方可使用；在将移动存储设备带离现场前，须经甲方检查确认。</w:t>
      </w:r>
    </w:p>
    <w:p w14:paraId="3CDF6B48">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.乙方不得在任何场合介绍和演示甲方产品项目的任何信息。</w:t>
      </w:r>
    </w:p>
    <w:p w14:paraId="4CAFD507">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三、违约责任</w:t>
      </w:r>
    </w:p>
    <w:p w14:paraId="4AFD7B93">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应严格遵守协议的全部内容，凡违反本协议造成失密泄密事件，乙方须承担有关法律责任并视情节追究有关人员责任，并赔偿相应经济损失。给国家安全和国家利益造成严重损害、触犯刑律的，要追究有关人员的刑事责任。</w:t>
      </w:r>
    </w:p>
    <w:p w14:paraId="5E7A1102">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四、保密期限</w:t>
      </w:r>
    </w:p>
    <w:p w14:paraId="3FC807F0">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本协议在双方主合同签字盖章后生效，并长期有效。自本协议生效之日起，双方的合作交流都要符合本协议的条款。除非甲方通过书面通知明确说明对本协议所涉及的某项专有信息予以解密或同意共享，乙方必须按照本协议所承担的保密义务对在各项工作中所掌握的专有信息进行保密。</w:t>
      </w:r>
    </w:p>
    <w:p w14:paraId="264E73ED">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五、附则</w:t>
      </w:r>
    </w:p>
    <w:p w14:paraId="6FD6F451">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.本协议是合同有效组成部分。</w:t>
      </w:r>
    </w:p>
    <w:p w14:paraId="0C124426">
      <w:pPr>
        <w:pStyle w:val="14"/>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szCs w:val="24"/>
          <w:highlight w:val="none"/>
        </w:rPr>
      </w:pPr>
    </w:p>
    <w:p w14:paraId="77D5E364">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p>
    <w:p w14:paraId="5DE6E425">
      <w:pPr>
        <w:keepNext w:val="0"/>
        <w:keepLines w:val="0"/>
        <w:pageBreakBefore w:val="0"/>
        <w:widowControl/>
        <w:kinsoku/>
        <w:wordWrap/>
        <w:overflowPunct/>
        <w:topLinePunct w:val="0"/>
        <w:bidi w:val="0"/>
        <w:spacing w:line="300" w:lineRule="auto"/>
        <w:ind w:left="0" w:right="0" w:rightChars="0" w:firstLine="0" w:firstLineChars="0"/>
        <w:textAlignment w:val="auto"/>
        <w:rPr>
          <w:rFonts w:hint="eastAsia" w:ascii="宋体" w:hAnsi="宋体" w:eastAsia="宋体" w:cs="宋体"/>
          <w:snapToGrid w:val="0"/>
          <w:color w:val="auto"/>
          <w:sz w:val="24"/>
          <w:highlight w:val="none"/>
        </w:rPr>
        <w:sectPr>
          <w:pgSz w:w="11906" w:h="16838"/>
          <w:pgMar w:top="1440" w:right="1800" w:bottom="1440" w:left="1800" w:header="851" w:footer="992" w:gutter="0"/>
          <w:pgNumType w:fmt="numberInDash"/>
          <w:cols w:space="720" w:num="1"/>
          <w:docGrid w:type="lines" w:linePitch="312" w:charSpace="0"/>
        </w:sectPr>
      </w:pPr>
    </w:p>
    <w:p w14:paraId="13750221">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sz w:val="28"/>
          <w:szCs w:val="28"/>
          <w:highlight w:val="none"/>
        </w:rPr>
        <w:t>合同附件二</w:t>
      </w:r>
    </w:p>
    <w:p w14:paraId="44AB6559">
      <w:pPr>
        <w:keepNext w:val="0"/>
        <w:keepLines w:val="0"/>
        <w:pageBreakBefore w:val="0"/>
        <w:kinsoku/>
        <w:wordWrap/>
        <w:overflowPunct/>
        <w:topLinePunct w:val="0"/>
        <w:bidi w:val="0"/>
        <w:spacing w:line="300" w:lineRule="auto"/>
        <w:ind w:left="0" w:right="0" w:righ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廉洁诚信协议</w:t>
      </w:r>
    </w:p>
    <w:p w14:paraId="32911C70">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为加强台州市公安局政府采购项目廉政建设，预防违法违规行为，确保双方在业务交往中保持廉洁自律，防止各种不正当行为的发生，保证合作双方在业务交往活动中做到诚信廉洁、高效共赢，根据国家相关法律法规及政策规定，经双方协商一致，在签订合同的同时订立本廉洁诚信协议，内容如下：</w:t>
      </w:r>
    </w:p>
    <w:p w14:paraId="75131073">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1.双方在整个项目采购、建设活动中，做到公平、公正、公开，不搞暗箱操作，不搞不正当竞争，双方工作人员及亲属不得违反以下规定：</w:t>
      </w:r>
    </w:p>
    <w:p w14:paraId="277D5B9D">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（1）不得收受或向对方馈送现金、贵重物品、有价证券、购物卡、充值卡等，不得收受回扣；</w:t>
      </w:r>
    </w:p>
    <w:p w14:paraId="00276789">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不得介绍亲友或为对方亲友安排从事与双方合作有关的业务活动，甲方项目相关员工及其配偶、父母、子女、利害关系人及控股、参股企业不得在乙方或乙方关联企业中投资入股，甲方员工不得在乙方或乙方关联企业担任兼职，不得以咨询费、服务费或其他任何形式从乙方或乙方关联企业获得收入； </w:t>
      </w:r>
    </w:p>
    <w:p w14:paraId="71302919">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（3）不得接受对方或向对方在住房建修、婚丧嫁娶、出国考察、旅游、攻读学历学位等方面提供资助；</w:t>
      </w:r>
    </w:p>
    <w:p w14:paraId="33696FDB">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（4）不得参加或提供可能影响合作业务公平、公正的娱乐、宴请、健身等活动；</w:t>
      </w:r>
    </w:p>
    <w:p w14:paraId="03F43BD6">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（5）不得报销或为对方报销应由个人支付的费用。</w:t>
      </w:r>
    </w:p>
    <w:p w14:paraId="3D65B157">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2.乙方人员若有违反第1条规定的行为，或者存在其它违反商业道德与市场规则的情况,甲方有义务向对方监察或相应部门举报。</w:t>
      </w:r>
    </w:p>
    <w:p w14:paraId="77F2FD47">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3.甲方人员有违反第1条规定的行为，或者存在其它索贿、受贿行为或者徇私舞弊、滥用职权、严重渎职等情况时，乙方有义务向对方监察或相应部门举报。</w:t>
      </w:r>
    </w:p>
    <w:p w14:paraId="24B2FD6C">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4.双方及相关人员违反上述规定及其他廉洁诚信准则的，愿意接受党纪政纪及法律惩处。</w:t>
      </w:r>
    </w:p>
    <w:p w14:paraId="2F3D28DA">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5.本保证及承诺的有效期与对应的合同或交易事项相同。</w:t>
      </w:r>
    </w:p>
    <w:p w14:paraId="6BA4D141">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6.本廉洁承诺约定作为双方签订的合同附件，具有同等法律效力。</w:t>
      </w:r>
    </w:p>
    <w:p w14:paraId="5726CACF">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p>
    <w:p w14:paraId="37CAB872">
      <w:pPr>
        <w:pStyle w:val="47"/>
        <w:keepNext w:val="0"/>
        <w:keepLines w:val="0"/>
        <w:pageBreakBefore w:val="0"/>
        <w:kinsoku/>
        <w:wordWrap/>
        <w:overflowPunct/>
        <w:topLinePunct w:val="0"/>
        <w:bidi w:val="0"/>
        <w:spacing w:before="0" w:after="0" w:line="300" w:lineRule="auto"/>
        <w:ind w:left="0" w:right="0" w:rightChars="0" w:firstLine="0" w:firstLineChars="0"/>
        <w:textAlignment w:val="auto"/>
        <w:rPr>
          <w:rFonts w:hint="eastAsia" w:ascii="宋体" w:hAnsi="宋体" w:eastAsia="宋体" w:cs="宋体"/>
          <w:color w:val="auto"/>
          <w:highlight w:val="none"/>
        </w:rPr>
      </w:pPr>
    </w:p>
    <w:p w14:paraId="3166AB79">
      <w:pPr>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台州市公安局举报渠道：   合作方举报渠道：</w:t>
      </w:r>
    </w:p>
    <w:p w14:paraId="47322BA6">
      <w:pPr>
        <w:pStyle w:val="14"/>
        <w:keepNext w:val="0"/>
        <w:keepLines w:val="0"/>
        <w:pageBreakBefore w:val="0"/>
        <w:kinsoku/>
        <w:wordWrap/>
        <w:overflowPunct/>
        <w:topLinePunct w:val="0"/>
        <w:bidi w:val="0"/>
        <w:spacing w:line="300" w:lineRule="auto"/>
        <w:ind w:left="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电话：12389                        电话：</w:t>
      </w:r>
    </w:p>
    <w:p w14:paraId="470168FE">
      <w:pPr>
        <w:keepNext w:val="0"/>
        <w:keepLines w:val="0"/>
        <w:pageBreakBefore w:val="0"/>
        <w:kinsoku/>
        <w:wordWrap/>
        <w:overflowPunct/>
        <w:topLinePunct w:val="0"/>
        <w:bidi w:val="0"/>
        <w:spacing w:line="300" w:lineRule="auto"/>
        <w:ind w:left="0" w:right="0" w:rightChars="0" w:firstLine="0" w:firstLineChars="0"/>
        <w:jc w:val="left"/>
        <w:textAlignment w:val="auto"/>
        <w:rPr>
          <w:rFonts w:hint="eastAsia" w:ascii="宋体" w:hAnsi="宋体" w:eastAsia="宋体" w:cs="宋体"/>
          <w:color w:val="auto"/>
          <w:sz w:val="28"/>
          <w:szCs w:val="28"/>
          <w:highlight w:val="none"/>
        </w:rPr>
        <w:sectPr>
          <w:pgSz w:w="11906" w:h="16838"/>
          <w:pgMar w:top="1440" w:right="1800" w:bottom="1440" w:left="1800" w:header="851" w:footer="992" w:gutter="0"/>
          <w:pgNumType w:fmt="numberInDash"/>
          <w:cols w:space="425" w:num="1"/>
          <w:docGrid w:type="lines" w:linePitch="312" w:charSpace="0"/>
        </w:sectPr>
      </w:pPr>
    </w:p>
    <w:p w14:paraId="435C109B">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第六章：响应文件格式附件</w:t>
      </w:r>
    </w:p>
    <w:p w14:paraId="3E913BDA">
      <w:pPr>
        <w:tabs>
          <w:tab w:val="left" w:pos="8280"/>
        </w:tabs>
        <w:autoSpaceDE w:val="0"/>
        <w:autoSpaceDN w:val="0"/>
        <w:adjustRightInd w:val="0"/>
        <w:spacing w:line="240" w:lineRule="atLeast"/>
        <w:ind w:right="25"/>
        <w:rPr>
          <w:rFonts w:hint="eastAsia" w:ascii="宋体" w:hAnsi="宋体" w:eastAsia="宋体" w:cs="宋体"/>
          <w:color w:val="auto"/>
          <w:kern w:val="0"/>
          <w:sz w:val="24"/>
          <w:highlight w:val="none"/>
        </w:rPr>
      </w:pPr>
    </w:p>
    <w:p w14:paraId="40ECD0F3">
      <w:pP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color w:val="auto"/>
          <w:sz w:val="30"/>
          <w:szCs w:val="30"/>
          <w:highlight w:val="none"/>
        </w:rPr>
        <w:t xml:space="preserve"> 　　</w:t>
      </w:r>
    </w:p>
    <w:p w14:paraId="628FA3C6">
      <w:pPr>
        <w:ind w:right="-110"/>
        <w:jc w:val="center"/>
        <w:rPr>
          <w:rFonts w:hint="eastAsia" w:ascii="宋体" w:hAnsi="宋体" w:eastAsia="宋体" w:cs="宋体"/>
          <w:color w:val="auto"/>
          <w:spacing w:val="40"/>
          <w:sz w:val="52"/>
          <w:szCs w:val="52"/>
          <w:highlight w:val="none"/>
        </w:rPr>
      </w:pPr>
    </w:p>
    <w:p w14:paraId="554E4565">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7A7A284C">
      <w:pPr>
        <w:spacing w:beforeLines="100" w:line="360" w:lineRule="auto"/>
        <w:ind w:right="-108" w:firstLine="1800" w:firstLineChars="500"/>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41833CF4">
      <w:pPr>
        <w:pStyle w:val="2"/>
        <w:ind w:firstLine="0" w:firstLineChars="0"/>
        <w:rPr>
          <w:rFonts w:hint="eastAsia" w:ascii="宋体" w:hAnsi="宋体" w:eastAsia="宋体" w:cs="宋体"/>
          <w:color w:val="auto"/>
          <w:sz w:val="84"/>
          <w:szCs w:val="84"/>
          <w:highlight w:val="none"/>
          <w:lang w:val="zh-CN"/>
        </w:rPr>
      </w:pPr>
    </w:p>
    <w:p w14:paraId="1916E9B5">
      <w:pPr>
        <w:rPr>
          <w:rFonts w:hint="eastAsia" w:ascii="宋体" w:hAnsi="宋体" w:eastAsia="宋体" w:cs="宋体"/>
          <w:color w:val="auto"/>
          <w:highlight w:val="none"/>
          <w:lang w:val="zh-CN"/>
        </w:rPr>
      </w:pPr>
    </w:p>
    <w:p w14:paraId="1B724F79">
      <w:pPr>
        <w:autoSpaceDE w:val="0"/>
        <w:autoSpaceDN w:val="0"/>
        <w:adjustRightInd w:val="0"/>
        <w:spacing w:line="360" w:lineRule="auto"/>
        <w:jc w:val="center"/>
        <w:rPr>
          <w:rFonts w:hint="eastAsia" w:ascii="宋体" w:hAnsi="宋体" w:eastAsia="宋体" w:cs="宋体"/>
          <w:b/>
          <w:bCs/>
          <w:color w:val="auto"/>
          <w:sz w:val="84"/>
          <w:szCs w:val="84"/>
          <w:highlight w:val="none"/>
          <w:lang w:val="zh-CN"/>
        </w:rPr>
      </w:pPr>
      <w:r>
        <w:rPr>
          <w:rFonts w:hint="eastAsia" w:ascii="宋体" w:hAnsi="宋体" w:eastAsia="宋体" w:cs="宋体"/>
          <w:b/>
          <w:bCs/>
          <w:color w:val="auto"/>
          <w:sz w:val="84"/>
          <w:szCs w:val="84"/>
          <w:highlight w:val="none"/>
          <w:lang w:val="zh-CN"/>
        </w:rPr>
        <w:t>磋商响应文件</w:t>
      </w:r>
    </w:p>
    <w:p w14:paraId="471E8B0D">
      <w:pPr>
        <w:spacing w:after="100" w:afterAutospacing="1" w:line="360" w:lineRule="auto"/>
        <w:ind w:right="-108"/>
        <w:jc w:val="center"/>
        <w:rPr>
          <w:rFonts w:hint="eastAsia" w:ascii="宋体" w:hAnsi="宋体" w:eastAsia="宋体" w:cs="宋体"/>
          <w:b/>
          <w:bCs/>
          <w:color w:val="auto"/>
          <w:sz w:val="28"/>
          <w:szCs w:val="28"/>
          <w:highlight w:val="none"/>
          <w:lang w:val="zh-CN"/>
        </w:rPr>
      </w:pPr>
    </w:p>
    <w:p w14:paraId="7F3E7DC0">
      <w:pPr>
        <w:spacing w:after="100" w:afterAutospacing="1" w:line="360" w:lineRule="auto"/>
        <w:ind w:right="-108"/>
        <w:jc w:val="center"/>
        <w:rPr>
          <w:rFonts w:hint="eastAsia" w:ascii="宋体" w:hAnsi="宋体" w:eastAsia="宋体" w:cs="宋体"/>
          <w:b/>
          <w:bCs/>
          <w:color w:val="auto"/>
          <w:spacing w:val="40"/>
          <w:sz w:val="28"/>
          <w:szCs w:val="28"/>
          <w:highlight w:val="none"/>
        </w:rPr>
      </w:pPr>
      <w:r>
        <w:rPr>
          <w:rFonts w:hint="eastAsia" w:ascii="宋体" w:hAnsi="宋体" w:eastAsia="宋体" w:cs="宋体"/>
          <w:b/>
          <w:bCs/>
          <w:color w:val="auto"/>
          <w:sz w:val="28"/>
          <w:szCs w:val="28"/>
          <w:highlight w:val="none"/>
          <w:lang w:val="zh-CN"/>
        </w:rPr>
        <w:t>（资信技术文件</w:t>
      </w:r>
      <w:r>
        <w:rPr>
          <w:rFonts w:hint="eastAsia" w:ascii="宋体" w:hAnsi="宋体" w:eastAsia="宋体" w:cs="宋体"/>
          <w:b/>
          <w:bCs/>
          <w:color w:val="auto"/>
          <w:spacing w:val="40"/>
          <w:sz w:val="28"/>
          <w:szCs w:val="28"/>
          <w:highlight w:val="none"/>
        </w:rPr>
        <w:t>）</w:t>
      </w:r>
    </w:p>
    <w:p w14:paraId="4D9E0F64">
      <w:pPr>
        <w:pStyle w:val="2"/>
        <w:ind w:firstLine="722"/>
        <w:rPr>
          <w:rFonts w:hint="eastAsia" w:ascii="宋体" w:hAnsi="宋体" w:eastAsia="宋体" w:cs="宋体"/>
          <w:b/>
          <w:color w:val="auto"/>
          <w:spacing w:val="40"/>
          <w:sz w:val="28"/>
          <w:szCs w:val="28"/>
          <w:highlight w:val="none"/>
        </w:rPr>
      </w:pPr>
    </w:p>
    <w:p w14:paraId="29B05DB8">
      <w:pPr>
        <w:rPr>
          <w:rFonts w:hint="eastAsia" w:ascii="宋体" w:hAnsi="宋体" w:eastAsia="宋体" w:cs="宋体"/>
          <w:color w:val="auto"/>
          <w:highlight w:val="none"/>
        </w:rPr>
      </w:pPr>
    </w:p>
    <w:p w14:paraId="5E8BF7DB">
      <w:pPr>
        <w:pStyle w:val="2"/>
        <w:ind w:firstLine="480"/>
        <w:rPr>
          <w:rFonts w:hint="eastAsia" w:ascii="宋体" w:hAnsi="宋体" w:eastAsia="宋体" w:cs="宋体"/>
          <w:color w:val="auto"/>
          <w:highlight w:val="none"/>
        </w:rPr>
      </w:pPr>
    </w:p>
    <w:p w14:paraId="35509325">
      <w:pPr>
        <w:rPr>
          <w:rFonts w:hint="eastAsia" w:ascii="宋体" w:hAnsi="宋体" w:eastAsia="宋体" w:cs="宋体"/>
          <w:color w:val="auto"/>
          <w:highlight w:val="none"/>
        </w:rPr>
      </w:pPr>
    </w:p>
    <w:p w14:paraId="3D14FFCE">
      <w:pPr>
        <w:pStyle w:val="2"/>
        <w:ind w:firstLine="480"/>
        <w:rPr>
          <w:rFonts w:hint="eastAsia" w:ascii="宋体" w:hAnsi="宋体" w:eastAsia="宋体" w:cs="宋体"/>
          <w:color w:val="auto"/>
          <w:highlight w:val="none"/>
        </w:rPr>
      </w:pPr>
    </w:p>
    <w:p w14:paraId="772F166E">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供应商全称（公章）：</w:t>
      </w:r>
    </w:p>
    <w:p w14:paraId="7FFBEC73">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    址：</w:t>
      </w:r>
    </w:p>
    <w:p w14:paraId="53FB5CD1">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    间：</w:t>
      </w:r>
    </w:p>
    <w:p w14:paraId="212A395B">
      <w:pPr>
        <w:spacing w:line="360" w:lineRule="auto"/>
        <w:ind w:right="532" w:firstLine="720" w:firstLineChars="200"/>
        <w:rPr>
          <w:rFonts w:hint="eastAsia" w:ascii="宋体" w:hAnsi="宋体" w:eastAsia="宋体" w:cs="宋体"/>
          <w:color w:val="auto"/>
          <w:sz w:val="36"/>
          <w:szCs w:val="36"/>
          <w:highlight w:val="none"/>
        </w:rPr>
      </w:pPr>
    </w:p>
    <w:p w14:paraId="6AD3127D">
      <w:pPr>
        <w:snapToGrid w:val="0"/>
        <w:spacing w:before="50" w:after="50"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资信技术文件目录</w:t>
      </w:r>
    </w:p>
    <w:p w14:paraId="6EFBF0D4">
      <w:pPr>
        <w:widowControl/>
        <w:spacing w:line="360" w:lineRule="auto"/>
        <w:ind w:right="60" w:firstLine="560" w:firstLineChars="200"/>
        <w:jc w:val="left"/>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磋商</w:t>
      </w:r>
      <w:r>
        <w:rPr>
          <w:rFonts w:hint="eastAsia" w:ascii="宋体" w:hAnsi="宋体" w:eastAsia="宋体" w:cs="宋体"/>
          <w:color w:val="auto"/>
          <w:sz w:val="28"/>
          <w:szCs w:val="28"/>
          <w:highlight w:val="none"/>
        </w:rPr>
        <w:t>声明书（格式附后）；</w:t>
      </w:r>
    </w:p>
    <w:p w14:paraId="46B2C202">
      <w:pPr>
        <w:widowControl/>
        <w:spacing w:line="360" w:lineRule="auto"/>
        <w:ind w:right="60" w:firstLine="560" w:firstLineChars="200"/>
        <w:jc w:val="left"/>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▲（2）授权委托书（格式附后）（法定代表人亲自办理投标事宜的，则无需提交）；</w:t>
      </w:r>
    </w:p>
    <w:p w14:paraId="4413C325">
      <w:pPr>
        <w:widowControl/>
        <w:spacing w:line="360" w:lineRule="auto"/>
        <w:ind w:right="60" w:firstLine="560" w:firstLineChars="200"/>
        <w:jc w:val="left"/>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▲（3）法人或者其他组织的营业执照等证明文件，自然人的身份证明；</w:t>
      </w:r>
    </w:p>
    <w:p w14:paraId="6E874DE9">
      <w:pPr>
        <w:widowControl/>
        <w:spacing w:line="360" w:lineRule="auto"/>
        <w:ind w:right="60" w:firstLine="560" w:firstLineChars="200"/>
        <w:jc w:val="left"/>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▲（4）提供符合资格条件的声明函（声明函格式附后）或同时提供以下四项相关材料：①财务状况报告；②依法缴纳税收；③依法缴纳社会保障资金；④具备履行合同所必需的设备和专业技术能力的证明材料。</w:t>
      </w:r>
    </w:p>
    <w:p w14:paraId="2CB0294F">
      <w:pPr>
        <w:widowControl/>
        <w:spacing w:line="360" w:lineRule="auto"/>
        <w:ind w:right="60" w:firstLine="560" w:firstLineChars="200"/>
        <w:jc w:val="left"/>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《中小企业声明函》或《残疾人福利性单位声明函》或《监狱企业资格证明材料》（格式附后）</w:t>
      </w:r>
    </w:p>
    <w:p w14:paraId="09F9E012">
      <w:pPr>
        <w:widowControl/>
        <w:spacing w:line="360" w:lineRule="auto"/>
        <w:ind w:right="60" w:firstLine="560" w:firstLineChars="200"/>
        <w:jc w:val="left"/>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）供应商基本情况表（格式附后）；</w:t>
      </w:r>
    </w:p>
    <w:p w14:paraId="3398BF8C">
      <w:pPr>
        <w:widowControl/>
        <w:spacing w:line="360" w:lineRule="auto"/>
        <w:ind w:right="60" w:firstLine="560" w:firstLineChars="200"/>
        <w:jc w:val="left"/>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）项目实施人员一览表（格式附后）；</w:t>
      </w:r>
    </w:p>
    <w:p w14:paraId="592971C3">
      <w:pPr>
        <w:widowControl/>
        <w:spacing w:line="360" w:lineRule="auto"/>
        <w:ind w:right="60" w:firstLine="560" w:firstLineChars="200"/>
        <w:jc w:val="left"/>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）作业机械、设备一览表（格式附后）；</w:t>
      </w:r>
    </w:p>
    <w:p w14:paraId="494970F2">
      <w:pPr>
        <w:widowControl/>
        <w:spacing w:line="360" w:lineRule="auto"/>
        <w:ind w:right="60" w:firstLine="560" w:firstLineChars="200"/>
        <w:jc w:val="left"/>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）商务及技术响应表（格式附后）；</w:t>
      </w:r>
    </w:p>
    <w:p w14:paraId="67B9DE5F">
      <w:pPr>
        <w:widowControl/>
        <w:spacing w:line="360" w:lineRule="auto"/>
        <w:ind w:right="60" w:firstLine="560" w:firstLineChars="200"/>
        <w:jc w:val="left"/>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0</w:t>
      </w:r>
      <w:r>
        <w:rPr>
          <w:rFonts w:hint="eastAsia" w:ascii="宋体" w:hAnsi="宋体" w:eastAsia="宋体" w:cs="宋体"/>
          <w:color w:val="auto"/>
          <w:sz w:val="28"/>
          <w:szCs w:val="28"/>
          <w:highlight w:val="none"/>
        </w:rPr>
        <w:t>）其余内容根据评标办法自拟；</w:t>
      </w:r>
    </w:p>
    <w:p w14:paraId="2CEA89B8">
      <w:pPr>
        <w:pStyle w:val="14"/>
        <w:widowControl/>
        <w:adjustRightInd w:val="0"/>
        <w:snapToGrid w:val="0"/>
        <w:spacing w:line="360" w:lineRule="auto"/>
        <w:ind w:left="218" w:leftChars="104" w:firstLine="725" w:firstLineChars="258"/>
        <w:rPr>
          <w:rFonts w:hint="eastAsia" w:ascii="宋体" w:hAnsi="宋体" w:eastAsia="宋体" w:cs="宋体"/>
          <w:color w:val="auto"/>
          <w:sz w:val="28"/>
          <w:szCs w:val="28"/>
          <w:highlight w:val="none"/>
        </w:rPr>
      </w:pPr>
      <w:r>
        <w:rPr>
          <w:rFonts w:hint="eastAsia" w:ascii="宋体" w:hAnsi="宋体" w:eastAsia="宋体" w:cs="宋体"/>
          <w:b/>
          <w:color w:val="auto"/>
          <w:kern w:val="0"/>
          <w:sz w:val="28"/>
          <w:szCs w:val="28"/>
          <w:highlight w:val="none"/>
        </w:rPr>
        <w:t>磋商需求中要求提供的相关证明材料及根据评标办法提供的证明材料均需在磋商响应文件中提供。</w:t>
      </w:r>
    </w:p>
    <w:p w14:paraId="720FF007">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2C3052A8">
      <w:pPr>
        <w:spacing w:line="360" w:lineRule="auto"/>
        <w:ind w:left="420"/>
        <w:rPr>
          <w:rFonts w:hint="eastAsia" w:ascii="宋体" w:hAnsi="宋体" w:eastAsia="宋体" w:cs="宋体"/>
          <w:b/>
          <w:color w:val="auto"/>
          <w:sz w:val="28"/>
          <w:highlight w:val="none"/>
        </w:rPr>
        <w:sectPr>
          <w:footerReference r:id="rId5" w:type="default"/>
          <w:pgSz w:w="11906" w:h="16838"/>
          <w:pgMar w:top="1440" w:right="1800" w:bottom="1440" w:left="1800" w:header="851" w:footer="992" w:gutter="0"/>
          <w:cols w:space="720" w:num="1"/>
          <w:docGrid w:type="lines" w:linePitch="312" w:charSpace="0"/>
        </w:sectPr>
      </w:pPr>
    </w:p>
    <w:p w14:paraId="53791342">
      <w:pPr>
        <w:spacing w:line="360" w:lineRule="auto"/>
        <w:ind w:left="420"/>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129816AB">
      <w:pPr>
        <w:snapToGrid w:val="0"/>
        <w:spacing w:beforeLines="50" w:after="50" w:line="360" w:lineRule="auto"/>
        <w:ind w:firstLine="643" w:firstLineChars="200"/>
        <w:jc w:val="center"/>
        <w:rPr>
          <w:rStyle w:val="42"/>
          <w:rFonts w:hint="eastAsia" w:ascii="宋体" w:hAnsi="宋体" w:eastAsia="宋体" w:cs="宋体"/>
          <w:b/>
          <w:color w:val="auto"/>
          <w:sz w:val="32"/>
          <w:szCs w:val="32"/>
          <w:highlight w:val="none"/>
          <w:u w:val="none"/>
        </w:rPr>
      </w:pPr>
      <w:r>
        <w:rPr>
          <w:rStyle w:val="42"/>
          <w:rFonts w:hint="eastAsia" w:ascii="宋体" w:hAnsi="宋体" w:eastAsia="宋体" w:cs="宋体"/>
          <w:b/>
          <w:color w:val="auto"/>
          <w:sz w:val="32"/>
          <w:szCs w:val="32"/>
          <w:highlight w:val="none"/>
          <w:u w:val="none"/>
        </w:rPr>
        <w:t>磋商声明书</w:t>
      </w:r>
    </w:p>
    <w:p w14:paraId="4F78BEB9">
      <w:pPr>
        <w:snapToGrid w:val="0"/>
        <w:spacing w:beforeLines="50" w:after="50" w:line="288"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u w:val="single"/>
        </w:rPr>
        <w:t>浙江百和工程咨询有限公司</w:t>
      </w:r>
      <w:r>
        <w:rPr>
          <w:rFonts w:hint="eastAsia" w:ascii="宋体" w:hAnsi="宋体" w:eastAsia="宋体" w:cs="宋体"/>
          <w:color w:val="auto"/>
          <w:kern w:val="0"/>
          <w:sz w:val="24"/>
          <w:highlight w:val="none"/>
        </w:rPr>
        <w:t>（采购代理机构名称）：</w:t>
      </w:r>
    </w:p>
    <w:p w14:paraId="33EDB853">
      <w:pPr>
        <w:snapToGrid w:val="0"/>
        <w:spacing w:beforeLines="50" w:after="50" w:line="288"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u w:val="single"/>
        </w:rPr>
        <w:t>（供应商</w:t>
      </w:r>
      <w:r>
        <w:rPr>
          <w:rFonts w:hint="eastAsia" w:ascii="宋体" w:hAnsi="宋体" w:eastAsia="宋体" w:cs="宋体"/>
          <w:color w:val="auto"/>
          <w:kern w:val="0"/>
          <w:sz w:val="24"/>
          <w:highlight w:val="none"/>
          <w:u w:val="single"/>
          <w:lang w:val="en-US" w:eastAsia="zh-CN"/>
        </w:rPr>
        <w:t>全</w:t>
      </w:r>
      <w:r>
        <w:rPr>
          <w:rFonts w:hint="eastAsia" w:ascii="宋体" w:hAnsi="宋体" w:eastAsia="宋体" w:cs="宋体"/>
          <w:color w:val="auto"/>
          <w:kern w:val="0"/>
          <w:sz w:val="24"/>
          <w:highlight w:val="none"/>
          <w:u w:val="single"/>
        </w:rPr>
        <w:t xml:space="preserve">称）            </w:t>
      </w:r>
      <w:r>
        <w:rPr>
          <w:rFonts w:hint="eastAsia" w:ascii="宋体" w:hAnsi="宋体" w:eastAsia="宋体" w:cs="宋体"/>
          <w:color w:val="auto"/>
          <w:kern w:val="0"/>
          <w:sz w:val="24"/>
          <w:highlight w:val="none"/>
        </w:rPr>
        <w:t>系中华人民共和国合法企业，经营地址。</w:t>
      </w:r>
    </w:p>
    <w:p w14:paraId="62DDA98E">
      <w:pPr>
        <w:snapToGrid w:val="0"/>
        <w:spacing w:beforeLines="50" w:after="50" w:line="288"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 w:val="24"/>
          <w:highlight w:val="none"/>
          <w:u w:val="single"/>
        </w:rPr>
        <w:t xml:space="preserve"> 姓名 </w:t>
      </w:r>
      <w:r>
        <w:rPr>
          <w:rFonts w:hint="eastAsia" w:ascii="宋体" w:hAnsi="宋体" w:eastAsia="宋体" w:cs="宋体"/>
          <w:color w:val="auto"/>
          <w:kern w:val="0"/>
          <w:sz w:val="24"/>
          <w:highlight w:val="none"/>
        </w:rPr>
        <w:t>）系（</w:t>
      </w:r>
      <w:r>
        <w:rPr>
          <w:rFonts w:hint="eastAsia" w:ascii="宋体" w:hAnsi="宋体" w:eastAsia="宋体" w:cs="宋体"/>
          <w:color w:val="auto"/>
          <w:kern w:val="0"/>
          <w:sz w:val="24"/>
          <w:highlight w:val="none"/>
          <w:u w:val="single"/>
        </w:rPr>
        <w:t xml:space="preserve"> 供应商</w:t>
      </w:r>
      <w:r>
        <w:rPr>
          <w:rFonts w:hint="eastAsia" w:ascii="宋体" w:hAnsi="宋体" w:eastAsia="宋体" w:cs="宋体"/>
          <w:color w:val="auto"/>
          <w:kern w:val="0"/>
          <w:sz w:val="24"/>
          <w:highlight w:val="none"/>
          <w:u w:val="single"/>
          <w:lang w:val="en-US" w:eastAsia="zh-CN"/>
        </w:rPr>
        <w:t>全</w:t>
      </w:r>
      <w:r>
        <w:rPr>
          <w:rFonts w:hint="eastAsia" w:ascii="宋体" w:hAnsi="宋体" w:eastAsia="宋体" w:cs="宋体"/>
          <w:color w:val="auto"/>
          <w:kern w:val="0"/>
          <w:sz w:val="24"/>
          <w:highlight w:val="none"/>
          <w:u w:val="single"/>
        </w:rPr>
        <w:t xml:space="preserve">称 </w:t>
      </w:r>
      <w:r>
        <w:rPr>
          <w:rFonts w:hint="eastAsia" w:ascii="宋体" w:hAnsi="宋体" w:eastAsia="宋体" w:cs="宋体"/>
          <w:color w:val="auto"/>
          <w:kern w:val="0"/>
          <w:sz w:val="24"/>
          <w:highlight w:val="none"/>
        </w:rPr>
        <w:t>）的法定代表人，我公司自愿参加贵方组织的</w:t>
      </w:r>
      <w:r>
        <w:rPr>
          <w:rFonts w:hint="eastAsia" w:ascii="宋体" w:hAnsi="宋体" w:eastAsia="宋体" w:cs="宋体"/>
          <w:b/>
          <w:bCs/>
          <w:color w:val="auto"/>
          <w:kern w:val="0"/>
          <w:sz w:val="24"/>
          <w:highlight w:val="none"/>
          <w:u w:val="single"/>
          <w:lang w:eastAsia="zh-CN"/>
        </w:rPr>
        <w:t>台州市公安局信息化办公驻点维护项目</w:t>
      </w:r>
      <w:r>
        <w:rPr>
          <w:rFonts w:hint="eastAsia" w:ascii="宋体" w:hAnsi="宋体" w:eastAsia="宋体" w:cs="宋体"/>
          <w:color w:val="auto"/>
          <w:kern w:val="0"/>
          <w:sz w:val="24"/>
          <w:highlight w:val="none"/>
        </w:rPr>
        <w:t>（编号为</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）的磋商，为此，我公司就本次磋商有关事项郑重声明如下：</w:t>
      </w:r>
    </w:p>
    <w:p w14:paraId="23A19F11">
      <w:pPr>
        <w:pStyle w:val="81"/>
        <w:numPr>
          <w:ilvl w:val="0"/>
          <w:numId w:val="5"/>
        </w:numPr>
        <w:spacing w:line="360" w:lineRule="auto"/>
        <w:ind w:firstLineChars="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我公司声明截止磋商时间近</w:t>
      </w:r>
      <w:r>
        <w:rPr>
          <w:rFonts w:hint="eastAsia" w:ascii="宋体" w:hAnsi="宋体" w:eastAsia="宋体" w:cs="宋体"/>
          <w:color w:val="auto"/>
          <w:sz w:val="24"/>
          <w:highlight w:val="none"/>
          <w:u w:val="single"/>
        </w:rPr>
        <w:t>5</w:t>
      </w:r>
      <w:r>
        <w:rPr>
          <w:rFonts w:hint="eastAsia" w:ascii="宋体" w:hAnsi="宋体" w:eastAsia="宋体" w:cs="宋体"/>
          <w:color w:val="auto"/>
          <w:sz w:val="24"/>
          <w:highlight w:val="none"/>
        </w:rPr>
        <w:t>年以来：执业信誉良好，无重大工作失误、违法违规以及违反职业道德、执业规范等的不良记录</w:t>
      </w:r>
      <w:r>
        <w:rPr>
          <w:rFonts w:hint="eastAsia" w:ascii="宋体" w:hAnsi="宋体" w:eastAsia="宋体" w:cs="宋体"/>
          <w:color w:val="auto"/>
          <w:kern w:val="0"/>
          <w:sz w:val="24"/>
          <w:highlight w:val="none"/>
        </w:rPr>
        <w:t>，未受过行业主管部门行政处罚和处分</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未在企业信息登记和申报名录中弄虚作假、隐瞒真相；</w:t>
      </w:r>
    </w:p>
    <w:p w14:paraId="34F18A4F">
      <w:pPr>
        <w:numPr>
          <w:ilvl w:val="0"/>
          <w:numId w:val="5"/>
        </w:numPr>
        <w:snapToGrid w:val="0"/>
        <w:spacing w:beforeLines="50" w:after="50" w:line="288"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53792D8B">
      <w:pPr>
        <w:snapToGrid w:val="0"/>
        <w:spacing w:beforeLines="50" w:after="50" w:line="28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w:t>
      </w:r>
      <w:r>
        <w:rPr>
          <w:rFonts w:hint="eastAsia" w:ascii="宋体" w:hAnsi="宋体" w:eastAsia="宋体" w:cs="宋体"/>
          <w:color w:val="auto"/>
          <w:kern w:val="0"/>
          <w:sz w:val="24"/>
          <w:highlight w:val="none"/>
          <w:lang w:val="zh-CN"/>
        </w:rPr>
        <w:t>公司</w:t>
      </w:r>
      <w:r>
        <w:rPr>
          <w:rFonts w:hint="eastAsia" w:ascii="宋体" w:hAnsi="宋体" w:eastAsia="宋体" w:cs="宋体"/>
          <w:color w:val="auto"/>
          <w:sz w:val="24"/>
          <w:highlight w:val="none"/>
        </w:rPr>
        <w:t>不是采购人的附属机构；在获知本项目采购信息后，与采购人聘请的为此项目提供咨询服务的公司及其附属机构没有任何联系。</w:t>
      </w:r>
    </w:p>
    <w:p w14:paraId="7225A825">
      <w:pPr>
        <w:snapToGrid w:val="0"/>
        <w:spacing w:beforeLines="50" w:after="50" w:line="288" w:lineRule="auto"/>
        <w:ind w:firstLine="480" w:firstLineChars="200"/>
        <w:rPr>
          <w:rFonts w:hint="eastAsia" w:ascii="宋体" w:hAnsi="宋体" w:eastAsia="宋体" w:cs="宋体"/>
          <w:color w:val="auto"/>
          <w:kern w:val="0"/>
          <w:sz w:val="24"/>
          <w:highlight w:val="none"/>
          <w:lang w:val="af-ZA"/>
        </w:rPr>
      </w:pPr>
      <w:r>
        <w:rPr>
          <w:rFonts w:hint="eastAsia" w:ascii="宋体" w:hAnsi="宋体" w:eastAsia="宋体" w:cs="宋体"/>
          <w:color w:val="auto"/>
          <w:sz w:val="24"/>
          <w:highlight w:val="none"/>
        </w:rPr>
        <w:t>4.</w:t>
      </w:r>
      <w:r>
        <w:rPr>
          <w:rFonts w:hint="eastAsia" w:ascii="宋体" w:hAnsi="宋体" w:eastAsia="宋体" w:cs="宋体"/>
          <w:color w:val="auto"/>
          <w:kern w:val="0"/>
          <w:sz w:val="24"/>
          <w:highlight w:val="none"/>
        </w:rPr>
        <w:t>我</w:t>
      </w:r>
      <w:r>
        <w:rPr>
          <w:rFonts w:hint="eastAsia" w:ascii="宋体" w:hAnsi="宋体" w:eastAsia="宋体" w:cs="宋体"/>
          <w:color w:val="auto"/>
          <w:kern w:val="0"/>
          <w:sz w:val="24"/>
          <w:highlight w:val="none"/>
          <w:lang w:val="zh-CN"/>
        </w:rPr>
        <w:t>公司</w:t>
      </w:r>
      <w:r>
        <w:rPr>
          <w:rFonts w:hint="eastAsia" w:ascii="宋体" w:hAnsi="宋体" w:eastAsia="宋体" w:cs="宋体"/>
          <w:color w:val="auto"/>
          <w:kern w:val="0"/>
          <w:sz w:val="24"/>
          <w:highlight w:val="none"/>
        </w:rPr>
        <w:t>保证，</w:t>
      </w:r>
      <w:r>
        <w:rPr>
          <w:rFonts w:hint="eastAsia" w:ascii="宋体" w:hAnsi="宋体" w:eastAsia="宋体" w:cs="宋体"/>
          <w:color w:val="auto"/>
          <w:kern w:val="0"/>
          <w:sz w:val="24"/>
          <w:highlight w:val="none"/>
          <w:lang w:val="af-ZA"/>
        </w:rPr>
        <w:t>采购人在中华人民共和国境内使用</w:t>
      </w:r>
      <w:r>
        <w:rPr>
          <w:rFonts w:hint="eastAsia" w:ascii="宋体" w:hAnsi="宋体" w:eastAsia="宋体" w:cs="宋体"/>
          <w:color w:val="auto"/>
          <w:kern w:val="0"/>
          <w:sz w:val="24"/>
          <w:highlight w:val="none"/>
        </w:rPr>
        <w:t>我</w:t>
      </w:r>
      <w:r>
        <w:rPr>
          <w:rFonts w:hint="eastAsia" w:ascii="宋体" w:hAnsi="宋体" w:eastAsia="宋体" w:cs="宋体"/>
          <w:color w:val="auto"/>
          <w:kern w:val="0"/>
          <w:sz w:val="24"/>
          <w:highlight w:val="none"/>
          <w:lang w:val="zh-CN"/>
        </w:rPr>
        <w:t>公司</w:t>
      </w:r>
      <w:r>
        <w:rPr>
          <w:rFonts w:hint="eastAsia" w:ascii="宋体" w:hAnsi="宋体" w:eastAsia="宋体" w:cs="宋体"/>
          <w:color w:val="auto"/>
          <w:kern w:val="0"/>
          <w:sz w:val="24"/>
          <w:highlight w:val="none"/>
          <w:lang w:val="af-ZA"/>
        </w:rPr>
        <w:t>磋商响应的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1514725E">
      <w:pPr>
        <w:snapToGrid w:val="0"/>
        <w:spacing w:beforeLines="50" w:after="50" w:line="28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af-ZA"/>
        </w:rPr>
        <w:t>5.我</w:t>
      </w:r>
      <w:r>
        <w:rPr>
          <w:rFonts w:hint="eastAsia" w:ascii="宋体" w:hAnsi="宋体" w:eastAsia="宋体" w:cs="宋体"/>
          <w:color w:val="auto"/>
          <w:kern w:val="0"/>
          <w:sz w:val="24"/>
          <w:highlight w:val="none"/>
          <w:lang w:val="zh-CN"/>
        </w:rPr>
        <w:t>公司</w:t>
      </w:r>
      <w:r>
        <w:rPr>
          <w:rFonts w:hint="eastAsia" w:ascii="宋体" w:hAnsi="宋体" w:eastAsia="宋体" w:cs="宋体"/>
          <w:color w:val="auto"/>
          <w:kern w:val="0"/>
          <w:sz w:val="24"/>
          <w:highlight w:val="none"/>
          <w:lang w:val="af-ZA"/>
        </w:rPr>
        <w:t>严格履行采购合同，不降低合同约定的产品质量和服务，不擅自变更、中止、终止合同，或拒绝履行合同义务。</w:t>
      </w:r>
    </w:p>
    <w:p w14:paraId="77A24707">
      <w:pPr>
        <w:snapToGrid w:val="0"/>
        <w:spacing w:beforeLines="50" w:after="50" w:line="288"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6.以上事项如有虚假或隐瞒，我</w:t>
      </w:r>
      <w:r>
        <w:rPr>
          <w:rFonts w:hint="eastAsia" w:ascii="宋体" w:hAnsi="宋体" w:eastAsia="宋体" w:cs="宋体"/>
          <w:color w:val="auto"/>
          <w:kern w:val="0"/>
          <w:sz w:val="24"/>
          <w:highlight w:val="none"/>
          <w:lang w:val="zh-CN"/>
        </w:rPr>
        <w:t>公司</w:t>
      </w:r>
      <w:r>
        <w:rPr>
          <w:rFonts w:hint="eastAsia" w:ascii="宋体" w:hAnsi="宋体" w:eastAsia="宋体" w:cs="宋体"/>
          <w:color w:val="auto"/>
          <w:sz w:val="24"/>
          <w:highlight w:val="none"/>
        </w:rPr>
        <w:t>愿意承担一切后果，并不再寻求任何旨在减轻或免除审计责任的辩解。</w:t>
      </w:r>
    </w:p>
    <w:p w14:paraId="7FF2D919">
      <w:pPr>
        <w:adjustRightInd w:val="0"/>
        <w:snapToGrid w:val="0"/>
        <w:spacing w:line="360" w:lineRule="auto"/>
        <w:ind w:firstLine="480"/>
        <w:rPr>
          <w:rFonts w:hint="eastAsia" w:ascii="宋体" w:hAnsi="宋体" w:eastAsia="宋体" w:cs="宋体"/>
          <w:color w:val="auto"/>
          <w:kern w:val="0"/>
          <w:sz w:val="24"/>
          <w:highlight w:val="none"/>
        </w:rPr>
      </w:pPr>
    </w:p>
    <w:p w14:paraId="4FFFB576">
      <w:pPr>
        <w:adjustRightInd w:val="0"/>
        <w:snapToGrid w:val="0"/>
        <w:spacing w:line="360" w:lineRule="auto"/>
        <w:ind w:firstLine="4680" w:firstLineChars="19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供应商全称(公章)：</w:t>
      </w:r>
    </w:p>
    <w:p w14:paraId="3078D666">
      <w:pP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法定代表人或授权委托人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eastAsia="宋体" w:cs="宋体"/>
          <w:color w:val="auto"/>
          <w:sz w:val="24"/>
          <w:highlight w:val="none"/>
          <w:lang w:eastAsia="zh-CN"/>
        </w:rPr>
        <w:t>）</w:t>
      </w:r>
      <w:r>
        <w:rPr>
          <w:rFonts w:hint="eastAsia" w:ascii="宋体" w:hAnsi="宋体" w:eastAsia="宋体" w:cs="宋体"/>
          <w:color w:val="auto"/>
          <w:kern w:val="0"/>
          <w:sz w:val="24"/>
          <w:highlight w:val="none"/>
          <w:lang w:val="zh-CN"/>
        </w:rPr>
        <w:t>：</w:t>
      </w:r>
    </w:p>
    <w:p w14:paraId="673A1BD4">
      <w:pPr>
        <w:adjustRightInd w:val="0"/>
        <w:snapToGrid w:val="0"/>
        <w:spacing w:line="360" w:lineRule="auto"/>
        <w:ind w:right="48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 xml:space="preserve"> 月   日</w:t>
      </w:r>
    </w:p>
    <w:p w14:paraId="1D870150">
      <w:pPr>
        <w:adjustRightInd w:val="0"/>
        <w:snapToGrid w:val="0"/>
        <w:spacing w:line="360" w:lineRule="auto"/>
        <w:ind w:right="480"/>
        <w:rPr>
          <w:rFonts w:hint="eastAsia" w:ascii="宋体" w:hAnsi="宋体" w:eastAsia="宋体" w:cs="宋体"/>
          <w:color w:val="auto"/>
          <w:kern w:val="0"/>
          <w:sz w:val="24"/>
          <w:highlight w:val="none"/>
          <w:lang w:val="zh-CN"/>
        </w:rPr>
      </w:pPr>
    </w:p>
    <w:p w14:paraId="5489544B">
      <w:pPr>
        <w:adjustRightInd w:val="0"/>
        <w:snapToGrid w:val="0"/>
        <w:spacing w:line="360" w:lineRule="auto"/>
        <w:ind w:right="480"/>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6BBD9316">
      <w:pPr>
        <w:spacing w:line="360" w:lineRule="auto"/>
        <w:ind w:firstLine="321" w:firstLineChars="100"/>
        <w:jc w:val="center"/>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27139056">
      <w:pPr>
        <w:pStyle w:val="21"/>
        <w:spacing w:line="500" w:lineRule="exact"/>
        <w:rPr>
          <w:rFonts w:hint="eastAsia" w:ascii="宋体" w:hAnsi="宋体" w:eastAsia="宋体" w:cs="宋体"/>
          <w:b/>
          <w:color w:val="auto"/>
          <w:sz w:val="24"/>
          <w:highlight w:val="none"/>
        </w:rPr>
      </w:pPr>
      <w:r>
        <w:rPr>
          <w:rFonts w:hint="eastAsia" w:ascii="宋体" w:hAnsi="宋体" w:eastAsia="宋体" w:cs="宋体"/>
          <w:b/>
          <w:bCs/>
          <w:color w:val="auto"/>
          <w:sz w:val="24"/>
          <w:highlight w:val="none"/>
          <w:u w:val="single"/>
        </w:rPr>
        <w:t>浙江百和工程咨询有限公司</w:t>
      </w:r>
      <w:r>
        <w:rPr>
          <w:rFonts w:hint="eastAsia" w:ascii="宋体" w:hAnsi="宋体" w:eastAsia="宋体" w:cs="宋体"/>
          <w:color w:val="auto"/>
          <w:kern w:val="0"/>
          <w:sz w:val="24"/>
          <w:highlight w:val="none"/>
          <w:u w:val="single"/>
        </w:rPr>
        <w:t>（采购代理机构名称）</w:t>
      </w:r>
      <w:r>
        <w:rPr>
          <w:rFonts w:hint="eastAsia" w:ascii="宋体" w:hAnsi="宋体" w:eastAsia="宋体" w:cs="宋体"/>
          <w:b/>
          <w:color w:val="auto"/>
          <w:sz w:val="24"/>
          <w:highlight w:val="none"/>
        </w:rPr>
        <w:t>：</w:t>
      </w:r>
    </w:p>
    <w:p w14:paraId="36C124A3">
      <w:pPr>
        <w:pStyle w:val="21"/>
        <w:spacing w:line="500" w:lineRule="exact"/>
        <w:ind w:left="240" w:hanging="240" w:hanging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（供应商全称）  </w:t>
      </w:r>
      <w:r>
        <w:rPr>
          <w:rFonts w:hint="eastAsia" w:ascii="宋体" w:hAnsi="宋体" w:eastAsia="宋体" w:cs="宋体"/>
          <w:color w:val="auto"/>
          <w:sz w:val="24"/>
          <w:highlight w:val="none"/>
        </w:rPr>
        <w:t>法定代表人（或营业执照中单位负责人）</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（法定代表人或营业执照中单位负责人姓名） </w:t>
      </w:r>
      <w:r>
        <w:rPr>
          <w:rFonts w:hint="eastAsia" w:ascii="宋体" w:hAnsi="宋体" w:eastAsia="宋体" w:cs="宋体"/>
          <w:color w:val="auto"/>
          <w:sz w:val="24"/>
          <w:highlight w:val="none"/>
        </w:rPr>
        <w:t>授权</w:t>
      </w:r>
      <w:r>
        <w:rPr>
          <w:rFonts w:hint="eastAsia" w:ascii="宋体" w:hAnsi="宋体" w:eastAsia="宋体" w:cs="宋体"/>
          <w:color w:val="auto"/>
          <w:sz w:val="24"/>
          <w:highlight w:val="none"/>
          <w:u w:val="single"/>
        </w:rPr>
        <w:t xml:space="preserve">   （全权代表姓名） </w:t>
      </w:r>
      <w:r>
        <w:rPr>
          <w:rFonts w:hint="eastAsia" w:ascii="宋体" w:hAnsi="宋体" w:eastAsia="宋体" w:cs="宋体"/>
          <w:color w:val="auto"/>
          <w:sz w:val="24"/>
          <w:highlight w:val="none"/>
        </w:rPr>
        <w:t>为全权代表，参加贵单位组织的</w:t>
      </w:r>
      <w:r>
        <w:rPr>
          <w:rFonts w:hint="eastAsia" w:ascii="宋体" w:hAnsi="宋体" w:eastAsia="宋体" w:cs="宋体"/>
          <w:b/>
          <w:bCs/>
          <w:color w:val="auto"/>
          <w:sz w:val="24"/>
          <w:highlight w:val="none"/>
          <w:u w:val="single"/>
          <w:lang w:eastAsia="zh-CN"/>
        </w:rPr>
        <w:t>台州市公安局信息化办公驻点维护项目</w:t>
      </w:r>
      <w:r>
        <w:rPr>
          <w:rFonts w:hint="eastAsia" w:ascii="宋体" w:hAnsi="宋体" w:eastAsia="宋体" w:cs="宋体"/>
          <w:color w:val="auto"/>
          <w:sz w:val="24"/>
          <w:highlight w:val="none"/>
        </w:rPr>
        <w:t>的采购活动，并代表我方全权办理针对上述项目的磋商、签约等具体事务和签署相关文件。我方对全权代表的签字事项负全部责任。</w:t>
      </w:r>
    </w:p>
    <w:p w14:paraId="22788918">
      <w:pPr>
        <w:pStyle w:val="21"/>
        <w:spacing w:line="500" w:lineRule="exact"/>
        <w:ind w:left="139" w:leftChars="66"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在撤销授权的书面通知以前，本授权书一直有效。全权代表在授权委托书有效期内签署的所有文件不因授权的撤销而失效。</w:t>
      </w:r>
    </w:p>
    <w:p w14:paraId="6C0DAF55">
      <w:pPr>
        <w:pStyle w:val="21"/>
        <w:spacing w:line="500" w:lineRule="exact"/>
        <w:ind w:left="139" w:leftChars="66"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全权代表无转委托权，特此委托。</w:t>
      </w:r>
    </w:p>
    <w:p w14:paraId="4F2F3DC2">
      <w:pPr>
        <w:spacing w:line="360" w:lineRule="auto"/>
        <w:rPr>
          <w:rFonts w:hint="eastAsia" w:ascii="宋体" w:hAnsi="宋体" w:eastAsia="宋体" w:cs="宋体"/>
          <w:color w:val="auto"/>
          <w:sz w:val="24"/>
          <w:highlight w:val="none"/>
        </w:rPr>
      </w:pPr>
    </w:p>
    <w:p w14:paraId="16A3C81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24A62F2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供应商全称（公章）：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 xml:space="preserve"> 月   日</w:t>
      </w:r>
    </w:p>
    <w:p w14:paraId="4F098DA7">
      <w:pPr>
        <w:spacing w:line="360" w:lineRule="auto"/>
        <w:rPr>
          <w:rFonts w:hint="eastAsia" w:ascii="宋体" w:hAnsi="宋体" w:eastAsia="宋体" w:cs="宋体"/>
          <w:color w:val="auto"/>
          <w:sz w:val="24"/>
          <w:highlight w:val="none"/>
        </w:rPr>
      </w:pPr>
    </w:p>
    <w:p w14:paraId="1C55952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w:t>
      </w:r>
    </w:p>
    <w:tbl>
      <w:tblPr>
        <w:tblStyle w:val="3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4EC1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2344DA8E">
            <w:pPr>
              <w:spacing w:line="360" w:lineRule="auto"/>
              <w:rPr>
                <w:rFonts w:hint="eastAsia" w:ascii="宋体" w:hAnsi="宋体" w:eastAsia="宋体" w:cs="宋体"/>
                <w:b/>
                <w:color w:val="auto"/>
                <w:sz w:val="24"/>
                <w:highlight w:val="none"/>
              </w:rPr>
            </w:pPr>
          </w:p>
          <w:p w14:paraId="3135FF2D">
            <w:pPr>
              <w:spacing w:line="360" w:lineRule="auto"/>
              <w:ind w:firstLine="361" w:firstLineChars="1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w:t>
            </w:r>
          </w:p>
        </w:tc>
      </w:tr>
    </w:tbl>
    <w:p w14:paraId="44FAEDE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法定代表人姓名：                                 </w:t>
      </w:r>
    </w:p>
    <w:p w14:paraId="787B671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14:paraId="11FE024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p w14:paraId="25C0333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详细通讯地址：</w:t>
      </w:r>
    </w:p>
    <w:p w14:paraId="7E1B3BB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p>
    <w:p w14:paraId="18B78AC3">
      <w:pPr>
        <w:spacing w:line="360" w:lineRule="auto"/>
        <w:rPr>
          <w:rFonts w:hint="eastAsia" w:ascii="宋体" w:hAnsi="宋体" w:eastAsia="宋体" w:cs="宋体"/>
          <w:b/>
          <w:color w:val="auto"/>
          <w:sz w:val="24"/>
          <w:highlight w:val="none"/>
        </w:rPr>
      </w:pPr>
    </w:p>
    <w:tbl>
      <w:tblPr>
        <w:tblStyle w:val="3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CDF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385D87A2">
            <w:pPr>
              <w:spacing w:line="360" w:lineRule="auto"/>
              <w:rPr>
                <w:rFonts w:hint="eastAsia" w:ascii="宋体" w:hAnsi="宋体" w:eastAsia="宋体" w:cs="宋体"/>
                <w:b/>
                <w:color w:val="auto"/>
                <w:sz w:val="24"/>
                <w:highlight w:val="none"/>
              </w:rPr>
            </w:pPr>
          </w:p>
          <w:p w14:paraId="50A9CF83">
            <w:pPr>
              <w:spacing w:line="360" w:lineRule="auto"/>
              <w:ind w:firstLine="361" w:firstLineChars="1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全权代表身份证复印件粘帖处</w:t>
            </w:r>
          </w:p>
        </w:tc>
      </w:tr>
    </w:tbl>
    <w:p w14:paraId="1993DDB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全权代表姓名：       </w:t>
      </w:r>
    </w:p>
    <w:p w14:paraId="05F80B0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职务：                           </w:t>
      </w:r>
    </w:p>
    <w:p w14:paraId="0193365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14:paraId="42B4FF4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p w14:paraId="1F7E7F2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详细通讯地址：</w:t>
      </w:r>
    </w:p>
    <w:p w14:paraId="4A41EC6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p>
    <w:p w14:paraId="6DDA6FC6">
      <w:pPr>
        <w:pStyle w:val="62"/>
        <w:shd w:val="clear" w:color="auto" w:fill="FFFFFF"/>
        <w:spacing w:before="0" w:beforeAutospacing="0" w:after="0" w:afterAutospacing="0" w:line="360" w:lineRule="auto"/>
        <w:rPr>
          <w:rFonts w:hint="eastAsia" w:ascii="宋体" w:hAnsi="宋体" w:eastAsia="宋体" w:cs="宋体"/>
          <w:b/>
          <w:color w:val="auto"/>
          <w:sz w:val="28"/>
          <w:highlight w:val="none"/>
        </w:rPr>
        <w:sectPr>
          <w:pgSz w:w="11906" w:h="16838"/>
          <w:pgMar w:top="1440" w:right="1800" w:bottom="1440" w:left="1800" w:header="851" w:footer="992" w:gutter="0"/>
          <w:cols w:space="720" w:num="1"/>
          <w:docGrid w:type="lines" w:linePitch="312" w:charSpace="0"/>
        </w:sectPr>
      </w:pPr>
    </w:p>
    <w:p w14:paraId="77E8875F">
      <w:pPr>
        <w:snapToGrid w:val="0"/>
        <w:spacing w:line="500" w:lineRule="exact"/>
        <w:rPr>
          <w:rFonts w:hint="eastAsia" w:ascii="宋体" w:hAnsi="宋体" w:eastAsia="宋体" w:cs="宋体"/>
          <w:b/>
          <w:color w:val="auto"/>
          <w:sz w:val="28"/>
          <w:highlight w:val="none"/>
        </w:rPr>
      </w:pPr>
      <w:r>
        <w:rPr>
          <w:rFonts w:hint="eastAsia" w:ascii="宋体" w:hAnsi="宋体" w:eastAsia="宋体" w:cs="宋体"/>
          <w:b/>
          <w:color w:val="auto"/>
          <w:sz w:val="28"/>
          <w:highlight w:val="none"/>
        </w:rPr>
        <w:t xml:space="preserve">附件4     </w:t>
      </w:r>
    </w:p>
    <w:p w14:paraId="7540B495">
      <w:pPr>
        <w:snapToGrid w:val="0"/>
        <w:spacing w:line="500" w:lineRule="exact"/>
        <w:jc w:val="center"/>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kern w:val="0"/>
          <w:sz w:val="32"/>
          <w:szCs w:val="32"/>
          <w:highlight w:val="none"/>
          <w:lang w:val="zh-CN"/>
        </w:rPr>
        <w:t>符合资格条件的声明函</w:t>
      </w:r>
    </w:p>
    <w:p w14:paraId="0F8EB4CE">
      <w:pPr>
        <w:spacing w:line="500" w:lineRule="exact"/>
        <w:ind w:firstLine="440" w:firstLineChars="200"/>
        <w:jc w:val="left"/>
        <w:rPr>
          <w:rFonts w:hint="eastAsia" w:ascii="宋体" w:hAnsi="宋体" w:eastAsia="宋体" w:cs="宋体"/>
          <w:color w:val="auto"/>
          <w:kern w:val="0"/>
          <w:sz w:val="22"/>
          <w:szCs w:val="22"/>
          <w:highlight w:val="none"/>
          <w:u w:val="single"/>
        </w:rPr>
      </w:pPr>
    </w:p>
    <w:p w14:paraId="2EE780B2">
      <w:pPr>
        <w:spacing w:line="520" w:lineRule="exact"/>
        <w:ind w:firstLine="456" w:firstLineChars="200"/>
        <w:jc w:val="left"/>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u w:val="single"/>
        </w:rPr>
        <w:t>浙江百工程咨询有限公司</w:t>
      </w:r>
      <w:r>
        <w:rPr>
          <w:rFonts w:hint="eastAsia" w:ascii="宋体" w:hAnsi="宋体" w:eastAsia="宋体" w:cs="宋体"/>
          <w:color w:val="auto"/>
          <w:spacing w:val="-6"/>
          <w:kern w:val="0"/>
          <w:sz w:val="24"/>
          <w:szCs w:val="24"/>
          <w:highlight w:val="none"/>
        </w:rPr>
        <w:t>（采购代理机构名称）：</w:t>
      </w:r>
    </w:p>
    <w:p w14:paraId="3F3D52A2">
      <w:pPr>
        <w:spacing w:line="520" w:lineRule="exact"/>
        <w:ind w:firstLine="456" w:firstLineChars="200"/>
        <w:jc w:val="left"/>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截至</w:t>
      </w:r>
      <w:r>
        <w:rPr>
          <w:rFonts w:hint="eastAsia" w:ascii="宋体" w:hAnsi="宋体" w:eastAsia="宋体" w:cs="宋体"/>
          <w:color w:val="auto"/>
          <w:spacing w:val="-6"/>
          <w:kern w:val="0"/>
          <w:sz w:val="24"/>
          <w:szCs w:val="24"/>
          <w:highlight w:val="none"/>
          <w:u w:val="single"/>
        </w:rPr>
        <w:t xml:space="preserve">                </w:t>
      </w:r>
      <w:r>
        <w:rPr>
          <w:rFonts w:hint="eastAsia" w:ascii="宋体" w:hAnsi="宋体" w:eastAsia="宋体" w:cs="宋体"/>
          <w:color w:val="auto"/>
          <w:spacing w:val="-6"/>
          <w:kern w:val="0"/>
          <w:sz w:val="24"/>
          <w:szCs w:val="24"/>
          <w:highlight w:val="none"/>
        </w:rPr>
        <w:t>（采购人）</w:t>
      </w:r>
      <w:r>
        <w:rPr>
          <w:rFonts w:hint="eastAsia" w:ascii="宋体" w:hAnsi="宋体" w:eastAsia="宋体" w:cs="宋体"/>
          <w:color w:val="auto"/>
          <w:spacing w:val="-6"/>
          <w:kern w:val="0"/>
          <w:sz w:val="24"/>
          <w:szCs w:val="24"/>
          <w:highlight w:val="none"/>
          <w:u w:val="single"/>
        </w:rPr>
        <w:t xml:space="preserve">                  </w:t>
      </w:r>
      <w:r>
        <w:rPr>
          <w:rFonts w:hint="eastAsia" w:ascii="宋体" w:hAnsi="宋体" w:eastAsia="宋体" w:cs="宋体"/>
          <w:color w:val="auto"/>
          <w:spacing w:val="-6"/>
          <w:kern w:val="0"/>
          <w:sz w:val="24"/>
          <w:szCs w:val="24"/>
          <w:highlight w:val="none"/>
        </w:rPr>
        <w:t>（项目名称）</w:t>
      </w:r>
      <w:r>
        <w:rPr>
          <w:rFonts w:hint="eastAsia" w:ascii="宋体" w:hAnsi="宋体" w:eastAsia="宋体" w:cs="宋体"/>
          <w:color w:val="auto"/>
          <w:spacing w:val="-6"/>
          <w:kern w:val="0"/>
          <w:sz w:val="24"/>
          <w:szCs w:val="24"/>
          <w:highlight w:val="none"/>
          <w:u w:val="single"/>
        </w:rPr>
        <w:t xml:space="preserve">          </w:t>
      </w:r>
      <w:r>
        <w:rPr>
          <w:rFonts w:hint="eastAsia" w:ascii="宋体" w:hAnsi="宋体" w:eastAsia="宋体" w:cs="宋体"/>
          <w:color w:val="auto"/>
          <w:spacing w:val="-6"/>
          <w:kern w:val="0"/>
          <w:sz w:val="24"/>
          <w:szCs w:val="24"/>
          <w:highlight w:val="none"/>
        </w:rPr>
        <w:t>（项目编号）的投标截止时间，本公司具有良好的商业信誉，依法缴纳税收和社会保障资金，具有履行合同所必需的设备和专业技术能力，未被列入失信被执行人名单、重大税收违法失信主体、政府采购严重违法失信行为记录名单，在参加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w:t>
      </w:r>
    </w:p>
    <w:p w14:paraId="60E519C1">
      <w:pPr>
        <w:spacing w:line="520" w:lineRule="exact"/>
        <w:ind w:firstLine="456" w:firstLineChars="200"/>
        <w:jc w:val="left"/>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我方对上述声明的真实性负责。如有虚假，愿意承担相应责任，对此无任何异议。</w:t>
      </w:r>
    </w:p>
    <w:p w14:paraId="42A19EEF">
      <w:pPr>
        <w:tabs>
          <w:tab w:val="left" w:pos="4860"/>
        </w:tabs>
        <w:spacing w:line="588" w:lineRule="exact"/>
        <w:ind w:right="1560" w:firstLine="456" w:firstLineChars="200"/>
        <w:jc w:val="left"/>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特此声明！</w:t>
      </w:r>
    </w:p>
    <w:p w14:paraId="196BEFF6">
      <w:pPr>
        <w:tabs>
          <w:tab w:val="left" w:pos="4860"/>
        </w:tabs>
        <w:spacing w:line="588" w:lineRule="exact"/>
        <w:ind w:right="1560" w:firstLine="456" w:firstLineChars="200"/>
        <w:jc w:val="left"/>
        <w:rPr>
          <w:rFonts w:hint="eastAsia" w:ascii="宋体" w:hAnsi="宋体" w:eastAsia="宋体" w:cs="宋体"/>
          <w:color w:val="auto"/>
          <w:spacing w:val="-6"/>
          <w:kern w:val="0"/>
          <w:sz w:val="24"/>
          <w:szCs w:val="24"/>
          <w:highlight w:val="none"/>
        </w:rPr>
      </w:pPr>
    </w:p>
    <w:p w14:paraId="4F885CB3">
      <w:pPr>
        <w:tabs>
          <w:tab w:val="left" w:pos="4860"/>
        </w:tabs>
        <w:spacing w:line="588" w:lineRule="exact"/>
        <w:ind w:right="1560" w:firstLine="456" w:firstLineChars="200"/>
        <w:jc w:val="left"/>
        <w:rPr>
          <w:rFonts w:hint="eastAsia" w:ascii="宋体" w:hAnsi="宋体" w:eastAsia="宋体" w:cs="宋体"/>
          <w:color w:val="auto"/>
          <w:spacing w:val="-6"/>
          <w:kern w:val="0"/>
          <w:sz w:val="24"/>
          <w:szCs w:val="24"/>
          <w:highlight w:val="none"/>
        </w:rPr>
      </w:pPr>
    </w:p>
    <w:p w14:paraId="65FCC835">
      <w:pPr>
        <w:keepNext w:val="0"/>
        <w:keepLines w:val="0"/>
        <w:pageBreakBefore w:val="0"/>
        <w:tabs>
          <w:tab w:val="left" w:pos="4860"/>
        </w:tabs>
        <w:kinsoku/>
        <w:wordWrap/>
        <w:overflowPunct/>
        <w:topLinePunct w:val="0"/>
        <w:autoSpaceDE/>
        <w:autoSpaceDN/>
        <w:bidi w:val="0"/>
        <w:adjustRightInd/>
        <w:snapToGrid/>
        <w:spacing w:line="360" w:lineRule="auto"/>
        <w:ind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供应商全称（公章）：</w:t>
      </w:r>
    </w:p>
    <w:p w14:paraId="66BEE4B3">
      <w:pPr>
        <w:keepNext w:val="0"/>
        <w:keepLines w:val="0"/>
        <w:pageBreakBefore w:val="0"/>
        <w:tabs>
          <w:tab w:val="left" w:pos="4860"/>
        </w:tabs>
        <w:kinsoku/>
        <w:wordWrap/>
        <w:overflowPunct/>
        <w:topLinePunct w:val="0"/>
        <w:autoSpaceDE/>
        <w:autoSpaceDN/>
        <w:bidi w:val="0"/>
        <w:adjustRightInd/>
        <w:snapToGrid/>
        <w:spacing w:line="360" w:lineRule="auto"/>
        <w:ind w:right="0" w:firstLine="0" w:firstLineChars="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法定代表人或授权委托人</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lang w:val="zh-CN" w:eastAsia="zh-CN"/>
        </w:rPr>
        <w:t>：</w:t>
      </w:r>
    </w:p>
    <w:p w14:paraId="1DC5A948">
      <w:pPr>
        <w:keepNext w:val="0"/>
        <w:keepLines w:val="0"/>
        <w:pageBreakBefore w:val="0"/>
        <w:tabs>
          <w:tab w:val="left" w:pos="4860"/>
        </w:tabs>
        <w:kinsoku/>
        <w:wordWrap/>
        <w:overflowPunct/>
        <w:topLinePunct w:val="0"/>
        <w:autoSpaceDE/>
        <w:autoSpaceDN/>
        <w:bidi w:val="0"/>
        <w:adjustRightInd/>
        <w:snapToGrid/>
        <w:spacing w:line="360" w:lineRule="auto"/>
        <w:ind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14:paraId="5C55006A">
      <w:pPr>
        <w:rPr>
          <w:rFonts w:hint="eastAsia" w:ascii="宋体" w:hAnsi="宋体" w:eastAsia="宋体" w:cs="宋体"/>
          <w:b/>
          <w:color w:val="auto"/>
          <w:sz w:val="28"/>
          <w:highlight w:val="none"/>
        </w:rPr>
      </w:pPr>
    </w:p>
    <w:p w14:paraId="52AD4463">
      <w:pPr>
        <w:pStyle w:val="62"/>
        <w:shd w:val="clear" w:color="auto" w:fill="FFFFFF"/>
        <w:spacing w:before="0" w:beforeAutospacing="0" w:after="0" w:afterAutospacing="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p>
    <w:p w14:paraId="32246DF6">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2F9B0391">
      <w:pPr>
        <w:pStyle w:val="86"/>
        <w:widowControl w:val="0"/>
        <w:snapToGrid w:val="0"/>
        <w:ind w:left="0" w:leftChars="0" w:firstLine="0" w:firstLineChars="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5</w:t>
      </w:r>
    </w:p>
    <w:p w14:paraId="062C50DA">
      <w:pPr>
        <w:widowControl/>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中小企业声明函</w:t>
      </w:r>
    </w:p>
    <w:p w14:paraId="465D6BB9">
      <w:pPr>
        <w:pStyle w:val="14"/>
        <w:rPr>
          <w:rFonts w:hint="eastAsia" w:ascii="宋体" w:hAnsi="宋体" w:eastAsia="宋体" w:cs="宋体"/>
          <w:color w:val="auto"/>
          <w:highlight w:val="none"/>
        </w:rPr>
      </w:pPr>
    </w:p>
    <w:p w14:paraId="31F1860E">
      <w:pPr>
        <w:widowControl/>
        <w:spacing w:line="360" w:lineRule="auto"/>
        <w:ind w:firstLine="480" w:firstLineChars="200"/>
        <w:jc w:val="left"/>
        <w:textAlignment w:val="baseline"/>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本公司郑重声明，根据《政府采购促进中小企业发展管理办法》（财库﹝2020﹞46 号）的规定，本公司参加</w:t>
      </w:r>
      <w:r>
        <w:rPr>
          <w:rFonts w:hint="eastAsia" w:ascii="宋体" w:hAnsi="宋体" w:eastAsia="宋体" w:cs="宋体"/>
          <w:i/>
          <w:color w:val="auto"/>
          <w:kern w:val="0"/>
          <w:sz w:val="24"/>
          <w:highlight w:val="none"/>
          <w:u w:val="single" w:color="000000"/>
        </w:rPr>
        <w:t>（单位名称）</w:t>
      </w:r>
      <w:r>
        <w:rPr>
          <w:rFonts w:hint="eastAsia" w:ascii="宋体" w:hAnsi="宋体" w:eastAsia="宋体" w:cs="宋体"/>
          <w:color w:val="auto"/>
          <w:kern w:val="0"/>
          <w:sz w:val="24"/>
          <w:highlight w:val="none"/>
        </w:rPr>
        <w:t>的</w:t>
      </w:r>
      <w:r>
        <w:rPr>
          <w:rFonts w:hint="eastAsia" w:ascii="宋体" w:hAnsi="宋体" w:eastAsia="宋体" w:cs="宋体"/>
          <w:i/>
          <w:color w:val="auto"/>
          <w:kern w:val="0"/>
          <w:sz w:val="24"/>
          <w:highlight w:val="none"/>
          <w:u w:val="single" w:color="000000"/>
        </w:rPr>
        <w:t>（项目名称）</w:t>
      </w:r>
      <w:r>
        <w:rPr>
          <w:rFonts w:hint="eastAsia" w:ascii="宋体" w:hAnsi="宋体" w:eastAsia="宋体" w:cs="宋体"/>
          <w:color w:val="auto"/>
          <w:kern w:val="0"/>
          <w:sz w:val="24"/>
          <w:highlight w:val="none"/>
        </w:rPr>
        <w:t>采购活动，全部为符合政策要求的中小企业（或者：服务全部由符合政策要求的中小企业承接）。相关企业的具体情 况如下：</w:t>
      </w:r>
    </w:p>
    <w:p w14:paraId="468048EA">
      <w:pPr>
        <w:widowControl/>
        <w:spacing w:line="360" w:lineRule="auto"/>
        <w:ind w:firstLine="480" w:firstLineChars="200"/>
        <w:jc w:val="left"/>
        <w:textAlignment w:val="baseline"/>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xml:space="preserve">1. </w:t>
      </w:r>
      <w:r>
        <w:rPr>
          <w:rFonts w:hint="eastAsia" w:ascii="宋体" w:hAnsi="宋体" w:eastAsia="宋体" w:cs="宋体"/>
          <w:i/>
          <w:color w:val="auto"/>
          <w:kern w:val="0"/>
          <w:sz w:val="24"/>
          <w:highlight w:val="none"/>
          <w:u w:val="single" w:color="000000"/>
        </w:rPr>
        <w:t xml:space="preserve">（标的名称） </w:t>
      </w:r>
      <w:r>
        <w:rPr>
          <w:rFonts w:hint="eastAsia" w:ascii="宋体" w:hAnsi="宋体" w:eastAsia="宋体" w:cs="宋体"/>
          <w:color w:val="auto"/>
          <w:kern w:val="0"/>
          <w:sz w:val="24"/>
          <w:highlight w:val="none"/>
        </w:rPr>
        <w:t>，属于其他未列明行业；承建（承接）企业为</w:t>
      </w:r>
      <w:r>
        <w:rPr>
          <w:rFonts w:hint="eastAsia" w:ascii="宋体" w:hAnsi="宋体" w:eastAsia="宋体" w:cs="宋体"/>
          <w:i/>
          <w:color w:val="auto"/>
          <w:kern w:val="0"/>
          <w:sz w:val="24"/>
          <w:highlight w:val="none"/>
          <w:u w:val="single" w:color="000000"/>
        </w:rPr>
        <w:t>（企业名称）</w:t>
      </w:r>
      <w:r>
        <w:rPr>
          <w:rFonts w:hint="eastAsia" w:ascii="宋体" w:hAnsi="宋体" w:eastAsia="宋体" w:cs="宋体"/>
          <w:color w:val="auto"/>
          <w:kern w:val="0"/>
          <w:sz w:val="24"/>
          <w:highlight w:val="none"/>
        </w:rPr>
        <w:t>，从业人员</w:t>
      </w:r>
      <w:r>
        <w:rPr>
          <w:rFonts w:hint="eastAsia" w:ascii="宋体" w:hAnsi="宋体" w:eastAsia="宋体" w:cs="宋体"/>
          <w:color w:val="auto"/>
          <w:kern w:val="0"/>
          <w:sz w:val="24"/>
          <w:highlight w:val="none"/>
          <w:u w:val="single" w:color="000000"/>
        </w:rPr>
        <w:t xml:space="preserve">   </w:t>
      </w:r>
      <w:r>
        <w:rPr>
          <w:rFonts w:hint="eastAsia" w:ascii="宋体" w:hAnsi="宋体" w:eastAsia="宋体" w:cs="宋体"/>
          <w:color w:val="auto"/>
          <w:kern w:val="0"/>
          <w:sz w:val="24"/>
          <w:highlight w:val="none"/>
        </w:rPr>
        <w:t>人，营业收入为</w:t>
      </w:r>
      <w:r>
        <w:rPr>
          <w:rFonts w:hint="eastAsia" w:ascii="宋体" w:hAnsi="宋体" w:eastAsia="宋体" w:cs="宋体"/>
          <w:color w:val="auto"/>
          <w:kern w:val="0"/>
          <w:sz w:val="24"/>
          <w:highlight w:val="none"/>
          <w:u w:val="single" w:color="000000"/>
        </w:rPr>
        <w:t xml:space="preserve">   </w:t>
      </w:r>
      <w:r>
        <w:rPr>
          <w:rFonts w:hint="eastAsia" w:ascii="宋体" w:hAnsi="宋体" w:eastAsia="宋体" w:cs="宋体"/>
          <w:color w:val="auto"/>
          <w:kern w:val="0"/>
          <w:sz w:val="24"/>
          <w:highlight w:val="none"/>
        </w:rPr>
        <w:t>万元，资产总额为</w:t>
      </w:r>
      <w:r>
        <w:rPr>
          <w:rFonts w:hint="eastAsia" w:ascii="宋体" w:hAnsi="宋体" w:eastAsia="宋体" w:cs="宋体"/>
          <w:color w:val="auto"/>
          <w:kern w:val="0"/>
          <w:sz w:val="24"/>
          <w:highlight w:val="none"/>
          <w:u w:val="single" w:color="000000"/>
        </w:rPr>
        <w:t xml:space="preserve">   </w:t>
      </w:r>
      <w:r>
        <w:rPr>
          <w:rFonts w:hint="eastAsia" w:ascii="宋体" w:hAnsi="宋体" w:eastAsia="宋体" w:cs="宋体"/>
          <w:color w:val="auto"/>
          <w:kern w:val="0"/>
          <w:sz w:val="24"/>
          <w:highlight w:val="none"/>
        </w:rPr>
        <w:t>万元，属于</w:t>
      </w:r>
      <w:r>
        <w:rPr>
          <w:rFonts w:hint="eastAsia" w:ascii="宋体" w:hAnsi="宋体" w:eastAsia="宋体" w:cs="宋体"/>
          <w:i/>
          <w:color w:val="auto"/>
          <w:kern w:val="0"/>
          <w:sz w:val="24"/>
          <w:highlight w:val="none"/>
          <w:u w:val="single" w:color="000000"/>
        </w:rPr>
        <w:t>（中型企业、 小型企业、微型企业）</w:t>
      </w:r>
      <w:r>
        <w:rPr>
          <w:rFonts w:hint="eastAsia" w:ascii="宋体" w:hAnsi="宋体" w:eastAsia="宋体" w:cs="宋体"/>
          <w:color w:val="auto"/>
          <w:kern w:val="0"/>
          <w:sz w:val="24"/>
          <w:highlight w:val="none"/>
        </w:rPr>
        <w:t xml:space="preserve">； </w:t>
      </w:r>
    </w:p>
    <w:p w14:paraId="1AC18969">
      <w:pPr>
        <w:widowControl/>
        <w:spacing w:line="360" w:lineRule="auto"/>
        <w:ind w:firstLine="480" w:firstLineChars="200"/>
        <w:jc w:val="left"/>
        <w:textAlignment w:val="baseline"/>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p>
    <w:p w14:paraId="693D273B">
      <w:pPr>
        <w:widowControl/>
        <w:spacing w:line="360" w:lineRule="auto"/>
        <w:ind w:firstLine="480" w:firstLineChars="200"/>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14:paraId="6944F1DB">
      <w:pPr>
        <w:pStyle w:val="14"/>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注：从业人员、营业收入、资产总额填报上一年度数据，无上一年度数据的新成立企业可不填报。</w:t>
      </w:r>
    </w:p>
    <w:p w14:paraId="2FFEC969">
      <w:pPr>
        <w:pStyle w:val="14"/>
        <w:textAlignment w:val="baseline"/>
        <w:rPr>
          <w:rFonts w:hint="eastAsia" w:ascii="宋体" w:hAnsi="宋体" w:eastAsia="宋体" w:cs="宋体"/>
          <w:color w:val="auto"/>
          <w:highlight w:val="none"/>
        </w:rPr>
      </w:pPr>
    </w:p>
    <w:p w14:paraId="670D9AE7">
      <w:pPr>
        <w:widowControl/>
        <w:spacing w:line="360" w:lineRule="auto"/>
        <w:jc w:val="center"/>
        <w:textAlignment w:val="baseline"/>
        <w:rPr>
          <w:rFonts w:hint="eastAsia" w:ascii="宋体" w:hAnsi="宋体" w:eastAsia="宋体" w:cs="宋体"/>
          <w:color w:val="auto"/>
          <w:kern w:val="0"/>
          <w:sz w:val="24"/>
          <w:highlight w:val="none"/>
        </w:rPr>
      </w:pPr>
    </w:p>
    <w:p w14:paraId="3D59B404">
      <w:pPr>
        <w:widowControl/>
        <w:spacing w:line="360" w:lineRule="auto"/>
        <w:jc w:val="center"/>
        <w:textAlignment w:val="baseline"/>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xml:space="preserve">                                企业名称（</w:t>
      </w:r>
      <w:r>
        <w:rPr>
          <w:rFonts w:hint="eastAsia" w:ascii="宋体" w:hAnsi="宋体" w:eastAsia="宋体" w:cs="宋体"/>
          <w:color w:val="auto"/>
          <w:sz w:val="24"/>
          <w:szCs w:val="24"/>
          <w:highlight w:val="none"/>
        </w:rPr>
        <w:t>公章</w:t>
      </w:r>
      <w:r>
        <w:rPr>
          <w:rFonts w:hint="eastAsia" w:ascii="宋体" w:hAnsi="宋体" w:eastAsia="宋体" w:cs="宋体"/>
          <w:color w:val="auto"/>
          <w:kern w:val="0"/>
          <w:sz w:val="24"/>
          <w:highlight w:val="none"/>
        </w:rPr>
        <w:t xml:space="preserve">）： </w:t>
      </w:r>
    </w:p>
    <w:p w14:paraId="7E1DC61A">
      <w:pPr>
        <w:widowControl/>
        <w:spacing w:line="360" w:lineRule="auto"/>
        <w:jc w:val="center"/>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日 期：</w:t>
      </w:r>
    </w:p>
    <w:p w14:paraId="49BF39B0">
      <w:pPr>
        <w:pStyle w:val="21"/>
        <w:spacing w:line="360" w:lineRule="auto"/>
        <w:jc w:val="center"/>
        <w:outlineLvl w:val="1"/>
        <w:rPr>
          <w:rFonts w:hint="eastAsia" w:ascii="宋体" w:hAnsi="宋体" w:eastAsia="宋体" w:cs="宋体"/>
          <w:b/>
          <w:color w:val="auto"/>
          <w:sz w:val="32"/>
          <w:szCs w:val="32"/>
          <w:highlight w:val="none"/>
          <w:lang w:val="en-GB"/>
        </w:rPr>
      </w:pPr>
    </w:p>
    <w:p w14:paraId="33656170">
      <w:pPr>
        <w:widowControl/>
        <w:spacing w:line="360" w:lineRule="auto"/>
        <w:jc w:val="left"/>
        <w:rPr>
          <w:rFonts w:hint="eastAsia" w:ascii="宋体" w:hAnsi="宋体" w:eastAsia="宋体" w:cs="宋体"/>
          <w:b/>
          <w:color w:val="auto"/>
          <w:sz w:val="32"/>
          <w:szCs w:val="32"/>
          <w:highlight w:val="none"/>
          <w:lang w:val="en-GB"/>
        </w:rPr>
        <w:sectPr>
          <w:pgSz w:w="11906" w:h="16838"/>
          <w:pgMar w:top="1440" w:right="1800" w:bottom="1440" w:left="1800" w:header="851" w:footer="992" w:gutter="0"/>
          <w:pgNumType w:fmt="numberInDash"/>
          <w:cols w:space="720" w:num="1"/>
          <w:docGrid w:type="lines" w:linePitch="312" w:charSpace="0"/>
        </w:sectPr>
      </w:pPr>
    </w:p>
    <w:p w14:paraId="31F98AE5">
      <w:pPr>
        <w:pStyle w:val="21"/>
        <w:spacing w:line="360" w:lineRule="auto"/>
        <w:jc w:val="center"/>
        <w:outlineLvl w:val="1"/>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5102F79C">
      <w:pPr>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7EEEBFC">
      <w:pPr>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本单位对上述声明的真实性负责。如有虚假，将依法承担相应责任。</w:t>
      </w:r>
    </w:p>
    <w:p w14:paraId="79763345">
      <w:pPr>
        <w:tabs>
          <w:tab w:val="left" w:pos="4860"/>
        </w:tabs>
        <w:spacing w:line="588" w:lineRule="exact"/>
        <w:ind w:right="1560" w:firstLine="504" w:firstLineChars="200"/>
        <w:jc w:val="center"/>
        <w:rPr>
          <w:rFonts w:hint="eastAsia" w:ascii="宋体" w:hAnsi="宋体" w:eastAsia="宋体" w:cs="宋体"/>
          <w:color w:val="auto"/>
          <w:spacing w:val="6"/>
          <w:sz w:val="24"/>
          <w:highlight w:val="none"/>
        </w:rPr>
      </w:pPr>
    </w:p>
    <w:p w14:paraId="32D96750">
      <w:pPr>
        <w:tabs>
          <w:tab w:val="left" w:pos="4860"/>
        </w:tabs>
        <w:spacing w:line="588" w:lineRule="exact"/>
        <w:ind w:right="1560" w:firstLine="504" w:firstLineChars="200"/>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             单位名称（</w:t>
      </w:r>
      <w:r>
        <w:rPr>
          <w:rFonts w:hint="eastAsia" w:ascii="宋体" w:hAnsi="宋体" w:eastAsia="宋体" w:cs="宋体"/>
          <w:color w:val="auto"/>
          <w:sz w:val="24"/>
          <w:szCs w:val="24"/>
          <w:highlight w:val="none"/>
        </w:rPr>
        <w:t>公章</w:t>
      </w:r>
      <w:r>
        <w:rPr>
          <w:rFonts w:hint="eastAsia" w:ascii="宋体" w:hAnsi="宋体" w:eastAsia="宋体" w:cs="宋体"/>
          <w:color w:val="auto"/>
          <w:spacing w:val="6"/>
          <w:sz w:val="24"/>
          <w:highlight w:val="none"/>
        </w:rPr>
        <w:t>）：</w:t>
      </w:r>
    </w:p>
    <w:p w14:paraId="5EFC4B77">
      <w:pPr>
        <w:tabs>
          <w:tab w:val="left" w:pos="4860"/>
        </w:tabs>
        <w:spacing w:line="588" w:lineRule="exact"/>
        <w:ind w:right="1560" w:firstLine="504" w:firstLineChars="200"/>
        <w:jc w:val="center"/>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rPr>
        <w:t xml:space="preserve">       日  期：</w:t>
      </w:r>
    </w:p>
    <w:p w14:paraId="06880770">
      <w:pPr>
        <w:pStyle w:val="77"/>
        <w:spacing w:line="360" w:lineRule="auto"/>
        <w:rPr>
          <w:rFonts w:hint="eastAsia" w:ascii="宋体" w:hAnsi="宋体" w:eastAsia="宋体" w:cs="宋体"/>
          <w:b/>
          <w:color w:val="auto"/>
          <w:sz w:val="28"/>
          <w:szCs w:val="28"/>
          <w:highlight w:val="none"/>
        </w:rPr>
      </w:pPr>
    </w:p>
    <w:p w14:paraId="5C788CFD">
      <w:pPr>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br w:type="page"/>
      </w:r>
    </w:p>
    <w:p w14:paraId="01952128">
      <w:pPr>
        <w:pStyle w:val="46"/>
        <w:jc w:val="center"/>
        <w:rPr>
          <w:rFonts w:hint="eastAsia" w:ascii="宋体" w:hAnsi="宋体" w:eastAsia="宋体" w:cs="宋体"/>
          <w:color w:val="auto"/>
          <w:sz w:val="24"/>
          <w:highlight w:val="none"/>
        </w:rPr>
      </w:pPr>
      <w:r>
        <w:rPr>
          <w:rFonts w:hint="eastAsia" w:ascii="宋体" w:hAnsi="宋体" w:eastAsia="宋体" w:cs="宋体"/>
          <w:b/>
          <w:color w:val="auto"/>
          <w:kern w:val="2"/>
          <w:sz w:val="32"/>
          <w:szCs w:val="32"/>
          <w:highlight w:val="none"/>
          <w:lang w:val="en-GB"/>
        </w:rPr>
        <w:t>监狱企业资格证明材料</w:t>
      </w:r>
    </w:p>
    <w:p w14:paraId="30455544">
      <w:pPr>
        <w:spacing w:line="588" w:lineRule="exact"/>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(省级以上监狱管理局、戒毒管理局(含新疆生产建设兵团)出具的属于监狱企业的证明文件)</w:t>
      </w:r>
    </w:p>
    <w:p w14:paraId="477A8A9D">
      <w:pPr>
        <w:spacing w:line="588" w:lineRule="exact"/>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说明:监狱企业视同小型、微型企业。</w:t>
      </w:r>
    </w:p>
    <w:p w14:paraId="30FC6283">
      <w:pPr>
        <w:spacing w:line="588" w:lineRule="exact"/>
        <w:ind w:firstLine="480" w:firstLineChars="200"/>
        <w:textAlignment w:val="baseline"/>
        <w:rPr>
          <w:rFonts w:hint="eastAsia" w:ascii="宋体" w:hAnsi="宋体" w:eastAsia="宋体" w:cs="宋体"/>
          <w:color w:val="auto"/>
          <w:sz w:val="24"/>
          <w:highlight w:val="none"/>
        </w:rPr>
      </w:pPr>
    </w:p>
    <w:p w14:paraId="13377BB7">
      <w:pPr>
        <w:spacing w:line="588" w:lineRule="exact"/>
        <w:ind w:firstLine="480" w:firstLineChars="200"/>
        <w:jc w:val="righ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单位名称(公章):</w:t>
      </w:r>
    </w:p>
    <w:p w14:paraId="441E4227">
      <w:pPr>
        <w:spacing w:line="588" w:lineRule="exact"/>
        <w:ind w:firstLine="480" w:firstLineChars="200"/>
        <w:jc w:val="righ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78B1CACF">
      <w:pPr>
        <w:pStyle w:val="46"/>
        <w:rPr>
          <w:rFonts w:hint="eastAsia" w:ascii="宋体" w:hAnsi="宋体" w:eastAsia="宋体" w:cs="宋体"/>
          <w:color w:val="auto"/>
          <w:sz w:val="24"/>
          <w:highlight w:val="none"/>
        </w:rPr>
      </w:pPr>
    </w:p>
    <w:p w14:paraId="1E71886D">
      <w:pPr>
        <w:pStyle w:val="46"/>
        <w:rPr>
          <w:rFonts w:hint="eastAsia" w:ascii="宋体" w:hAnsi="宋体" w:eastAsia="宋体" w:cs="宋体"/>
          <w:color w:val="auto"/>
          <w:sz w:val="24"/>
          <w:highlight w:val="none"/>
        </w:rPr>
      </w:pPr>
    </w:p>
    <w:p w14:paraId="72E42A1A">
      <w:pPr>
        <w:pStyle w:val="46"/>
        <w:rPr>
          <w:rFonts w:hint="eastAsia" w:ascii="宋体" w:hAnsi="宋体" w:eastAsia="宋体" w:cs="宋体"/>
          <w:color w:val="auto"/>
          <w:sz w:val="24"/>
          <w:highlight w:val="none"/>
        </w:rPr>
      </w:pPr>
    </w:p>
    <w:p w14:paraId="0F5AD7A2">
      <w:pPr>
        <w:spacing w:line="588" w:lineRule="exact"/>
        <w:ind w:firstLine="482" w:firstLineChars="200"/>
        <w:textAlignment w:val="baseline"/>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不属于中小企业、残疾人福利性单位、监狱企业的，无需提供此声明函，如提供所引起的后果由</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承担。</w:t>
      </w:r>
    </w:p>
    <w:p w14:paraId="50C166CD">
      <w:pPr>
        <w:pStyle w:val="77"/>
        <w:spacing w:line="360" w:lineRule="auto"/>
        <w:rPr>
          <w:rFonts w:hint="eastAsia" w:ascii="宋体" w:hAnsi="宋体" w:eastAsia="宋体" w:cs="宋体"/>
          <w:b/>
          <w:color w:val="auto"/>
          <w:sz w:val="28"/>
          <w:szCs w:val="28"/>
          <w:highlight w:val="none"/>
        </w:rPr>
      </w:pPr>
    </w:p>
    <w:p w14:paraId="56D44123">
      <w:pPr>
        <w:spacing w:line="360" w:lineRule="auto"/>
        <w:ind w:right="-110"/>
        <w:jc w:val="center"/>
        <w:rPr>
          <w:rFonts w:hint="eastAsia" w:ascii="宋体" w:hAnsi="宋体" w:eastAsia="宋体" w:cs="宋体"/>
          <w:color w:val="auto"/>
          <w:highlight w:val="none"/>
        </w:rPr>
      </w:pPr>
    </w:p>
    <w:p w14:paraId="6A5B596C">
      <w:pPr>
        <w:pStyle w:val="18"/>
        <w:rPr>
          <w:rFonts w:hint="eastAsia" w:ascii="宋体" w:hAnsi="宋体" w:eastAsia="宋体" w:cs="宋体"/>
          <w:color w:val="auto"/>
          <w:highlight w:val="none"/>
        </w:rPr>
      </w:pPr>
    </w:p>
    <w:p w14:paraId="1CFAAEB3">
      <w:pPr>
        <w:pStyle w:val="18"/>
        <w:rPr>
          <w:rFonts w:hint="eastAsia" w:ascii="宋体" w:hAnsi="宋体" w:eastAsia="宋体" w:cs="宋体"/>
          <w:color w:val="auto"/>
          <w:highlight w:val="none"/>
        </w:rPr>
      </w:pPr>
    </w:p>
    <w:p w14:paraId="5DE4851D">
      <w:pPr>
        <w:pStyle w:val="18"/>
        <w:rPr>
          <w:rFonts w:hint="eastAsia" w:ascii="宋体" w:hAnsi="宋体" w:eastAsia="宋体" w:cs="宋体"/>
          <w:color w:val="auto"/>
          <w:highlight w:val="none"/>
        </w:rPr>
      </w:pPr>
    </w:p>
    <w:p w14:paraId="751F1502">
      <w:pPr>
        <w:pStyle w:val="18"/>
        <w:rPr>
          <w:rFonts w:hint="eastAsia" w:ascii="宋体" w:hAnsi="宋体" w:eastAsia="宋体" w:cs="宋体"/>
          <w:color w:val="auto"/>
          <w:highlight w:val="none"/>
        </w:rPr>
      </w:pPr>
    </w:p>
    <w:p w14:paraId="63F5B531">
      <w:pPr>
        <w:pStyle w:val="2"/>
        <w:ind w:firstLine="480"/>
        <w:rPr>
          <w:rFonts w:hint="eastAsia" w:ascii="宋体" w:hAnsi="宋体" w:eastAsia="宋体" w:cs="宋体"/>
          <w:color w:val="auto"/>
          <w:highlight w:val="none"/>
        </w:rPr>
      </w:pPr>
    </w:p>
    <w:p w14:paraId="16EC0D0C">
      <w:pPr>
        <w:pStyle w:val="18"/>
        <w:rPr>
          <w:rFonts w:hint="eastAsia" w:ascii="宋体" w:hAnsi="宋体" w:eastAsia="宋体" w:cs="宋体"/>
          <w:color w:val="auto"/>
          <w:highlight w:val="none"/>
        </w:rPr>
      </w:pPr>
    </w:p>
    <w:p w14:paraId="6894C9D3">
      <w:pPr>
        <w:pStyle w:val="18"/>
        <w:rPr>
          <w:rFonts w:hint="eastAsia" w:ascii="宋体" w:hAnsi="宋体" w:eastAsia="宋体" w:cs="宋体"/>
          <w:color w:val="auto"/>
          <w:highlight w:val="none"/>
        </w:rPr>
      </w:pPr>
    </w:p>
    <w:p w14:paraId="3B1351C0">
      <w:pPr>
        <w:pStyle w:val="18"/>
        <w:rPr>
          <w:rFonts w:hint="eastAsia" w:ascii="宋体" w:hAnsi="宋体" w:eastAsia="宋体" w:cs="宋体"/>
          <w:color w:val="auto"/>
          <w:highlight w:val="none"/>
        </w:rPr>
      </w:pPr>
    </w:p>
    <w:p w14:paraId="1083C842">
      <w:pPr>
        <w:pStyle w:val="18"/>
        <w:rPr>
          <w:rFonts w:hint="eastAsia" w:ascii="宋体" w:hAnsi="宋体" w:eastAsia="宋体" w:cs="宋体"/>
          <w:color w:val="auto"/>
          <w:highlight w:val="none"/>
        </w:rPr>
      </w:pPr>
    </w:p>
    <w:p w14:paraId="322E600C">
      <w:pPr>
        <w:pStyle w:val="18"/>
        <w:rPr>
          <w:rFonts w:hint="eastAsia" w:ascii="宋体" w:hAnsi="宋体" w:eastAsia="宋体" w:cs="宋体"/>
          <w:color w:val="auto"/>
          <w:highlight w:val="none"/>
        </w:rPr>
      </w:pPr>
    </w:p>
    <w:p w14:paraId="232FCB82">
      <w:pPr>
        <w:pStyle w:val="18"/>
        <w:rPr>
          <w:rFonts w:hint="eastAsia" w:ascii="宋体" w:hAnsi="宋体" w:eastAsia="宋体" w:cs="宋体"/>
          <w:color w:val="auto"/>
          <w:highlight w:val="none"/>
        </w:rPr>
      </w:pPr>
    </w:p>
    <w:p w14:paraId="47513FF4">
      <w:pPr>
        <w:pStyle w:val="18"/>
        <w:rPr>
          <w:rFonts w:hint="eastAsia" w:ascii="宋体" w:hAnsi="宋体" w:eastAsia="宋体" w:cs="宋体"/>
          <w:color w:val="auto"/>
          <w:highlight w:val="none"/>
        </w:rPr>
      </w:pPr>
    </w:p>
    <w:p w14:paraId="51CACDC0">
      <w:pPr>
        <w:pStyle w:val="18"/>
        <w:rPr>
          <w:rFonts w:hint="eastAsia" w:ascii="宋体" w:hAnsi="宋体" w:eastAsia="宋体" w:cs="宋体"/>
          <w:color w:val="auto"/>
          <w:highlight w:val="none"/>
        </w:rPr>
      </w:pPr>
    </w:p>
    <w:p w14:paraId="22FD5407">
      <w:pPr>
        <w:pStyle w:val="18"/>
        <w:rPr>
          <w:rFonts w:hint="eastAsia" w:ascii="宋体" w:hAnsi="宋体" w:eastAsia="宋体" w:cs="宋体"/>
          <w:color w:val="auto"/>
          <w:highlight w:val="none"/>
        </w:rPr>
      </w:pPr>
    </w:p>
    <w:p w14:paraId="093A615F">
      <w:pPr>
        <w:pStyle w:val="18"/>
        <w:rPr>
          <w:rFonts w:hint="eastAsia" w:ascii="宋体" w:hAnsi="宋体" w:eastAsia="宋体" w:cs="宋体"/>
          <w:color w:val="auto"/>
          <w:highlight w:val="none"/>
        </w:rPr>
      </w:pPr>
    </w:p>
    <w:p w14:paraId="29481FE3">
      <w:pPr>
        <w:rPr>
          <w:rFonts w:hint="eastAsia" w:ascii="宋体" w:hAnsi="宋体" w:eastAsia="宋体" w:cs="宋体"/>
          <w:color w:val="auto"/>
          <w:highlight w:val="none"/>
          <w:u w:val="single"/>
        </w:rPr>
      </w:pPr>
    </w:p>
    <w:p w14:paraId="55EF7FE3">
      <w:pPr>
        <w:pStyle w:val="62"/>
        <w:shd w:val="clear" w:color="auto" w:fill="FFFFFF"/>
        <w:spacing w:before="0" w:beforeAutospacing="0" w:after="0" w:afterAutospacing="0" w:line="360" w:lineRule="auto"/>
        <w:jc w:val="both"/>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6</w:t>
      </w:r>
    </w:p>
    <w:p w14:paraId="7ABFE1C9">
      <w:pPr>
        <w:pStyle w:val="62"/>
        <w:shd w:val="clear" w:color="auto" w:fill="FFFFFF"/>
        <w:spacing w:before="0" w:beforeAutospacing="0" w:after="0" w:afterAutospacing="0" w:line="360" w:lineRule="auto"/>
        <w:jc w:val="center"/>
        <w:rPr>
          <w:rFonts w:hint="eastAsia" w:ascii="宋体" w:hAnsi="宋体" w:eastAsia="宋体" w:cs="宋体"/>
          <w:b/>
          <w:bCs/>
          <w:color w:val="auto"/>
          <w:spacing w:val="21"/>
          <w:sz w:val="32"/>
          <w:szCs w:val="32"/>
          <w:highlight w:val="none"/>
        </w:rPr>
      </w:pPr>
      <w:r>
        <w:rPr>
          <w:rFonts w:hint="eastAsia" w:ascii="宋体" w:hAnsi="宋体" w:eastAsia="宋体" w:cs="宋体"/>
          <w:b/>
          <w:color w:val="auto"/>
          <w:sz w:val="32"/>
          <w:szCs w:val="32"/>
          <w:highlight w:val="none"/>
        </w:rPr>
        <w:t>供应商</w:t>
      </w:r>
      <w:r>
        <w:rPr>
          <w:rFonts w:hint="eastAsia" w:ascii="宋体" w:hAnsi="宋体" w:eastAsia="宋体" w:cs="宋体"/>
          <w:b/>
          <w:bCs/>
          <w:color w:val="auto"/>
          <w:spacing w:val="21"/>
          <w:sz w:val="32"/>
          <w:szCs w:val="32"/>
          <w:highlight w:val="none"/>
        </w:rPr>
        <w:t>基本情况表</w:t>
      </w:r>
    </w:p>
    <w:tbl>
      <w:tblPr>
        <w:tblStyle w:val="38"/>
        <w:tblW w:w="8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702"/>
        <w:gridCol w:w="854"/>
        <w:gridCol w:w="58"/>
        <w:gridCol w:w="1165"/>
        <w:gridCol w:w="113"/>
        <w:gridCol w:w="1096"/>
        <w:gridCol w:w="325"/>
        <w:gridCol w:w="1278"/>
        <w:gridCol w:w="402"/>
        <w:gridCol w:w="1220"/>
        <w:gridCol w:w="936"/>
      </w:tblGrid>
      <w:tr w14:paraId="07C7C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83" w:type="dxa"/>
          </w:tcPr>
          <w:p w14:paraId="09BDA78E">
            <w:pPr>
              <w:pStyle w:val="62"/>
              <w:shd w:val="clear" w:color="auto" w:fill="FFFFFF"/>
              <w:spacing w:line="360" w:lineRule="auto"/>
              <w:rPr>
                <w:rFonts w:hint="eastAsia" w:ascii="宋体" w:hAnsi="宋体" w:eastAsia="宋体" w:cs="宋体"/>
                <w:bCs/>
                <w:color w:val="auto"/>
                <w:highlight w:val="none"/>
              </w:rPr>
            </w:pPr>
            <w:r>
              <w:rPr>
                <w:rFonts w:hint="eastAsia" w:ascii="宋体" w:hAnsi="宋体" w:eastAsia="宋体" w:cs="宋体"/>
                <w:bCs/>
                <w:color w:val="auto"/>
                <w:spacing w:val="27"/>
                <w:highlight w:val="none"/>
              </w:rPr>
              <w:t>企业名称</w:t>
            </w:r>
          </w:p>
        </w:tc>
        <w:tc>
          <w:tcPr>
            <w:tcW w:w="3988" w:type="dxa"/>
            <w:gridSpan w:val="6"/>
          </w:tcPr>
          <w:p w14:paraId="5A7AFBBB">
            <w:pPr>
              <w:pStyle w:val="62"/>
              <w:shd w:val="clear" w:color="auto" w:fill="FFFFFF"/>
              <w:spacing w:line="360" w:lineRule="auto"/>
              <w:rPr>
                <w:rFonts w:hint="eastAsia" w:ascii="宋体" w:hAnsi="宋体" w:eastAsia="宋体" w:cs="宋体"/>
                <w:bCs/>
                <w:color w:val="auto"/>
                <w:highlight w:val="none"/>
              </w:rPr>
            </w:pPr>
          </w:p>
        </w:tc>
        <w:tc>
          <w:tcPr>
            <w:tcW w:w="2005" w:type="dxa"/>
            <w:gridSpan w:val="3"/>
          </w:tcPr>
          <w:p w14:paraId="76A6EB85">
            <w:pPr>
              <w:pStyle w:val="62"/>
              <w:shd w:val="clear" w:color="auto" w:fill="FFFFFF"/>
              <w:spacing w:line="360" w:lineRule="auto"/>
              <w:rPr>
                <w:rFonts w:hint="eastAsia" w:ascii="宋体" w:hAnsi="宋体" w:eastAsia="宋体" w:cs="宋体"/>
                <w:bCs/>
                <w:color w:val="auto"/>
                <w:highlight w:val="none"/>
              </w:rPr>
            </w:pPr>
            <w:r>
              <w:rPr>
                <w:rFonts w:hint="eastAsia" w:ascii="宋体" w:hAnsi="宋体" w:eastAsia="宋体" w:cs="宋体"/>
                <w:bCs/>
                <w:color w:val="auto"/>
                <w:spacing w:val="16"/>
                <w:highlight w:val="none"/>
              </w:rPr>
              <w:t>法人代表</w:t>
            </w:r>
          </w:p>
        </w:tc>
        <w:tc>
          <w:tcPr>
            <w:tcW w:w="2155" w:type="dxa"/>
            <w:gridSpan w:val="2"/>
          </w:tcPr>
          <w:p w14:paraId="3AA62362">
            <w:pPr>
              <w:pStyle w:val="62"/>
              <w:shd w:val="clear" w:color="auto" w:fill="FFFFFF"/>
              <w:spacing w:line="360" w:lineRule="auto"/>
              <w:rPr>
                <w:rFonts w:hint="eastAsia" w:ascii="宋体" w:hAnsi="宋体" w:eastAsia="宋体" w:cs="宋体"/>
                <w:bCs/>
                <w:color w:val="auto"/>
                <w:highlight w:val="none"/>
              </w:rPr>
            </w:pPr>
          </w:p>
        </w:tc>
      </w:tr>
      <w:tr w14:paraId="14810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3" w:type="dxa"/>
          </w:tcPr>
          <w:p w14:paraId="3FB05B66">
            <w:pPr>
              <w:pStyle w:val="62"/>
              <w:shd w:val="clear" w:color="auto" w:fill="FFFFFF"/>
              <w:spacing w:line="360" w:lineRule="auto"/>
              <w:rPr>
                <w:rFonts w:hint="eastAsia" w:ascii="宋体" w:hAnsi="宋体" w:eastAsia="宋体" w:cs="宋体"/>
                <w:bCs/>
                <w:color w:val="auto"/>
                <w:spacing w:val="16"/>
                <w:highlight w:val="none"/>
              </w:rPr>
            </w:pPr>
            <w:r>
              <w:rPr>
                <w:rFonts w:hint="eastAsia" w:ascii="宋体" w:hAnsi="宋体" w:eastAsia="宋体" w:cs="宋体"/>
                <w:bCs/>
                <w:color w:val="auto"/>
                <w:spacing w:val="27"/>
                <w:highlight w:val="none"/>
              </w:rPr>
              <w:t>地址</w:t>
            </w:r>
          </w:p>
        </w:tc>
        <w:tc>
          <w:tcPr>
            <w:tcW w:w="3988" w:type="dxa"/>
            <w:gridSpan w:val="6"/>
            <w:tcBorders>
              <w:bottom w:val="single" w:color="auto" w:sz="4" w:space="0"/>
            </w:tcBorders>
          </w:tcPr>
          <w:p w14:paraId="5952A67A">
            <w:pPr>
              <w:pStyle w:val="62"/>
              <w:shd w:val="clear" w:color="auto" w:fill="FFFFFF"/>
              <w:spacing w:line="360" w:lineRule="auto"/>
              <w:rPr>
                <w:rFonts w:hint="eastAsia" w:ascii="宋体" w:hAnsi="宋体" w:eastAsia="宋体" w:cs="宋体"/>
                <w:bCs/>
                <w:color w:val="auto"/>
                <w:spacing w:val="16"/>
                <w:highlight w:val="none"/>
              </w:rPr>
            </w:pPr>
          </w:p>
        </w:tc>
        <w:tc>
          <w:tcPr>
            <w:tcW w:w="2005" w:type="dxa"/>
            <w:gridSpan w:val="3"/>
          </w:tcPr>
          <w:p w14:paraId="09B9D3F2">
            <w:pPr>
              <w:pStyle w:val="62"/>
              <w:shd w:val="clear" w:color="auto" w:fill="FFFFFF"/>
              <w:spacing w:line="360" w:lineRule="auto"/>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企业性质</w:t>
            </w:r>
          </w:p>
        </w:tc>
        <w:tc>
          <w:tcPr>
            <w:tcW w:w="2155" w:type="dxa"/>
            <w:gridSpan w:val="2"/>
          </w:tcPr>
          <w:p w14:paraId="096F56C4">
            <w:pPr>
              <w:pStyle w:val="62"/>
              <w:shd w:val="clear" w:color="auto" w:fill="FFFFFF"/>
              <w:spacing w:line="360" w:lineRule="auto"/>
              <w:rPr>
                <w:rFonts w:hint="eastAsia" w:ascii="宋体" w:hAnsi="宋体" w:eastAsia="宋体" w:cs="宋体"/>
                <w:bCs/>
                <w:color w:val="auto"/>
                <w:spacing w:val="16"/>
                <w:highlight w:val="none"/>
              </w:rPr>
            </w:pPr>
          </w:p>
        </w:tc>
      </w:tr>
      <w:tr w14:paraId="42327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83" w:type="dxa"/>
            <w:tcBorders>
              <w:bottom w:val="single" w:color="auto" w:sz="4" w:space="0"/>
            </w:tcBorders>
          </w:tcPr>
          <w:p w14:paraId="117EDC61">
            <w:pPr>
              <w:pStyle w:val="62"/>
              <w:shd w:val="clear" w:color="auto" w:fill="FFFFFF"/>
              <w:spacing w:line="360" w:lineRule="auto"/>
              <w:rPr>
                <w:rFonts w:hint="eastAsia" w:ascii="宋体" w:hAnsi="宋体" w:eastAsia="宋体" w:cs="宋体"/>
                <w:bCs/>
                <w:color w:val="auto"/>
                <w:spacing w:val="16"/>
                <w:highlight w:val="none"/>
              </w:rPr>
            </w:pPr>
            <w:r>
              <w:rPr>
                <w:rFonts w:hint="eastAsia" w:ascii="宋体" w:hAnsi="宋体" w:eastAsia="宋体" w:cs="宋体"/>
                <w:bCs/>
                <w:color w:val="auto"/>
                <w:spacing w:val="27"/>
                <w:highlight w:val="none"/>
              </w:rPr>
              <w:t>股东姓名</w:t>
            </w:r>
          </w:p>
        </w:tc>
        <w:tc>
          <w:tcPr>
            <w:tcW w:w="702" w:type="dxa"/>
            <w:tcBorders>
              <w:bottom w:val="single" w:color="auto" w:sz="4" w:space="0"/>
            </w:tcBorders>
          </w:tcPr>
          <w:p w14:paraId="0CE36E99">
            <w:pPr>
              <w:pStyle w:val="62"/>
              <w:shd w:val="clear" w:color="auto" w:fill="FFFFFF"/>
              <w:spacing w:before="0" w:beforeAutospacing="0" w:after="0" w:afterAutospacing="0" w:line="360" w:lineRule="auto"/>
              <w:rPr>
                <w:rFonts w:hint="eastAsia" w:ascii="宋体" w:hAnsi="宋体" w:eastAsia="宋体" w:cs="宋体"/>
                <w:bCs/>
                <w:color w:val="auto"/>
                <w:spacing w:val="16"/>
                <w:highlight w:val="none"/>
              </w:rPr>
            </w:pPr>
          </w:p>
        </w:tc>
        <w:tc>
          <w:tcPr>
            <w:tcW w:w="912" w:type="dxa"/>
            <w:gridSpan w:val="2"/>
            <w:tcBorders>
              <w:bottom w:val="single" w:color="auto" w:sz="4" w:space="0"/>
            </w:tcBorders>
          </w:tcPr>
          <w:p w14:paraId="47E38ECA">
            <w:pPr>
              <w:pStyle w:val="62"/>
              <w:shd w:val="clear" w:color="auto" w:fill="FFFFFF"/>
              <w:spacing w:line="360" w:lineRule="auto"/>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股权结构（%）</w:t>
            </w:r>
          </w:p>
        </w:tc>
        <w:tc>
          <w:tcPr>
            <w:tcW w:w="2373" w:type="dxa"/>
            <w:gridSpan w:val="3"/>
            <w:tcBorders>
              <w:bottom w:val="single" w:color="auto" w:sz="4" w:space="0"/>
            </w:tcBorders>
          </w:tcPr>
          <w:p w14:paraId="2E934BB7">
            <w:pPr>
              <w:widowControl/>
              <w:spacing w:line="360" w:lineRule="auto"/>
              <w:jc w:val="left"/>
              <w:rPr>
                <w:rFonts w:hint="eastAsia" w:ascii="宋体" w:hAnsi="宋体" w:eastAsia="宋体" w:cs="宋体"/>
                <w:bCs/>
                <w:color w:val="auto"/>
                <w:spacing w:val="16"/>
                <w:kern w:val="0"/>
                <w:sz w:val="24"/>
                <w:highlight w:val="none"/>
              </w:rPr>
            </w:pPr>
          </w:p>
          <w:p w14:paraId="1ACF0B32">
            <w:pPr>
              <w:pStyle w:val="62"/>
              <w:shd w:val="clear" w:color="auto" w:fill="FFFFFF"/>
              <w:spacing w:line="360" w:lineRule="auto"/>
              <w:rPr>
                <w:rFonts w:hint="eastAsia" w:ascii="宋体" w:hAnsi="宋体" w:eastAsia="宋体" w:cs="宋体"/>
                <w:bCs/>
                <w:color w:val="auto"/>
                <w:spacing w:val="16"/>
                <w:highlight w:val="none"/>
              </w:rPr>
            </w:pPr>
          </w:p>
        </w:tc>
        <w:tc>
          <w:tcPr>
            <w:tcW w:w="2005" w:type="dxa"/>
            <w:gridSpan w:val="3"/>
          </w:tcPr>
          <w:p w14:paraId="0AAE03FA">
            <w:pPr>
              <w:pStyle w:val="62"/>
              <w:shd w:val="clear" w:color="auto" w:fill="FFFFFF"/>
              <w:spacing w:line="360" w:lineRule="auto"/>
              <w:ind w:left="107"/>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股东关系</w:t>
            </w:r>
          </w:p>
        </w:tc>
        <w:tc>
          <w:tcPr>
            <w:tcW w:w="2155" w:type="dxa"/>
            <w:gridSpan w:val="2"/>
          </w:tcPr>
          <w:p w14:paraId="7DE1FAD0">
            <w:pPr>
              <w:pStyle w:val="62"/>
              <w:shd w:val="clear" w:color="auto" w:fill="FFFFFF"/>
              <w:spacing w:line="360" w:lineRule="auto"/>
              <w:ind w:left="107"/>
              <w:rPr>
                <w:rFonts w:hint="eastAsia" w:ascii="宋体" w:hAnsi="宋体" w:eastAsia="宋体" w:cs="宋体"/>
                <w:bCs/>
                <w:color w:val="auto"/>
                <w:spacing w:val="16"/>
                <w:highlight w:val="none"/>
              </w:rPr>
            </w:pPr>
          </w:p>
        </w:tc>
      </w:tr>
      <w:tr w14:paraId="5D4D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83" w:type="dxa"/>
            <w:vMerge w:val="restart"/>
          </w:tcPr>
          <w:p w14:paraId="304F2D17">
            <w:pPr>
              <w:pStyle w:val="62"/>
              <w:shd w:val="clear" w:color="auto" w:fill="FFFFFF"/>
              <w:spacing w:line="360" w:lineRule="auto"/>
              <w:rPr>
                <w:rFonts w:hint="eastAsia" w:ascii="宋体" w:hAnsi="宋体" w:eastAsia="宋体" w:cs="宋体"/>
                <w:bCs/>
                <w:color w:val="auto"/>
                <w:spacing w:val="16"/>
                <w:highlight w:val="none"/>
              </w:rPr>
            </w:pPr>
            <w:r>
              <w:rPr>
                <w:rFonts w:hint="eastAsia" w:ascii="宋体" w:hAnsi="宋体" w:eastAsia="宋体" w:cs="宋体"/>
                <w:bCs/>
                <w:color w:val="auto"/>
                <w:spacing w:val="12"/>
                <w:highlight w:val="none"/>
              </w:rPr>
              <w:t>联系人</w:t>
            </w:r>
            <w:r>
              <w:rPr>
                <w:rFonts w:hint="eastAsia" w:ascii="宋体" w:hAnsi="宋体" w:eastAsia="宋体" w:cs="宋体"/>
                <w:bCs/>
                <w:color w:val="auto"/>
                <w:spacing w:val="27"/>
                <w:highlight w:val="none"/>
              </w:rPr>
              <w:t>姓名</w:t>
            </w:r>
          </w:p>
        </w:tc>
        <w:tc>
          <w:tcPr>
            <w:tcW w:w="702" w:type="dxa"/>
            <w:vMerge w:val="restart"/>
            <w:tcBorders>
              <w:top w:val="nil"/>
            </w:tcBorders>
          </w:tcPr>
          <w:p w14:paraId="74CC0BEB">
            <w:pPr>
              <w:pStyle w:val="62"/>
              <w:shd w:val="clear" w:color="auto" w:fill="FFFFFF"/>
              <w:spacing w:line="360" w:lineRule="auto"/>
              <w:rPr>
                <w:rFonts w:hint="eastAsia" w:ascii="宋体" w:hAnsi="宋体" w:eastAsia="宋体" w:cs="宋体"/>
                <w:bCs/>
                <w:color w:val="auto"/>
                <w:spacing w:val="16"/>
                <w:highlight w:val="none"/>
              </w:rPr>
            </w:pPr>
          </w:p>
        </w:tc>
        <w:tc>
          <w:tcPr>
            <w:tcW w:w="912" w:type="dxa"/>
            <w:gridSpan w:val="2"/>
            <w:tcBorders>
              <w:top w:val="nil"/>
              <w:bottom w:val="single" w:color="auto" w:sz="4" w:space="0"/>
            </w:tcBorders>
          </w:tcPr>
          <w:p w14:paraId="64F4CF6C">
            <w:pPr>
              <w:pStyle w:val="62"/>
              <w:shd w:val="clear" w:color="auto" w:fill="FFFFFF"/>
              <w:spacing w:line="360" w:lineRule="auto"/>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固定电话</w:t>
            </w:r>
          </w:p>
        </w:tc>
        <w:tc>
          <w:tcPr>
            <w:tcW w:w="2373" w:type="dxa"/>
            <w:gridSpan w:val="3"/>
            <w:tcBorders>
              <w:top w:val="nil"/>
              <w:bottom w:val="single" w:color="auto" w:sz="4" w:space="0"/>
            </w:tcBorders>
          </w:tcPr>
          <w:p w14:paraId="3387A514">
            <w:pPr>
              <w:widowControl/>
              <w:spacing w:line="360" w:lineRule="auto"/>
              <w:jc w:val="left"/>
              <w:rPr>
                <w:rFonts w:hint="eastAsia" w:ascii="宋体" w:hAnsi="宋体" w:eastAsia="宋体" w:cs="宋体"/>
                <w:bCs/>
                <w:color w:val="auto"/>
                <w:spacing w:val="16"/>
                <w:kern w:val="0"/>
                <w:sz w:val="24"/>
                <w:highlight w:val="none"/>
              </w:rPr>
            </w:pPr>
          </w:p>
          <w:p w14:paraId="6825E962">
            <w:pPr>
              <w:pStyle w:val="62"/>
              <w:shd w:val="clear" w:color="auto" w:fill="FFFFFF"/>
              <w:spacing w:line="360" w:lineRule="auto"/>
              <w:rPr>
                <w:rFonts w:hint="eastAsia" w:ascii="宋体" w:hAnsi="宋体" w:eastAsia="宋体" w:cs="宋体"/>
                <w:bCs/>
                <w:color w:val="auto"/>
                <w:spacing w:val="16"/>
                <w:highlight w:val="none"/>
              </w:rPr>
            </w:pPr>
          </w:p>
        </w:tc>
        <w:tc>
          <w:tcPr>
            <w:tcW w:w="2005" w:type="dxa"/>
            <w:gridSpan w:val="3"/>
            <w:vMerge w:val="restart"/>
          </w:tcPr>
          <w:p w14:paraId="03ED67C5">
            <w:pPr>
              <w:pStyle w:val="62"/>
              <w:shd w:val="clear" w:color="auto" w:fill="FFFFFF"/>
              <w:spacing w:before="0" w:beforeAutospacing="0" w:after="0" w:afterAutospacing="0" w:line="360" w:lineRule="auto"/>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传真</w:t>
            </w:r>
          </w:p>
        </w:tc>
        <w:tc>
          <w:tcPr>
            <w:tcW w:w="2155" w:type="dxa"/>
            <w:gridSpan w:val="2"/>
            <w:vMerge w:val="restart"/>
          </w:tcPr>
          <w:p w14:paraId="31FFFE13">
            <w:pPr>
              <w:pStyle w:val="62"/>
              <w:shd w:val="clear" w:color="auto" w:fill="FFFFFF"/>
              <w:spacing w:line="360" w:lineRule="auto"/>
              <w:rPr>
                <w:rFonts w:hint="eastAsia" w:ascii="宋体" w:hAnsi="宋体" w:eastAsia="宋体" w:cs="宋体"/>
                <w:bCs/>
                <w:color w:val="auto"/>
                <w:spacing w:val="16"/>
                <w:highlight w:val="none"/>
              </w:rPr>
            </w:pPr>
          </w:p>
        </w:tc>
      </w:tr>
      <w:tr w14:paraId="38E5E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83" w:type="dxa"/>
            <w:vMerge w:val="continue"/>
            <w:tcBorders>
              <w:bottom w:val="single" w:color="auto" w:sz="4" w:space="0"/>
            </w:tcBorders>
          </w:tcPr>
          <w:p w14:paraId="772722E1">
            <w:pPr>
              <w:pStyle w:val="62"/>
              <w:shd w:val="clear" w:color="auto" w:fill="FFFFFF"/>
              <w:spacing w:line="360" w:lineRule="auto"/>
              <w:ind w:left="107"/>
              <w:rPr>
                <w:rFonts w:hint="eastAsia" w:ascii="宋体" w:hAnsi="宋体" w:eastAsia="宋体" w:cs="宋体"/>
                <w:bCs/>
                <w:color w:val="auto"/>
                <w:highlight w:val="none"/>
              </w:rPr>
            </w:pPr>
          </w:p>
        </w:tc>
        <w:tc>
          <w:tcPr>
            <w:tcW w:w="702" w:type="dxa"/>
            <w:vMerge w:val="continue"/>
            <w:tcBorders>
              <w:bottom w:val="single" w:color="auto" w:sz="4" w:space="0"/>
            </w:tcBorders>
          </w:tcPr>
          <w:p w14:paraId="0F7200D4">
            <w:pPr>
              <w:pStyle w:val="62"/>
              <w:shd w:val="clear" w:color="auto" w:fill="FFFFFF"/>
              <w:spacing w:line="360" w:lineRule="auto"/>
              <w:rPr>
                <w:rFonts w:hint="eastAsia" w:ascii="宋体" w:hAnsi="宋体" w:eastAsia="宋体" w:cs="宋体"/>
                <w:bCs/>
                <w:color w:val="auto"/>
                <w:spacing w:val="16"/>
                <w:highlight w:val="none"/>
              </w:rPr>
            </w:pPr>
          </w:p>
        </w:tc>
        <w:tc>
          <w:tcPr>
            <w:tcW w:w="912" w:type="dxa"/>
            <w:gridSpan w:val="2"/>
            <w:tcBorders>
              <w:bottom w:val="single" w:color="auto" w:sz="4" w:space="0"/>
            </w:tcBorders>
          </w:tcPr>
          <w:p w14:paraId="14A8388B">
            <w:pPr>
              <w:pStyle w:val="62"/>
              <w:shd w:val="clear" w:color="auto" w:fill="FFFFFF"/>
              <w:spacing w:line="360" w:lineRule="auto"/>
              <w:rPr>
                <w:rFonts w:hint="eastAsia" w:ascii="宋体" w:hAnsi="宋体" w:eastAsia="宋体" w:cs="宋体"/>
                <w:bCs/>
                <w:color w:val="auto"/>
                <w:spacing w:val="16"/>
                <w:highlight w:val="none"/>
              </w:rPr>
            </w:pPr>
            <w:r>
              <w:rPr>
                <w:rFonts w:hint="eastAsia" w:ascii="宋体" w:hAnsi="宋体" w:eastAsia="宋体" w:cs="宋体"/>
                <w:bCs/>
                <w:color w:val="auto"/>
                <w:spacing w:val="27"/>
                <w:highlight w:val="none"/>
              </w:rPr>
              <w:t>手机</w:t>
            </w:r>
          </w:p>
        </w:tc>
        <w:tc>
          <w:tcPr>
            <w:tcW w:w="2373" w:type="dxa"/>
            <w:gridSpan w:val="3"/>
            <w:tcBorders>
              <w:bottom w:val="single" w:color="auto" w:sz="4" w:space="0"/>
            </w:tcBorders>
          </w:tcPr>
          <w:p w14:paraId="7B6C3A68">
            <w:pPr>
              <w:pStyle w:val="62"/>
              <w:shd w:val="clear" w:color="auto" w:fill="FFFFFF"/>
              <w:spacing w:line="360" w:lineRule="auto"/>
              <w:rPr>
                <w:rFonts w:hint="eastAsia" w:ascii="宋体" w:hAnsi="宋体" w:eastAsia="宋体" w:cs="宋体"/>
                <w:bCs/>
                <w:color w:val="auto"/>
                <w:spacing w:val="16"/>
                <w:highlight w:val="none"/>
              </w:rPr>
            </w:pPr>
          </w:p>
        </w:tc>
        <w:tc>
          <w:tcPr>
            <w:tcW w:w="2005" w:type="dxa"/>
            <w:gridSpan w:val="3"/>
            <w:vMerge w:val="continue"/>
            <w:tcBorders>
              <w:bottom w:val="single" w:color="auto" w:sz="4" w:space="0"/>
            </w:tcBorders>
          </w:tcPr>
          <w:p w14:paraId="7A047F3B">
            <w:pPr>
              <w:pStyle w:val="62"/>
              <w:shd w:val="clear" w:color="auto" w:fill="FFFFFF"/>
              <w:spacing w:line="360" w:lineRule="auto"/>
              <w:rPr>
                <w:rFonts w:hint="eastAsia" w:ascii="宋体" w:hAnsi="宋体" w:eastAsia="宋体" w:cs="宋体"/>
                <w:bCs/>
                <w:color w:val="auto"/>
                <w:spacing w:val="16"/>
                <w:highlight w:val="none"/>
              </w:rPr>
            </w:pPr>
          </w:p>
        </w:tc>
        <w:tc>
          <w:tcPr>
            <w:tcW w:w="2155" w:type="dxa"/>
            <w:gridSpan w:val="2"/>
            <w:vMerge w:val="continue"/>
            <w:tcBorders>
              <w:bottom w:val="single" w:color="auto" w:sz="4" w:space="0"/>
            </w:tcBorders>
          </w:tcPr>
          <w:p w14:paraId="169F7CD2">
            <w:pPr>
              <w:pStyle w:val="62"/>
              <w:shd w:val="clear" w:color="auto" w:fill="FFFFFF"/>
              <w:spacing w:line="360" w:lineRule="auto"/>
              <w:rPr>
                <w:rFonts w:hint="eastAsia" w:ascii="宋体" w:hAnsi="宋体" w:eastAsia="宋体" w:cs="宋体"/>
                <w:bCs/>
                <w:color w:val="auto"/>
                <w:spacing w:val="16"/>
                <w:highlight w:val="none"/>
              </w:rPr>
            </w:pPr>
          </w:p>
        </w:tc>
      </w:tr>
      <w:tr w14:paraId="00107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683" w:type="dxa"/>
            <w:vMerge w:val="restart"/>
            <w:tcBorders>
              <w:top w:val="single" w:color="auto" w:sz="4" w:space="0"/>
            </w:tcBorders>
          </w:tcPr>
          <w:p w14:paraId="65176225">
            <w:pPr>
              <w:pStyle w:val="62"/>
              <w:shd w:val="clear" w:color="auto" w:fill="FFFFFF"/>
              <w:spacing w:line="360" w:lineRule="auto"/>
              <w:ind w:left="107"/>
              <w:rPr>
                <w:rFonts w:hint="eastAsia" w:ascii="宋体" w:hAnsi="宋体" w:eastAsia="宋体" w:cs="宋体"/>
                <w:bCs/>
                <w:color w:val="auto"/>
                <w:highlight w:val="none"/>
              </w:rPr>
            </w:pPr>
            <w:r>
              <w:rPr>
                <w:rFonts w:hint="eastAsia" w:ascii="宋体" w:hAnsi="宋体" w:eastAsia="宋体" w:cs="宋体"/>
                <w:bCs/>
                <w:color w:val="auto"/>
                <w:highlight w:val="none"/>
              </w:rPr>
              <w:t>1.</w:t>
            </w:r>
          </w:p>
          <w:p w14:paraId="6B4D2F71">
            <w:pPr>
              <w:pStyle w:val="62"/>
              <w:shd w:val="clear" w:color="auto" w:fill="FFFFFF"/>
              <w:spacing w:line="360" w:lineRule="auto"/>
              <w:ind w:left="107"/>
              <w:rPr>
                <w:rFonts w:hint="eastAsia" w:ascii="宋体" w:hAnsi="宋体" w:eastAsia="宋体" w:cs="宋体"/>
                <w:bCs/>
                <w:color w:val="auto"/>
                <w:highlight w:val="none"/>
              </w:rPr>
            </w:pPr>
            <w:r>
              <w:rPr>
                <w:rFonts w:hint="eastAsia" w:ascii="宋体" w:hAnsi="宋体" w:eastAsia="宋体" w:cs="宋体"/>
                <w:bCs/>
                <w:color w:val="auto"/>
                <w:highlight w:val="none"/>
              </w:rPr>
              <w:t>企</w:t>
            </w:r>
          </w:p>
          <w:p w14:paraId="2A8FFCA9">
            <w:pPr>
              <w:pStyle w:val="62"/>
              <w:shd w:val="clear" w:color="auto" w:fill="FFFFFF"/>
              <w:spacing w:line="360" w:lineRule="auto"/>
              <w:ind w:left="107"/>
              <w:rPr>
                <w:rFonts w:hint="eastAsia" w:ascii="宋体" w:hAnsi="宋体" w:eastAsia="宋体" w:cs="宋体"/>
                <w:bCs/>
                <w:color w:val="auto"/>
                <w:highlight w:val="none"/>
              </w:rPr>
            </w:pPr>
            <w:r>
              <w:rPr>
                <w:rFonts w:hint="eastAsia" w:ascii="宋体" w:hAnsi="宋体" w:eastAsia="宋体" w:cs="宋体"/>
                <w:bCs/>
                <w:color w:val="auto"/>
                <w:highlight w:val="none"/>
              </w:rPr>
              <w:t>业</w:t>
            </w:r>
          </w:p>
          <w:p w14:paraId="4686E6F5">
            <w:pPr>
              <w:pStyle w:val="62"/>
              <w:shd w:val="clear" w:color="auto" w:fill="FFFFFF"/>
              <w:spacing w:line="360" w:lineRule="auto"/>
              <w:ind w:left="107"/>
              <w:rPr>
                <w:rFonts w:hint="eastAsia" w:ascii="宋体" w:hAnsi="宋体" w:eastAsia="宋体" w:cs="宋体"/>
                <w:bCs/>
                <w:color w:val="auto"/>
                <w:spacing w:val="27"/>
                <w:highlight w:val="none"/>
              </w:rPr>
            </w:pPr>
            <w:r>
              <w:rPr>
                <w:rFonts w:hint="eastAsia" w:ascii="宋体" w:hAnsi="宋体" w:eastAsia="宋体" w:cs="宋体"/>
                <w:bCs/>
                <w:color w:val="auto"/>
                <w:spacing w:val="27"/>
                <w:highlight w:val="none"/>
              </w:rPr>
              <w:t>概</w:t>
            </w:r>
          </w:p>
          <w:p w14:paraId="2B37209F">
            <w:pPr>
              <w:pStyle w:val="62"/>
              <w:shd w:val="clear" w:color="auto" w:fill="FFFFFF"/>
              <w:spacing w:line="360" w:lineRule="auto"/>
              <w:ind w:left="107"/>
              <w:rPr>
                <w:rFonts w:hint="eastAsia" w:ascii="宋体" w:hAnsi="宋体" w:eastAsia="宋体" w:cs="宋体"/>
                <w:bCs/>
                <w:color w:val="auto"/>
                <w:highlight w:val="none"/>
              </w:rPr>
            </w:pPr>
            <w:r>
              <w:rPr>
                <w:rFonts w:hint="eastAsia" w:ascii="宋体" w:hAnsi="宋体" w:eastAsia="宋体" w:cs="宋体"/>
                <w:bCs/>
                <w:color w:val="auto"/>
                <w:spacing w:val="27"/>
                <w:highlight w:val="none"/>
              </w:rPr>
              <w:t>况</w:t>
            </w:r>
          </w:p>
        </w:tc>
        <w:tc>
          <w:tcPr>
            <w:tcW w:w="702" w:type="dxa"/>
            <w:tcBorders>
              <w:top w:val="single" w:color="auto" w:sz="4" w:space="0"/>
            </w:tcBorders>
          </w:tcPr>
          <w:p w14:paraId="40BC1690">
            <w:pPr>
              <w:pStyle w:val="62"/>
              <w:shd w:val="clear" w:color="auto" w:fill="FFFFFF"/>
              <w:spacing w:line="360" w:lineRule="auto"/>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职工人数</w:t>
            </w:r>
          </w:p>
        </w:tc>
        <w:tc>
          <w:tcPr>
            <w:tcW w:w="912" w:type="dxa"/>
            <w:gridSpan w:val="2"/>
            <w:tcBorders>
              <w:top w:val="single" w:color="auto" w:sz="4" w:space="0"/>
            </w:tcBorders>
          </w:tcPr>
          <w:p w14:paraId="53A23A02">
            <w:pPr>
              <w:pStyle w:val="62"/>
              <w:shd w:val="clear" w:color="auto" w:fill="FFFFFF"/>
              <w:spacing w:line="360" w:lineRule="auto"/>
              <w:rPr>
                <w:rFonts w:hint="eastAsia" w:ascii="宋体" w:hAnsi="宋体" w:eastAsia="宋体" w:cs="宋体"/>
                <w:bCs/>
                <w:color w:val="auto"/>
                <w:spacing w:val="16"/>
                <w:highlight w:val="none"/>
              </w:rPr>
            </w:pPr>
          </w:p>
        </w:tc>
        <w:tc>
          <w:tcPr>
            <w:tcW w:w="1165" w:type="dxa"/>
            <w:tcBorders>
              <w:top w:val="single" w:color="auto" w:sz="4" w:space="0"/>
            </w:tcBorders>
          </w:tcPr>
          <w:p w14:paraId="54CFBD1A">
            <w:pPr>
              <w:pStyle w:val="62"/>
              <w:shd w:val="clear" w:color="auto" w:fill="FFFFFF"/>
              <w:spacing w:before="0" w:beforeAutospacing="0" w:after="0" w:afterAutospacing="0" w:line="360" w:lineRule="auto"/>
              <w:rPr>
                <w:rFonts w:hint="eastAsia" w:ascii="宋体" w:hAnsi="宋体" w:eastAsia="宋体" w:cs="宋体"/>
                <w:bCs/>
                <w:color w:val="auto"/>
                <w:highlight w:val="none"/>
              </w:rPr>
            </w:pPr>
            <w:r>
              <w:rPr>
                <w:rFonts w:hint="eastAsia" w:ascii="宋体" w:hAnsi="宋体" w:eastAsia="宋体" w:cs="宋体"/>
                <w:bCs/>
                <w:color w:val="auto"/>
                <w:spacing w:val="18"/>
                <w:highlight w:val="none"/>
              </w:rPr>
              <w:t>具备大专以</w:t>
            </w:r>
            <w:r>
              <w:rPr>
                <w:rFonts w:hint="eastAsia" w:ascii="宋体" w:hAnsi="宋体" w:eastAsia="宋体" w:cs="宋体"/>
                <w:bCs/>
                <w:color w:val="auto"/>
                <w:spacing w:val="12"/>
                <w:highlight w:val="none"/>
              </w:rPr>
              <w:t>上学历人数</w:t>
            </w:r>
          </w:p>
        </w:tc>
        <w:tc>
          <w:tcPr>
            <w:tcW w:w="1207" w:type="dxa"/>
            <w:gridSpan w:val="2"/>
            <w:tcBorders>
              <w:top w:val="single" w:color="auto" w:sz="4" w:space="0"/>
            </w:tcBorders>
          </w:tcPr>
          <w:p w14:paraId="55434061">
            <w:pPr>
              <w:widowControl/>
              <w:spacing w:line="360" w:lineRule="auto"/>
              <w:jc w:val="left"/>
              <w:rPr>
                <w:rFonts w:hint="eastAsia" w:ascii="宋体" w:hAnsi="宋体" w:eastAsia="宋体" w:cs="宋体"/>
                <w:bCs/>
                <w:color w:val="auto"/>
                <w:spacing w:val="16"/>
                <w:kern w:val="0"/>
                <w:sz w:val="24"/>
                <w:highlight w:val="none"/>
              </w:rPr>
            </w:pPr>
          </w:p>
          <w:p w14:paraId="1D43B9CB">
            <w:pPr>
              <w:widowControl/>
              <w:spacing w:line="360" w:lineRule="auto"/>
              <w:jc w:val="left"/>
              <w:rPr>
                <w:rFonts w:hint="eastAsia" w:ascii="宋体" w:hAnsi="宋体" w:eastAsia="宋体" w:cs="宋体"/>
                <w:bCs/>
                <w:color w:val="auto"/>
                <w:spacing w:val="16"/>
                <w:kern w:val="0"/>
                <w:sz w:val="24"/>
                <w:highlight w:val="none"/>
              </w:rPr>
            </w:pPr>
          </w:p>
          <w:p w14:paraId="23209BAB">
            <w:pPr>
              <w:pStyle w:val="62"/>
              <w:shd w:val="clear" w:color="auto" w:fill="FFFFFF"/>
              <w:spacing w:line="360" w:lineRule="auto"/>
              <w:rPr>
                <w:rFonts w:hint="eastAsia" w:ascii="宋体" w:hAnsi="宋体" w:eastAsia="宋体" w:cs="宋体"/>
                <w:bCs/>
                <w:color w:val="auto"/>
                <w:spacing w:val="16"/>
                <w:highlight w:val="none"/>
              </w:rPr>
            </w:pPr>
          </w:p>
        </w:tc>
        <w:tc>
          <w:tcPr>
            <w:tcW w:w="2005" w:type="dxa"/>
            <w:gridSpan w:val="3"/>
            <w:tcBorders>
              <w:top w:val="single" w:color="auto" w:sz="4" w:space="0"/>
            </w:tcBorders>
          </w:tcPr>
          <w:p w14:paraId="3377A63A">
            <w:pPr>
              <w:pStyle w:val="62"/>
              <w:shd w:val="clear" w:color="auto" w:fill="FFFFFF"/>
              <w:spacing w:line="360" w:lineRule="auto"/>
              <w:rPr>
                <w:rFonts w:hint="eastAsia" w:ascii="宋体" w:hAnsi="宋体" w:eastAsia="宋体" w:cs="宋体"/>
                <w:bCs/>
                <w:color w:val="auto"/>
                <w:spacing w:val="16"/>
                <w:highlight w:val="none"/>
              </w:rPr>
            </w:pPr>
            <w:r>
              <w:rPr>
                <w:rFonts w:hint="eastAsia" w:ascii="宋体" w:hAnsi="宋体" w:eastAsia="宋体" w:cs="宋体"/>
                <w:bCs/>
                <w:color w:val="auto"/>
                <w:spacing w:val="65"/>
                <w:highlight w:val="none"/>
              </w:rPr>
              <w:t>国家授予技</w:t>
            </w:r>
            <w:r>
              <w:rPr>
                <w:rFonts w:hint="eastAsia" w:ascii="宋体" w:hAnsi="宋体" w:eastAsia="宋体" w:cs="宋体"/>
                <w:bCs/>
                <w:color w:val="auto"/>
                <w:spacing w:val="12"/>
                <w:highlight w:val="none"/>
              </w:rPr>
              <w:t>术职称人数</w:t>
            </w:r>
          </w:p>
        </w:tc>
        <w:tc>
          <w:tcPr>
            <w:tcW w:w="2155" w:type="dxa"/>
            <w:gridSpan w:val="2"/>
            <w:tcBorders>
              <w:top w:val="single" w:color="auto" w:sz="4" w:space="0"/>
            </w:tcBorders>
          </w:tcPr>
          <w:p w14:paraId="793EFBFD">
            <w:pPr>
              <w:widowControl/>
              <w:spacing w:line="360" w:lineRule="auto"/>
              <w:jc w:val="left"/>
              <w:rPr>
                <w:rFonts w:hint="eastAsia" w:ascii="宋体" w:hAnsi="宋体" w:eastAsia="宋体" w:cs="宋体"/>
                <w:bCs/>
                <w:color w:val="auto"/>
                <w:spacing w:val="16"/>
                <w:kern w:val="0"/>
                <w:sz w:val="24"/>
                <w:highlight w:val="none"/>
              </w:rPr>
            </w:pPr>
          </w:p>
          <w:p w14:paraId="1A4CE27E">
            <w:pPr>
              <w:pStyle w:val="62"/>
              <w:shd w:val="clear" w:color="auto" w:fill="FFFFFF"/>
              <w:spacing w:line="360" w:lineRule="auto"/>
              <w:rPr>
                <w:rFonts w:hint="eastAsia" w:ascii="宋体" w:hAnsi="宋体" w:eastAsia="宋体" w:cs="宋体"/>
                <w:bCs/>
                <w:color w:val="auto"/>
                <w:spacing w:val="16"/>
                <w:highlight w:val="none"/>
              </w:rPr>
            </w:pPr>
          </w:p>
        </w:tc>
      </w:tr>
      <w:tr w14:paraId="1D4F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683" w:type="dxa"/>
            <w:vMerge w:val="continue"/>
          </w:tcPr>
          <w:p w14:paraId="79DA90AE">
            <w:pPr>
              <w:pStyle w:val="62"/>
              <w:shd w:val="clear" w:color="auto" w:fill="FFFFFF"/>
              <w:spacing w:line="360" w:lineRule="auto"/>
              <w:ind w:left="107"/>
              <w:rPr>
                <w:rFonts w:hint="eastAsia" w:ascii="宋体" w:hAnsi="宋体" w:eastAsia="宋体" w:cs="宋体"/>
                <w:bCs/>
                <w:color w:val="auto"/>
                <w:highlight w:val="none"/>
              </w:rPr>
            </w:pPr>
          </w:p>
        </w:tc>
        <w:tc>
          <w:tcPr>
            <w:tcW w:w="702" w:type="dxa"/>
          </w:tcPr>
          <w:p w14:paraId="3D93A942">
            <w:pPr>
              <w:pStyle w:val="62"/>
              <w:shd w:val="clear" w:color="auto" w:fill="FFFFFF"/>
              <w:spacing w:line="360" w:lineRule="auto"/>
              <w:rPr>
                <w:rFonts w:hint="eastAsia" w:ascii="宋体" w:hAnsi="宋体" w:eastAsia="宋体" w:cs="宋体"/>
                <w:bCs/>
                <w:color w:val="auto"/>
                <w:highlight w:val="none"/>
              </w:rPr>
            </w:pPr>
            <w:r>
              <w:rPr>
                <w:rFonts w:hint="eastAsia" w:ascii="宋体" w:hAnsi="宋体" w:eastAsia="宋体" w:cs="宋体"/>
                <w:bCs/>
                <w:color w:val="auto"/>
                <w:spacing w:val="16"/>
                <w:highlight w:val="none"/>
              </w:rPr>
              <w:t>占地面积</w:t>
            </w:r>
          </w:p>
        </w:tc>
        <w:tc>
          <w:tcPr>
            <w:tcW w:w="912" w:type="dxa"/>
            <w:gridSpan w:val="2"/>
          </w:tcPr>
          <w:p w14:paraId="2AA7C9B5">
            <w:pPr>
              <w:pStyle w:val="62"/>
              <w:shd w:val="clear" w:color="auto" w:fill="FFFFFF"/>
              <w:spacing w:line="360" w:lineRule="auto"/>
              <w:rPr>
                <w:rFonts w:hint="eastAsia" w:ascii="宋体" w:hAnsi="宋体" w:eastAsia="宋体" w:cs="宋体"/>
                <w:bCs/>
                <w:color w:val="auto"/>
                <w:highlight w:val="none"/>
              </w:rPr>
            </w:pPr>
          </w:p>
        </w:tc>
        <w:tc>
          <w:tcPr>
            <w:tcW w:w="1165" w:type="dxa"/>
          </w:tcPr>
          <w:p w14:paraId="50230736">
            <w:pPr>
              <w:pStyle w:val="62"/>
              <w:shd w:val="clear" w:color="auto" w:fill="FFFFFF"/>
              <w:spacing w:line="360" w:lineRule="auto"/>
              <w:rPr>
                <w:rFonts w:hint="eastAsia" w:ascii="宋体" w:hAnsi="宋体" w:eastAsia="宋体" w:cs="宋体"/>
                <w:bCs/>
                <w:color w:val="auto"/>
                <w:highlight w:val="none"/>
              </w:rPr>
            </w:pPr>
            <w:r>
              <w:rPr>
                <w:rFonts w:hint="eastAsia" w:ascii="宋体" w:hAnsi="宋体" w:eastAsia="宋体" w:cs="宋体"/>
                <w:bCs/>
                <w:color w:val="auto"/>
                <w:spacing w:val="16"/>
                <w:highlight w:val="none"/>
              </w:rPr>
              <w:t>建筑面积</w:t>
            </w:r>
          </w:p>
        </w:tc>
        <w:tc>
          <w:tcPr>
            <w:tcW w:w="1207" w:type="dxa"/>
            <w:gridSpan w:val="2"/>
          </w:tcPr>
          <w:p w14:paraId="58FCC7E0">
            <w:pPr>
              <w:pStyle w:val="62"/>
              <w:shd w:val="clear" w:color="auto" w:fill="FFFFFF"/>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 xml:space="preserve">平方米 </w:t>
            </w:r>
          </w:p>
          <w:p w14:paraId="4ED29800">
            <w:pPr>
              <w:pStyle w:val="62"/>
              <w:shd w:val="clear" w:color="auto" w:fill="FFFFFF"/>
              <w:spacing w:line="360" w:lineRule="auto"/>
              <w:rPr>
                <w:rFonts w:hint="eastAsia" w:ascii="宋体" w:hAnsi="宋体" w:eastAsia="宋体" w:cs="宋体"/>
                <w:bCs/>
                <w:color w:val="auto"/>
                <w:highlight w:val="none"/>
              </w:rPr>
            </w:pPr>
            <w:r>
              <w:rPr>
                <w:rFonts w:hint="eastAsia" w:ascii="宋体" w:hAnsi="宋体" w:eastAsia="宋体" w:cs="宋体"/>
                <w:bCs/>
                <w:color w:val="auto"/>
                <w:spacing w:val="16"/>
                <w:highlight w:val="none"/>
              </w:rPr>
              <w:t>□自有□租賃</w:t>
            </w:r>
          </w:p>
        </w:tc>
        <w:tc>
          <w:tcPr>
            <w:tcW w:w="2005" w:type="dxa"/>
            <w:gridSpan w:val="3"/>
          </w:tcPr>
          <w:p w14:paraId="206EBBE4">
            <w:pPr>
              <w:pStyle w:val="62"/>
              <w:shd w:val="clear" w:color="auto" w:fill="FFFFFF"/>
              <w:spacing w:line="360" w:lineRule="auto"/>
              <w:rPr>
                <w:rFonts w:hint="eastAsia" w:ascii="宋体" w:hAnsi="宋体" w:eastAsia="宋体" w:cs="宋体"/>
                <w:bCs/>
                <w:color w:val="auto"/>
                <w:highlight w:val="none"/>
              </w:rPr>
            </w:pPr>
            <w:r>
              <w:rPr>
                <w:rFonts w:hint="eastAsia" w:ascii="宋体" w:hAnsi="宋体" w:eastAsia="宋体" w:cs="宋体"/>
                <w:bCs/>
                <w:color w:val="auto"/>
                <w:spacing w:val="16"/>
                <w:highlight w:val="none"/>
              </w:rPr>
              <w:t>生产经营场所及场所的设施与设备</w:t>
            </w:r>
          </w:p>
        </w:tc>
        <w:tc>
          <w:tcPr>
            <w:tcW w:w="2155" w:type="dxa"/>
            <w:gridSpan w:val="2"/>
          </w:tcPr>
          <w:p w14:paraId="0D31A10D">
            <w:pPr>
              <w:pStyle w:val="62"/>
              <w:shd w:val="clear" w:color="auto" w:fill="FFFFFF"/>
              <w:spacing w:before="0" w:beforeAutospacing="0" w:after="0" w:afterAutospacing="0" w:line="360" w:lineRule="auto"/>
              <w:rPr>
                <w:rFonts w:hint="eastAsia" w:ascii="宋体" w:hAnsi="宋体" w:eastAsia="宋体" w:cs="宋体"/>
                <w:bCs/>
                <w:color w:val="auto"/>
                <w:spacing w:val="16"/>
                <w:highlight w:val="none"/>
              </w:rPr>
            </w:pPr>
          </w:p>
        </w:tc>
      </w:tr>
      <w:tr w14:paraId="1863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683" w:type="dxa"/>
            <w:vMerge w:val="continue"/>
          </w:tcPr>
          <w:p w14:paraId="7729A202">
            <w:pPr>
              <w:pStyle w:val="62"/>
              <w:shd w:val="clear" w:color="auto" w:fill="FFFFFF"/>
              <w:spacing w:line="360" w:lineRule="auto"/>
              <w:ind w:left="107"/>
              <w:rPr>
                <w:rFonts w:hint="eastAsia" w:ascii="宋体" w:hAnsi="宋体" w:eastAsia="宋体" w:cs="宋体"/>
                <w:bCs/>
                <w:color w:val="auto"/>
                <w:highlight w:val="none"/>
              </w:rPr>
            </w:pPr>
          </w:p>
        </w:tc>
        <w:tc>
          <w:tcPr>
            <w:tcW w:w="702" w:type="dxa"/>
          </w:tcPr>
          <w:p w14:paraId="7815CF1E">
            <w:pPr>
              <w:pStyle w:val="62"/>
              <w:shd w:val="clear" w:color="auto" w:fill="FFFFFF"/>
              <w:spacing w:line="360" w:lineRule="auto"/>
              <w:ind w:left="2"/>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注册资金</w:t>
            </w:r>
          </w:p>
        </w:tc>
        <w:tc>
          <w:tcPr>
            <w:tcW w:w="912" w:type="dxa"/>
            <w:gridSpan w:val="2"/>
          </w:tcPr>
          <w:p w14:paraId="5125F718">
            <w:pPr>
              <w:pStyle w:val="62"/>
              <w:shd w:val="clear" w:color="auto" w:fill="FFFFFF"/>
              <w:spacing w:line="360" w:lineRule="auto"/>
              <w:ind w:left="2"/>
              <w:rPr>
                <w:rFonts w:hint="eastAsia" w:ascii="宋体" w:hAnsi="宋体" w:eastAsia="宋体" w:cs="宋体"/>
                <w:bCs/>
                <w:color w:val="auto"/>
                <w:highlight w:val="none"/>
              </w:rPr>
            </w:pPr>
          </w:p>
        </w:tc>
        <w:tc>
          <w:tcPr>
            <w:tcW w:w="1165" w:type="dxa"/>
          </w:tcPr>
          <w:p w14:paraId="2FED8352">
            <w:pPr>
              <w:pStyle w:val="62"/>
              <w:shd w:val="clear" w:color="auto" w:fill="FFFFFF"/>
              <w:spacing w:line="360" w:lineRule="auto"/>
              <w:ind w:left="107"/>
              <w:rPr>
                <w:rFonts w:hint="eastAsia" w:ascii="宋体" w:hAnsi="宋体" w:eastAsia="宋体" w:cs="宋体"/>
                <w:bCs/>
                <w:color w:val="auto"/>
                <w:highlight w:val="none"/>
              </w:rPr>
            </w:pPr>
            <w:r>
              <w:rPr>
                <w:rFonts w:hint="eastAsia" w:ascii="宋体" w:hAnsi="宋体" w:eastAsia="宋体" w:cs="宋体"/>
                <w:bCs/>
                <w:color w:val="auto"/>
                <w:spacing w:val="16"/>
                <w:highlight w:val="none"/>
              </w:rPr>
              <w:t>注册发证</w:t>
            </w:r>
            <w:r>
              <w:rPr>
                <w:rFonts w:hint="eastAsia" w:ascii="宋体" w:hAnsi="宋体" w:eastAsia="宋体" w:cs="宋体"/>
                <w:bCs/>
                <w:color w:val="auto"/>
                <w:spacing w:val="27"/>
                <w:highlight w:val="none"/>
              </w:rPr>
              <w:t>机关</w:t>
            </w:r>
          </w:p>
        </w:tc>
        <w:tc>
          <w:tcPr>
            <w:tcW w:w="3213" w:type="dxa"/>
            <w:gridSpan w:val="5"/>
          </w:tcPr>
          <w:p w14:paraId="2A076BC2">
            <w:pPr>
              <w:widowControl/>
              <w:spacing w:line="360" w:lineRule="auto"/>
              <w:jc w:val="left"/>
              <w:rPr>
                <w:rFonts w:hint="eastAsia" w:ascii="宋体" w:hAnsi="宋体" w:eastAsia="宋体" w:cs="宋体"/>
                <w:bCs/>
                <w:color w:val="auto"/>
                <w:kern w:val="0"/>
                <w:sz w:val="24"/>
                <w:highlight w:val="none"/>
              </w:rPr>
            </w:pPr>
          </w:p>
          <w:p w14:paraId="23228CAF">
            <w:pPr>
              <w:pStyle w:val="62"/>
              <w:shd w:val="clear" w:color="auto" w:fill="FFFFFF"/>
              <w:spacing w:line="360" w:lineRule="auto"/>
              <w:ind w:left="107"/>
              <w:rPr>
                <w:rFonts w:hint="eastAsia" w:ascii="宋体" w:hAnsi="宋体" w:eastAsia="宋体" w:cs="宋体"/>
                <w:bCs/>
                <w:color w:val="auto"/>
                <w:highlight w:val="none"/>
              </w:rPr>
            </w:pPr>
          </w:p>
        </w:tc>
        <w:tc>
          <w:tcPr>
            <w:tcW w:w="1220" w:type="dxa"/>
          </w:tcPr>
          <w:p w14:paraId="54AFF079">
            <w:pPr>
              <w:pStyle w:val="62"/>
              <w:shd w:val="clear" w:color="auto" w:fill="FFFFFF"/>
              <w:spacing w:line="360" w:lineRule="auto"/>
              <w:ind w:left="107"/>
              <w:rPr>
                <w:rFonts w:hint="eastAsia" w:ascii="宋体" w:hAnsi="宋体" w:eastAsia="宋体" w:cs="宋体"/>
                <w:bCs/>
                <w:color w:val="auto"/>
                <w:highlight w:val="none"/>
              </w:rPr>
            </w:pPr>
            <w:r>
              <w:rPr>
                <w:rFonts w:hint="eastAsia" w:ascii="宋体" w:hAnsi="宋体" w:eastAsia="宋体" w:cs="宋体"/>
                <w:bCs/>
                <w:color w:val="auto"/>
                <w:highlight w:val="none"/>
              </w:rPr>
              <w:t>公司成</w:t>
            </w:r>
            <w:r>
              <w:rPr>
                <w:rFonts w:hint="eastAsia" w:ascii="宋体" w:hAnsi="宋体" w:eastAsia="宋体" w:cs="宋体"/>
                <w:bCs/>
                <w:color w:val="auto"/>
                <w:spacing w:val="12"/>
                <w:highlight w:val="none"/>
              </w:rPr>
              <w:t>立时间</w:t>
            </w:r>
          </w:p>
        </w:tc>
        <w:tc>
          <w:tcPr>
            <w:tcW w:w="935" w:type="dxa"/>
          </w:tcPr>
          <w:p w14:paraId="1F314131">
            <w:pPr>
              <w:pStyle w:val="62"/>
              <w:shd w:val="clear" w:color="auto" w:fill="FFFFFF"/>
              <w:spacing w:line="360" w:lineRule="auto"/>
              <w:ind w:left="107"/>
              <w:rPr>
                <w:rFonts w:hint="eastAsia" w:ascii="宋体" w:hAnsi="宋体" w:eastAsia="宋体" w:cs="宋体"/>
                <w:bCs/>
                <w:color w:val="auto"/>
                <w:highlight w:val="none"/>
              </w:rPr>
            </w:pPr>
          </w:p>
        </w:tc>
      </w:tr>
      <w:tr w14:paraId="3A875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683" w:type="dxa"/>
            <w:vMerge w:val="continue"/>
          </w:tcPr>
          <w:p w14:paraId="17D9C432">
            <w:pPr>
              <w:pStyle w:val="62"/>
              <w:shd w:val="clear" w:color="auto" w:fill="FFFFFF"/>
              <w:spacing w:line="360" w:lineRule="auto"/>
              <w:ind w:left="107"/>
              <w:rPr>
                <w:rFonts w:hint="eastAsia" w:ascii="宋体" w:hAnsi="宋体" w:eastAsia="宋体" w:cs="宋体"/>
                <w:bCs/>
                <w:color w:val="auto"/>
                <w:highlight w:val="none"/>
              </w:rPr>
            </w:pPr>
          </w:p>
        </w:tc>
        <w:tc>
          <w:tcPr>
            <w:tcW w:w="702" w:type="dxa"/>
          </w:tcPr>
          <w:p w14:paraId="5684FFF5">
            <w:pPr>
              <w:pStyle w:val="62"/>
              <w:shd w:val="clear" w:color="auto" w:fill="FFFFFF"/>
              <w:spacing w:line="360" w:lineRule="auto"/>
              <w:ind w:left="2"/>
              <w:rPr>
                <w:rFonts w:hint="eastAsia" w:ascii="宋体" w:hAnsi="宋体" w:eastAsia="宋体" w:cs="宋体"/>
                <w:bCs/>
                <w:color w:val="auto"/>
                <w:highlight w:val="none"/>
              </w:rPr>
            </w:pPr>
            <w:r>
              <w:rPr>
                <w:rFonts w:hint="eastAsia" w:ascii="宋体" w:hAnsi="宋体" w:eastAsia="宋体" w:cs="宋体"/>
                <w:bCs/>
                <w:color w:val="auto"/>
                <w:highlight w:val="none"/>
              </w:rPr>
              <w:t>核准经营范围</w:t>
            </w:r>
          </w:p>
        </w:tc>
        <w:tc>
          <w:tcPr>
            <w:tcW w:w="7446" w:type="dxa"/>
            <w:gridSpan w:val="10"/>
          </w:tcPr>
          <w:p w14:paraId="76AD1A19">
            <w:pPr>
              <w:pStyle w:val="62"/>
              <w:shd w:val="clear" w:color="auto" w:fill="FFFFFF"/>
              <w:spacing w:line="360" w:lineRule="auto"/>
              <w:ind w:left="107"/>
              <w:rPr>
                <w:rFonts w:hint="eastAsia" w:ascii="宋体" w:hAnsi="宋体" w:eastAsia="宋体" w:cs="宋体"/>
                <w:bCs/>
                <w:color w:val="auto"/>
                <w:highlight w:val="none"/>
              </w:rPr>
            </w:pPr>
          </w:p>
        </w:tc>
      </w:tr>
      <w:tr w14:paraId="06603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683" w:type="dxa"/>
            <w:vMerge w:val="continue"/>
          </w:tcPr>
          <w:p w14:paraId="69EF7F30">
            <w:pPr>
              <w:pStyle w:val="62"/>
              <w:shd w:val="clear" w:color="auto" w:fill="FFFFFF"/>
              <w:spacing w:line="360" w:lineRule="auto"/>
              <w:ind w:left="107"/>
              <w:rPr>
                <w:rFonts w:hint="eastAsia" w:ascii="宋体" w:hAnsi="宋体" w:eastAsia="宋体" w:cs="宋体"/>
                <w:bCs/>
                <w:color w:val="auto"/>
                <w:highlight w:val="none"/>
              </w:rPr>
            </w:pPr>
          </w:p>
        </w:tc>
        <w:tc>
          <w:tcPr>
            <w:tcW w:w="8149" w:type="dxa"/>
            <w:gridSpan w:val="11"/>
          </w:tcPr>
          <w:p w14:paraId="18E5FD88">
            <w:pPr>
              <w:pStyle w:val="62"/>
              <w:shd w:val="clear" w:color="auto" w:fill="FFFFFF"/>
              <w:spacing w:line="360" w:lineRule="auto"/>
              <w:rPr>
                <w:rFonts w:hint="eastAsia" w:ascii="宋体" w:hAnsi="宋体" w:eastAsia="宋体" w:cs="宋体"/>
                <w:bCs/>
                <w:color w:val="auto"/>
                <w:spacing w:val="13"/>
                <w:highlight w:val="none"/>
              </w:rPr>
            </w:pPr>
            <w:r>
              <w:rPr>
                <w:rFonts w:hint="eastAsia" w:ascii="宋体" w:hAnsi="宋体" w:eastAsia="宋体" w:cs="宋体"/>
                <w:bCs/>
                <w:color w:val="auto"/>
                <w:spacing w:val="13"/>
                <w:highlight w:val="none"/>
              </w:rPr>
              <w:t>发展历程及主要荣誉：</w:t>
            </w:r>
          </w:p>
        </w:tc>
      </w:tr>
      <w:tr w14:paraId="5299E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83" w:type="dxa"/>
            <w:vMerge w:val="restart"/>
          </w:tcPr>
          <w:p w14:paraId="7DDA1751">
            <w:pPr>
              <w:pStyle w:val="62"/>
              <w:shd w:val="clear" w:color="auto" w:fill="FFFFFF"/>
              <w:spacing w:line="360" w:lineRule="auto"/>
              <w:ind w:left="107"/>
              <w:rPr>
                <w:rFonts w:hint="eastAsia" w:ascii="宋体" w:hAnsi="宋体" w:eastAsia="宋体" w:cs="宋体"/>
                <w:bCs/>
                <w:color w:val="auto"/>
                <w:highlight w:val="none"/>
              </w:rPr>
            </w:pPr>
            <w:r>
              <w:rPr>
                <w:rFonts w:hint="eastAsia" w:ascii="宋体" w:hAnsi="宋体" w:eastAsia="宋体" w:cs="宋体"/>
                <w:bCs/>
                <w:color w:val="auto"/>
                <w:highlight w:val="none"/>
              </w:rPr>
              <w:t>2．</w:t>
            </w:r>
          </w:p>
          <w:p w14:paraId="47D66733">
            <w:pPr>
              <w:pStyle w:val="62"/>
              <w:shd w:val="clear" w:color="auto" w:fill="FFFFFF"/>
              <w:spacing w:line="360" w:lineRule="auto"/>
              <w:ind w:left="107"/>
              <w:rPr>
                <w:rFonts w:hint="eastAsia" w:ascii="宋体" w:hAnsi="宋体" w:eastAsia="宋体" w:cs="宋体"/>
                <w:bCs/>
                <w:color w:val="auto"/>
                <w:spacing w:val="16"/>
                <w:highlight w:val="none"/>
              </w:rPr>
            </w:pPr>
            <w:r>
              <w:rPr>
                <w:rFonts w:hint="eastAsia" w:ascii="宋体" w:hAnsi="宋体" w:eastAsia="宋体" w:cs="宋体"/>
                <w:bCs/>
                <w:color w:val="auto"/>
                <w:highlight w:val="none"/>
              </w:rPr>
              <w:t>企</w:t>
            </w:r>
            <w:r>
              <w:rPr>
                <w:rFonts w:hint="eastAsia" w:ascii="宋体" w:hAnsi="宋体" w:eastAsia="宋体" w:cs="宋体"/>
                <w:bCs/>
                <w:color w:val="auto"/>
                <w:spacing w:val="12"/>
                <w:highlight w:val="none"/>
              </w:rPr>
              <w:t>业有关资质获证情况</w:t>
            </w:r>
          </w:p>
        </w:tc>
        <w:tc>
          <w:tcPr>
            <w:tcW w:w="1556" w:type="dxa"/>
            <w:gridSpan w:val="2"/>
            <w:vMerge w:val="restart"/>
          </w:tcPr>
          <w:p w14:paraId="77129F10">
            <w:pPr>
              <w:pStyle w:val="62"/>
              <w:shd w:val="clear" w:color="auto" w:fill="FFFFFF"/>
              <w:spacing w:before="0" w:beforeAutospacing="0" w:after="0" w:afterAutospacing="0" w:line="360" w:lineRule="auto"/>
              <w:rPr>
                <w:rFonts w:hint="eastAsia" w:ascii="宋体" w:hAnsi="宋体" w:eastAsia="宋体" w:cs="宋体"/>
                <w:bCs/>
                <w:color w:val="auto"/>
                <w:spacing w:val="16"/>
                <w:highlight w:val="none"/>
              </w:rPr>
            </w:pPr>
            <w:r>
              <w:rPr>
                <w:rFonts w:hint="eastAsia" w:ascii="宋体" w:hAnsi="宋体" w:eastAsia="宋体" w:cs="宋体"/>
                <w:bCs/>
                <w:color w:val="auto"/>
                <w:spacing w:val="12"/>
                <w:highlight w:val="none"/>
              </w:rPr>
              <w:t>产品生产许可证情况</w:t>
            </w:r>
            <w:r>
              <w:rPr>
                <w:rFonts w:hint="eastAsia" w:ascii="宋体" w:hAnsi="宋体" w:eastAsia="宋体" w:cs="宋体"/>
                <w:bCs/>
                <w:color w:val="auto"/>
                <w:spacing w:val="41"/>
                <w:highlight w:val="none"/>
              </w:rPr>
              <w:t>（对需获得生产许可证的</w:t>
            </w:r>
            <w:r>
              <w:rPr>
                <w:rFonts w:hint="eastAsia" w:ascii="宋体" w:hAnsi="宋体" w:eastAsia="宋体" w:cs="宋体"/>
                <w:bCs/>
                <w:color w:val="auto"/>
                <w:spacing w:val="11"/>
                <w:highlight w:val="none"/>
              </w:rPr>
              <w:t>产品要填写此栏）</w:t>
            </w:r>
          </w:p>
        </w:tc>
        <w:tc>
          <w:tcPr>
            <w:tcW w:w="1336" w:type="dxa"/>
            <w:gridSpan w:val="3"/>
          </w:tcPr>
          <w:p w14:paraId="61116B4E">
            <w:pPr>
              <w:pStyle w:val="62"/>
              <w:shd w:val="clear" w:color="auto" w:fill="FFFFFF"/>
              <w:spacing w:line="360" w:lineRule="auto"/>
              <w:ind w:right="-78" w:rightChars="-37"/>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产品名称</w:t>
            </w:r>
          </w:p>
        </w:tc>
        <w:tc>
          <w:tcPr>
            <w:tcW w:w="1421" w:type="dxa"/>
            <w:gridSpan w:val="2"/>
          </w:tcPr>
          <w:p w14:paraId="4A1BE3BC">
            <w:pPr>
              <w:pStyle w:val="62"/>
              <w:shd w:val="clear" w:color="auto" w:fill="FFFFFF"/>
              <w:spacing w:before="0" w:beforeAutospacing="0" w:after="0" w:afterAutospacing="0" w:line="360" w:lineRule="auto"/>
              <w:rPr>
                <w:rFonts w:hint="eastAsia" w:ascii="宋体" w:hAnsi="宋体" w:eastAsia="宋体" w:cs="宋体"/>
                <w:bCs/>
                <w:color w:val="auto"/>
                <w:highlight w:val="none"/>
              </w:rPr>
            </w:pPr>
            <w:r>
              <w:rPr>
                <w:rFonts w:hint="eastAsia" w:ascii="宋体" w:hAnsi="宋体" w:eastAsia="宋体" w:cs="宋体"/>
                <w:bCs/>
                <w:color w:val="auto"/>
                <w:spacing w:val="16"/>
                <w:highlight w:val="none"/>
              </w:rPr>
              <w:t>发证机关</w:t>
            </w:r>
          </w:p>
        </w:tc>
        <w:tc>
          <w:tcPr>
            <w:tcW w:w="1278" w:type="dxa"/>
          </w:tcPr>
          <w:p w14:paraId="5C39F312">
            <w:pPr>
              <w:pStyle w:val="62"/>
              <w:shd w:val="clear" w:color="auto" w:fill="FFFFFF"/>
              <w:spacing w:line="360" w:lineRule="auto"/>
              <w:jc w:val="center"/>
              <w:rPr>
                <w:rFonts w:hint="eastAsia" w:ascii="宋体" w:hAnsi="宋体" w:eastAsia="宋体" w:cs="宋体"/>
                <w:bCs/>
                <w:color w:val="auto"/>
                <w:highlight w:val="none"/>
              </w:rPr>
            </w:pPr>
            <w:r>
              <w:rPr>
                <w:rFonts w:hint="eastAsia" w:ascii="宋体" w:hAnsi="宋体" w:eastAsia="宋体" w:cs="宋体"/>
                <w:bCs/>
                <w:color w:val="auto"/>
                <w:spacing w:val="27"/>
                <w:highlight w:val="none"/>
              </w:rPr>
              <w:t>编号</w:t>
            </w:r>
          </w:p>
        </w:tc>
        <w:tc>
          <w:tcPr>
            <w:tcW w:w="1621" w:type="dxa"/>
            <w:gridSpan w:val="2"/>
          </w:tcPr>
          <w:p w14:paraId="773C34C9">
            <w:pPr>
              <w:pStyle w:val="62"/>
              <w:shd w:val="clear" w:color="auto" w:fill="FFFFFF"/>
              <w:spacing w:line="360" w:lineRule="auto"/>
              <w:jc w:val="center"/>
              <w:rPr>
                <w:rFonts w:hint="eastAsia" w:ascii="宋体" w:hAnsi="宋体" w:eastAsia="宋体" w:cs="宋体"/>
                <w:bCs/>
                <w:color w:val="auto"/>
                <w:highlight w:val="none"/>
              </w:rPr>
            </w:pPr>
            <w:r>
              <w:rPr>
                <w:rFonts w:hint="eastAsia" w:ascii="宋体" w:hAnsi="宋体" w:eastAsia="宋体" w:cs="宋体"/>
                <w:bCs/>
                <w:color w:val="auto"/>
                <w:spacing w:val="16"/>
                <w:highlight w:val="none"/>
              </w:rPr>
              <w:t>发证时间</w:t>
            </w:r>
          </w:p>
        </w:tc>
        <w:tc>
          <w:tcPr>
            <w:tcW w:w="935" w:type="dxa"/>
          </w:tcPr>
          <w:p w14:paraId="1D929ADF">
            <w:pPr>
              <w:pStyle w:val="62"/>
              <w:shd w:val="clear" w:color="auto" w:fill="FFFFFF"/>
              <w:spacing w:before="0" w:beforeAutospacing="0" w:after="0" w:afterAutospacing="0" w:line="360" w:lineRule="auto"/>
              <w:jc w:val="center"/>
              <w:rPr>
                <w:rFonts w:hint="eastAsia" w:ascii="宋体" w:hAnsi="宋体" w:eastAsia="宋体" w:cs="宋体"/>
                <w:bCs/>
                <w:color w:val="auto"/>
                <w:highlight w:val="none"/>
              </w:rPr>
            </w:pPr>
            <w:r>
              <w:rPr>
                <w:rFonts w:hint="eastAsia" w:ascii="宋体" w:hAnsi="宋体" w:eastAsia="宋体" w:cs="宋体"/>
                <w:bCs/>
                <w:color w:val="auto"/>
                <w:spacing w:val="27"/>
                <w:highlight w:val="none"/>
              </w:rPr>
              <w:t>期限</w:t>
            </w:r>
          </w:p>
        </w:tc>
      </w:tr>
      <w:tr w14:paraId="150A7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683" w:type="dxa"/>
            <w:vMerge w:val="continue"/>
          </w:tcPr>
          <w:p w14:paraId="6EB8D8B2">
            <w:pPr>
              <w:pStyle w:val="62"/>
              <w:shd w:val="clear" w:color="auto" w:fill="FFFFFF"/>
              <w:spacing w:line="360" w:lineRule="auto"/>
              <w:ind w:left="107"/>
              <w:rPr>
                <w:rFonts w:hint="eastAsia" w:ascii="宋体" w:hAnsi="宋体" w:eastAsia="宋体" w:cs="宋体"/>
                <w:bCs/>
                <w:color w:val="auto"/>
                <w:highlight w:val="none"/>
              </w:rPr>
            </w:pPr>
          </w:p>
        </w:tc>
        <w:tc>
          <w:tcPr>
            <w:tcW w:w="1556" w:type="dxa"/>
            <w:gridSpan w:val="2"/>
            <w:vMerge w:val="continue"/>
          </w:tcPr>
          <w:p w14:paraId="08AE3B86">
            <w:pPr>
              <w:pStyle w:val="62"/>
              <w:shd w:val="clear" w:color="auto" w:fill="FFFFFF"/>
              <w:spacing w:line="360" w:lineRule="auto"/>
              <w:rPr>
                <w:rFonts w:hint="eastAsia" w:ascii="宋体" w:hAnsi="宋体" w:eastAsia="宋体" w:cs="宋体"/>
                <w:bCs/>
                <w:color w:val="auto"/>
                <w:highlight w:val="none"/>
              </w:rPr>
            </w:pPr>
          </w:p>
        </w:tc>
        <w:tc>
          <w:tcPr>
            <w:tcW w:w="1336" w:type="dxa"/>
            <w:gridSpan w:val="3"/>
          </w:tcPr>
          <w:p w14:paraId="0639F117">
            <w:pPr>
              <w:pStyle w:val="62"/>
              <w:shd w:val="clear" w:color="auto" w:fill="FFFFFF"/>
              <w:spacing w:line="360" w:lineRule="auto"/>
              <w:rPr>
                <w:rFonts w:hint="eastAsia" w:ascii="宋体" w:hAnsi="宋体" w:eastAsia="宋体" w:cs="宋体"/>
                <w:bCs/>
                <w:color w:val="auto"/>
                <w:highlight w:val="none"/>
              </w:rPr>
            </w:pPr>
          </w:p>
        </w:tc>
        <w:tc>
          <w:tcPr>
            <w:tcW w:w="1421" w:type="dxa"/>
            <w:gridSpan w:val="2"/>
          </w:tcPr>
          <w:p w14:paraId="4BD69524">
            <w:pPr>
              <w:pStyle w:val="62"/>
              <w:shd w:val="clear" w:color="auto" w:fill="FFFFFF"/>
              <w:spacing w:line="360" w:lineRule="auto"/>
              <w:rPr>
                <w:rFonts w:hint="eastAsia" w:ascii="宋体" w:hAnsi="宋体" w:eastAsia="宋体" w:cs="宋体"/>
                <w:bCs/>
                <w:color w:val="auto"/>
                <w:highlight w:val="none"/>
              </w:rPr>
            </w:pPr>
          </w:p>
        </w:tc>
        <w:tc>
          <w:tcPr>
            <w:tcW w:w="1278" w:type="dxa"/>
          </w:tcPr>
          <w:p w14:paraId="0A13DBAD">
            <w:pPr>
              <w:pStyle w:val="62"/>
              <w:shd w:val="clear" w:color="auto" w:fill="FFFFFF"/>
              <w:spacing w:line="360" w:lineRule="auto"/>
              <w:rPr>
                <w:rFonts w:hint="eastAsia" w:ascii="宋体" w:hAnsi="宋体" w:eastAsia="宋体" w:cs="宋体"/>
                <w:bCs/>
                <w:color w:val="auto"/>
                <w:highlight w:val="none"/>
              </w:rPr>
            </w:pPr>
          </w:p>
        </w:tc>
        <w:tc>
          <w:tcPr>
            <w:tcW w:w="2556" w:type="dxa"/>
            <w:gridSpan w:val="3"/>
          </w:tcPr>
          <w:p w14:paraId="30261D90">
            <w:pPr>
              <w:pStyle w:val="62"/>
              <w:shd w:val="clear" w:color="auto" w:fill="FFFFFF"/>
              <w:spacing w:line="360" w:lineRule="auto"/>
              <w:rPr>
                <w:rFonts w:hint="eastAsia" w:ascii="宋体" w:hAnsi="宋体" w:eastAsia="宋体" w:cs="宋体"/>
                <w:bCs/>
                <w:color w:val="auto"/>
                <w:highlight w:val="none"/>
              </w:rPr>
            </w:pPr>
          </w:p>
        </w:tc>
      </w:tr>
      <w:tr w14:paraId="6C48A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83" w:type="dxa"/>
            <w:vMerge w:val="continue"/>
          </w:tcPr>
          <w:p w14:paraId="1FEA7495">
            <w:pPr>
              <w:pStyle w:val="62"/>
              <w:shd w:val="clear" w:color="auto" w:fill="FFFFFF"/>
              <w:spacing w:line="360" w:lineRule="auto"/>
              <w:ind w:left="107"/>
              <w:rPr>
                <w:rFonts w:hint="eastAsia" w:ascii="宋体" w:hAnsi="宋体" w:eastAsia="宋体" w:cs="宋体"/>
                <w:bCs/>
                <w:color w:val="auto"/>
                <w:spacing w:val="16"/>
                <w:highlight w:val="none"/>
              </w:rPr>
            </w:pPr>
          </w:p>
        </w:tc>
        <w:tc>
          <w:tcPr>
            <w:tcW w:w="1556" w:type="dxa"/>
            <w:gridSpan w:val="2"/>
          </w:tcPr>
          <w:p w14:paraId="1F3FE5A7">
            <w:pPr>
              <w:pStyle w:val="62"/>
              <w:shd w:val="clear" w:color="auto" w:fill="FFFFFF"/>
              <w:spacing w:before="0" w:beforeAutospacing="0" w:after="0" w:afterAutospacing="0" w:line="360" w:lineRule="auto"/>
              <w:ind w:right="-107" w:rightChars="-51"/>
              <w:rPr>
                <w:rFonts w:hint="eastAsia" w:ascii="宋体" w:hAnsi="宋体" w:eastAsia="宋体" w:cs="宋体"/>
                <w:bCs/>
                <w:color w:val="auto"/>
                <w:spacing w:val="41"/>
                <w:highlight w:val="none"/>
              </w:rPr>
            </w:pPr>
            <w:r>
              <w:rPr>
                <w:rFonts w:hint="eastAsia" w:ascii="宋体" w:hAnsi="宋体" w:eastAsia="宋体" w:cs="宋体"/>
                <w:bCs/>
                <w:color w:val="auto"/>
                <w:spacing w:val="41"/>
                <w:highlight w:val="none"/>
              </w:rPr>
              <w:t>企业通过质量体系、环保</w:t>
            </w:r>
            <w:r>
              <w:rPr>
                <w:rFonts w:hint="eastAsia" w:ascii="宋体" w:hAnsi="宋体" w:eastAsia="宋体" w:cs="宋体"/>
                <w:bCs/>
                <w:color w:val="auto"/>
                <w:spacing w:val="11"/>
                <w:highlight w:val="none"/>
              </w:rPr>
              <w:t>体系、计量等认证情况</w:t>
            </w:r>
          </w:p>
        </w:tc>
        <w:tc>
          <w:tcPr>
            <w:tcW w:w="6592" w:type="dxa"/>
            <w:gridSpan w:val="9"/>
          </w:tcPr>
          <w:p w14:paraId="5F5D8D0C">
            <w:pPr>
              <w:pStyle w:val="62"/>
              <w:shd w:val="clear" w:color="auto" w:fill="FFFFFF"/>
              <w:spacing w:line="360" w:lineRule="auto"/>
              <w:rPr>
                <w:rFonts w:hint="eastAsia" w:ascii="宋体" w:hAnsi="宋体" w:eastAsia="宋体" w:cs="宋体"/>
                <w:bCs/>
                <w:color w:val="auto"/>
                <w:spacing w:val="16"/>
                <w:highlight w:val="none"/>
              </w:rPr>
            </w:pPr>
          </w:p>
        </w:tc>
      </w:tr>
      <w:tr w14:paraId="6FA72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83" w:type="dxa"/>
            <w:vMerge w:val="continue"/>
          </w:tcPr>
          <w:p w14:paraId="39CA3EB7">
            <w:pPr>
              <w:pStyle w:val="62"/>
              <w:shd w:val="clear" w:color="auto" w:fill="FFFFFF"/>
              <w:spacing w:line="360" w:lineRule="auto"/>
              <w:ind w:left="107"/>
              <w:rPr>
                <w:rFonts w:hint="eastAsia" w:ascii="宋体" w:hAnsi="宋体" w:eastAsia="宋体" w:cs="宋体"/>
                <w:bCs/>
                <w:color w:val="auto"/>
                <w:spacing w:val="27"/>
                <w:highlight w:val="none"/>
              </w:rPr>
            </w:pPr>
          </w:p>
        </w:tc>
        <w:tc>
          <w:tcPr>
            <w:tcW w:w="1556" w:type="dxa"/>
            <w:gridSpan w:val="2"/>
          </w:tcPr>
          <w:p w14:paraId="1162996C">
            <w:pPr>
              <w:pStyle w:val="62"/>
              <w:shd w:val="clear" w:color="auto" w:fill="FFFFFF"/>
              <w:spacing w:line="360" w:lineRule="auto"/>
              <w:rPr>
                <w:rFonts w:hint="eastAsia" w:ascii="宋体" w:hAnsi="宋体" w:eastAsia="宋体" w:cs="宋体"/>
                <w:bCs/>
                <w:color w:val="auto"/>
                <w:spacing w:val="16"/>
                <w:highlight w:val="none"/>
              </w:rPr>
            </w:pPr>
            <w:r>
              <w:rPr>
                <w:rFonts w:hint="eastAsia" w:ascii="宋体" w:hAnsi="宋体" w:eastAsia="宋体" w:cs="宋体"/>
                <w:bCs/>
                <w:color w:val="auto"/>
                <w:spacing w:val="10"/>
                <w:highlight w:val="none"/>
              </w:rPr>
              <w:t>企业获得专利情况</w:t>
            </w:r>
          </w:p>
        </w:tc>
        <w:tc>
          <w:tcPr>
            <w:tcW w:w="6592" w:type="dxa"/>
            <w:gridSpan w:val="9"/>
          </w:tcPr>
          <w:p w14:paraId="44B04A18">
            <w:pPr>
              <w:pStyle w:val="62"/>
              <w:shd w:val="clear" w:color="auto" w:fill="FFFFFF"/>
              <w:spacing w:line="360" w:lineRule="auto"/>
              <w:rPr>
                <w:rFonts w:hint="eastAsia" w:ascii="宋体" w:hAnsi="宋体" w:eastAsia="宋体" w:cs="宋体"/>
                <w:bCs/>
                <w:color w:val="auto"/>
                <w:spacing w:val="16"/>
                <w:highlight w:val="none"/>
              </w:rPr>
            </w:pPr>
          </w:p>
        </w:tc>
      </w:tr>
    </w:tbl>
    <w:p w14:paraId="36172576">
      <w:pPr>
        <w:pStyle w:val="62"/>
        <w:shd w:val="clear" w:color="auto" w:fill="FFFFFF"/>
        <w:spacing w:before="0" w:beforeAutospacing="0" w:after="0" w:afterAutospacing="0" w:line="360" w:lineRule="auto"/>
        <w:rPr>
          <w:rFonts w:hint="eastAsia" w:ascii="宋体" w:hAnsi="宋体" w:eastAsia="宋体" w:cs="宋体"/>
          <w:color w:val="auto"/>
          <w:highlight w:val="none"/>
        </w:rPr>
      </w:pPr>
    </w:p>
    <w:p w14:paraId="33D5FD74">
      <w:pPr>
        <w:pStyle w:val="62"/>
        <w:shd w:val="clear" w:color="auto" w:fill="FFFFFF"/>
        <w:spacing w:before="0" w:beforeAutospacing="0" w:after="0" w:afterAutospacing="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1F57494C">
      <w:pPr>
        <w:pStyle w:val="62"/>
        <w:shd w:val="clear" w:color="auto" w:fill="FFFFFF"/>
        <w:spacing w:before="0" w:beforeAutospacing="0" w:after="0" w:afterAutospacing="0"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sz w:val="21"/>
          <w:szCs w:val="21"/>
          <w:highlight w:val="none"/>
        </w:rPr>
        <w:t>1.姓名栏必须将所有股东都统计在内，若非股份公司此行（第三行）无需填写；</w:t>
      </w:r>
    </w:p>
    <w:p w14:paraId="0E5B0BE9">
      <w:pPr>
        <w:rPr>
          <w:rFonts w:hint="eastAsia" w:ascii="宋体" w:hAnsi="宋体" w:eastAsia="宋体" w:cs="宋体"/>
          <w:color w:val="auto"/>
          <w:sz w:val="24"/>
          <w:highlight w:val="none"/>
        </w:rPr>
      </w:pPr>
    </w:p>
    <w:p w14:paraId="3E5BC798">
      <w:pPr>
        <w:keepNext w:val="0"/>
        <w:keepLines w:val="0"/>
        <w:pageBreakBefore w:val="0"/>
        <w:tabs>
          <w:tab w:val="left" w:pos="4860"/>
        </w:tabs>
        <w:kinsoku/>
        <w:wordWrap/>
        <w:overflowPunct/>
        <w:topLinePunct w:val="0"/>
        <w:autoSpaceDE/>
        <w:autoSpaceDN/>
        <w:bidi w:val="0"/>
        <w:adjustRightInd/>
        <w:snapToGrid/>
        <w:spacing w:line="360" w:lineRule="auto"/>
        <w:ind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供应商全称（公章）：</w:t>
      </w:r>
    </w:p>
    <w:p w14:paraId="3C3BDFA4">
      <w:pPr>
        <w:keepNext w:val="0"/>
        <w:keepLines w:val="0"/>
        <w:pageBreakBefore w:val="0"/>
        <w:tabs>
          <w:tab w:val="left" w:pos="4860"/>
        </w:tabs>
        <w:kinsoku/>
        <w:wordWrap/>
        <w:overflowPunct/>
        <w:topLinePunct w:val="0"/>
        <w:autoSpaceDE/>
        <w:autoSpaceDN/>
        <w:bidi w:val="0"/>
        <w:adjustRightInd/>
        <w:snapToGrid/>
        <w:spacing w:line="360" w:lineRule="auto"/>
        <w:ind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法定代表人或授权委托人</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lang w:val="zh-CN" w:eastAsia="zh-CN"/>
        </w:rPr>
        <w:t>：</w:t>
      </w:r>
    </w:p>
    <w:p w14:paraId="318FD1B1">
      <w:pPr>
        <w:keepNext w:val="0"/>
        <w:keepLines w:val="0"/>
        <w:pageBreakBefore w:val="0"/>
        <w:tabs>
          <w:tab w:val="left" w:pos="4860"/>
        </w:tabs>
        <w:kinsoku/>
        <w:wordWrap/>
        <w:overflowPunct/>
        <w:topLinePunct w:val="0"/>
        <w:autoSpaceDE/>
        <w:autoSpaceDN/>
        <w:bidi w:val="0"/>
        <w:adjustRightInd/>
        <w:snapToGrid/>
        <w:spacing w:line="360" w:lineRule="auto"/>
        <w:ind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职        务：</w:t>
      </w:r>
    </w:p>
    <w:p w14:paraId="0BF407B7">
      <w:pPr>
        <w:keepNext w:val="0"/>
        <w:keepLines w:val="0"/>
        <w:pageBreakBefore w:val="0"/>
        <w:tabs>
          <w:tab w:val="left" w:pos="4860"/>
        </w:tabs>
        <w:kinsoku/>
        <w:wordWrap/>
        <w:overflowPunct/>
        <w:topLinePunct w:val="0"/>
        <w:autoSpaceDE/>
        <w:autoSpaceDN/>
        <w:bidi w:val="0"/>
        <w:adjustRightInd/>
        <w:snapToGrid/>
        <w:spacing w:line="360" w:lineRule="auto"/>
        <w:ind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        期：</w:t>
      </w:r>
    </w:p>
    <w:p w14:paraId="0C56D94A">
      <w:pPr>
        <w:pStyle w:val="6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highlight w:val="none"/>
        </w:rPr>
      </w:pPr>
    </w:p>
    <w:p w14:paraId="6968FA39">
      <w:pPr>
        <w:pStyle w:val="62"/>
        <w:shd w:val="clear" w:color="auto" w:fill="FFFFFF"/>
        <w:spacing w:before="0" w:beforeAutospacing="0" w:after="0" w:afterAutospacing="0"/>
        <w:ind w:firstLine="424" w:firstLineChars="177"/>
        <w:rPr>
          <w:rFonts w:hint="eastAsia" w:ascii="宋体" w:hAnsi="宋体" w:eastAsia="宋体" w:cs="宋体"/>
          <w:color w:val="auto"/>
          <w:highlight w:val="none"/>
          <w:u w:val="single"/>
        </w:rPr>
      </w:pPr>
    </w:p>
    <w:p w14:paraId="4CA96381">
      <w:pPr>
        <w:snapToGrid w:val="0"/>
        <w:spacing w:before="50" w:after="50" w:line="360" w:lineRule="auto"/>
        <w:rPr>
          <w:rFonts w:hint="eastAsia" w:ascii="宋体" w:hAnsi="宋体" w:eastAsia="宋体" w:cs="宋体"/>
          <w:b/>
          <w:color w:val="auto"/>
          <w:sz w:val="28"/>
          <w:highlight w:val="none"/>
        </w:rPr>
        <w:sectPr>
          <w:pgSz w:w="11906" w:h="16838"/>
          <w:pgMar w:top="1440" w:right="1800" w:bottom="1440" w:left="1800" w:header="851" w:footer="992" w:gutter="0"/>
          <w:cols w:space="425" w:num="1"/>
          <w:docGrid w:type="lines" w:linePitch="312" w:charSpace="0"/>
        </w:sectPr>
      </w:pPr>
    </w:p>
    <w:p w14:paraId="322DD843">
      <w:pPr>
        <w:snapToGrid w:val="0"/>
        <w:spacing w:before="50" w:after="50" w:line="360" w:lineRule="auto"/>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7</w:t>
      </w:r>
    </w:p>
    <w:p w14:paraId="60210CB7">
      <w:pPr>
        <w:snapToGrid w:val="0"/>
        <w:spacing w:beforeLines="50" w:after="5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项目实施人员一览表（标段）</w:t>
      </w:r>
    </w:p>
    <w:p w14:paraId="43F3E938">
      <w:pPr>
        <w:snapToGrid w:val="0"/>
        <w:spacing w:beforeLines="50" w:after="50" w:line="360" w:lineRule="auto"/>
        <w:ind w:firstLine="2400" w:firstLineChars="1000"/>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38"/>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7AD2E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14:paraId="54713C6B">
            <w:pPr>
              <w:snapToGrid w:val="0"/>
              <w:spacing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2D0ED94D">
            <w:pPr>
              <w:snapToGrid w:val="0"/>
              <w:spacing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74C6FCF4">
            <w:pPr>
              <w:snapToGrid w:val="0"/>
              <w:spacing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70C143C6">
            <w:pPr>
              <w:snapToGrid w:val="0"/>
              <w:spacing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6A7BDA59">
            <w:pPr>
              <w:snapToGrid w:val="0"/>
              <w:spacing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3BF524DD">
            <w:pPr>
              <w:snapToGrid w:val="0"/>
              <w:spacing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033BAC14">
            <w:pPr>
              <w:snapToGrid w:val="0"/>
              <w:spacing w:beforeLines="50" w:after="50" w:line="360" w:lineRule="auto"/>
              <w:jc w:val="center"/>
              <w:rPr>
                <w:rFonts w:hint="eastAsia" w:ascii="宋体" w:hAnsi="宋体" w:eastAsia="宋体" w:cs="宋体"/>
                <w:b/>
                <w:bCs/>
                <w:color w:val="auto"/>
                <w:sz w:val="24"/>
                <w:szCs w:val="20"/>
                <w:highlight w:val="none"/>
              </w:rPr>
            </w:pPr>
            <w:r>
              <w:rPr>
                <w:rFonts w:hint="eastAsia" w:ascii="宋体" w:hAnsi="宋体" w:eastAsia="宋体" w:cs="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45F65B58">
            <w:pPr>
              <w:snapToGrid w:val="0"/>
              <w:spacing w:beforeLines="50" w:after="50" w:line="360" w:lineRule="auto"/>
              <w:jc w:val="center"/>
              <w:rPr>
                <w:rFonts w:hint="eastAsia" w:ascii="宋体" w:hAnsi="宋体" w:eastAsia="宋体" w:cs="宋体"/>
                <w:b/>
                <w:bCs/>
                <w:color w:val="auto"/>
                <w:sz w:val="24"/>
                <w:szCs w:val="20"/>
                <w:highlight w:val="none"/>
              </w:rPr>
            </w:pPr>
            <w:r>
              <w:rPr>
                <w:rFonts w:hint="eastAsia" w:ascii="宋体" w:hAnsi="宋体" w:eastAsia="宋体" w:cs="宋体"/>
                <w:b/>
                <w:color w:val="auto"/>
                <w:sz w:val="24"/>
                <w:highlight w:val="none"/>
              </w:rPr>
              <w:t>劳动合同编号</w:t>
            </w:r>
          </w:p>
        </w:tc>
      </w:tr>
      <w:tr w14:paraId="4B6A3A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0E62405A">
            <w:pPr>
              <w:snapToGrid w:val="0"/>
              <w:spacing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238405B5">
            <w:pPr>
              <w:snapToGrid w:val="0"/>
              <w:spacing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43AACEEE">
            <w:pPr>
              <w:snapToGrid w:val="0"/>
              <w:spacing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221F3816">
            <w:pPr>
              <w:snapToGrid w:val="0"/>
              <w:spacing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64646DDE">
            <w:pPr>
              <w:snapToGrid w:val="0"/>
              <w:spacing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1759114A">
            <w:pPr>
              <w:snapToGrid w:val="0"/>
              <w:spacing w:beforeLines="50" w:after="50" w:line="360" w:lineRule="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05F6D365">
            <w:pPr>
              <w:snapToGrid w:val="0"/>
              <w:spacing w:beforeLines="50" w:after="50" w:line="360" w:lineRule="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72FF0E9F">
            <w:pPr>
              <w:snapToGrid w:val="0"/>
              <w:spacing w:beforeLines="50" w:after="50" w:line="360" w:lineRule="auto"/>
              <w:rPr>
                <w:rFonts w:hint="eastAsia" w:ascii="宋体" w:hAnsi="宋体" w:eastAsia="宋体" w:cs="宋体"/>
                <w:b/>
                <w:color w:val="auto"/>
                <w:kern w:val="44"/>
                <w:sz w:val="24"/>
                <w:szCs w:val="20"/>
                <w:highlight w:val="none"/>
              </w:rPr>
            </w:pPr>
          </w:p>
        </w:tc>
      </w:tr>
      <w:tr w14:paraId="5EDC31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482AA193">
            <w:pPr>
              <w:snapToGrid w:val="0"/>
              <w:spacing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0BA50477">
            <w:pPr>
              <w:snapToGrid w:val="0"/>
              <w:spacing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4D7F013F">
            <w:pPr>
              <w:snapToGrid w:val="0"/>
              <w:spacing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2D307EFA">
            <w:pPr>
              <w:snapToGrid w:val="0"/>
              <w:spacing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7CE9EC53">
            <w:pPr>
              <w:snapToGrid w:val="0"/>
              <w:spacing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50508BA2">
            <w:pPr>
              <w:snapToGrid w:val="0"/>
              <w:spacing w:beforeLines="50" w:after="50" w:line="360" w:lineRule="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501DA9A3">
            <w:pPr>
              <w:snapToGrid w:val="0"/>
              <w:spacing w:beforeLines="50" w:after="50" w:line="360" w:lineRule="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0D9BAFE8">
            <w:pPr>
              <w:snapToGrid w:val="0"/>
              <w:spacing w:beforeLines="50" w:after="50" w:line="360" w:lineRule="auto"/>
              <w:rPr>
                <w:rFonts w:hint="eastAsia" w:ascii="宋体" w:hAnsi="宋体" w:eastAsia="宋体" w:cs="宋体"/>
                <w:b/>
                <w:color w:val="auto"/>
                <w:kern w:val="44"/>
                <w:sz w:val="24"/>
                <w:szCs w:val="20"/>
                <w:highlight w:val="none"/>
              </w:rPr>
            </w:pPr>
          </w:p>
        </w:tc>
      </w:tr>
      <w:tr w14:paraId="11ABCD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11B8273A">
            <w:pPr>
              <w:snapToGrid w:val="0"/>
              <w:spacing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3660FD94">
            <w:pPr>
              <w:snapToGrid w:val="0"/>
              <w:spacing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5673707D">
            <w:pPr>
              <w:snapToGrid w:val="0"/>
              <w:spacing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27F4A865">
            <w:pPr>
              <w:pStyle w:val="22"/>
              <w:snapToGrid w:val="0"/>
              <w:spacing w:beforeLines="50" w:after="50" w:line="360" w:lineRule="auto"/>
              <w:ind w:left="5250"/>
              <w:rPr>
                <w:rFonts w:hint="eastAsia" w:ascii="宋体" w:hAnsi="宋体" w:eastAsia="宋体" w:cs="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CA82CE5">
            <w:pPr>
              <w:pStyle w:val="22"/>
              <w:snapToGrid w:val="0"/>
              <w:spacing w:beforeLines="50" w:after="50" w:line="360" w:lineRule="auto"/>
              <w:ind w:left="5250"/>
              <w:rPr>
                <w:rFonts w:hint="eastAsia" w:ascii="宋体" w:hAnsi="宋体" w:eastAsia="宋体" w:cs="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11E97438">
            <w:pPr>
              <w:pStyle w:val="22"/>
              <w:spacing w:line="360" w:lineRule="auto"/>
              <w:ind w:left="5250"/>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6D84E930">
            <w:pPr>
              <w:snapToGrid w:val="0"/>
              <w:spacing w:beforeLines="50" w:after="50" w:line="360" w:lineRule="auto"/>
              <w:rPr>
                <w:rFonts w:hint="eastAsia" w:ascii="宋体" w:hAnsi="宋体" w:eastAsia="宋体" w:cs="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21EB81B1">
            <w:pPr>
              <w:snapToGrid w:val="0"/>
              <w:spacing w:beforeLines="50" w:after="50" w:line="360" w:lineRule="auto"/>
              <w:rPr>
                <w:rFonts w:hint="eastAsia" w:ascii="宋体" w:hAnsi="宋体" w:eastAsia="宋体" w:cs="宋体"/>
                <w:b/>
                <w:color w:val="auto"/>
                <w:kern w:val="44"/>
                <w:sz w:val="24"/>
                <w:szCs w:val="20"/>
                <w:highlight w:val="none"/>
              </w:rPr>
            </w:pPr>
          </w:p>
        </w:tc>
      </w:tr>
      <w:tr w14:paraId="050817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422DEC9E">
            <w:pPr>
              <w:snapToGrid w:val="0"/>
              <w:spacing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1FE6DC84">
            <w:pPr>
              <w:snapToGrid w:val="0"/>
              <w:spacing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20972D0D">
            <w:pPr>
              <w:snapToGrid w:val="0"/>
              <w:spacing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5E53A913">
            <w:pPr>
              <w:snapToGrid w:val="0"/>
              <w:spacing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083E1EB6">
            <w:pPr>
              <w:snapToGrid w:val="0"/>
              <w:spacing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2910144F">
            <w:pPr>
              <w:snapToGrid w:val="0"/>
              <w:spacing w:beforeLines="50" w:after="50" w:line="360" w:lineRule="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7EACC0F0">
            <w:pPr>
              <w:snapToGrid w:val="0"/>
              <w:spacing w:beforeLines="50" w:after="50" w:line="360" w:lineRule="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02935AA5">
            <w:pPr>
              <w:snapToGrid w:val="0"/>
              <w:spacing w:beforeLines="50" w:after="50" w:line="360" w:lineRule="auto"/>
              <w:rPr>
                <w:rFonts w:hint="eastAsia" w:ascii="宋体" w:hAnsi="宋体" w:eastAsia="宋体" w:cs="宋体"/>
                <w:b/>
                <w:color w:val="auto"/>
                <w:kern w:val="44"/>
                <w:sz w:val="24"/>
                <w:szCs w:val="20"/>
                <w:highlight w:val="none"/>
              </w:rPr>
            </w:pPr>
          </w:p>
        </w:tc>
      </w:tr>
      <w:tr w14:paraId="7C4B6B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472B1A43">
            <w:pPr>
              <w:snapToGrid w:val="0"/>
              <w:spacing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059663D2">
            <w:pPr>
              <w:snapToGrid w:val="0"/>
              <w:spacing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78017F22">
            <w:pPr>
              <w:snapToGrid w:val="0"/>
              <w:spacing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00D8AA43">
            <w:pPr>
              <w:snapToGrid w:val="0"/>
              <w:spacing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34C3F103">
            <w:pPr>
              <w:snapToGrid w:val="0"/>
              <w:spacing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595487E8">
            <w:pPr>
              <w:snapToGrid w:val="0"/>
              <w:spacing w:beforeLines="50" w:after="50" w:line="360" w:lineRule="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0EE2C82D">
            <w:pPr>
              <w:snapToGrid w:val="0"/>
              <w:spacing w:beforeLines="50" w:after="50" w:line="360" w:lineRule="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2713C3D3">
            <w:pPr>
              <w:snapToGrid w:val="0"/>
              <w:spacing w:beforeLines="50" w:after="50" w:line="360" w:lineRule="auto"/>
              <w:rPr>
                <w:rFonts w:hint="eastAsia" w:ascii="宋体" w:hAnsi="宋体" w:eastAsia="宋体" w:cs="宋体"/>
                <w:b/>
                <w:color w:val="auto"/>
                <w:kern w:val="44"/>
                <w:sz w:val="24"/>
                <w:szCs w:val="20"/>
                <w:highlight w:val="none"/>
              </w:rPr>
            </w:pPr>
          </w:p>
        </w:tc>
      </w:tr>
    </w:tbl>
    <w:p w14:paraId="2BF01CD7">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17676E9A">
      <w:pPr>
        <w:spacing w:line="360" w:lineRule="auto"/>
        <w:ind w:left="437"/>
        <w:rPr>
          <w:rFonts w:hint="eastAsia" w:ascii="宋体" w:hAnsi="宋体" w:eastAsia="宋体" w:cs="宋体"/>
          <w:color w:val="auto"/>
          <w:szCs w:val="21"/>
          <w:highlight w:val="none"/>
          <w:lang w:eastAsia="zh-CN"/>
        </w:rPr>
      </w:pPr>
      <w:r>
        <w:rPr>
          <w:rFonts w:hint="eastAsia" w:ascii="宋体" w:hAnsi="宋体" w:eastAsia="宋体" w:cs="宋体"/>
          <w:b w:val="0"/>
          <w:bCs/>
          <w:color w:val="auto"/>
          <w:szCs w:val="21"/>
          <w:highlight w:val="none"/>
        </w:rPr>
        <w:t>1.</w:t>
      </w:r>
      <w:r>
        <w:rPr>
          <w:rFonts w:hint="eastAsia" w:ascii="宋体" w:hAnsi="宋体" w:eastAsia="宋体" w:cs="宋体"/>
          <w:color w:val="auto"/>
          <w:szCs w:val="21"/>
          <w:highlight w:val="none"/>
        </w:rPr>
        <w:t>在填写时，如本表格不适合</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的实际情况，可根据本表格式自行划表填写；</w:t>
      </w:r>
    </w:p>
    <w:p w14:paraId="6807FE84">
      <w:pPr>
        <w:pStyle w:val="66"/>
        <w:spacing w:line="360" w:lineRule="auto"/>
        <w:ind w:left="424" w:left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2.附人员证书</w:t>
      </w:r>
      <w:r>
        <w:rPr>
          <w:rFonts w:hint="eastAsia" w:ascii="宋体" w:hAnsi="宋体" w:eastAsia="宋体" w:cs="宋体"/>
          <w:color w:val="auto"/>
          <w:szCs w:val="21"/>
          <w:highlight w:val="none"/>
          <w:lang w:eastAsia="zh-CN"/>
        </w:rPr>
        <w:t>复印件</w:t>
      </w:r>
      <w:r>
        <w:rPr>
          <w:rFonts w:hint="eastAsia" w:ascii="宋体" w:hAnsi="宋体" w:eastAsia="宋体" w:cs="宋体"/>
          <w:color w:val="auto"/>
          <w:szCs w:val="21"/>
          <w:highlight w:val="none"/>
        </w:rPr>
        <w:t>；</w:t>
      </w:r>
    </w:p>
    <w:p w14:paraId="05496E60">
      <w:pPr>
        <w:pStyle w:val="66"/>
        <w:spacing w:line="360" w:lineRule="auto"/>
        <w:ind w:left="424" w:hanging="424" w:hanging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　　3.出具上述人员在本单位服务的外部证明，如：</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截止日之前近</w:t>
      </w:r>
      <w:r>
        <w:rPr>
          <w:rFonts w:hint="eastAsia" w:ascii="宋体" w:hAnsi="宋体" w:eastAsia="宋体" w:cs="宋体"/>
          <w:color w:val="auto"/>
          <w:szCs w:val="21"/>
          <w:highlight w:val="none"/>
          <w:lang w:val="en-US" w:eastAsia="zh-CN"/>
        </w:rPr>
        <w:t>一个</w:t>
      </w:r>
      <w:r>
        <w:rPr>
          <w:rFonts w:hint="eastAsia" w:ascii="宋体" w:hAnsi="宋体" w:eastAsia="宋体" w:cs="宋体"/>
          <w:color w:val="auto"/>
          <w:szCs w:val="21"/>
          <w:highlight w:val="none"/>
        </w:rPr>
        <w:t>月的代缴个税税单、参加社会保险的《投保单》或《社会保险参保人员证明》等。</w:t>
      </w:r>
    </w:p>
    <w:p w14:paraId="352FCC9C">
      <w:pPr>
        <w:snapToGrid w:val="0"/>
        <w:spacing w:before="50" w:afterLines="50" w:line="360" w:lineRule="auto"/>
        <w:jc w:val="left"/>
        <w:rPr>
          <w:rFonts w:hint="eastAsia" w:ascii="宋体" w:hAnsi="宋体" w:eastAsia="宋体" w:cs="宋体"/>
          <w:color w:val="auto"/>
          <w:sz w:val="24"/>
          <w:szCs w:val="20"/>
          <w:highlight w:val="none"/>
        </w:rPr>
      </w:pPr>
    </w:p>
    <w:p w14:paraId="172E9D8F">
      <w:pPr>
        <w:snapToGrid w:val="0"/>
        <w:spacing w:before="50" w:afterLines="50" w:line="360" w:lineRule="auto"/>
        <w:jc w:val="left"/>
        <w:rPr>
          <w:rFonts w:hint="eastAsia" w:ascii="宋体" w:hAnsi="宋体" w:eastAsia="宋体" w:cs="宋体"/>
          <w:color w:val="auto"/>
          <w:sz w:val="24"/>
          <w:szCs w:val="20"/>
          <w:highlight w:val="none"/>
        </w:rPr>
      </w:pPr>
    </w:p>
    <w:p w14:paraId="34FEAB5B">
      <w:pPr>
        <w:keepNext w:val="0"/>
        <w:keepLines w:val="0"/>
        <w:pageBreakBefore w:val="0"/>
        <w:tabs>
          <w:tab w:val="left" w:pos="4860"/>
        </w:tabs>
        <w:kinsoku/>
        <w:wordWrap/>
        <w:overflowPunct/>
        <w:topLinePunct w:val="0"/>
        <w:autoSpaceDE/>
        <w:autoSpaceDN/>
        <w:bidi w:val="0"/>
        <w:adjustRightInd/>
        <w:snapToGrid/>
        <w:spacing w:line="360" w:lineRule="auto"/>
        <w:ind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供应商全称（公章）：</w:t>
      </w:r>
    </w:p>
    <w:p w14:paraId="6DE6CEC2">
      <w:pPr>
        <w:keepNext w:val="0"/>
        <w:keepLines w:val="0"/>
        <w:pageBreakBefore w:val="0"/>
        <w:tabs>
          <w:tab w:val="left" w:pos="4860"/>
        </w:tabs>
        <w:kinsoku/>
        <w:wordWrap/>
        <w:overflowPunct/>
        <w:topLinePunct w:val="0"/>
        <w:autoSpaceDE/>
        <w:autoSpaceDN/>
        <w:bidi w:val="0"/>
        <w:adjustRightInd/>
        <w:snapToGrid/>
        <w:spacing w:line="360" w:lineRule="auto"/>
        <w:ind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法定代表人或授权委托人</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lang w:val="zh-CN" w:eastAsia="zh-CN"/>
        </w:rPr>
        <w:t>：</w:t>
      </w:r>
    </w:p>
    <w:p w14:paraId="5531A875">
      <w:pPr>
        <w:keepNext w:val="0"/>
        <w:keepLines w:val="0"/>
        <w:pageBreakBefore w:val="0"/>
        <w:tabs>
          <w:tab w:val="left" w:pos="4860"/>
        </w:tabs>
        <w:kinsoku/>
        <w:wordWrap/>
        <w:overflowPunct/>
        <w:topLinePunct w:val="0"/>
        <w:autoSpaceDE/>
        <w:autoSpaceDN/>
        <w:bidi w:val="0"/>
        <w:adjustRightInd/>
        <w:snapToGrid/>
        <w:spacing w:line="360" w:lineRule="auto"/>
        <w:ind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职        务：</w:t>
      </w:r>
    </w:p>
    <w:p w14:paraId="4F37C124">
      <w:pPr>
        <w:keepNext w:val="0"/>
        <w:keepLines w:val="0"/>
        <w:pageBreakBefore w:val="0"/>
        <w:tabs>
          <w:tab w:val="left" w:pos="4860"/>
        </w:tabs>
        <w:kinsoku/>
        <w:wordWrap/>
        <w:overflowPunct/>
        <w:topLinePunct w:val="0"/>
        <w:autoSpaceDE/>
        <w:autoSpaceDN/>
        <w:bidi w:val="0"/>
        <w:adjustRightInd/>
        <w:snapToGrid/>
        <w:spacing w:line="360" w:lineRule="auto"/>
        <w:ind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        期：</w:t>
      </w:r>
    </w:p>
    <w:p w14:paraId="7D74802A">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08128AC3">
      <w:pPr>
        <w:spacing w:line="360" w:lineRule="auto"/>
        <w:rPr>
          <w:rFonts w:hint="eastAsia" w:ascii="宋体" w:hAnsi="宋体" w:eastAsia="宋体" w:cs="宋体"/>
          <w:color w:val="auto"/>
          <w:highlight w:val="none"/>
          <w:lang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8</w:t>
      </w:r>
    </w:p>
    <w:p w14:paraId="5267B015">
      <w:pPr>
        <w:spacing w:beforeLines="50" w:afterLines="50" w:line="360" w:lineRule="auto"/>
        <w:ind w:right="-1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项目负责人资格情况表</w:t>
      </w:r>
    </w:p>
    <w:p w14:paraId="403831D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采购项目：                                            标段号：</w:t>
      </w:r>
    </w:p>
    <w:tbl>
      <w:tblPr>
        <w:tblStyle w:val="38"/>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49D88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bottom w:val="single" w:color="auto" w:sz="4" w:space="0"/>
              <w:right w:val="single" w:color="auto" w:sz="4" w:space="0"/>
            </w:tcBorders>
            <w:vAlign w:val="center"/>
          </w:tcPr>
          <w:p w14:paraId="62FA7135">
            <w:pPr>
              <w:autoSpaceDE w:val="0"/>
              <w:autoSpaceDN w:val="0"/>
              <w:adjustRightInd w:val="0"/>
              <w:snapToGrid w:val="0"/>
              <w:spacing w:line="360" w:lineRule="auto"/>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姓名</w:t>
            </w:r>
          </w:p>
        </w:tc>
        <w:tc>
          <w:tcPr>
            <w:tcW w:w="2967" w:type="dxa"/>
            <w:tcBorders>
              <w:left w:val="single" w:color="auto" w:sz="4" w:space="0"/>
              <w:bottom w:val="single" w:color="auto" w:sz="4" w:space="0"/>
              <w:right w:val="single" w:color="auto" w:sz="4" w:space="0"/>
            </w:tcBorders>
            <w:vAlign w:val="center"/>
          </w:tcPr>
          <w:p w14:paraId="0963F7CC">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3685" w:type="dxa"/>
            <w:tcBorders>
              <w:left w:val="single" w:color="auto" w:sz="4" w:space="0"/>
              <w:bottom w:val="single" w:color="auto" w:sz="4" w:space="0"/>
            </w:tcBorders>
            <w:vAlign w:val="center"/>
          </w:tcPr>
          <w:p w14:paraId="5ACFBC3D">
            <w:pPr>
              <w:autoSpaceDE w:val="0"/>
              <w:autoSpaceDN w:val="0"/>
              <w:adjustRightInd w:val="0"/>
              <w:snapToGrid w:val="0"/>
              <w:spacing w:line="360" w:lineRule="auto"/>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近年来主要工作业绩</w:t>
            </w:r>
          </w:p>
        </w:tc>
      </w:tr>
      <w:tr w14:paraId="58F14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bottom w:val="single" w:color="auto" w:sz="4" w:space="0"/>
              <w:right w:val="single" w:color="auto" w:sz="4" w:space="0"/>
            </w:tcBorders>
            <w:vAlign w:val="center"/>
          </w:tcPr>
          <w:p w14:paraId="05EB4724">
            <w:pPr>
              <w:autoSpaceDE w:val="0"/>
              <w:autoSpaceDN w:val="0"/>
              <w:adjustRightInd w:val="0"/>
              <w:snapToGrid w:val="0"/>
              <w:spacing w:line="360" w:lineRule="auto"/>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3D2B44EF">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3685" w:type="dxa"/>
            <w:vMerge w:val="restart"/>
            <w:tcBorders>
              <w:top w:val="single" w:color="auto" w:sz="4" w:space="0"/>
              <w:left w:val="single" w:color="auto" w:sz="4" w:space="0"/>
              <w:bottom w:val="single" w:color="auto" w:sz="4" w:space="0"/>
            </w:tcBorders>
            <w:vAlign w:val="center"/>
          </w:tcPr>
          <w:p w14:paraId="30F02278">
            <w:pPr>
              <w:autoSpaceDE w:val="0"/>
              <w:autoSpaceDN w:val="0"/>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注：业绩证明应提供旁证材料</w:t>
            </w:r>
          </w:p>
          <w:p w14:paraId="07E9C7B4">
            <w:pPr>
              <w:autoSpaceDE w:val="0"/>
              <w:autoSpaceDN w:val="0"/>
              <w:adjustRightInd w:val="0"/>
              <w:snapToGrid w:val="0"/>
              <w:spacing w:line="360" w:lineRule="auto"/>
              <w:jc w:val="center"/>
              <w:rPr>
                <w:rFonts w:hint="eastAsia" w:ascii="宋体" w:hAnsi="宋体" w:eastAsia="宋体" w:cs="宋体"/>
                <w:color w:val="auto"/>
                <w:highlight w:val="none"/>
                <w:lang w:val="zh-CN"/>
              </w:rPr>
            </w:pPr>
            <w:r>
              <w:rPr>
                <w:rFonts w:hint="eastAsia" w:ascii="宋体" w:hAnsi="宋体" w:eastAsia="宋体" w:cs="宋体"/>
                <w:color w:val="auto"/>
                <w:highlight w:val="none"/>
              </w:rPr>
              <w:t>（用人单位工作证明或劳务合同）。</w:t>
            </w:r>
          </w:p>
        </w:tc>
      </w:tr>
      <w:tr w14:paraId="68D33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bottom w:val="single" w:color="auto" w:sz="4" w:space="0"/>
              <w:right w:val="single" w:color="auto" w:sz="4" w:space="0"/>
            </w:tcBorders>
            <w:vAlign w:val="center"/>
          </w:tcPr>
          <w:p w14:paraId="16C8CBA3">
            <w:pPr>
              <w:autoSpaceDE w:val="0"/>
              <w:autoSpaceDN w:val="0"/>
              <w:adjustRightInd w:val="0"/>
              <w:snapToGrid w:val="0"/>
              <w:spacing w:line="360" w:lineRule="auto"/>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4B4A2BB5">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3685" w:type="dxa"/>
            <w:vMerge w:val="continue"/>
            <w:tcBorders>
              <w:top w:val="single" w:color="auto" w:sz="4" w:space="0"/>
              <w:left w:val="single" w:color="auto" w:sz="4" w:space="0"/>
              <w:bottom w:val="single" w:color="auto" w:sz="4" w:space="0"/>
            </w:tcBorders>
            <w:vAlign w:val="center"/>
          </w:tcPr>
          <w:p w14:paraId="40712ADC">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r>
      <w:tr w14:paraId="07B8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bottom w:val="single" w:color="auto" w:sz="4" w:space="0"/>
              <w:right w:val="single" w:color="auto" w:sz="4" w:space="0"/>
            </w:tcBorders>
            <w:vAlign w:val="center"/>
          </w:tcPr>
          <w:p w14:paraId="6D2B836C">
            <w:pPr>
              <w:autoSpaceDE w:val="0"/>
              <w:autoSpaceDN w:val="0"/>
              <w:adjustRightInd w:val="0"/>
              <w:snapToGrid w:val="0"/>
              <w:spacing w:line="360" w:lineRule="auto"/>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168CDEB4">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3685" w:type="dxa"/>
            <w:vMerge w:val="continue"/>
            <w:tcBorders>
              <w:top w:val="single" w:color="auto" w:sz="4" w:space="0"/>
              <w:left w:val="single" w:color="auto" w:sz="4" w:space="0"/>
              <w:bottom w:val="single" w:color="auto" w:sz="4" w:space="0"/>
            </w:tcBorders>
            <w:vAlign w:val="center"/>
          </w:tcPr>
          <w:p w14:paraId="0A9B6814">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r>
      <w:tr w14:paraId="01BD8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bottom w:val="single" w:color="auto" w:sz="4" w:space="0"/>
              <w:right w:val="single" w:color="auto" w:sz="4" w:space="0"/>
            </w:tcBorders>
            <w:vAlign w:val="center"/>
          </w:tcPr>
          <w:p w14:paraId="321BAA30">
            <w:pPr>
              <w:autoSpaceDE w:val="0"/>
              <w:autoSpaceDN w:val="0"/>
              <w:adjustRightInd w:val="0"/>
              <w:snapToGrid w:val="0"/>
              <w:spacing w:line="360" w:lineRule="auto"/>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4C2AEECE">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3685" w:type="dxa"/>
            <w:vMerge w:val="continue"/>
            <w:tcBorders>
              <w:top w:val="single" w:color="auto" w:sz="4" w:space="0"/>
              <w:left w:val="single" w:color="auto" w:sz="4" w:space="0"/>
              <w:bottom w:val="single" w:color="auto" w:sz="4" w:space="0"/>
            </w:tcBorders>
            <w:vAlign w:val="center"/>
          </w:tcPr>
          <w:p w14:paraId="1558D31D">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r>
      <w:tr w14:paraId="6F341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bottom w:val="single" w:color="auto" w:sz="4" w:space="0"/>
              <w:right w:val="single" w:color="auto" w:sz="4" w:space="0"/>
            </w:tcBorders>
            <w:vAlign w:val="center"/>
          </w:tcPr>
          <w:p w14:paraId="2738E7AD">
            <w:pPr>
              <w:autoSpaceDE w:val="0"/>
              <w:autoSpaceDN w:val="0"/>
              <w:adjustRightInd w:val="0"/>
              <w:snapToGrid w:val="0"/>
              <w:spacing w:line="360" w:lineRule="auto"/>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53D3DFA2">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3685" w:type="dxa"/>
            <w:vMerge w:val="continue"/>
            <w:tcBorders>
              <w:top w:val="single" w:color="auto" w:sz="4" w:space="0"/>
              <w:left w:val="single" w:color="auto" w:sz="4" w:space="0"/>
              <w:bottom w:val="single" w:color="auto" w:sz="4" w:space="0"/>
            </w:tcBorders>
            <w:vAlign w:val="center"/>
          </w:tcPr>
          <w:p w14:paraId="39B6DCD3">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r>
      <w:tr w14:paraId="7D07E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bottom w:val="single" w:color="auto" w:sz="4" w:space="0"/>
              <w:right w:val="single" w:color="auto" w:sz="4" w:space="0"/>
            </w:tcBorders>
            <w:vAlign w:val="center"/>
          </w:tcPr>
          <w:p w14:paraId="70B3A616">
            <w:pPr>
              <w:autoSpaceDE w:val="0"/>
              <w:autoSpaceDN w:val="0"/>
              <w:adjustRightInd w:val="0"/>
              <w:snapToGrid w:val="0"/>
              <w:spacing w:line="360" w:lineRule="auto"/>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54419838">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3685" w:type="dxa"/>
            <w:vMerge w:val="continue"/>
            <w:tcBorders>
              <w:top w:val="single" w:color="auto" w:sz="4" w:space="0"/>
              <w:left w:val="single" w:color="auto" w:sz="4" w:space="0"/>
              <w:bottom w:val="single" w:color="auto" w:sz="4" w:space="0"/>
            </w:tcBorders>
            <w:vAlign w:val="center"/>
          </w:tcPr>
          <w:p w14:paraId="3419AF25">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r>
      <w:tr w14:paraId="197B5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bottom w:val="single" w:color="auto" w:sz="4" w:space="0"/>
              <w:right w:val="single" w:color="auto" w:sz="4" w:space="0"/>
            </w:tcBorders>
            <w:vAlign w:val="center"/>
          </w:tcPr>
          <w:p w14:paraId="13D1F1AE">
            <w:pPr>
              <w:autoSpaceDE w:val="0"/>
              <w:autoSpaceDN w:val="0"/>
              <w:adjustRightInd w:val="0"/>
              <w:snapToGrid w:val="0"/>
              <w:spacing w:line="360" w:lineRule="auto"/>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4C4FAE0D">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3685" w:type="dxa"/>
            <w:vMerge w:val="continue"/>
            <w:tcBorders>
              <w:top w:val="single" w:color="auto" w:sz="4" w:space="0"/>
              <w:left w:val="single" w:color="auto" w:sz="4" w:space="0"/>
              <w:bottom w:val="single" w:color="auto" w:sz="4" w:space="0"/>
            </w:tcBorders>
            <w:vAlign w:val="center"/>
          </w:tcPr>
          <w:p w14:paraId="2317F47F">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r>
      <w:tr w14:paraId="6A191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right w:val="single" w:color="auto" w:sz="4" w:space="0"/>
            </w:tcBorders>
            <w:vAlign w:val="center"/>
          </w:tcPr>
          <w:p w14:paraId="267C2CA9">
            <w:pPr>
              <w:autoSpaceDE w:val="0"/>
              <w:autoSpaceDN w:val="0"/>
              <w:adjustRightInd w:val="0"/>
              <w:snapToGrid w:val="0"/>
              <w:spacing w:line="360" w:lineRule="auto"/>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拟在本项目中担任主要工作</w:t>
            </w:r>
          </w:p>
        </w:tc>
        <w:tc>
          <w:tcPr>
            <w:tcW w:w="6652" w:type="dxa"/>
            <w:gridSpan w:val="2"/>
            <w:tcBorders>
              <w:top w:val="single" w:color="auto" w:sz="4" w:space="0"/>
              <w:left w:val="single" w:color="auto" w:sz="4" w:space="0"/>
            </w:tcBorders>
            <w:vAlign w:val="center"/>
          </w:tcPr>
          <w:p w14:paraId="0A899E4A">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r>
    </w:tbl>
    <w:p w14:paraId="4DED10B6">
      <w:pPr>
        <w:spacing w:line="360" w:lineRule="auto"/>
        <w:ind w:left="420"/>
        <w:rPr>
          <w:rFonts w:hint="eastAsia" w:ascii="宋体" w:hAnsi="宋体" w:eastAsia="宋体" w:cs="宋体"/>
          <w:color w:val="auto"/>
          <w:sz w:val="24"/>
          <w:highlight w:val="none"/>
        </w:rPr>
      </w:pPr>
    </w:p>
    <w:p w14:paraId="2A93B9FC">
      <w:pPr>
        <w:keepNext w:val="0"/>
        <w:keepLines w:val="0"/>
        <w:pageBreakBefore w:val="0"/>
        <w:tabs>
          <w:tab w:val="left" w:pos="4860"/>
        </w:tabs>
        <w:kinsoku/>
        <w:wordWrap/>
        <w:overflowPunct/>
        <w:topLinePunct w:val="0"/>
        <w:autoSpaceDE/>
        <w:autoSpaceDN/>
        <w:bidi w:val="0"/>
        <w:adjustRightInd/>
        <w:snapToGrid/>
        <w:spacing w:line="360" w:lineRule="auto"/>
        <w:ind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全</w:t>
      </w:r>
      <w:r>
        <w:rPr>
          <w:rFonts w:hint="eastAsia" w:ascii="宋体" w:hAnsi="宋体" w:eastAsia="宋体" w:cs="宋体"/>
          <w:color w:val="auto"/>
          <w:sz w:val="24"/>
          <w:szCs w:val="24"/>
          <w:highlight w:val="none"/>
        </w:rPr>
        <w:t>称（公章）：</w:t>
      </w:r>
    </w:p>
    <w:p w14:paraId="6AE61759">
      <w:pPr>
        <w:keepNext w:val="0"/>
        <w:keepLines w:val="0"/>
        <w:pageBreakBefore w:val="0"/>
        <w:tabs>
          <w:tab w:val="left" w:pos="4860"/>
        </w:tabs>
        <w:kinsoku/>
        <w:wordWrap/>
        <w:overflowPunct/>
        <w:topLinePunct w:val="0"/>
        <w:autoSpaceDE/>
        <w:autoSpaceDN/>
        <w:bidi w:val="0"/>
        <w:adjustRightInd/>
        <w:snapToGrid/>
        <w:spacing w:line="360" w:lineRule="auto"/>
        <w:ind w:right="0" w:firstLine="0" w:firstLineChars="0"/>
        <w:jc w:val="left"/>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法定代表人或授权委托人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eastAsia="宋体" w:cs="宋体"/>
          <w:color w:val="auto"/>
          <w:sz w:val="24"/>
          <w:highlight w:val="none"/>
          <w:lang w:eastAsia="zh-CN"/>
        </w:rPr>
        <w:t>）</w:t>
      </w:r>
      <w:r>
        <w:rPr>
          <w:rFonts w:hint="eastAsia" w:ascii="宋体" w:hAnsi="宋体" w:eastAsia="宋体" w:cs="宋体"/>
          <w:color w:val="auto"/>
          <w:kern w:val="0"/>
          <w:sz w:val="24"/>
          <w:highlight w:val="none"/>
          <w:lang w:val="zh-CN"/>
        </w:rPr>
        <w:t>：</w:t>
      </w:r>
    </w:p>
    <w:p w14:paraId="585D604D">
      <w:pPr>
        <w:keepNext w:val="0"/>
        <w:keepLines w:val="0"/>
        <w:pageBreakBefore w:val="0"/>
        <w:kinsoku/>
        <w:wordWrap/>
        <w:overflowPunct/>
        <w:topLinePunct w:val="0"/>
        <w:autoSpaceDE/>
        <w:autoSpaceDN/>
        <w:bidi w:val="0"/>
        <w:adjustRightInd/>
        <w:snapToGrid/>
        <w:spacing w:line="360" w:lineRule="auto"/>
        <w:ind w:right="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职        务：</w:t>
      </w:r>
    </w:p>
    <w:p w14:paraId="0DBD84D6">
      <w:pPr>
        <w:pStyle w:val="6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righ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日        期：</w:t>
      </w:r>
    </w:p>
    <w:p w14:paraId="2B0F4D5A">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6879F28B">
      <w:pPr>
        <w:pStyle w:val="68"/>
        <w:spacing w:line="360" w:lineRule="auto"/>
        <w:jc w:val="left"/>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9</w:t>
      </w:r>
    </w:p>
    <w:p w14:paraId="725A1DE1">
      <w:pPr>
        <w:pStyle w:val="56"/>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证书一览表</w:t>
      </w:r>
    </w:p>
    <w:p w14:paraId="3479C110">
      <w:pPr>
        <w:pStyle w:val="56"/>
        <w:spacing w:line="360" w:lineRule="auto"/>
        <w:jc w:val="center"/>
        <w:rPr>
          <w:rFonts w:hint="eastAsia" w:ascii="宋体" w:hAnsi="宋体" w:eastAsia="宋体" w:cs="宋体"/>
          <w:color w:val="auto"/>
          <w:sz w:val="28"/>
          <w:szCs w:val="28"/>
          <w:highlight w:val="none"/>
        </w:rPr>
      </w:pPr>
    </w:p>
    <w:tbl>
      <w:tblPr>
        <w:tblStyle w:val="38"/>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0568D2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14:paraId="7DCCD653">
            <w:pPr>
              <w:pStyle w:val="56"/>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证书名称</w:t>
            </w:r>
          </w:p>
        </w:tc>
        <w:tc>
          <w:tcPr>
            <w:tcW w:w="2258" w:type="dxa"/>
            <w:tcBorders>
              <w:top w:val="single" w:color="auto" w:sz="4" w:space="0"/>
              <w:bottom w:val="single" w:color="auto" w:sz="4" w:space="0"/>
            </w:tcBorders>
          </w:tcPr>
          <w:p w14:paraId="2553ED67">
            <w:pPr>
              <w:pStyle w:val="56"/>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发证单位</w:t>
            </w:r>
          </w:p>
        </w:tc>
        <w:tc>
          <w:tcPr>
            <w:tcW w:w="2260" w:type="dxa"/>
            <w:tcBorders>
              <w:top w:val="single" w:color="auto" w:sz="4" w:space="0"/>
              <w:bottom w:val="single" w:color="auto" w:sz="4" w:space="0"/>
            </w:tcBorders>
          </w:tcPr>
          <w:p w14:paraId="446A05E9">
            <w:pPr>
              <w:pStyle w:val="56"/>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证书等级</w:t>
            </w:r>
          </w:p>
        </w:tc>
        <w:tc>
          <w:tcPr>
            <w:tcW w:w="2047" w:type="dxa"/>
            <w:tcBorders>
              <w:top w:val="single" w:color="auto" w:sz="4" w:space="0"/>
              <w:bottom w:val="single" w:color="auto" w:sz="4" w:space="0"/>
              <w:right w:val="single" w:color="auto" w:sz="4" w:space="0"/>
            </w:tcBorders>
          </w:tcPr>
          <w:p w14:paraId="76B32659">
            <w:pPr>
              <w:pStyle w:val="56"/>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证书有效期</w:t>
            </w:r>
          </w:p>
        </w:tc>
      </w:tr>
      <w:tr w14:paraId="2EC08C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14:paraId="02814039">
            <w:pPr>
              <w:pStyle w:val="56"/>
              <w:spacing w:line="360" w:lineRule="auto"/>
              <w:jc w:val="center"/>
              <w:rPr>
                <w:rFonts w:hint="eastAsia" w:ascii="宋体" w:hAnsi="宋体" w:eastAsia="宋体" w:cs="宋体"/>
                <w:color w:val="auto"/>
                <w:szCs w:val="21"/>
                <w:highlight w:val="none"/>
              </w:rPr>
            </w:pPr>
          </w:p>
        </w:tc>
        <w:tc>
          <w:tcPr>
            <w:tcW w:w="2258" w:type="dxa"/>
            <w:tcBorders>
              <w:top w:val="single" w:color="auto" w:sz="4" w:space="0"/>
            </w:tcBorders>
          </w:tcPr>
          <w:p w14:paraId="7B1114C4">
            <w:pPr>
              <w:pStyle w:val="56"/>
              <w:spacing w:line="360" w:lineRule="auto"/>
              <w:jc w:val="center"/>
              <w:rPr>
                <w:rFonts w:hint="eastAsia" w:ascii="宋体" w:hAnsi="宋体" w:eastAsia="宋体" w:cs="宋体"/>
                <w:color w:val="auto"/>
                <w:szCs w:val="21"/>
                <w:highlight w:val="none"/>
              </w:rPr>
            </w:pPr>
          </w:p>
        </w:tc>
        <w:tc>
          <w:tcPr>
            <w:tcW w:w="2260" w:type="dxa"/>
            <w:tcBorders>
              <w:top w:val="single" w:color="auto" w:sz="4" w:space="0"/>
            </w:tcBorders>
          </w:tcPr>
          <w:p w14:paraId="63CCFCF7">
            <w:pPr>
              <w:pStyle w:val="56"/>
              <w:spacing w:line="360" w:lineRule="auto"/>
              <w:jc w:val="center"/>
              <w:rPr>
                <w:rFonts w:hint="eastAsia" w:ascii="宋体" w:hAnsi="宋体" w:eastAsia="宋体" w:cs="宋体"/>
                <w:color w:val="auto"/>
                <w:szCs w:val="21"/>
                <w:highlight w:val="none"/>
              </w:rPr>
            </w:pPr>
          </w:p>
        </w:tc>
        <w:tc>
          <w:tcPr>
            <w:tcW w:w="2047" w:type="dxa"/>
            <w:tcBorders>
              <w:top w:val="single" w:color="auto" w:sz="4" w:space="0"/>
              <w:right w:val="single" w:color="auto" w:sz="4" w:space="0"/>
            </w:tcBorders>
          </w:tcPr>
          <w:p w14:paraId="35263D73">
            <w:pPr>
              <w:pStyle w:val="56"/>
              <w:spacing w:line="360" w:lineRule="auto"/>
              <w:jc w:val="center"/>
              <w:rPr>
                <w:rFonts w:hint="eastAsia" w:ascii="宋体" w:hAnsi="宋体" w:eastAsia="宋体" w:cs="宋体"/>
                <w:color w:val="auto"/>
                <w:szCs w:val="21"/>
                <w:highlight w:val="none"/>
              </w:rPr>
            </w:pPr>
          </w:p>
        </w:tc>
      </w:tr>
      <w:tr w14:paraId="3207A0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55FA26F">
            <w:pPr>
              <w:pStyle w:val="56"/>
              <w:spacing w:line="360" w:lineRule="auto"/>
              <w:jc w:val="center"/>
              <w:rPr>
                <w:rFonts w:hint="eastAsia" w:ascii="宋体" w:hAnsi="宋体" w:eastAsia="宋体" w:cs="宋体"/>
                <w:color w:val="auto"/>
                <w:szCs w:val="21"/>
                <w:highlight w:val="none"/>
              </w:rPr>
            </w:pPr>
          </w:p>
        </w:tc>
        <w:tc>
          <w:tcPr>
            <w:tcW w:w="2258" w:type="dxa"/>
          </w:tcPr>
          <w:p w14:paraId="02041927">
            <w:pPr>
              <w:pStyle w:val="56"/>
              <w:spacing w:line="360" w:lineRule="auto"/>
              <w:jc w:val="center"/>
              <w:rPr>
                <w:rFonts w:hint="eastAsia" w:ascii="宋体" w:hAnsi="宋体" w:eastAsia="宋体" w:cs="宋体"/>
                <w:color w:val="auto"/>
                <w:szCs w:val="21"/>
                <w:highlight w:val="none"/>
              </w:rPr>
            </w:pPr>
          </w:p>
        </w:tc>
        <w:tc>
          <w:tcPr>
            <w:tcW w:w="2260" w:type="dxa"/>
          </w:tcPr>
          <w:p w14:paraId="612A0C31">
            <w:pPr>
              <w:pStyle w:val="56"/>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tcPr>
          <w:p w14:paraId="0753EF92">
            <w:pPr>
              <w:pStyle w:val="56"/>
              <w:spacing w:line="360" w:lineRule="auto"/>
              <w:jc w:val="center"/>
              <w:rPr>
                <w:rFonts w:hint="eastAsia" w:ascii="宋体" w:hAnsi="宋体" w:eastAsia="宋体" w:cs="宋体"/>
                <w:color w:val="auto"/>
                <w:szCs w:val="21"/>
                <w:highlight w:val="none"/>
              </w:rPr>
            </w:pPr>
          </w:p>
        </w:tc>
      </w:tr>
      <w:tr w14:paraId="59195A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F91C74E">
            <w:pPr>
              <w:pStyle w:val="56"/>
              <w:spacing w:line="360" w:lineRule="auto"/>
              <w:jc w:val="center"/>
              <w:rPr>
                <w:rFonts w:hint="eastAsia" w:ascii="宋体" w:hAnsi="宋体" w:eastAsia="宋体" w:cs="宋体"/>
                <w:color w:val="auto"/>
                <w:szCs w:val="21"/>
                <w:highlight w:val="none"/>
              </w:rPr>
            </w:pPr>
          </w:p>
        </w:tc>
        <w:tc>
          <w:tcPr>
            <w:tcW w:w="2258" w:type="dxa"/>
          </w:tcPr>
          <w:p w14:paraId="0D8607BA">
            <w:pPr>
              <w:pStyle w:val="56"/>
              <w:spacing w:line="360" w:lineRule="auto"/>
              <w:jc w:val="center"/>
              <w:rPr>
                <w:rFonts w:hint="eastAsia" w:ascii="宋体" w:hAnsi="宋体" w:eastAsia="宋体" w:cs="宋体"/>
                <w:color w:val="auto"/>
                <w:szCs w:val="21"/>
                <w:highlight w:val="none"/>
              </w:rPr>
            </w:pPr>
          </w:p>
        </w:tc>
        <w:tc>
          <w:tcPr>
            <w:tcW w:w="2260" w:type="dxa"/>
          </w:tcPr>
          <w:p w14:paraId="3815B82B">
            <w:pPr>
              <w:pStyle w:val="56"/>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tcPr>
          <w:p w14:paraId="71D17EC9">
            <w:pPr>
              <w:pStyle w:val="56"/>
              <w:spacing w:line="360" w:lineRule="auto"/>
              <w:jc w:val="center"/>
              <w:rPr>
                <w:rFonts w:hint="eastAsia" w:ascii="宋体" w:hAnsi="宋体" w:eastAsia="宋体" w:cs="宋体"/>
                <w:color w:val="auto"/>
                <w:szCs w:val="21"/>
                <w:highlight w:val="none"/>
              </w:rPr>
            </w:pPr>
          </w:p>
        </w:tc>
      </w:tr>
      <w:tr w14:paraId="428856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610E4C0">
            <w:pPr>
              <w:pStyle w:val="56"/>
              <w:spacing w:line="360" w:lineRule="auto"/>
              <w:jc w:val="center"/>
              <w:rPr>
                <w:rFonts w:hint="eastAsia" w:ascii="宋体" w:hAnsi="宋体" w:eastAsia="宋体" w:cs="宋体"/>
                <w:color w:val="auto"/>
                <w:szCs w:val="21"/>
                <w:highlight w:val="none"/>
              </w:rPr>
            </w:pPr>
          </w:p>
        </w:tc>
        <w:tc>
          <w:tcPr>
            <w:tcW w:w="2258" w:type="dxa"/>
          </w:tcPr>
          <w:p w14:paraId="4EB1C801">
            <w:pPr>
              <w:pStyle w:val="56"/>
              <w:spacing w:line="360" w:lineRule="auto"/>
              <w:jc w:val="center"/>
              <w:rPr>
                <w:rFonts w:hint="eastAsia" w:ascii="宋体" w:hAnsi="宋体" w:eastAsia="宋体" w:cs="宋体"/>
                <w:color w:val="auto"/>
                <w:szCs w:val="21"/>
                <w:highlight w:val="none"/>
              </w:rPr>
            </w:pPr>
          </w:p>
        </w:tc>
        <w:tc>
          <w:tcPr>
            <w:tcW w:w="2260" w:type="dxa"/>
          </w:tcPr>
          <w:p w14:paraId="455684D4">
            <w:pPr>
              <w:pStyle w:val="56"/>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tcPr>
          <w:p w14:paraId="292181F5">
            <w:pPr>
              <w:pStyle w:val="56"/>
              <w:spacing w:line="360" w:lineRule="auto"/>
              <w:jc w:val="center"/>
              <w:rPr>
                <w:rFonts w:hint="eastAsia" w:ascii="宋体" w:hAnsi="宋体" w:eastAsia="宋体" w:cs="宋体"/>
                <w:color w:val="auto"/>
                <w:szCs w:val="21"/>
                <w:highlight w:val="none"/>
              </w:rPr>
            </w:pPr>
          </w:p>
        </w:tc>
      </w:tr>
      <w:tr w14:paraId="19BED9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CC733F0">
            <w:pPr>
              <w:pStyle w:val="56"/>
              <w:spacing w:line="360" w:lineRule="auto"/>
              <w:jc w:val="center"/>
              <w:rPr>
                <w:rFonts w:hint="eastAsia" w:ascii="宋体" w:hAnsi="宋体" w:eastAsia="宋体" w:cs="宋体"/>
                <w:color w:val="auto"/>
                <w:szCs w:val="21"/>
                <w:highlight w:val="none"/>
              </w:rPr>
            </w:pPr>
          </w:p>
        </w:tc>
        <w:tc>
          <w:tcPr>
            <w:tcW w:w="2258" w:type="dxa"/>
          </w:tcPr>
          <w:p w14:paraId="652ABC7A">
            <w:pPr>
              <w:pStyle w:val="56"/>
              <w:spacing w:line="360" w:lineRule="auto"/>
              <w:jc w:val="center"/>
              <w:rPr>
                <w:rFonts w:hint="eastAsia" w:ascii="宋体" w:hAnsi="宋体" w:eastAsia="宋体" w:cs="宋体"/>
                <w:color w:val="auto"/>
                <w:szCs w:val="21"/>
                <w:highlight w:val="none"/>
              </w:rPr>
            </w:pPr>
          </w:p>
        </w:tc>
        <w:tc>
          <w:tcPr>
            <w:tcW w:w="2260" w:type="dxa"/>
          </w:tcPr>
          <w:p w14:paraId="2A8CE636">
            <w:pPr>
              <w:pStyle w:val="56"/>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tcPr>
          <w:p w14:paraId="1B40E7F1">
            <w:pPr>
              <w:pStyle w:val="56"/>
              <w:spacing w:line="360" w:lineRule="auto"/>
              <w:jc w:val="center"/>
              <w:rPr>
                <w:rFonts w:hint="eastAsia" w:ascii="宋体" w:hAnsi="宋体" w:eastAsia="宋体" w:cs="宋体"/>
                <w:color w:val="auto"/>
                <w:szCs w:val="21"/>
                <w:highlight w:val="none"/>
              </w:rPr>
            </w:pPr>
          </w:p>
        </w:tc>
      </w:tr>
      <w:tr w14:paraId="0BCD49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3135A1B">
            <w:pPr>
              <w:pStyle w:val="56"/>
              <w:spacing w:line="360" w:lineRule="auto"/>
              <w:jc w:val="center"/>
              <w:rPr>
                <w:rFonts w:hint="eastAsia" w:ascii="宋体" w:hAnsi="宋体" w:eastAsia="宋体" w:cs="宋体"/>
                <w:color w:val="auto"/>
                <w:szCs w:val="21"/>
                <w:highlight w:val="none"/>
              </w:rPr>
            </w:pPr>
          </w:p>
        </w:tc>
        <w:tc>
          <w:tcPr>
            <w:tcW w:w="2258" w:type="dxa"/>
          </w:tcPr>
          <w:p w14:paraId="7BAEFF1B">
            <w:pPr>
              <w:pStyle w:val="56"/>
              <w:spacing w:line="360" w:lineRule="auto"/>
              <w:jc w:val="center"/>
              <w:rPr>
                <w:rFonts w:hint="eastAsia" w:ascii="宋体" w:hAnsi="宋体" w:eastAsia="宋体" w:cs="宋体"/>
                <w:color w:val="auto"/>
                <w:szCs w:val="21"/>
                <w:highlight w:val="none"/>
              </w:rPr>
            </w:pPr>
          </w:p>
        </w:tc>
        <w:tc>
          <w:tcPr>
            <w:tcW w:w="2260" w:type="dxa"/>
          </w:tcPr>
          <w:p w14:paraId="60E6BBC6">
            <w:pPr>
              <w:pStyle w:val="56"/>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tcPr>
          <w:p w14:paraId="7D2F71AD">
            <w:pPr>
              <w:pStyle w:val="56"/>
              <w:spacing w:line="360" w:lineRule="auto"/>
              <w:jc w:val="center"/>
              <w:rPr>
                <w:rFonts w:hint="eastAsia" w:ascii="宋体" w:hAnsi="宋体" w:eastAsia="宋体" w:cs="宋体"/>
                <w:color w:val="auto"/>
                <w:szCs w:val="21"/>
                <w:highlight w:val="none"/>
              </w:rPr>
            </w:pPr>
          </w:p>
        </w:tc>
      </w:tr>
      <w:tr w14:paraId="3E8AC9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14:paraId="6647E3C4">
            <w:pPr>
              <w:pStyle w:val="56"/>
              <w:spacing w:line="360" w:lineRule="auto"/>
              <w:jc w:val="center"/>
              <w:rPr>
                <w:rFonts w:hint="eastAsia" w:ascii="宋体" w:hAnsi="宋体" w:eastAsia="宋体" w:cs="宋体"/>
                <w:color w:val="auto"/>
                <w:szCs w:val="21"/>
                <w:highlight w:val="none"/>
              </w:rPr>
            </w:pPr>
          </w:p>
        </w:tc>
        <w:tc>
          <w:tcPr>
            <w:tcW w:w="2258" w:type="dxa"/>
            <w:tcBorders>
              <w:bottom w:val="single" w:color="auto" w:sz="4" w:space="0"/>
            </w:tcBorders>
          </w:tcPr>
          <w:p w14:paraId="7DB52774">
            <w:pPr>
              <w:pStyle w:val="56"/>
              <w:spacing w:line="360" w:lineRule="auto"/>
              <w:jc w:val="center"/>
              <w:rPr>
                <w:rFonts w:hint="eastAsia" w:ascii="宋体" w:hAnsi="宋体" w:eastAsia="宋体" w:cs="宋体"/>
                <w:color w:val="auto"/>
                <w:szCs w:val="21"/>
                <w:highlight w:val="none"/>
              </w:rPr>
            </w:pPr>
          </w:p>
        </w:tc>
        <w:tc>
          <w:tcPr>
            <w:tcW w:w="2260" w:type="dxa"/>
            <w:tcBorders>
              <w:bottom w:val="single" w:color="auto" w:sz="4" w:space="0"/>
            </w:tcBorders>
          </w:tcPr>
          <w:p w14:paraId="46E0306B">
            <w:pPr>
              <w:pStyle w:val="56"/>
              <w:spacing w:line="360" w:lineRule="auto"/>
              <w:jc w:val="center"/>
              <w:rPr>
                <w:rFonts w:hint="eastAsia" w:ascii="宋体" w:hAnsi="宋体" w:eastAsia="宋体" w:cs="宋体"/>
                <w:color w:val="auto"/>
                <w:szCs w:val="21"/>
                <w:highlight w:val="none"/>
              </w:rPr>
            </w:pPr>
          </w:p>
        </w:tc>
        <w:tc>
          <w:tcPr>
            <w:tcW w:w="2047" w:type="dxa"/>
            <w:tcBorders>
              <w:bottom w:val="single" w:color="auto" w:sz="4" w:space="0"/>
              <w:right w:val="single" w:color="auto" w:sz="4" w:space="0"/>
            </w:tcBorders>
          </w:tcPr>
          <w:p w14:paraId="5A669187">
            <w:pPr>
              <w:pStyle w:val="56"/>
              <w:spacing w:line="360" w:lineRule="auto"/>
              <w:jc w:val="center"/>
              <w:rPr>
                <w:rFonts w:hint="eastAsia" w:ascii="宋体" w:hAnsi="宋体" w:eastAsia="宋体" w:cs="宋体"/>
                <w:color w:val="auto"/>
                <w:szCs w:val="21"/>
                <w:highlight w:val="none"/>
              </w:rPr>
            </w:pPr>
          </w:p>
        </w:tc>
      </w:tr>
    </w:tbl>
    <w:p w14:paraId="3EB01F78">
      <w:pPr>
        <w:pStyle w:val="56"/>
        <w:tabs>
          <w:tab w:val="left" w:pos="1050"/>
        </w:tabs>
        <w:spacing w:line="360" w:lineRule="auto"/>
        <w:rPr>
          <w:rFonts w:hint="eastAsia" w:ascii="宋体" w:hAnsi="宋体" w:eastAsia="宋体" w:cs="宋体"/>
          <w:color w:val="auto"/>
          <w:sz w:val="24"/>
          <w:highlight w:val="none"/>
        </w:rPr>
      </w:pPr>
    </w:p>
    <w:p w14:paraId="2D4FBF3A">
      <w:pPr>
        <w:pStyle w:val="56"/>
        <w:tabs>
          <w:tab w:val="left" w:pos="1050"/>
        </w:tabs>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要求：</w:t>
      </w:r>
    </w:p>
    <w:p w14:paraId="51A6BA55">
      <w:pPr>
        <w:pStyle w:val="56"/>
        <w:tabs>
          <w:tab w:val="left" w:pos="1050"/>
        </w:tabs>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1.填写</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获得资质、认证或企业信誉证书；</w:t>
      </w:r>
    </w:p>
    <w:p w14:paraId="7A787840">
      <w:pPr>
        <w:pStyle w:val="56"/>
        <w:tabs>
          <w:tab w:val="left" w:pos="1050"/>
        </w:tabs>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2.附所列证书</w:t>
      </w:r>
      <w:r>
        <w:rPr>
          <w:rFonts w:hint="eastAsia" w:ascii="宋体" w:hAnsi="宋体" w:eastAsia="宋体" w:cs="宋体"/>
          <w:color w:val="auto"/>
          <w:szCs w:val="21"/>
          <w:highlight w:val="none"/>
          <w:lang w:eastAsia="zh-CN"/>
        </w:rPr>
        <w:t>复印</w:t>
      </w:r>
      <w:r>
        <w:rPr>
          <w:rFonts w:hint="eastAsia" w:ascii="宋体" w:hAnsi="宋体" w:eastAsia="宋体" w:cs="宋体"/>
          <w:color w:val="auto"/>
          <w:szCs w:val="21"/>
          <w:highlight w:val="none"/>
        </w:rPr>
        <w:t>件或其他证明材料。</w:t>
      </w:r>
    </w:p>
    <w:p w14:paraId="7CB0B6BE">
      <w:pPr>
        <w:pStyle w:val="56"/>
        <w:tabs>
          <w:tab w:val="left" w:pos="1050"/>
        </w:tabs>
        <w:spacing w:line="360" w:lineRule="auto"/>
        <w:ind w:firstLine="720" w:firstLineChars="300"/>
        <w:rPr>
          <w:rFonts w:hint="eastAsia" w:ascii="宋体" w:hAnsi="宋体" w:eastAsia="宋体" w:cs="宋体"/>
          <w:color w:val="auto"/>
          <w:sz w:val="24"/>
          <w:highlight w:val="none"/>
        </w:rPr>
      </w:pPr>
    </w:p>
    <w:p w14:paraId="35F80E58">
      <w:pPr>
        <w:pStyle w:val="56"/>
        <w:tabs>
          <w:tab w:val="left" w:pos="1050"/>
        </w:tabs>
        <w:spacing w:line="360" w:lineRule="auto"/>
        <w:ind w:firstLine="720" w:firstLineChars="300"/>
        <w:rPr>
          <w:rFonts w:hint="eastAsia" w:ascii="宋体" w:hAnsi="宋体" w:eastAsia="宋体" w:cs="宋体"/>
          <w:color w:val="auto"/>
          <w:sz w:val="24"/>
          <w:highlight w:val="none"/>
        </w:rPr>
      </w:pPr>
    </w:p>
    <w:p w14:paraId="41C7661E">
      <w:pPr>
        <w:pStyle w:val="56"/>
        <w:tabs>
          <w:tab w:val="left" w:pos="1050"/>
        </w:tabs>
        <w:spacing w:line="360" w:lineRule="auto"/>
        <w:ind w:firstLine="720" w:firstLineChars="300"/>
        <w:rPr>
          <w:rFonts w:hint="eastAsia" w:ascii="宋体" w:hAnsi="宋体" w:eastAsia="宋体" w:cs="宋体"/>
          <w:color w:val="auto"/>
          <w:sz w:val="24"/>
          <w:highlight w:val="none"/>
        </w:rPr>
      </w:pPr>
    </w:p>
    <w:p w14:paraId="17026495">
      <w:pPr>
        <w:keepNext w:val="0"/>
        <w:keepLines w:val="0"/>
        <w:pageBreakBefore w:val="0"/>
        <w:tabs>
          <w:tab w:val="left" w:pos="4860"/>
        </w:tabs>
        <w:kinsoku/>
        <w:wordWrap/>
        <w:overflowPunct/>
        <w:topLinePunct w:val="0"/>
        <w:autoSpaceDE/>
        <w:autoSpaceDN/>
        <w:bidi w:val="0"/>
        <w:adjustRightInd/>
        <w:snapToGrid/>
        <w:spacing w:line="360" w:lineRule="auto"/>
        <w:ind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供应商全称（公章）：</w:t>
      </w:r>
    </w:p>
    <w:p w14:paraId="34E7F689">
      <w:pPr>
        <w:keepNext w:val="0"/>
        <w:keepLines w:val="0"/>
        <w:pageBreakBefore w:val="0"/>
        <w:tabs>
          <w:tab w:val="left" w:pos="4860"/>
        </w:tabs>
        <w:kinsoku/>
        <w:wordWrap/>
        <w:overflowPunct/>
        <w:topLinePunct w:val="0"/>
        <w:autoSpaceDE/>
        <w:autoSpaceDN/>
        <w:bidi w:val="0"/>
        <w:adjustRightInd/>
        <w:snapToGrid/>
        <w:spacing w:line="360" w:lineRule="auto"/>
        <w:ind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法定代表人或授权委托人</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lang w:val="zh-CN" w:eastAsia="zh-CN"/>
        </w:rPr>
        <w:t>：</w:t>
      </w:r>
    </w:p>
    <w:p w14:paraId="2559B303">
      <w:pPr>
        <w:keepNext w:val="0"/>
        <w:keepLines w:val="0"/>
        <w:pageBreakBefore w:val="0"/>
        <w:tabs>
          <w:tab w:val="left" w:pos="4860"/>
        </w:tabs>
        <w:kinsoku/>
        <w:wordWrap/>
        <w:overflowPunct/>
        <w:topLinePunct w:val="0"/>
        <w:autoSpaceDE/>
        <w:autoSpaceDN/>
        <w:bidi w:val="0"/>
        <w:adjustRightInd/>
        <w:snapToGrid/>
        <w:spacing w:line="360" w:lineRule="auto"/>
        <w:ind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职        务：</w:t>
      </w:r>
    </w:p>
    <w:p w14:paraId="13F6C3C6">
      <w:pPr>
        <w:keepNext w:val="0"/>
        <w:keepLines w:val="0"/>
        <w:pageBreakBefore w:val="0"/>
        <w:tabs>
          <w:tab w:val="left" w:pos="4860"/>
        </w:tabs>
        <w:kinsoku/>
        <w:wordWrap/>
        <w:overflowPunct/>
        <w:topLinePunct w:val="0"/>
        <w:autoSpaceDE/>
        <w:autoSpaceDN/>
        <w:bidi w:val="0"/>
        <w:adjustRightInd/>
        <w:snapToGrid/>
        <w:spacing w:line="360" w:lineRule="auto"/>
        <w:ind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        期：</w:t>
      </w:r>
    </w:p>
    <w:p w14:paraId="6C1F1346">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65FD2A07">
      <w:pPr>
        <w:ind w:right="-296" w:rightChars="-141"/>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w:t>
      </w:r>
      <w:r>
        <w:rPr>
          <w:rFonts w:hint="eastAsia" w:ascii="宋体" w:hAnsi="宋体" w:eastAsia="宋体" w:cs="宋体"/>
          <w:b/>
          <w:color w:val="auto"/>
          <w:sz w:val="32"/>
          <w:szCs w:val="32"/>
          <w:highlight w:val="none"/>
          <w:lang w:val="en-US" w:eastAsia="zh-CN"/>
        </w:rPr>
        <w:t>10</w:t>
      </w:r>
      <w:r>
        <w:rPr>
          <w:rFonts w:hint="eastAsia" w:ascii="宋体" w:hAnsi="宋体" w:eastAsia="宋体" w:cs="宋体"/>
          <w:b/>
          <w:color w:val="auto"/>
          <w:sz w:val="32"/>
          <w:szCs w:val="32"/>
          <w:highlight w:val="none"/>
        </w:rPr>
        <w:t>：</w:t>
      </w:r>
    </w:p>
    <w:p w14:paraId="1E13DFCA">
      <w:pPr>
        <w:ind w:right="-296" w:rightChars="-141"/>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作业机械、设备一览表</w:t>
      </w:r>
    </w:p>
    <w:tbl>
      <w:tblPr>
        <w:tblStyle w:val="38"/>
        <w:tblW w:w="0" w:type="auto"/>
        <w:tblInd w:w="0" w:type="dxa"/>
        <w:tblLayout w:type="fixed"/>
        <w:tblCellMar>
          <w:top w:w="0" w:type="dxa"/>
          <w:left w:w="108" w:type="dxa"/>
          <w:bottom w:w="0" w:type="dxa"/>
          <w:right w:w="108" w:type="dxa"/>
        </w:tblCellMar>
      </w:tblPr>
      <w:tblGrid>
        <w:gridCol w:w="828"/>
        <w:gridCol w:w="1440"/>
        <w:gridCol w:w="1440"/>
        <w:gridCol w:w="1060"/>
        <w:gridCol w:w="1420"/>
        <w:gridCol w:w="1340"/>
        <w:gridCol w:w="920"/>
      </w:tblGrid>
      <w:tr w14:paraId="20C9D33A">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E1B7D9">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序号</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D20AA36">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设备名称</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6CEFE58">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规格型号</w:t>
            </w: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018B530F">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数量</w:t>
            </w: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8D6E61A">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设备能力</w:t>
            </w: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5B01EDAD">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进场时间</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3D953D4">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备注</w:t>
            </w:r>
          </w:p>
        </w:tc>
      </w:tr>
      <w:tr w14:paraId="26B687D4">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4FDCFC">
            <w:pPr>
              <w:widowControl/>
              <w:jc w:val="center"/>
              <w:rPr>
                <w:rFonts w:hint="eastAsia" w:ascii="宋体" w:hAnsi="宋体" w:eastAsia="宋体"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255ABC4">
            <w:pPr>
              <w:widowControl/>
              <w:jc w:val="center"/>
              <w:rPr>
                <w:rFonts w:hint="eastAsia" w:ascii="宋体" w:hAnsi="宋体" w:eastAsia="宋体"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058CFF1">
            <w:pPr>
              <w:widowControl/>
              <w:jc w:val="center"/>
              <w:rPr>
                <w:rFonts w:hint="eastAsia" w:ascii="宋体" w:hAnsi="宋体" w:eastAsia="宋体"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64BBE765">
            <w:pPr>
              <w:widowControl/>
              <w:jc w:val="center"/>
              <w:rPr>
                <w:rFonts w:hint="eastAsia" w:ascii="宋体" w:hAnsi="宋体" w:eastAsia="宋体"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4D221D0F">
            <w:pPr>
              <w:widowControl/>
              <w:jc w:val="center"/>
              <w:rPr>
                <w:rFonts w:hint="eastAsia" w:ascii="宋体" w:hAnsi="宋体" w:eastAsia="宋体"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5476C5AB">
            <w:pPr>
              <w:widowControl/>
              <w:jc w:val="center"/>
              <w:rPr>
                <w:rFonts w:hint="eastAsia" w:ascii="宋体" w:hAnsi="宋体" w:eastAsia="宋体"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5D49EE10">
            <w:pPr>
              <w:widowControl/>
              <w:jc w:val="center"/>
              <w:rPr>
                <w:rFonts w:hint="eastAsia" w:ascii="宋体" w:hAnsi="宋体" w:eastAsia="宋体" w:cs="宋体"/>
                <w:color w:val="auto"/>
                <w:kern w:val="0"/>
                <w:sz w:val="22"/>
                <w:szCs w:val="22"/>
                <w:highlight w:val="none"/>
              </w:rPr>
            </w:pPr>
          </w:p>
        </w:tc>
      </w:tr>
      <w:tr w14:paraId="7C5138C9">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58EF24">
            <w:pPr>
              <w:widowControl/>
              <w:jc w:val="center"/>
              <w:rPr>
                <w:rFonts w:hint="eastAsia" w:ascii="宋体" w:hAnsi="宋体" w:eastAsia="宋体"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1600D27">
            <w:pPr>
              <w:widowControl/>
              <w:jc w:val="center"/>
              <w:rPr>
                <w:rFonts w:hint="eastAsia" w:ascii="宋体" w:hAnsi="宋体" w:eastAsia="宋体"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35EA2A4C">
            <w:pPr>
              <w:widowControl/>
              <w:jc w:val="center"/>
              <w:rPr>
                <w:rFonts w:hint="eastAsia" w:ascii="宋体" w:hAnsi="宋体" w:eastAsia="宋体"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89753FC">
            <w:pPr>
              <w:widowControl/>
              <w:jc w:val="center"/>
              <w:rPr>
                <w:rFonts w:hint="eastAsia" w:ascii="宋体" w:hAnsi="宋体" w:eastAsia="宋体"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5989863">
            <w:pPr>
              <w:widowControl/>
              <w:jc w:val="center"/>
              <w:rPr>
                <w:rFonts w:hint="eastAsia" w:ascii="宋体" w:hAnsi="宋体" w:eastAsia="宋体"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1EBDCCA3">
            <w:pPr>
              <w:widowControl/>
              <w:jc w:val="center"/>
              <w:rPr>
                <w:rFonts w:hint="eastAsia" w:ascii="宋体" w:hAnsi="宋体" w:eastAsia="宋体"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78433B0">
            <w:pPr>
              <w:widowControl/>
              <w:jc w:val="center"/>
              <w:rPr>
                <w:rFonts w:hint="eastAsia" w:ascii="宋体" w:hAnsi="宋体" w:eastAsia="宋体" w:cs="宋体"/>
                <w:color w:val="auto"/>
                <w:kern w:val="0"/>
                <w:sz w:val="22"/>
                <w:szCs w:val="22"/>
                <w:highlight w:val="none"/>
              </w:rPr>
            </w:pPr>
          </w:p>
        </w:tc>
      </w:tr>
      <w:tr w14:paraId="507EC2C9">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D2960F">
            <w:pPr>
              <w:widowControl/>
              <w:jc w:val="center"/>
              <w:rPr>
                <w:rFonts w:hint="eastAsia" w:ascii="宋体" w:hAnsi="宋体" w:eastAsia="宋体"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04881E7">
            <w:pPr>
              <w:widowControl/>
              <w:jc w:val="center"/>
              <w:rPr>
                <w:rFonts w:hint="eastAsia" w:ascii="宋体" w:hAnsi="宋体" w:eastAsia="宋体"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99E4706">
            <w:pPr>
              <w:widowControl/>
              <w:jc w:val="center"/>
              <w:rPr>
                <w:rFonts w:hint="eastAsia" w:ascii="宋体" w:hAnsi="宋体" w:eastAsia="宋体"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76767C98">
            <w:pPr>
              <w:widowControl/>
              <w:jc w:val="center"/>
              <w:rPr>
                <w:rFonts w:hint="eastAsia" w:ascii="宋体" w:hAnsi="宋体" w:eastAsia="宋体"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C654FD7">
            <w:pPr>
              <w:widowControl/>
              <w:jc w:val="center"/>
              <w:rPr>
                <w:rFonts w:hint="eastAsia" w:ascii="宋体" w:hAnsi="宋体" w:eastAsia="宋体"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6324CF0C">
            <w:pPr>
              <w:widowControl/>
              <w:jc w:val="center"/>
              <w:rPr>
                <w:rFonts w:hint="eastAsia" w:ascii="宋体" w:hAnsi="宋体" w:eastAsia="宋体"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11EF4E8">
            <w:pPr>
              <w:widowControl/>
              <w:jc w:val="center"/>
              <w:rPr>
                <w:rFonts w:hint="eastAsia" w:ascii="宋体" w:hAnsi="宋体" w:eastAsia="宋体" w:cs="宋体"/>
                <w:color w:val="auto"/>
                <w:kern w:val="0"/>
                <w:sz w:val="22"/>
                <w:szCs w:val="22"/>
                <w:highlight w:val="none"/>
              </w:rPr>
            </w:pPr>
          </w:p>
        </w:tc>
      </w:tr>
      <w:tr w14:paraId="7453F947">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0E2E35">
            <w:pPr>
              <w:widowControl/>
              <w:jc w:val="center"/>
              <w:rPr>
                <w:rFonts w:hint="eastAsia" w:ascii="宋体" w:hAnsi="宋体" w:eastAsia="宋体"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684B59E">
            <w:pPr>
              <w:widowControl/>
              <w:jc w:val="center"/>
              <w:rPr>
                <w:rFonts w:hint="eastAsia" w:ascii="宋体" w:hAnsi="宋体" w:eastAsia="宋体"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8D7BAF8">
            <w:pPr>
              <w:widowControl/>
              <w:jc w:val="center"/>
              <w:rPr>
                <w:rFonts w:hint="eastAsia" w:ascii="宋体" w:hAnsi="宋体" w:eastAsia="宋体"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7FE5F073">
            <w:pPr>
              <w:widowControl/>
              <w:jc w:val="center"/>
              <w:rPr>
                <w:rFonts w:hint="eastAsia" w:ascii="宋体" w:hAnsi="宋体" w:eastAsia="宋体"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4272C0A1">
            <w:pPr>
              <w:widowControl/>
              <w:jc w:val="center"/>
              <w:rPr>
                <w:rFonts w:hint="eastAsia" w:ascii="宋体" w:hAnsi="宋体" w:eastAsia="宋体"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606FABB">
            <w:pPr>
              <w:widowControl/>
              <w:jc w:val="center"/>
              <w:rPr>
                <w:rFonts w:hint="eastAsia" w:ascii="宋体" w:hAnsi="宋体" w:eastAsia="宋体"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4F0EE2D4">
            <w:pPr>
              <w:widowControl/>
              <w:jc w:val="center"/>
              <w:rPr>
                <w:rFonts w:hint="eastAsia" w:ascii="宋体" w:hAnsi="宋体" w:eastAsia="宋体" w:cs="宋体"/>
                <w:color w:val="auto"/>
                <w:kern w:val="0"/>
                <w:sz w:val="22"/>
                <w:szCs w:val="22"/>
                <w:highlight w:val="none"/>
              </w:rPr>
            </w:pPr>
          </w:p>
        </w:tc>
      </w:tr>
      <w:tr w14:paraId="06F9B26F">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0432A6">
            <w:pPr>
              <w:widowControl/>
              <w:jc w:val="center"/>
              <w:rPr>
                <w:rFonts w:hint="eastAsia" w:ascii="宋体" w:hAnsi="宋体" w:eastAsia="宋体"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2209721">
            <w:pPr>
              <w:widowControl/>
              <w:jc w:val="center"/>
              <w:rPr>
                <w:rFonts w:hint="eastAsia" w:ascii="宋体" w:hAnsi="宋体" w:eastAsia="宋体"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40597F8">
            <w:pPr>
              <w:widowControl/>
              <w:jc w:val="center"/>
              <w:rPr>
                <w:rFonts w:hint="eastAsia" w:ascii="宋体" w:hAnsi="宋体" w:eastAsia="宋体"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50326891">
            <w:pPr>
              <w:widowControl/>
              <w:jc w:val="center"/>
              <w:rPr>
                <w:rFonts w:hint="eastAsia" w:ascii="宋体" w:hAnsi="宋体" w:eastAsia="宋体"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2C819894">
            <w:pPr>
              <w:widowControl/>
              <w:jc w:val="center"/>
              <w:rPr>
                <w:rFonts w:hint="eastAsia" w:ascii="宋体" w:hAnsi="宋体" w:eastAsia="宋体"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55238AA1">
            <w:pPr>
              <w:widowControl/>
              <w:jc w:val="center"/>
              <w:rPr>
                <w:rFonts w:hint="eastAsia" w:ascii="宋体" w:hAnsi="宋体" w:eastAsia="宋体"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74CF8BC">
            <w:pPr>
              <w:widowControl/>
              <w:jc w:val="center"/>
              <w:rPr>
                <w:rFonts w:hint="eastAsia" w:ascii="宋体" w:hAnsi="宋体" w:eastAsia="宋体" w:cs="宋体"/>
                <w:color w:val="auto"/>
                <w:kern w:val="0"/>
                <w:sz w:val="22"/>
                <w:szCs w:val="22"/>
                <w:highlight w:val="none"/>
              </w:rPr>
            </w:pPr>
          </w:p>
        </w:tc>
      </w:tr>
      <w:tr w14:paraId="28A368DD">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6AC0B0">
            <w:pPr>
              <w:widowControl/>
              <w:jc w:val="center"/>
              <w:rPr>
                <w:rFonts w:hint="eastAsia" w:ascii="宋体" w:hAnsi="宋体" w:eastAsia="宋体"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1CAEB71">
            <w:pPr>
              <w:widowControl/>
              <w:jc w:val="center"/>
              <w:rPr>
                <w:rFonts w:hint="eastAsia" w:ascii="宋体" w:hAnsi="宋体" w:eastAsia="宋体"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EEC6EDB">
            <w:pPr>
              <w:widowControl/>
              <w:jc w:val="center"/>
              <w:rPr>
                <w:rFonts w:hint="eastAsia" w:ascii="宋体" w:hAnsi="宋体" w:eastAsia="宋体"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5699A8AB">
            <w:pPr>
              <w:widowControl/>
              <w:jc w:val="center"/>
              <w:rPr>
                <w:rFonts w:hint="eastAsia" w:ascii="宋体" w:hAnsi="宋体" w:eastAsia="宋体"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2C315B3F">
            <w:pPr>
              <w:widowControl/>
              <w:jc w:val="center"/>
              <w:rPr>
                <w:rFonts w:hint="eastAsia" w:ascii="宋体" w:hAnsi="宋体" w:eastAsia="宋体"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1FBA3574">
            <w:pPr>
              <w:widowControl/>
              <w:jc w:val="center"/>
              <w:rPr>
                <w:rFonts w:hint="eastAsia" w:ascii="宋体" w:hAnsi="宋体" w:eastAsia="宋体"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090F80D0">
            <w:pPr>
              <w:widowControl/>
              <w:jc w:val="center"/>
              <w:rPr>
                <w:rFonts w:hint="eastAsia" w:ascii="宋体" w:hAnsi="宋体" w:eastAsia="宋体" w:cs="宋体"/>
                <w:color w:val="auto"/>
                <w:kern w:val="0"/>
                <w:sz w:val="22"/>
                <w:szCs w:val="22"/>
                <w:highlight w:val="none"/>
              </w:rPr>
            </w:pPr>
          </w:p>
        </w:tc>
      </w:tr>
      <w:tr w14:paraId="45F88D9F">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66596C">
            <w:pPr>
              <w:widowControl/>
              <w:jc w:val="center"/>
              <w:rPr>
                <w:rFonts w:hint="eastAsia" w:ascii="宋体" w:hAnsi="宋体" w:eastAsia="宋体"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DDA2711">
            <w:pPr>
              <w:widowControl/>
              <w:jc w:val="center"/>
              <w:rPr>
                <w:rFonts w:hint="eastAsia" w:ascii="宋体" w:hAnsi="宋体" w:eastAsia="宋体"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A5182E5">
            <w:pPr>
              <w:widowControl/>
              <w:jc w:val="center"/>
              <w:rPr>
                <w:rFonts w:hint="eastAsia" w:ascii="宋体" w:hAnsi="宋体" w:eastAsia="宋体"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B171138">
            <w:pPr>
              <w:widowControl/>
              <w:jc w:val="center"/>
              <w:rPr>
                <w:rFonts w:hint="eastAsia" w:ascii="宋体" w:hAnsi="宋体" w:eastAsia="宋体"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5E9E479">
            <w:pPr>
              <w:widowControl/>
              <w:jc w:val="center"/>
              <w:rPr>
                <w:rFonts w:hint="eastAsia" w:ascii="宋体" w:hAnsi="宋体" w:eastAsia="宋体"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470B5307">
            <w:pPr>
              <w:widowControl/>
              <w:jc w:val="center"/>
              <w:rPr>
                <w:rFonts w:hint="eastAsia" w:ascii="宋体" w:hAnsi="宋体" w:eastAsia="宋体"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06BB36F">
            <w:pPr>
              <w:widowControl/>
              <w:jc w:val="center"/>
              <w:rPr>
                <w:rFonts w:hint="eastAsia" w:ascii="宋体" w:hAnsi="宋体" w:eastAsia="宋体" w:cs="宋体"/>
                <w:color w:val="auto"/>
                <w:kern w:val="0"/>
                <w:sz w:val="22"/>
                <w:szCs w:val="22"/>
                <w:highlight w:val="none"/>
              </w:rPr>
            </w:pPr>
          </w:p>
        </w:tc>
      </w:tr>
      <w:tr w14:paraId="59DACC0F">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57D5D4">
            <w:pPr>
              <w:widowControl/>
              <w:jc w:val="center"/>
              <w:rPr>
                <w:rFonts w:hint="eastAsia" w:ascii="宋体" w:hAnsi="宋体" w:eastAsia="宋体"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33D1CF0B">
            <w:pPr>
              <w:widowControl/>
              <w:jc w:val="center"/>
              <w:rPr>
                <w:rFonts w:hint="eastAsia" w:ascii="宋体" w:hAnsi="宋体" w:eastAsia="宋体"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57308FB9">
            <w:pPr>
              <w:widowControl/>
              <w:jc w:val="center"/>
              <w:rPr>
                <w:rFonts w:hint="eastAsia" w:ascii="宋体" w:hAnsi="宋体" w:eastAsia="宋体"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BDC7FC0">
            <w:pPr>
              <w:widowControl/>
              <w:jc w:val="center"/>
              <w:rPr>
                <w:rFonts w:hint="eastAsia" w:ascii="宋体" w:hAnsi="宋体" w:eastAsia="宋体"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D1C7124">
            <w:pPr>
              <w:widowControl/>
              <w:jc w:val="center"/>
              <w:rPr>
                <w:rFonts w:hint="eastAsia" w:ascii="宋体" w:hAnsi="宋体" w:eastAsia="宋体"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58C33320">
            <w:pPr>
              <w:widowControl/>
              <w:jc w:val="center"/>
              <w:rPr>
                <w:rFonts w:hint="eastAsia" w:ascii="宋体" w:hAnsi="宋体" w:eastAsia="宋体"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0FC38B2">
            <w:pPr>
              <w:widowControl/>
              <w:jc w:val="center"/>
              <w:rPr>
                <w:rFonts w:hint="eastAsia" w:ascii="宋体" w:hAnsi="宋体" w:eastAsia="宋体" w:cs="宋体"/>
                <w:color w:val="auto"/>
                <w:kern w:val="0"/>
                <w:sz w:val="22"/>
                <w:szCs w:val="22"/>
                <w:highlight w:val="none"/>
              </w:rPr>
            </w:pPr>
          </w:p>
        </w:tc>
      </w:tr>
      <w:tr w14:paraId="4E80359C">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1A55EF">
            <w:pPr>
              <w:widowControl/>
              <w:jc w:val="center"/>
              <w:rPr>
                <w:rFonts w:hint="eastAsia" w:ascii="宋体" w:hAnsi="宋体" w:eastAsia="宋体"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E851BDF">
            <w:pPr>
              <w:widowControl/>
              <w:jc w:val="center"/>
              <w:rPr>
                <w:rFonts w:hint="eastAsia" w:ascii="宋体" w:hAnsi="宋体" w:eastAsia="宋体"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6119315">
            <w:pPr>
              <w:widowControl/>
              <w:jc w:val="center"/>
              <w:rPr>
                <w:rFonts w:hint="eastAsia" w:ascii="宋体" w:hAnsi="宋体" w:eastAsia="宋体"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165F7D33">
            <w:pPr>
              <w:widowControl/>
              <w:jc w:val="center"/>
              <w:rPr>
                <w:rFonts w:hint="eastAsia" w:ascii="宋体" w:hAnsi="宋体" w:eastAsia="宋体"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A8F40BA">
            <w:pPr>
              <w:widowControl/>
              <w:jc w:val="center"/>
              <w:rPr>
                <w:rFonts w:hint="eastAsia" w:ascii="宋体" w:hAnsi="宋体" w:eastAsia="宋体"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3994573C">
            <w:pPr>
              <w:widowControl/>
              <w:jc w:val="center"/>
              <w:rPr>
                <w:rFonts w:hint="eastAsia" w:ascii="宋体" w:hAnsi="宋体" w:eastAsia="宋体"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41AA45BF">
            <w:pPr>
              <w:widowControl/>
              <w:jc w:val="center"/>
              <w:rPr>
                <w:rFonts w:hint="eastAsia" w:ascii="宋体" w:hAnsi="宋体" w:eastAsia="宋体" w:cs="宋体"/>
                <w:color w:val="auto"/>
                <w:kern w:val="0"/>
                <w:sz w:val="22"/>
                <w:szCs w:val="22"/>
                <w:highlight w:val="none"/>
              </w:rPr>
            </w:pPr>
          </w:p>
        </w:tc>
      </w:tr>
      <w:tr w14:paraId="257B44C4">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04AA52">
            <w:pPr>
              <w:widowControl/>
              <w:jc w:val="center"/>
              <w:rPr>
                <w:rFonts w:hint="eastAsia" w:ascii="宋体" w:hAnsi="宋体" w:eastAsia="宋体"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AE4E630">
            <w:pPr>
              <w:widowControl/>
              <w:jc w:val="center"/>
              <w:rPr>
                <w:rFonts w:hint="eastAsia" w:ascii="宋体" w:hAnsi="宋体" w:eastAsia="宋体"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107A69D">
            <w:pPr>
              <w:widowControl/>
              <w:jc w:val="center"/>
              <w:rPr>
                <w:rFonts w:hint="eastAsia" w:ascii="宋体" w:hAnsi="宋体" w:eastAsia="宋体"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7A8262F4">
            <w:pPr>
              <w:widowControl/>
              <w:jc w:val="center"/>
              <w:rPr>
                <w:rFonts w:hint="eastAsia" w:ascii="宋体" w:hAnsi="宋体" w:eastAsia="宋体"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B7A56AA">
            <w:pPr>
              <w:widowControl/>
              <w:jc w:val="center"/>
              <w:rPr>
                <w:rFonts w:hint="eastAsia" w:ascii="宋体" w:hAnsi="宋体" w:eastAsia="宋体"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4377372">
            <w:pPr>
              <w:widowControl/>
              <w:jc w:val="center"/>
              <w:rPr>
                <w:rFonts w:hint="eastAsia" w:ascii="宋体" w:hAnsi="宋体" w:eastAsia="宋体"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17087D5A">
            <w:pPr>
              <w:widowControl/>
              <w:jc w:val="center"/>
              <w:rPr>
                <w:rFonts w:hint="eastAsia" w:ascii="宋体" w:hAnsi="宋体" w:eastAsia="宋体" w:cs="宋体"/>
                <w:color w:val="auto"/>
                <w:kern w:val="0"/>
                <w:sz w:val="22"/>
                <w:szCs w:val="22"/>
                <w:highlight w:val="none"/>
              </w:rPr>
            </w:pPr>
          </w:p>
        </w:tc>
      </w:tr>
      <w:tr w14:paraId="6D72B3AC">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C1A77A">
            <w:pPr>
              <w:widowControl/>
              <w:jc w:val="center"/>
              <w:rPr>
                <w:rFonts w:hint="eastAsia" w:ascii="宋体" w:hAnsi="宋体" w:eastAsia="宋体"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5FA80343">
            <w:pPr>
              <w:widowControl/>
              <w:jc w:val="center"/>
              <w:rPr>
                <w:rFonts w:hint="eastAsia" w:ascii="宋体" w:hAnsi="宋体" w:eastAsia="宋体"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40434BC">
            <w:pPr>
              <w:widowControl/>
              <w:jc w:val="center"/>
              <w:rPr>
                <w:rFonts w:hint="eastAsia" w:ascii="宋体" w:hAnsi="宋体" w:eastAsia="宋体"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C49E452">
            <w:pPr>
              <w:widowControl/>
              <w:jc w:val="center"/>
              <w:rPr>
                <w:rFonts w:hint="eastAsia" w:ascii="宋体" w:hAnsi="宋体" w:eastAsia="宋体"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4169AFFB">
            <w:pPr>
              <w:widowControl/>
              <w:jc w:val="center"/>
              <w:rPr>
                <w:rFonts w:hint="eastAsia" w:ascii="宋体" w:hAnsi="宋体" w:eastAsia="宋体"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11A2824D">
            <w:pPr>
              <w:widowControl/>
              <w:jc w:val="center"/>
              <w:rPr>
                <w:rFonts w:hint="eastAsia" w:ascii="宋体" w:hAnsi="宋体" w:eastAsia="宋体"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3DF7792">
            <w:pPr>
              <w:widowControl/>
              <w:jc w:val="center"/>
              <w:rPr>
                <w:rFonts w:hint="eastAsia" w:ascii="宋体" w:hAnsi="宋体" w:eastAsia="宋体" w:cs="宋体"/>
                <w:color w:val="auto"/>
                <w:kern w:val="0"/>
                <w:sz w:val="22"/>
                <w:szCs w:val="22"/>
                <w:highlight w:val="none"/>
              </w:rPr>
            </w:pPr>
          </w:p>
        </w:tc>
      </w:tr>
      <w:tr w14:paraId="29659F5C">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763867">
            <w:pPr>
              <w:widowControl/>
              <w:jc w:val="center"/>
              <w:rPr>
                <w:rFonts w:hint="eastAsia" w:ascii="宋体" w:hAnsi="宋体" w:eastAsia="宋体"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CE003D4">
            <w:pPr>
              <w:widowControl/>
              <w:jc w:val="center"/>
              <w:rPr>
                <w:rFonts w:hint="eastAsia" w:ascii="宋体" w:hAnsi="宋体" w:eastAsia="宋体"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31E8683E">
            <w:pPr>
              <w:widowControl/>
              <w:jc w:val="center"/>
              <w:rPr>
                <w:rFonts w:hint="eastAsia" w:ascii="宋体" w:hAnsi="宋体" w:eastAsia="宋体"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642BAD80">
            <w:pPr>
              <w:widowControl/>
              <w:jc w:val="center"/>
              <w:rPr>
                <w:rFonts w:hint="eastAsia" w:ascii="宋体" w:hAnsi="宋体" w:eastAsia="宋体"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6CACF14">
            <w:pPr>
              <w:widowControl/>
              <w:jc w:val="center"/>
              <w:rPr>
                <w:rFonts w:hint="eastAsia" w:ascii="宋体" w:hAnsi="宋体" w:eastAsia="宋体"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CC921BC">
            <w:pPr>
              <w:widowControl/>
              <w:jc w:val="center"/>
              <w:rPr>
                <w:rFonts w:hint="eastAsia" w:ascii="宋体" w:hAnsi="宋体" w:eastAsia="宋体"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10C88005">
            <w:pPr>
              <w:widowControl/>
              <w:jc w:val="center"/>
              <w:rPr>
                <w:rFonts w:hint="eastAsia" w:ascii="宋体" w:hAnsi="宋体" w:eastAsia="宋体" w:cs="宋体"/>
                <w:color w:val="auto"/>
                <w:kern w:val="0"/>
                <w:sz w:val="22"/>
                <w:szCs w:val="22"/>
                <w:highlight w:val="none"/>
              </w:rPr>
            </w:pPr>
          </w:p>
        </w:tc>
      </w:tr>
    </w:tbl>
    <w:p w14:paraId="7BB70879">
      <w:pPr>
        <w:spacing w:line="320" w:lineRule="exact"/>
        <w:ind w:left="420"/>
        <w:rPr>
          <w:rFonts w:hint="eastAsia" w:ascii="宋体" w:hAnsi="宋体" w:eastAsia="宋体" w:cs="宋体"/>
          <w:color w:val="auto"/>
          <w:sz w:val="24"/>
          <w:highlight w:val="none"/>
        </w:rPr>
      </w:pPr>
    </w:p>
    <w:p w14:paraId="6C586225">
      <w:pPr>
        <w:keepNext w:val="0"/>
        <w:keepLines w:val="0"/>
        <w:pageBreakBefore w:val="0"/>
        <w:tabs>
          <w:tab w:val="left" w:pos="4860"/>
        </w:tabs>
        <w:kinsoku/>
        <w:wordWrap/>
        <w:overflowPunct/>
        <w:topLinePunct w:val="0"/>
        <w:autoSpaceDE/>
        <w:autoSpaceDN/>
        <w:bidi w:val="0"/>
        <w:adjustRightInd/>
        <w:snapToGrid/>
        <w:spacing w:line="360" w:lineRule="auto"/>
        <w:ind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供应商全称（公章）：</w:t>
      </w:r>
    </w:p>
    <w:p w14:paraId="3EEE31F3">
      <w:pPr>
        <w:keepNext w:val="0"/>
        <w:keepLines w:val="0"/>
        <w:pageBreakBefore w:val="0"/>
        <w:tabs>
          <w:tab w:val="left" w:pos="4860"/>
        </w:tabs>
        <w:kinsoku/>
        <w:wordWrap/>
        <w:overflowPunct/>
        <w:topLinePunct w:val="0"/>
        <w:autoSpaceDE/>
        <w:autoSpaceDN/>
        <w:bidi w:val="0"/>
        <w:adjustRightInd/>
        <w:snapToGrid/>
        <w:spacing w:line="360" w:lineRule="auto"/>
        <w:ind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法定代表人或授权委托人</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lang w:val="zh-CN" w:eastAsia="zh-CN"/>
        </w:rPr>
        <w:t>：</w:t>
      </w:r>
    </w:p>
    <w:p w14:paraId="523F3950">
      <w:pPr>
        <w:keepNext w:val="0"/>
        <w:keepLines w:val="0"/>
        <w:pageBreakBefore w:val="0"/>
        <w:tabs>
          <w:tab w:val="left" w:pos="4860"/>
        </w:tabs>
        <w:kinsoku/>
        <w:wordWrap/>
        <w:overflowPunct/>
        <w:topLinePunct w:val="0"/>
        <w:autoSpaceDE/>
        <w:autoSpaceDN/>
        <w:bidi w:val="0"/>
        <w:adjustRightInd/>
        <w:snapToGrid/>
        <w:spacing w:line="360" w:lineRule="auto"/>
        <w:ind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职        务：</w:t>
      </w:r>
    </w:p>
    <w:p w14:paraId="2F03695A">
      <w:pPr>
        <w:keepNext w:val="0"/>
        <w:keepLines w:val="0"/>
        <w:pageBreakBefore w:val="0"/>
        <w:tabs>
          <w:tab w:val="left" w:pos="4860"/>
        </w:tabs>
        <w:kinsoku/>
        <w:wordWrap/>
        <w:overflowPunct/>
        <w:topLinePunct w:val="0"/>
        <w:autoSpaceDE/>
        <w:autoSpaceDN/>
        <w:bidi w:val="0"/>
        <w:adjustRightInd/>
        <w:snapToGrid/>
        <w:spacing w:line="360" w:lineRule="auto"/>
        <w:ind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        期：</w:t>
      </w:r>
    </w:p>
    <w:p w14:paraId="56B9E010">
      <w:pPr>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br w:type="page"/>
      </w: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1</w:t>
      </w:r>
    </w:p>
    <w:p w14:paraId="6CCA6ED0">
      <w:pPr>
        <w:pStyle w:val="68"/>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类似项目实施情况一览表</w:t>
      </w:r>
    </w:p>
    <w:p w14:paraId="01670717">
      <w:pPr>
        <w:pStyle w:val="68"/>
        <w:spacing w:line="360" w:lineRule="auto"/>
        <w:jc w:val="center"/>
        <w:rPr>
          <w:rFonts w:hint="eastAsia" w:ascii="宋体" w:hAnsi="宋体" w:eastAsia="宋体" w:cs="宋体"/>
          <w:b/>
          <w:color w:val="auto"/>
          <w:sz w:val="28"/>
          <w:szCs w:val="28"/>
          <w:highlight w:val="none"/>
        </w:rPr>
      </w:pPr>
    </w:p>
    <w:tbl>
      <w:tblPr>
        <w:tblStyle w:val="38"/>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2B4AC3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05B1C510">
            <w:pPr>
              <w:pStyle w:val="68"/>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16EEC697">
            <w:pPr>
              <w:pStyle w:val="68"/>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6F70E2C6">
            <w:pPr>
              <w:pStyle w:val="68"/>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5C42F16F">
            <w:pPr>
              <w:pStyle w:val="68"/>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3FB221EC">
            <w:pPr>
              <w:pStyle w:val="68"/>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1576AA8C">
            <w:pPr>
              <w:pStyle w:val="68"/>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7B9092C4">
            <w:pPr>
              <w:pStyle w:val="68"/>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项目单位名称及其联系人电话</w:t>
            </w:r>
          </w:p>
        </w:tc>
      </w:tr>
      <w:tr w14:paraId="704FA8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4EDC85B5">
            <w:pPr>
              <w:pStyle w:val="68"/>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14:paraId="3F6CD350">
            <w:pPr>
              <w:pStyle w:val="68"/>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078CEB01">
            <w:pPr>
              <w:pStyle w:val="68"/>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CE52855">
            <w:pPr>
              <w:pStyle w:val="68"/>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155E1512">
            <w:pPr>
              <w:pStyle w:val="68"/>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6AF2D3BF">
            <w:pPr>
              <w:pStyle w:val="68"/>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02ACCC2D">
            <w:pPr>
              <w:pStyle w:val="68"/>
              <w:spacing w:line="360" w:lineRule="auto"/>
              <w:rPr>
                <w:rFonts w:hint="eastAsia" w:ascii="宋体" w:hAnsi="宋体" w:eastAsia="宋体" w:cs="宋体"/>
                <w:color w:val="auto"/>
                <w:sz w:val="24"/>
                <w:highlight w:val="none"/>
              </w:rPr>
            </w:pPr>
          </w:p>
        </w:tc>
      </w:tr>
      <w:tr w14:paraId="03260F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58D8568C">
            <w:pPr>
              <w:pStyle w:val="68"/>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14:paraId="17FA7A8A">
            <w:pPr>
              <w:pStyle w:val="68"/>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40D0BE93">
            <w:pPr>
              <w:pStyle w:val="68"/>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6DBB8B6">
            <w:pPr>
              <w:pStyle w:val="68"/>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433AA945">
            <w:pPr>
              <w:pStyle w:val="68"/>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5102C2C1">
            <w:pPr>
              <w:pStyle w:val="68"/>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46F52F1B">
            <w:pPr>
              <w:pStyle w:val="68"/>
              <w:spacing w:line="360" w:lineRule="auto"/>
              <w:rPr>
                <w:rFonts w:hint="eastAsia" w:ascii="宋体" w:hAnsi="宋体" w:eastAsia="宋体" w:cs="宋体"/>
                <w:color w:val="auto"/>
                <w:sz w:val="24"/>
                <w:highlight w:val="none"/>
              </w:rPr>
            </w:pPr>
          </w:p>
        </w:tc>
      </w:tr>
      <w:tr w14:paraId="40EFF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3664D29D">
            <w:pPr>
              <w:pStyle w:val="68"/>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14:paraId="27DE5AD5">
            <w:pPr>
              <w:pStyle w:val="68"/>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785B8762">
            <w:pPr>
              <w:pStyle w:val="68"/>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4A29FC4">
            <w:pPr>
              <w:pStyle w:val="68"/>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6FFD89EC">
            <w:pPr>
              <w:pStyle w:val="68"/>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7DDB52A3">
            <w:pPr>
              <w:pStyle w:val="68"/>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0D39FBC6">
            <w:pPr>
              <w:pStyle w:val="68"/>
              <w:spacing w:line="360" w:lineRule="auto"/>
              <w:rPr>
                <w:rFonts w:hint="eastAsia" w:ascii="宋体" w:hAnsi="宋体" w:eastAsia="宋体" w:cs="宋体"/>
                <w:color w:val="auto"/>
                <w:sz w:val="24"/>
                <w:highlight w:val="none"/>
              </w:rPr>
            </w:pPr>
          </w:p>
        </w:tc>
      </w:tr>
      <w:tr w14:paraId="4995E8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7E3A979">
            <w:pPr>
              <w:pStyle w:val="68"/>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14:paraId="5BD5F1C4">
            <w:pPr>
              <w:pStyle w:val="68"/>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45D353F1">
            <w:pPr>
              <w:pStyle w:val="68"/>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6CE4A22">
            <w:pPr>
              <w:pStyle w:val="68"/>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3018B4D6">
            <w:pPr>
              <w:pStyle w:val="68"/>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52B7AA8F">
            <w:pPr>
              <w:pStyle w:val="68"/>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77D27B4B">
            <w:pPr>
              <w:pStyle w:val="68"/>
              <w:spacing w:line="360" w:lineRule="auto"/>
              <w:rPr>
                <w:rFonts w:hint="eastAsia" w:ascii="宋体" w:hAnsi="宋体" w:eastAsia="宋体" w:cs="宋体"/>
                <w:color w:val="auto"/>
                <w:sz w:val="24"/>
                <w:highlight w:val="none"/>
              </w:rPr>
            </w:pPr>
          </w:p>
        </w:tc>
      </w:tr>
      <w:tr w14:paraId="6E3E01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4739C79">
            <w:pPr>
              <w:pStyle w:val="68"/>
              <w:spacing w:line="360" w:lineRule="auto"/>
              <w:rPr>
                <w:rFonts w:hint="eastAsia" w:ascii="宋体" w:hAnsi="宋体" w:eastAsia="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70F69721">
            <w:pPr>
              <w:pStyle w:val="68"/>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0CCF785F">
            <w:pPr>
              <w:pStyle w:val="68"/>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992A6B4">
            <w:pPr>
              <w:pStyle w:val="68"/>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50A2BBCE">
            <w:pPr>
              <w:pStyle w:val="68"/>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53978197">
            <w:pPr>
              <w:pStyle w:val="68"/>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0352EF80">
            <w:pPr>
              <w:pStyle w:val="68"/>
              <w:spacing w:line="360" w:lineRule="auto"/>
              <w:rPr>
                <w:rFonts w:hint="eastAsia" w:ascii="宋体" w:hAnsi="宋体" w:eastAsia="宋体" w:cs="宋体"/>
                <w:color w:val="auto"/>
                <w:sz w:val="24"/>
                <w:highlight w:val="none"/>
              </w:rPr>
            </w:pPr>
          </w:p>
        </w:tc>
      </w:tr>
      <w:tr w14:paraId="40289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35CB9985">
            <w:pPr>
              <w:pStyle w:val="68"/>
              <w:spacing w:line="360" w:lineRule="auto"/>
              <w:rPr>
                <w:rFonts w:hint="eastAsia" w:ascii="宋体" w:hAnsi="宋体" w:eastAsia="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3C991BC2">
            <w:pPr>
              <w:pStyle w:val="68"/>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68531924">
            <w:pPr>
              <w:pStyle w:val="68"/>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D7E507D">
            <w:pPr>
              <w:pStyle w:val="68"/>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6100A4E6">
            <w:pPr>
              <w:pStyle w:val="68"/>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1687A535">
            <w:pPr>
              <w:pStyle w:val="68"/>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31FFFA6F">
            <w:pPr>
              <w:pStyle w:val="68"/>
              <w:spacing w:line="360" w:lineRule="auto"/>
              <w:rPr>
                <w:rFonts w:hint="eastAsia" w:ascii="宋体" w:hAnsi="宋体" w:eastAsia="宋体" w:cs="宋体"/>
                <w:color w:val="auto"/>
                <w:sz w:val="24"/>
                <w:highlight w:val="none"/>
              </w:rPr>
            </w:pPr>
          </w:p>
        </w:tc>
      </w:tr>
      <w:tr w14:paraId="7A10D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C6A4F2A">
            <w:pPr>
              <w:pStyle w:val="68"/>
              <w:spacing w:line="360" w:lineRule="auto"/>
              <w:rPr>
                <w:rFonts w:hint="eastAsia" w:ascii="宋体" w:hAnsi="宋体" w:eastAsia="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5098A142">
            <w:pPr>
              <w:pStyle w:val="68"/>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15FAED7A">
            <w:pPr>
              <w:pStyle w:val="68"/>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C868F8D">
            <w:pPr>
              <w:pStyle w:val="68"/>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4F8C2FF1">
            <w:pPr>
              <w:pStyle w:val="68"/>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37193F28">
            <w:pPr>
              <w:pStyle w:val="68"/>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43E3B6B0">
            <w:pPr>
              <w:pStyle w:val="68"/>
              <w:spacing w:line="360" w:lineRule="auto"/>
              <w:rPr>
                <w:rFonts w:hint="eastAsia" w:ascii="宋体" w:hAnsi="宋体" w:eastAsia="宋体" w:cs="宋体"/>
                <w:color w:val="auto"/>
                <w:sz w:val="24"/>
                <w:highlight w:val="none"/>
              </w:rPr>
            </w:pPr>
          </w:p>
        </w:tc>
      </w:tr>
    </w:tbl>
    <w:p w14:paraId="75CC0287">
      <w:pPr>
        <w:autoSpaceDE w:val="0"/>
        <w:autoSpaceDN w:val="0"/>
        <w:adjustRightInd w:val="0"/>
        <w:spacing w:beforeLines="50"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283BE708">
      <w:pPr>
        <w:autoSpaceDE w:val="0"/>
        <w:autoSpaceDN w:val="0"/>
        <w:adjustRightInd w:val="0"/>
        <w:spacing w:beforeLines="50" w:line="360" w:lineRule="auto"/>
        <w:ind w:firstLine="424" w:firstLineChars="202"/>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1.业绩证明应提供证明材料（合同</w:t>
      </w:r>
      <w:r>
        <w:rPr>
          <w:rFonts w:hint="eastAsia" w:ascii="宋体" w:hAnsi="宋体" w:eastAsia="宋体" w:cs="宋体"/>
          <w:color w:val="auto"/>
          <w:szCs w:val="21"/>
          <w:highlight w:val="none"/>
          <w:lang w:eastAsia="zh-CN"/>
        </w:rPr>
        <w:t>复印</w:t>
      </w:r>
      <w:r>
        <w:rPr>
          <w:rFonts w:hint="eastAsia" w:ascii="宋体" w:hAnsi="宋体" w:eastAsia="宋体" w:cs="宋体"/>
          <w:color w:val="auto"/>
          <w:szCs w:val="21"/>
          <w:highlight w:val="none"/>
        </w:rPr>
        <w:t>件可只提供首页、含金额页、盖章页并加盖</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公章）；</w:t>
      </w:r>
    </w:p>
    <w:p w14:paraId="55681F04">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2.报价供应商可按此表格式复制。</w:t>
      </w:r>
    </w:p>
    <w:p w14:paraId="6EFD193E">
      <w:pPr>
        <w:spacing w:line="360" w:lineRule="auto"/>
        <w:rPr>
          <w:rFonts w:hint="eastAsia" w:ascii="宋体" w:hAnsi="宋体" w:eastAsia="宋体" w:cs="宋体"/>
          <w:color w:val="auto"/>
          <w:sz w:val="22"/>
          <w:szCs w:val="22"/>
          <w:highlight w:val="none"/>
        </w:rPr>
      </w:pPr>
    </w:p>
    <w:p w14:paraId="5F31901E">
      <w:pPr>
        <w:spacing w:line="360" w:lineRule="auto"/>
        <w:rPr>
          <w:rFonts w:hint="eastAsia" w:ascii="宋体" w:hAnsi="宋体" w:eastAsia="宋体" w:cs="宋体"/>
          <w:color w:val="auto"/>
          <w:sz w:val="22"/>
          <w:szCs w:val="22"/>
          <w:highlight w:val="none"/>
        </w:rPr>
      </w:pPr>
    </w:p>
    <w:p w14:paraId="4E52DDF4">
      <w:pPr>
        <w:keepNext w:val="0"/>
        <w:keepLines w:val="0"/>
        <w:pageBreakBefore w:val="0"/>
        <w:tabs>
          <w:tab w:val="left" w:pos="4860"/>
        </w:tabs>
        <w:kinsoku/>
        <w:wordWrap/>
        <w:overflowPunct/>
        <w:topLinePunct w:val="0"/>
        <w:autoSpaceDE/>
        <w:autoSpaceDN/>
        <w:bidi w:val="0"/>
        <w:adjustRightInd/>
        <w:snapToGrid/>
        <w:spacing w:line="360" w:lineRule="auto"/>
        <w:ind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供应商全称（公章）：</w:t>
      </w:r>
    </w:p>
    <w:p w14:paraId="1C42B727">
      <w:pPr>
        <w:keepNext w:val="0"/>
        <w:keepLines w:val="0"/>
        <w:pageBreakBefore w:val="0"/>
        <w:tabs>
          <w:tab w:val="left" w:pos="4860"/>
        </w:tabs>
        <w:kinsoku/>
        <w:wordWrap/>
        <w:overflowPunct/>
        <w:topLinePunct w:val="0"/>
        <w:autoSpaceDE/>
        <w:autoSpaceDN/>
        <w:bidi w:val="0"/>
        <w:adjustRightInd/>
        <w:snapToGrid/>
        <w:spacing w:line="360" w:lineRule="auto"/>
        <w:ind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法定代表人或授权委托人</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lang w:val="zh-CN" w:eastAsia="zh-CN"/>
        </w:rPr>
        <w:t>：</w:t>
      </w:r>
    </w:p>
    <w:p w14:paraId="2C2459BB">
      <w:pPr>
        <w:keepNext w:val="0"/>
        <w:keepLines w:val="0"/>
        <w:pageBreakBefore w:val="0"/>
        <w:tabs>
          <w:tab w:val="left" w:pos="4860"/>
        </w:tabs>
        <w:kinsoku/>
        <w:wordWrap/>
        <w:overflowPunct/>
        <w:topLinePunct w:val="0"/>
        <w:autoSpaceDE/>
        <w:autoSpaceDN/>
        <w:bidi w:val="0"/>
        <w:adjustRightInd/>
        <w:snapToGrid/>
        <w:spacing w:line="360" w:lineRule="auto"/>
        <w:ind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职        务：</w:t>
      </w:r>
    </w:p>
    <w:p w14:paraId="2C3F7ACF">
      <w:pPr>
        <w:keepNext w:val="0"/>
        <w:keepLines w:val="0"/>
        <w:pageBreakBefore w:val="0"/>
        <w:tabs>
          <w:tab w:val="left" w:pos="4860"/>
        </w:tabs>
        <w:kinsoku/>
        <w:wordWrap/>
        <w:overflowPunct/>
        <w:topLinePunct w:val="0"/>
        <w:autoSpaceDE/>
        <w:autoSpaceDN/>
        <w:bidi w:val="0"/>
        <w:adjustRightInd/>
        <w:snapToGrid/>
        <w:spacing w:line="360" w:lineRule="auto"/>
        <w:ind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        期：</w:t>
      </w:r>
    </w:p>
    <w:p w14:paraId="5140E535">
      <w:pPr>
        <w:rPr>
          <w:rFonts w:hint="eastAsia" w:ascii="宋体" w:hAnsi="宋体" w:eastAsia="宋体" w:cs="宋体"/>
          <w:b/>
          <w:color w:val="auto"/>
          <w:sz w:val="28"/>
          <w:highlight w:val="none"/>
        </w:rPr>
      </w:pPr>
    </w:p>
    <w:p w14:paraId="65D4AB90">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1D760982">
      <w:pPr>
        <w:spacing w:line="360" w:lineRule="auto"/>
        <w:jc w:val="left"/>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12</w:t>
      </w:r>
    </w:p>
    <w:p w14:paraId="428EC629">
      <w:pPr>
        <w:snapToGrid w:val="0"/>
        <w:spacing w:before="50" w:after="50" w:line="360" w:lineRule="auto"/>
        <w:rPr>
          <w:rFonts w:hint="eastAsia" w:ascii="宋体" w:hAnsi="宋体" w:eastAsia="宋体" w:cs="宋体"/>
          <w:b/>
          <w:color w:val="auto"/>
          <w:sz w:val="28"/>
          <w:highlight w:val="none"/>
        </w:rPr>
      </w:pPr>
    </w:p>
    <w:p w14:paraId="19A5EC8C">
      <w:pPr>
        <w:pStyle w:val="21"/>
        <w:adjustRightInd w:val="0"/>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商务及技术需求响应表</w:t>
      </w:r>
    </w:p>
    <w:p w14:paraId="2FD82A19">
      <w:pPr>
        <w:pStyle w:val="21"/>
        <w:adjustRightInd w:val="0"/>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项目名称及编号：</w:t>
      </w:r>
    </w:p>
    <w:tbl>
      <w:tblPr>
        <w:tblStyle w:val="38"/>
        <w:tblW w:w="8739" w:type="dxa"/>
        <w:tblInd w:w="0" w:type="dxa"/>
        <w:tblLayout w:type="fixed"/>
        <w:tblCellMar>
          <w:top w:w="0" w:type="dxa"/>
          <w:left w:w="108" w:type="dxa"/>
          <w:bottom w:w="0" w:type="dxa"/>
          <w:right w:w="108" w:type="dxa"/>
        </w:tblCellMar>
      </w:tblPr>
      <w:tblGrid>
        <w:gridCol w:w="1195"/>
        <w:gridCol w:w="2171"/>
        <w:gridCol w:w="2001"/>
        <w:gridCol w:w="1971"/>
        <w:gridCol w:w="1401"/>
      </w:tblGrid>
      <w:tr w14:paraId="0C27D2DD">
        <w:tblPrEx>
          <w:tblCellMar>
            <w:top w:w="0" w:type="dxa"/>
            <w:left w:w="108" w:type="dxa"/>
            <w:bottom w:w="0" w:type="dxa"/>
            <w:right w:w="108" w:type="dxa"/>
          </w:tblCellMar>
        </w:tblPrEx>
        <w:trPr>
          <w:trHeight w:val="809" w:hRule="atLeast"/>
        </w:trPr>
        <w:tc>
          <w:tcPr>
            <w:tcW w:w="1195" w:type="dxa"/>
            <w:tcBorders>
              <w:top w:val="single" w:color="auto" w:sz="4" w:space="0"/>
              <w:left w:val="single" w:color="auto" w:sz="4" w:space="0"/>
              <w:bottom w:val="single" w:color="auto" w:sz="4" w:space="0"/>
              <w:right w:val="single" w:color="auto" w:sz="4" w:space="0"/>
            </w:tcBorders>
            <w:vAlign w:val="center"/>
          </w:tcPr>
          <w:p w14:paraId="5EDB5CC3">
            <w:pPr>
              <w:pStyle w:val="21"/>
              <w:adjustRightInd w:val="0"/>
              <w:snapToGrid w:val="0"/>
              <w:spacing w:line="360" w:lineRule="auto"/>
              <w:jc w:val="center"/>
              <w:rPr>
                <w:rFonts w:hint="eastAsia" w:ascii="宋体" w:hAnsi="宋体" w:eastAsia="宋体" w:cs="宋体"/>
                <w:bCs/>
                <w:color w:val="auto"/>
                <w:spacing w:val="10"/>
                <w:kern w:val="0"/>
                <w:sz w:val="24"/>
                <w:szCs w:val="22"/>
                <w:highlight w:val="none"/>
              </w:rPr>
            </w:pPr>
            <w:r>
              <w:rPr>
                <w:rFonts w:hint="eastAsia" w:ascii="宋体" w:hAnsi="宋体" w:eastAsia="宋体" w:cs="宋体"/>
                <w:bCs/>
                <w:color w:val="auto"/>
                <w:spacing w:val="10"/>
                <w:kern w:val="0"/>
                <w:sz w:val="24"/>
                <w:szCs w:val="22"/>
                <w:highlight w:val="none"/>
              </w:rPr>
              <w:t>类别</w:t>
            </w:r>
          </w:p>
        </w:tc>
        <w:tc>
          <w:tcPr>
            <w:tcW w:w="2171" w:type="dxa"/>
            <w:tcBorders>
              <w:top w:val="single" w:color="auto" w:sz="4" w:space="0"/>
              <w:left w:val="single" w:color="auto" w:sz="4" w:space="0"/>
              <w:bottom w:val="single" w:color="auto" w:sz="4" w:space="0"/>
              <w:right w:val="single" w:color="auto" w:sz="4" w:space="0"/>
            </w:tcBorders>
            <w:vAlign w:val="center"/>
          </w:tcPr>
          <w:p w14:paraId="14E28000">
            <w:pPr>
              <w:pStyle w:val="21"/>
              <w:adjustRightInd w:val="0"/>
              <w:snapToGrid w:val="0"/>
              <w:spacing w:line="360" w:lineRule="auto"/>
              <w:jc w:val="center"/>
              <w:rPr>
                <w:rFonts w:hint="eastAsia" w:ascii="宋体" w:hAnsi="宋体" w:eastAsia="宋体" w:cs="宋体"/>
                <w:bCs/>
                <w:color w:val="auto"/>
                <w:spacing w:val="10"/>
                <w:kern w:val="0"/>
                <w:sz w:val="24"/>
                <w:szCs w:val="22"/>
                <w:highlight w:val="none"/>
              </w:rPr>
            </w:pPr>
            <w:r>
              <w:rPr>
                <w:rFonts w:hint="eastAsia" w:ascii="宋体" w:hAnsi="宋体" w:eastAsia="宋体" w:cs="宋体"/>
                <w:bCs/>
                <w:color w:val="auto"/>
                <w:spacing w:val="10"/>
                <w:kern w:val="0"/>
                <w:sz w:val="24"/>
                <w:szCs w:val="22"/>
                <w:highlight w:val="none"/>
              </w:rPr>
              <w:t>内容</w:t>
            </w:r>
          </w:p>
        </w:tc>
        <w:tc>
          <w:tcPr>
            <w:tcW w:w="2001" w:type="dxa"/>
            <w:tcBorders>
              <w:top w:val="single" w:color="auto" w:sz="4" w:space="0"/>
              <w:left w:val="single" w:color="auto" w:sz="4" w:space="0"/>
              <w:bottom w:val="single" w:color="auto" w:sz="4" w:space="0"/>
              <w:right w:val="single" w:color="auto" w:sz="4" w:space="0"/>
            </w:tcBorders>
            <w:vAlign w:val="center"/>
          </w:tcPr>
          <w:p w14:paraId="105E37F6">
            <w:pPr>
              <w:pStyle w:val="21"/>
              <w:adjustRightInd w:val="0"/>
              <w:snapToGrid w:val="0"/>
              <w:spacing w:line="360" w:lineRule="auto"/>
              <w:jc w:val="center"/>
              <w:rPr>
                <w:rFonts w:hint="eastAsia" w:ascii="宋体" w:hAnsi="宋体" w:eastAsia="宋体" w:cs="宋体"/>
                <w:bCs/>
                <w:color w:val="auto"/>
                <w:spacing w:val="10"/>
                <w:kern w:val="0"/>
                <w:sz w:val="24"/>
                <w:szCs w:val="22"/>
                <w:highlight w:val="none"/>
              </w:rPr>
            </w:pPr>
            <w:r>
              <w:rPr>
                <w:rFonts w:hint="eastAsia" w:ascii="宋体" w:hAnsi="宋体" w:eastAsia="宋体" w:cs="宋体"/>
                <w:bCs/>
                <w:color w:val="auto"/>
                <w:spacing w:val="10"/>
                <w:kern w:val="0"/>
                <w:sz w:val="24"/>
                <w:szCs w:val="22"/>
                <w:highlight w:val="none"/>
                <w:lang w:val="en-US" w:eastAsia="zh-CN"/>
              </w:rPr>
              <w:t>磋商</w:t>
            </w:r>
            <w:r>
              <w:rPr>
                <w:rFonts w:hint="eastAsia" w:ascii="宋体" w:hAnsi="宋体" w:eastAsia="宋体" w:cs="宋体"/>
                <w:bCs/>
                <w:color w:val="auto"/>
                <w:spacing w:val="10"/>
                <w:kern w:val="0"/>
                <w:sz w:val="24"/>
                <w:szCs w:val="22"/>
                <w:highlight w:val="none"/>
              </w:rPr>
              <w:t>文件技术（或商务）要求</w:t>
            </w:r>
          </w:p>
        </w:tc>
        <w:tc>
          <w:tcPr>
            <w:tcW w:w="1971" w:type="dxa"/>
            <w:tcBorders>
              <w:top w:val="single" w:color="auto" w:sz="4" w:space="0"/>
              <w:left w:val="single" w:color="auto" w:sz="4" w:space="0"/>
              <w:bottom w:val="single" w:color="auto" w:sz="4" w:space="0"/>
              <w:right w:val="single" w:color="auto" w:sz="4" w:space="0"/>
            </w:tcBorders>
            <w:vAlign w:val="center"/>
          </w:tcPr>
          <w:p w14:paraId="135FE22A">
            <w:pPr>
              <w:pStyle w:val="21"/>
              <w:adjustRightInd w:val="0"/>
              <w:snapToGrid w:val="0"/>
              <w:spacing w:line="360" w:lineRule="auto"/>
              <w:jc w:val="center"/>
              <w:rPr>
                <w:rFonts w:hint="eastAsia" w:ascii="宋体" w:hAnsi="宋体" w:eastAsia="宋体" w:cs="宋体"/>
                <w:bCs/>
                <w:color w:val="auto"/>
                <w:spacing w:val="10"/>
                <w:kern w:val="0"/>
                <w:sz w:val="24"/>
                <w:szCs w:val="22"/>
                <w:highlight w:val="none"/>
              </w:rPr>
            </w:pPr>
            <w:r>
              <w:rPr>
                <w:rFonts w:hint="eastAsia" w:ascii="宋体" w:hAnsi="宋体" w:eastAsia="宋体" w:cs="宋体"/>
                <w:bCs/>
                <w:color w:val="auto"/>
                <w:spacing w:val="10"/>
                <w:kern w:val="0"/>
                <w:sz w:val="24"/>
                <w:szCs w:val="22"/>
                <w:highlight w:val="none"/>
                <w:lang w:val="en-US" w:eastAsia="zh-CN"/>
              </w:rPr>
              <w:t>磋商响应</w:t>
            </w:r>
            <w:r>
              <w:rPr>
                <w:rFonts w:hint="eastAsia" w:ascii="宋体" w:hAnsi="宋体" w:eastAsia="宋体" w:cs="宋体"/>
                <w:bCs/>
                <w:color w:val="auto"/>
                <w:spacing w:val="10"/>
                <w:kern w:val="0"/>
                <w:sz w:val="24"/>
                <w:szCs w:val="22"/>
                <w:highlight w:val="none"/>
              </w:rPr>
              <w:t>文件技术（或商务）响应</w:t>
            </w:r>
          </w:p>
        </w:tc>
        <w:tc>
          <w:tcPr>
            <w:tcW w:w="1401" w:type="dxa"/>
            <w:tcBorders>
              <w:top w:val="single" w:color="auto" w:sz="4" w:space="0"/>
              <w:left w:val="single" w:color="auto" w:sz="4" w:space="0"/>
              <w:bottom w:val="single" w:color="auto" w:sz="4" w:space="0"/>
              <w:right w:val="single" w:color="auto" w:sz="4" w:space="0"/>
            </w:tcBorders>
            <w:vAlign w:val="center"/>
          </w:tcPr>
          <w:p w14:paraId="3A074BA0">
            <w:pPr>
              <w:pStyle w:val="21"/>
              <w:adjustRightInd w:val="0"/>
              <w:snapToGrid w:val="0"/>
              <w:spacing w:line="360" w:lineRule="auto"/>
              <w:jc w:val="center"/>
              <w:rPr>
                <w:rFonts w:hint="eastAsia" w:ascii="宋体" w:hAnsi="宋体" w:eastAsia="宋体" w:cs="宋体"/>
                <w:bCs/>
                <w:color w:val="auto"/>
                <w:spacing w:val="10"/>
                <w:kern w:val="0"/>
                <w:sz w:val="24"/>
                <w:szCs w:val="22"/>
                <w:highlight w:val="none"/>
              </w:rPr>
            </w:pPr>
            <w:r>
              <w:rPr>
                <w:rFonts w:hint="eastAsia" w:ascii="宋体" w:hAnsi="宋体" w:eastAsia="宋体" w:cs="宋体"/>
                <w:bCs/>
                <w:color w:val="auto"/>
                <w:spacing w:val="10"/>
                <w:kern w:val="0"/>
                <w:sz w:val="24"/>
                <w:szCs w:val="22"/>
                <w:highlight w:val="none"/>
              </w:rPr>
              <w:t>偏离情况</w:t>
            </w:r>
          </w:p>
        </w:tc>
      </w:tr>
      <w:tr w14:paraId="7EC2C4C6">
        <w:tblPrEx>
          <w:tblCellMar>
            <w:top w:w="0" w:type="dxa"/>
            <w:left w:w="108" w:type="dxa"/>
            <w:bottom w:w="0" w:type="dxa"/>
            <w:right w:w="108" w:type="dxa"/>
          </w:tblCellMar>
        </w:tblPrEx>
        <w:trPr>
          <w:trHeight w:val="206" w:hRule="atLeast"/>
        </w:trPr>
        <w:tc>
          <w:tcPr>
            <w:tcW w:w="1195" w:type="dxa"/>
            <w:vMerge w:val="restart"/>
            <w:tcBorders>
              <w:top w:val="single" w:color="auto" w:sz="4" w:space="0"/>
              <w:left w:val="single" w:color="auto" w:sz="4" w:space="0"/>
              <w:right w:val="single" w:color="auto" w:sz="4" w:space="0"/>
            </w:tcBorders>
            <w:vAlign w:val="center"/>
          </w:tcPr>
          <w:p w14:paraId="54EE0475">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响应情况</w:t>
            </w:r>
          </w:p>
        </w:tc>
        <w:tc>
          <w:tcPr>
            <w:tcW w:w="2171" w:type="dxa"/>
            <w:tcBorders>
              <w:top w:val="single" w:color="auto" w:sz="4" w:space="0"/>
              <w:left w:val="single" w:color="auto" w:sz="4" w:space="0"/>
              <w:bottom w:val="single" w:color="auto" w:sz="4" w:space="0"/>
              <w:right w:val="single" w:color="auto" w:sz="4" w:space="0"/>
            </w:tcBorders>
            <w:vAlign w:val="center"/>
          </w:tcPr>
          <w:p w14:paraId="2505BE85">
            <w:pPr>
              <w:widowControl/>
              <w:jc w:val="center"/>
              <w:rPr>
                <w:rFonts w:hint="eastAsia" w:ascii="宋体" w:hAnsi="宋体" w:eastAsia="宋体" w:cs="宋体"/>
                <w:bCs/>
                <w:color w:val="auto"/>
                <w:spacing w:val="10"/>
                <w:kern w:val="0"/>
                <w:sz w:val="24"/>
                <w:szCs w:val="22"/>
                <w:highlight w:val="none"/>
                <w:lang w:eastAsia="zh-CN"/>
              </w:rPr>
            </w:pPr>
            <w:r>
              <w:rPr>
                <w:rFonts w:hint="eastAsia" w:ascii="宋体" w:hAnsi="宋体" w:eastAsia="宋体" w:cs="宋体"/>
                <w:bCs/>
                <w:color w:val="auto"/>
                <w:spacing w:val="10"/>
                <w:kern w:val="0"/>
                <w:sz w:val="24"/>
                <w:szCs w:val="22"/>
                <w:highlight w:val="none"/>
                <w:lang w:val="en-US" w:eastAsia="zh-CN"/>
              </w:rPr>
              <w:t>服务期</w:t>
            </w:r>
          </w:p>
        </w:tc>
        <w:tc>
          <w:tcPr>
            <w:tcW w:w="2001" w:type="dxa"/>
            <w:tcBorders>
              <w:top w:val="single" w:color="auto" w:sz="4" w:space="0"/>
              <w:left w:val="single" w:color="auto" w:sz="4" w:space="0"/>
              <w:bottom w:val="single" w:color="auto" w:sz="4" w:space="0"/>
              <w:right w:val="single" w:color="auto" w:sz="4" w:space="0"/>
            </w:tcBorders>
          </w:tcPr>
          <w:p w14:paraId="141FC2BB">
            <w:pPr>
              <w:pStyle w:val="21"/>
              <w:adjustRightInd w:val="0"/>
              <w:snapToGrid w:val="0"/>
              <w:spacing w:line="360" w:lineRule="auto"/>
              <w:jc w:val="center"/>
              <w:rPr>
                <w:rFonts w:hint="eastAsia" w:ascii="宋体" w:hAnsi="宋体" w:eastAsia="宋体" w:cs="宋体"/>
                <w:color w:val="auto"/>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14:paraId="5D504D00">
            <w:pPr>
              <w:pStyle w:val="21"/>
              <w:adjustRightInd w:val="0"/>
              <w:snapToGrid w:val="0"/>
              <w:spacing w:line="360" w:lineRule="auto"/>
              <w:jc w:val="center"/>
              <w:rPr>
                <w:rFonts w:hint="eastAsia" w:ascii="宋体" w:hAnsi="宋体" w:eastAsia="宋体" w:cs="宋体"/>
                <w:color w:val="auto"/>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14:paraId="41C58B50">
            <w:pPr>
              <w:pStyle w:val="21"/>
              <w:adjustRightInd w:val="0"/>
              <w:snapToGrid w:val="0"/>
              <w:spacing w:line="360" w:lineRule="auto"/>
              <w:jc w:val="center"/>
              <w:rPr>
                <w:rFonts w:hint="eastAsia" w:ascii="宋体" w:hAnsi="宋体" w:eastAsia="宋体" w:cs="宋体"/>
                <w:color w:val="auto"/>
                <w:spacing w:val="20"/>
                <w:sz w:val="24"/>
                <w:highlight w:val="none"/>
              </w:rPr>
            </w:pPr>
          </w:p>
        </w:tc>
      </w:tr>
      <w:tr w14:paraId="1EF8D280">
        <w:tblPrEx>
          <w:tblCellMar>
            <w:top w:w="0" w:type="dxa"/>
            <w:left w:w="108" w:type="dxa"/>
            <w:bottom w:w="0" w:type="dxa"/>
            <w:right w:w="108" w:type="dxa"/>
          </w:tblCellMar>
        </w:tblPrEx>
        <w:trPr>
          <w:trHeight w:val="624" w:hRule="atLeast"/>
        </w:trPr>
        <w:tc>
          <w:tcPr>
            <w:tcW w:w="1195" w:type="dxa"/>
            <w:vMerge w:val="continue"/>
            <w:tcBorders>
              <w:left w:val="single" w:color="auto" w:sz="4" w:space="0"/>
              <w:right w:val="single" w:color="auto" w:sz="4" w:space="0"/>
            </w:tcBorders>
            <w:vAlign w:val="center"/>
          </w:tcPr>
          <w:p w14:paraId="41841F90">
            <w:pPr>
              <w:widowControl/>
              <w:jc w:val="center"/>
              <w:rPr>
                <w:rFonts w:hint="eastAsia" w:ascii="宋体" w:hAnsi="宋体" w:eastAsia="宋体" w:cs="宋体"/>
                <w:color w:val="auto"/>
                <w:kern w:val="0"/>
                <w:sz w:val="22"/>
                <w:szCs w:val="22"/>
                <w:highlight w:val="none"/>
              </w:rPr>
            </w:pPr>
          </w:p>
        </w:tc>
        <w:tc>
          <w:tcPr>
            <w:tcW w:w="2171" w:type="dxa"/>
            <w:tcBorders>
              <w:top w:val="single" w:color="auto" w:sz="4" w:space="0"/>
              <w:left w:val="single" w:color="auto" w:sz="4" w:space="0"/>
              <w:bottom w:val="single" w:color="auto" w:sz="4" w:space="0"/>
              <w:right w:val="single" w:color="auto" w:sz="4" w:space="0"/>
            </w:tcBorders>
            <w:vAlign w:val="center"/>
          </w:tcPr>
          <w:p w14:paraId="7BB07300">
            <w:pPr>
              <w:widowControl/>
              <w:jc w:val="center"/>
              <w:rPr>
                <w:rFonts w:hint="default" w:ascii="宋体" w:hAnsi="宋体" w:eastAsia="宋体" w:cs="宋体"/>
                <w:bCs/>
                <w:color w:val="auto"/>
                <w:spacing w:val="10"/>
                <w:kern w:val="0"/>
                <w:sz w:val="24"/>
                <w:szCs w:val="22"/>
                <w:highlight w:val="none"/>
                <w:lang w:val="en-US" w:eastAsia="zh-CN"/>
              </w:rPr>
            </w:pPr>
            <w:r>
              <w:rPr>
                <w:rFonts w:hint="eastAsia" w:ascii="宋体" w:hAnsi="宋体" w:eastAsia="宋体" w:cs="宋体"/>
                <w:bCs/>
                <w:color w:val="auto"/>
                <w:spacing w:val="10"/>
                <w:kern w:val="0"/>
                <w:sz w:val="24"/>
                <w:szCs w:val="22"/>
                <w:highlight w:val="none"/>
                <w:lang w:val="en-US" w:eastAsia="zh-CN"/>
              </w:rPr>
              <w:t>服务时间及地点</w:t>
            </w:r>
          </w:p>
        </w:tc>
        <w:tc>
          <w:tcPr>
            <w:tcW w:w="2001" w:type="dxa"/>
            <w:tcBorders>
              <w:top w:val="single" w:color="auto" w:sz="4" w:space="0"/>
              <w:left w:val="single" w:color="auto" w:sz="4" w:space="0"/>
              <w:bottom w:val="single" w:color="auto" w:sz="4" w:space="0"/>
              <w:right w:val="single" w:color="auto" w:sz="4" w:space="0"/>
            </w:tcBorders>
          </w:tcPr>
          <w:p w14:paraId="394B0F46">
            <w:pPr>
              <w:pStyle w:val="21"/>
              <w:adjustRightInd w:val="0"/>
              <w:snapToGrid w:val="0"/>
              <w:spacing w:line="360" w:lineRule="auto"/>
              <w:jc w:val="center"/>
              <w:rPr>
                <w:rFonts w:hint="eastAsia" w:ascii="宋体" w:hAnsi="宋体" w:eastAsia="宋体" w:cs="宋体"/>
                <w:color w:val="auto"/>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14:paraId="6988414A">
            <w:pPr>
              <w:pStyle w:val="21"/>
              <w:adjustRightInd w:val="0"/>
              <w:snapToGrid w:val="0"/>
              <w:spacing w:line="360" w:lineRule="auto"/>
              <w:jc w:val="center"/>
              <w:rPr>
                <w:rFonts w:hint="eastAsia" w:ascii="宋体" w:hAnsi="宋体" w:eastAsia="宋体" w:cs="宋体"/>
                <w:color w:val="auto"/>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14:paraId="7093C71D">
            <w:pPr>
              <w:pStyle w:val="21"/>
              <w:adjustRightInd w:val="0"/>
              <w:snapToGrid w:val="0"/>
              <w:spacing w:line="360" w:lineRule="auto"/>
              <w:jc w:val="center"/>
              <w:rPr>
                <w:rFonts w:hint="eastAsia" w:ascii="宋体" w:hAnsi="宋体" w:eastAsia="宋体" w:cs="宋体"/>
                <w:color w:val="auto"/>
                <w:spacing w:val="20"/>
                <w:sz w:val="24"/>
                <w:highlight w:val="none"/>
              </w:rPr>
            </w:pPr>
          </w:p>
        </w:tc>
      </w:tr>
      <w:tr w14:paraId="348EB1DB">
        <w:tblPrEx>
          <w:tblCellMar>
            <w:top w:w="0" w:type="dxa"/>
            <w:left w:w="108" w:type="dxa"/>
            <w:bottom w:w="0" w:type="dxa"/>
            <w:right w:w="108" w:type="dxa"/>
          </w:tblCellMar>
        </w:tblPrEx>
        <w:trPr>
          <w:trHeight w:val="238" w:hRule="atLeast"/>
        </w:trPr>
        <w:tc>
          <w:tcPr>
            <w:tcW w:w="1195" w:type="dxa"/>
            <w:vMerge w:val="continue"/>
            <w:tcBorders>
              <w:left w:val="single" w:color="auto" w:sz="4" w:space="0"/>
              <w:right w:val="single" w:color="auto" w:sz="4" w:space="0"/>
            </w:tcBorders>
            <w:vAlign w:val="center"/>
          </w:tcPr>
          <w:p w14:paraId="62BEF13B">
            <w:pPr>
              <w:widowControl/>
              <w:jc w:val="center"/>
              <w:rPr>
                <w:rFonts w:hint="eastAsia" w:ascii="宋体" w:hAnsi="宋体" w:eastAsia="宋体" w:cs="宋体"/>
                <w:color w:val="auto"/>
                <w:kern w:val="0"/>
                <w:sz w:val="22"/>
                <w:szCs w:val="22"/>
                <w:highlight w:val="none"/>
              </w:rPr>
            </w:pPr>
          </w:p>
        </w:tc>
        <w:tc>
          <w:tcPr>
            <w:tcW w:w="2171" w:type="dxa"/>
            <w:tcBorders>
              <w:top w:val="single" w:color="auto" w:sz="4" w:space="0"/>
              <w:left w:val="single" w:color="auto" w:sz="4" w:space="0"/>
              <w:bottom w:val="single" w:color="auto" w:sz="4" w:space="0"/>
              <w:right w:val="single" w:color="auto" w:sz="4" w:space="0"/>
            </w:tcBorders>
            <w:vAlign w:val="center"/>
          </w:tcPr>
          <w:p w14:paraId="4497257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Cs/>
                <w:color w:val="auto"/>
                <w:spacing w:val="10"/>
                <w:kern w:val="0"/>
                <w:sz w:val="24"/>
                <w:szCs w:val="22"/>
                <w:highlight w:val="none"/>
                <w:lang w:val="en-US" w:eastAsia="zh-CN"/>
              </w:rPr>
            </w:pPr>
            <w:r>
              <w:rPr>
                <w:rFonts w:hint="eastAsia" w:ascii="宋体" w:hAnsi="宋体" w:eastAsia="宋体" w:cs="宋体"/>
                <w:bCs/>
                <w:color w:val="auto"/>
                <w:spacing w:val="10"/>
                <w:kern w:val="0"/>
                <w:sz w:val="24"/>
                <w:szCs w:val="22"/>
                <w:highlight w:val="none"/>
                <w:lang w:eastAsia="zh-CN"/>
              </w:rPr>
              <w:t>履约保证金</w:t>
            </w:r>
          </w:p>
        </w:tc>
        <w:tc>
          <w:tcPr>
            <w:tcW w:w="2001" w:type="dxa"/>
            <w:tcBorders>
              <w:top w:val="single" w:color="auto" w:sz="4" w:space="0"/>
              <w:left w:val="single" w:color="auto" w:sz="4" w:space="0"/>
              <w:bottom w:val="single" w:color="auto" w:sz="4" w:space="0"/>
              <w:right w:val="single" w:color="auto" w:sz="4" w:space="0"/>
            </w:tcBorders>
          </w:tcPr>
          <w:p w14:paraId="4804B302">
            <w:pPr>
              <w:pStyle w:val="21"/>
              <w:adjustRightInd w:val="0"/>
              <w:snapToGrid w:val="0"/>
              <w:spacing w:line="360" w:lineRule="auto"/>
              <w:jc w:val="center"/>
              <w:rPr>
                <w:rFonts w:hint="eastAsia" w:ascii="宋体" w:hAnsi="宋体" w:eastAsia="宋体" w:cs="宋体"/>
                <w:color w:val="auto"/>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14:paraId="5D871987">
            <w:pPr>
              <w:pStyle w:val="21"/>
              <w:adjustRightInd w:val="0"/>
              <w:snapToGrid w:val="0"/>
              <w:spacing w:line="360" w:lineRule="auto"/>
              <w:jc w:val="center"/>
              <w:rPr>
                <w:rFonts w:hint="eastAsia" w:ascii="宋体" w:hAnsi="宋体" w:eastAsia="宋体" w:cs="宋体"/>
                <w:color w:val="auto"/>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14:paraId="405BB6CF">
            <w:pPr>
              <w:pStyle w:val="21"/>
              <w:adjustRightInd w:val="0"/>
              <w:snapToGrid w:val="0"/>
              <w:spacing w:line="360" w:lineRule="auto"/>
              <w:jc w:val="center"/>
              <w:rPr>
                <w:rFonts w:hint="eastAsia" w:ascii="宋体" w:hAnsi="宋体" w:eastAsia="宋体" w:cs="宋体"/>
                <w:color w:val="auto"/>
                <w:spacing w:val="20"/>
                <w:sz w:val="24"/>
                <w:highlight w:val="none"/>
              </w:rPr>
            </w:pPr>
          </w:p>
        </w:tc>
      </w:tr>
      <w:tr w14:paraId="60D57062">
        <w:tblPrEx>
          <w:tblCellMar>
            <w:top w:w="0" w:type="dxa"/>
            <w:left w:w="108" w:type="dxa"/>
            <w:bottom w:w="0" w:type="dxa"/>
            <w:right w:w="108" w:type="dxa"/>
          </w:tblCellMar>
        </w:tblPrEx>
        <w:trPr>
          <w:trHeight w:val="173" w:hRule="atLeast"/>
        </w:trPr>
        <w:tc>
          <w:tcPr>
            <w:tcW w:w="1195" w:type="dxa"/>
            <w:vMerge w:val="continue"/>
            <w:tcBorders>
              <w:left w:val="single" w:color="auto" w:sz="4" w:space="0"/>
              <w:right w:val="single" w:color="auto" w:sz="4" w:space="0"/>
            </w:tcBorders>
            <w:vAlign w:val="center"/>
          </w:tcPr>
          <w:p w14:paraId="237D499F">
            <w:pPr>
              <w:widowControl/>
              <w:jc w:val="center"/>
              <w:rPr>
                <w:rFonts w:hint="eastAsia" w:ascii="宋体" w:hAnsi="宋体" w:eastAsia="宋体" w:cs="宋体"/>
                <w:color w:val="auto"/>
                <w:kern w:val="0"/>
                <w:sz w:val="22"/>
                <w:szCs w:val="22"/>
                <w:highlight w:val="none"/>
              </w:rPr>
            </w:pPr>
          </w:p>
        </w:tc>
        <w:tc>
          <w:tcPr>
            <w:tcW w:w="2171" w:type="dxa"/>
            <w:tcBorders>
              <w:top w:val="single" w:color="auto" w:sz="4" w:space="0"/>
              <w:left w:val="single" w:color="auto" w:sz="4" w:space="0"/>
              <w:bottom w:val="single" w:color="auto" w:sz="4" w:space="0"/>
              <w:right w:val="single" w:color="auto" w:sz="4" w:space="0"/>
            </w:tcBorders>
            <w:vAlign w:val="center"/>
          </w:tcPr>
          <w:p w14:paraId="102E9174">
            <w:pPr>
              <w:jc w:val="center"/>
              <w:rPr>
                <w:rFonts w:hint="eastAsia" w:ascii="宋体" w:hAnsi="宋体" w:eastAsia="宋体" w:cs="宋体"/>
                <w:bCs/>
                <w:color w:val="auto"/>
                <w:spacing w:val="10"/>
                <w:kern w:val="0"/>
                <w:sz w:val="24"/>
                <w:szCs w:val="22"/>
                <w:highlight w:val="none"/>
              </w:rPr>
            </w:pPr>
            <w:r>
              <w:rPr>
                <w:rFonts w:hint="eastAsia" w:ascii="宋体" w:hAnsi="宋体" w:eastAsia="宋体" w:cs="宋体"/>
                <w:bCs/>
                <w:color w:val="auto"/>
                <w:spacing w:val="10"/>
                <w:kern w:val="0"/>
                <w:sz w:val="24"/>
                <w:szCs w:val="22"/>
                <w:highlight w:val="none"/>
              </w:rPr>
              <w:t>……</w:t>
            </w:r>
          </w:p>
        </w:tc>
        <w:tc>
          <w:tcPr>
            <w:tcW w:w="2001" w:type="dxa"/>
            <w:tcBorders>
              <w:top w:val="single" w:color="auto" w:sz="4" w:space="0"/>
              <w:left w:val="single" w:color="auto" w:sz="4" w:space="0"/>
              <w:bottom w:val="single" w:color="auto" w:sz="4" w:space="0"/>
              <w:right w:val="single" w:color="auto" w:sz="4" w:space="0"/>
            </w:tcBorders>
          </w:tcPr>
          <w:p w14:paraId="158FF7A3">
            <w:pPr>
              <w:pStyle w:val="21"/>
              <w:adjustRightInd w:val="0"/>
              <w:snapToGrid w:val="0"/>
              <w:spacing w:line="360" w:lineRule="auto"/>
              <w:jc w:val="center"/>
              <w:rPr>
                <w:rFonts w:hint="eastAsia" w:ascii="宋体" w:hAnsi="宋体" w:eastAsia="宋体" w:cs="宋体"/>
                <w:color w:val="auto"/>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14:paraId="75926EE7">
            <w:pPr>
              <w:pStyle w:val="21"/>
              <w:adjustRightInd w:val="0"/>
              <w:snapToGrid w:val="0"/>
              <w:spacing w:line="360" w:lineRule="auto"/>
              <w:jc w:val="center"/>
              <w:rPr>
                <w:rFonts w:hint="eastAsia" w:ascii="宋体" w:hAnsi="宋体" w:eastAsia="宋体" w:cs="宋体"/>
                <w:color w:val="auto"/>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14:paraId="02AA93EF">
            <w:pPr>
              <w:pStyle w:val="21"/>
              <w:adjustRightInd w:val="0"/>
              <w:snapToGrid w:val="0"/>
              <w:spacing w:line="360" w:lineRule="auto"/>
              <w:jc w:val="center"/>
              <w:rPr>
                <w:rFonts w:hint="eastAsia" w:ascii="宋体" w:hAnsi="宋体" w:eastAsia="宋体" w:cs="宋体"/>
                <w:color w:val="auto"/>
                <w:spacing w:val="20"/>
                <w:sz w:val="24"/>
                <w:highlight w:val="none"/>
              </w:rPr>
            </w:pPr>
          </w:p>
        </w:tc>
      </w:tr>
      <w:tr w14:paraId="388B9B74">
        <w:tblPrEx>
          <w:tblCellMar>
            <w:top w:w="0" w:type="dxa"/>
            <w:left w:w="108" w:type="dxa"/>
            <w:bottom w:w="0" w:type="dxa"/>
            <w:right w:w="108" w:type="dxa"/>
          </w:tblCellMar>
        </w:tblPrEx>
        <w:trPr>
          <w:trHeight w:val="227" w:hRule="atLeast"/>
        </w:trPr>
        <w:tc>
          <w:tcPr>
            <w:tcW w:w="1195" w:type="dxa"/>
            <w:vMerge w:val="continue"/>
            <w:tcBorders>
              <w:left w:val="single" w:color="auto" w:sz="4" w:space="0"/>
              <w:right w:val="single" w:color="auto" w:sz="4" w:space="0"/>
            </w:tcBorders>
            <w:vAlign w:val="center"/>
          </w:tcPr>
          <w:p w14:paraId="40E3617E">
            <w:pPr>
              <w:widowControl/>
              <w:jc w:val="center"/>
              <w:rPr>
                <w:rFonts w:hint="eastAsia" w:ascii="宋体" w:hAnsi="宋体" w:eastAsia="宋体" w:cs="宋体"/>
                <w:color w:val="auto"/>
                <w:kern w:val="0"/>
                <w:sz w:val="22"/>
                <w:szCs w:val="22"/>
                <w:highlight w:val="none"/>
              </w:rPr>
            </w:pPr>
          </w:p>
        </w:tc>
        <w:tc>
          <w:tcPr>
            <w:tcW w:w="2171" w:type="dxa"/>
            <w:tcBorders>
              <w:top w:val="single" w:color="auto" w:sz="4" w:space="0"/>
              <w:left w:val="single" w:color="auto" w:sz="4" w:space="0"/>
              <w:bottom w:val="single" w:color="auto" w:sz="4" w:space="0"/>
              <w:right w:val="single" w:color="auto" w:sz="4" w:space="0"/>
            </w:tcBorders>
            <w:vAlign w:val="center"/>
          </w:tcPr>
          <w:p w14:paraId="2B799452">
            <w:pPr>
              <w:jc w:val="center"/>
              <w:rPr>
                <w:rFonts w:hint="eastAsia" w:ascii="宋体" w:hAnsi="宋体" w:eastAsia="宋体" w:cs="宋体"/>
                <w:color w:val="auto"/>
                <w:sz w:val="24"/>
                <w:highlight w:val="none"/>
              </w:rPr>
            </w:pPr>
            <w:r>
              <w:rPr>
                <w:rFonts w:hint="eastAsia" w:ascii="宋体" w:hAnsi="宋体" w:eastAsia="宋体" w:cs="宋体"/>
                <w:bCs/>
                <w:color w:val="auto"/>
                <w:spacing w:val="10"/>
                <w:kern w:val="0"/>
                <w:sz w:val="24"/>
                <w:szCs w:val="22"/>
                <w:highlight w:val="none"/>
              </w:rPr>
              <w:t>（技术需求响应内容）</w:t>
            </w:r>
          </w:p>
        </w:tc>
        <w:tc>
          <w:tcPr>
            <w:tcW w:w="2001" w:type="dxa"/>
            <w:tcBorders>
              <w:top w:val="single" w:color="auto" w:sz="4" w:space="0"/>
              <w:left w:val="single" w:color="auto" w:sz="4" w:space="0"/>
              <w:bottom w:val="single" w:color="auto" w:sz="4" w:space="0"/>
              <w:right w:val="single" w:color="auto" w:sz="4" w:space="0"/>
            </w:tcBorders>
          </w:tcPr>
          <w:p w14:paraId="6F0DD190">
            <w:pPr>
              <w:pStyle w:val="21"/>
              <w:adjustRightInd w:val="0"/>
              <w:snapToGrid w:val="0"/>
              <w:spacing w:line="360" w:lineRule="auto"/>
              <w:jc w:val="center"/>
              <w:rPr>
                <w:rFonts w:hint="eastAsia" w:ascii="宋体" w:hAnsi="宋体" w:eastAsia="宋体" w:cs="宋体"/>
                <w:color w:val="auto"/>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14:paraId="237D3CBC">
            <w:pPr>
              <w:pStyle w:val="21"/>
              <w:adjustRightInd w:val="0"/>
              <w:snapToGrid w:val="0"/>
              <w:spacing w:line="360" w:lineRule="auto"/>
              <w:jc w:val="center"/>
              <w:rPr>
                <w:rFonts w:hint="eastAsia" w:ascii="宋体" w:hAnsi="宋体" w:eastAsia="宋体" w:cs="宋体"/>
                <w:color w:val="auto"/>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14:paraId="2EAC33D0">
            <w:pPr>
              <w:pStyle w:val="21"/>
              <w:adjustRightInd w:val="0"/>
              <w:snapToGrid w:val="0"/>
              <w:spacing w:line="360" w:lineRule="auto"/>
              <w:jc w:val="center"/>
              <w:rPr>
                <w:rFonts w:hint="eastAsia" w:ascii="宋体" w:hAnsi="宋体" w:eastAsia="宋体" w:cs="宋体"/>
                <w:color w:val="auto"/>
                <w:spacing w:val="20"/>
                <w:sz w:val="24"/>
                <w:highlight w:val="none"/>
              </w:rPr>
            </w:pPr>
          </w:p>
        </w:tc>
      </w:tr>
      <w:tr w14:paraId="43584AC2">
        <w:tblPrEx>
          <w:tblCellMar>
            <w:top w:w="0" w:type="dxa"/>
            <w:left w:w="108" w:type="dxa"/>
            <w:bottom w:w="0" w:type="dxa"/>
            <w:right w:w="108" w:type="dxa"/>
          </w:tblCellMar>
        </w:tblPrEx>
        <w:trPr>
          <w:trHeight w:val="90" w:hRule="atLeast"/>
        </w:trPr>
        <w:tc>
          <w:tcPr>
            <w:tcW w:w="1195" w:type="dxa"/>
            <w:vMerge w:val="continue"/>
            <w:tcBorders>
              <w:left w:val="single" w:color="auto" w:sz="4" w:space="0"/>
              <w:right w:val="single" w:color="auto" w:sz="4" w:space="0"/>
            </w:tcBorders>
            <w:vAlign w:val="center"/>
          </w:tcPr>
          <w:p w14:paraId="514538FE">
            <w:pPr>
              <w:widowControl/>
              <w:jc w:val="center"/>
              <w:rPr>
                <w:rFonts w:hint="eastAsia" w:ascii="宋体" w:hAnsi="宋体" w:eastAsia="宋体" w:cs="宋体"/>
                <w:color w:val="auto"/>
                <w:kern w:val="0"/>
                <w:sz w:val="22"/>
                <w:szCs w:val="22"/>
                <w:highlight w:val="none"/>
              </w:rPr>
            </w:pPr>
          </w:p>
        </w:tc>
        <w:tc>
          <w:tcPr>
            <w:tcW w:w="2171" w:type="dxa"/>
            <w:tcBorders>
              <w:top w:val="single" w:color="auto" w:sz="4" w:space="0"/>
              <w:left w:val="single" w:color="auto" w:sz="4" w:space="0"/>
              <w:bottom w:val="single" w:color="auto" w:sz="4" w:space="0"/>
              <w:right w:val="single" w:color="auto" w:sz="4" w:space="0"/>
            </w:tcBorders>
            <w:vAlign w:val="center"/>
          </w:tcPr>
          <w:p w14:paraId="707C9F5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001" w:type="dxa"/>
            <w:tcBorders>
              <w:top w:val="single" w:color="auto" w:sz="4" w:space="0"/>
              <w:left w:val="single" w:color="auto" w:sz="4" w:space="0"/>
              <w:bottom w:val="single" w:color="auto" w:sz="4" w:space="0"/>
              <w:right w:val="single" w:color="auto" w:sz="4" w:space="0"/>
            </w:tcBorders>
          </w:tcPr>
          <w:p w14:paraId="2EA6A8A5">
            <w:pPr>
              <w:pStyle w:val="21"/>
              <w:adjustRightInd w:val="0"/>
              <w:snapToGrid w:val="0"/>
              <w:spacing w:line="360" w:lineRule="auto"/>
              <w:jc w:val="center"/>
              <w:rPr>
                <w:rFonts w:hint="eastAsia" w:ascii="宋体" w:hAnsi="宋体" w:eastAsia="宋体" w:cs="宋体"/>
                <w:color w:val="auto"/>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14:paraId="2E059248">
            <w:pPr>
              <w:pStyle w:val="21"/>
              <w:adjustRightInd w:val="0"/>
              <w:snapToGrid w:val="0"/>
              <w:spacing w:line="360" w:lineRule="auto"/>
              <w:jc w:val="center"/>
              <w:rPr>
                <w:rFonts w:hint="eastAsia" w:ascii="宋体" w:hAnsi="宋体" w:eastAsia="宋体" w:cs="宋体"/>
                <w:color w:val="auto"/>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14:paraId="112C8514">
            <w:pPr>
              <w:pStyle w:val="21"/>
              <w:adjustRightInd w:val="0"/>
              <w:snapToGrid w:val="0"/>
              <w:spacing w:line="360" w:lineRule="auto"/>
              <w:jc w:val="center"/>
              <w:rPr>
                <w:rFonts w:hint="eastAsia" w:ascii="宋体" w:hAnsi="宋体" w:eastAsia="宋体" w:cs="宋体"/>
                <w:color w:val="auto"/>
                <w:spacing w:val="20"/>
                <w:sz w:val="24"/>
                <w:highlight w:val="none"/>
              </w:rPr>
            </w:pPr>
          </w:p>
        </w:tc>
      </w:tr>
      <w:tr w14:paraId="401DC0AD">
        <w:tblPrEx>
          <w:tblCellMar>
            <w:top w:w="0" w:type="dxa"/>
            <w:left w:w="108" w:type="dxa"/>
            <w:bottom w:w="0" w:type="dxa"/>
            <w:right w:w="108" w:type="dxa"/>
          </w:tblCellMar>
        </w:tblPrEx>
        <w:trPr>
          <w:trHeight w:val="624" w:hRule="atLeast"/>
        </w:trPr>
        <w:tc>
          <w:tcPr>
            <w:tcW w:w="1195" w:type="dxa"/>
            <w:vMerge w:val="continue"/>
            <w:tcBorders>
              <w:left w:val="single" w:color="auto" w:sz="4" w:space="0"/>
              <w:right w:val="single" w:color="auto" w:sz="4" w:space="0"/>
            </w:tcBorders>
            <w:vAlign w:val="center"/>
          </w:tcPr>
          <w:p w14:paraId="4CADE1A2">
            <w:pPr>
              <w:widowControl/>
              <w:jc w:val="center"/>
              <w:rPr>
                <w:rFonts w:hint="eastAsia" w:ascii="宋体" w:hAnsi="宋体" w:eastAsia="宋体" w:cs="宋体"/>
                <w:color w:val="auto"/>
                <w:kern w:val="0"/>
                <w:sz w:val="22"/>
                <w:szCs w:val="22"/>
                <w:highlight w:val="none"/>
              </w:rPr>
            </w:pPr>
          </w:p>
        </w:tc>
        <w:tc>
          <w:tcPr>
            <w:tcW w:w="2171" w:type="dxa"/>
            <w:tcBorders>
              <w:top w:val="single" w:color="auto" w:sz="4" w:space="0"/>
              <w:left w:val="single" w:color="auto" w:sz="4" w:space="0"/>
              <w:bottom w:val="single" w:color="auto" w:sz="4" w:space="0"/>
              <w:right w:val="single" w:color="auto" w:sz="4" w:space="0"/>
            </w:tcBorders>
            <w:vAlign w:val="center"/>
          </w:tcPr>
          <w:p w14:paraId="5936B109">
            <w:pPr>
              <w:jc w:val="center"/>
              <w:rPr>
                <w:rFonts w:hint="eastAsia" w:ascii="宋体" w:hAnsi="宋体" w:eastAsia="宋体" w:cs="宋体"/>
                <w:color w:val="auto"/>
                <w:sz w:val="24"/>
                <w:highlight w:val="none"/>
              </w:rPr>
            </w:pPr>
          </w:p>
        </w:tc>
        <w:tc>
          <w:tcPr>
            <w:tcW w:w="2001" w:type="dxa"/>
            <w:tcBorders>
              <w:top w:val="single" w:color="auto" w:sz="4" w:space="0"/>
              <w:left w:val="single" w:color="auto" w:sz="4" w:space="0"/>
              <w:bottom w:val="single" w:color="auto" w:sz="4" w:space="0"/>
              <w:right w:val="single" w:color="auto" w:sz="4" w:space="0"/>
            </w:tcBorders>
          </w:tcPr>
          <w:p w14:paraId="4370DDF6">
            <w:pPr>
              <w:pStyle w:val="21"/>
              <w:adjustRightInd w:val="0"/>
              <w:snapToGrid w:val="0"/>
              <w:spacing w:line="360" w:lineRule="auto"/>
              <w:jc w:val="center"/>
              <w:rPr>
                <w:rFonts w:hint="eastAsia" w:ascii="宋体" w:hAnsi="宋体" w:eastAsia="宋体" w:cs="宋体"/>
                <w:color w:val="auto"/>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14:paraId="44486233">
            <w:pPr>
              <w:pStyle w:val="21"/>
              <w:adjustRightInd w:val="0"/>
              <w:snapToGrid w:val="0"/>
              <w:spacing w:line="360" w:lineRule="auto"/>
              <w:jc w:val="center"/>
              <w:rPr>
                <w:rFonts w:hint="eastAsia" w:ascii="宋体" w:hAnsi="宋体" w:eastAsia="宋体" w:cs="宋体"/>
                <w:color w:val="auto"/>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14:paraId="08242142">
            <w:pPr>
              <w:pStyle w:val="21"/>
              <w:adjustRightInd w:val="0"/>
              <w:snapToGrid w:val="0"/>
              <w:spacing w:line="360" w:lineRule="auto"/>
              <w:jc w:val="center"/>
              <w:rPr>
                <w:rFonts w:hint="eastAsia" w:ascii="宋体" w:hAnsi="宋体" w:eastAsia="宋体" w:cs="宋体"/>
                <w:color w:val="auto"/>
                <w:spacing w:val="20"/>
                <w:sz w:val="24"/>
                <w:highlight w:val="none"/>
              </w:rPr>
            </w:pPr>
          </w:p>
        </w:tc>
      </w:tr>
      <w:tr w14:paraId="492B6331">
        <w:tblPrEx>
          <w:tblCellMar>
            <w:top w:w="0" w:type="dxa"/>
            <w:left w:w="108" w:type="dxa"/>
            <w:bottom w:w="0" w:type="dxa"/>
            <w:right w:w="108" w:type="dxa"/>
          </w:tblCellMar>
        </w:tblPrEx>
        <w:trPr>
          <w:trHeight w:val="237" w:hRule="atLeast"/>
        </w:trPr>
        <w:tc>
          <w:tcPr>
            <w:tcW w:w="1195" w:type="dxa"/>
            <w:vMerge w:val="continue"/>
            <w:tcBorders>
              <w:left w:val="single" w:color="auto" w:sz="4" w:space="0"/>
              <w:bottom w:val="single" w:color="auto" w:sz="4" w:space="0"/>
              <w:right w:val="single" w:color="auto" w:sz="4" w:space="0"/>
            </w:tcBorders>
            <w:vAlign w:val="center"/>
          </w:tcPr>
          <w:p w14:paraId="420CA853">
            <w:pPr>
              <w:widowControl/>
              <w:jc w:val="center"/>
              <w:rPr>
                <w:rFonts w:hint="eastAsia" w:ascii="宋体" w:hAnsi="宋体" w:eastAsia="宋体" w:cs="宋体"/>
                <w:color w:val="auto"/>
                <w:kern w:val="0"/>
                <w:sz w:val="22"/>
                <w:szCs w:val="22"/>
                <w:highlight w:val="none"/>
              </w:rPr>
            </w:pPr>
          </w:p>
        </w:tc>
        <w:tc>
          <w:tcPr>
            <w:tcW w:w="2171" w:type="dxa"/>
            <w:tcBorders>
              <w:top w:val="single" w:color="auto" w:sz="4" w:space="0"/>
              <w:left w:val="single" w:color="auto" w:sz="4" w:space="0"/>
              <w:bottom w:val="single" w:color="auto" w:sz="4" w:space="0"/>
              <w:right w:val="single" w:color="auto" w:sz="4" w:space="0"/>
            </w:tcBorders>
            <w:vAlign w:val="center"/>
          </w:tcPr>
          <w:p w14:paraId="71C25AE2">
            <w:pPr>
              <w:jc w:val="center"/>
              <w:rPr>
                <w:rFonts w:hint="eastAsia" w:ascii="宋体" w:hAnsi="宋体" w:eastAsia="宋体" w:cs="宋体"/>
                <w:color w:val="auto"/>
                <w:spacing w:val="20"/>
                <w:sz w:val="24"/>
                <w:highlight w:val="none"/>
              </w:rPr>
            </w:pPr>
          </w:p>
        </w:tc>
        <w:tc>
          <w:tcPr>
            <w:tcW w:w="2001" w:type="dxa"/>
            <w:tcBorders>
              <w:top w:val="single" w:color="auto" w:sz="4" w:space="0"/>
              <w:left w:val="single" w:color="auto" w:sz="4" w:space="0"/>
              <w:bottom w:val="single" w:color="auto" w:sz="4" w:space="0"/>
              <w:right w:val="single" w:color="auto" w:sz="4" w:space="0"/>
            </w:tcBorders>
          </w:tcPr>
          <w:p w14:paraId="3256A895">
            <w:pPr>
              <w:pStyle w:val="21"/>
              <w:adjustRightInd w:val="0"/>
              <w:snapToGrid w:val="0"/>
              <w:spacing w:line="360" w:lineRule="auto"/>
              <w:jc w:val="center"/>
              <w:rPr>
                <w:rFonts w:hint="eastAsia" w:ascii="宋体" w:hAnsi="宋体" w:eastAsia="宋体" w:cs="宋体"/>
                <w:color w:val="auto"/>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14:paraId="3D144D88">
            <w:pPr>
              <w:pStyle w:val="21"/>
              <w:adjustRightInd w:val="0"/>
              <w:snapToGrid w:val="0"/>
              <w:spacing w:line="360" w:lineRule="auto"/>
              <w:jc w:val="center"/>
              <w:rPr>
                <w:rFonts w:hint="eastAsia" w:ascii="宋体" w:hAnsi="宋体" w:eastAsia="宋体" w:cs="宋体"/>
                <w:color w:val="auto"/>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14:paraId="76E7646C">
            <w:pPr>
              <w:pStyle w:val="21"/>
              <w:adjustRightInd w:val="0"/>
              <w:snapToGrid w:val="0"/>
              <w:spacing w:line="360" w:lineRule="auto"/>
              <w:jc w:val="center"/>
              <w:rPr>
                <w:rFonts w:hint="eastAsia" w:ascii="宋体" w:hAnsi="宋体" w:eastAsia="宋体" w:cs="宋体"/>
                <w:color w:val="auto"/>
                <w:spacing w:val="20"/>
                <w:sz w:val="24"/>
                <w:highlight w:val="none"/>
              </w:rPr>
            </w:pPr>
          </w:p>
        </w:tc>
      </w:tr>
    </w:tbl>
    <w:p w14:paraId="112D81B8">
      <w:pPr>
        <w:pStyle w:val="60"/>
        <w:tabs>
          <w:tab w:val="left" w:pos="360"/>
        </w:tabs>
        <w:spacing w:line="360" w:lineRule="auto"/>
        <w:ind w:right="84" w:rightChars="4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037964A3">
      <w:pPr>
        <w:pStyle w:val="60"/>
        <w:tabs>
          <w:tab w:val="left" w:pos="360"/>
        </w:tabs>
        <w:spacing w:line="360" w:lineRule="auto"/>
        <w:ind w:right="84" w:rightChars="4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1.本表参照本</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文件第四章“</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需求”填制，</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应根据</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需求的服务指标，对照</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文件要求在“偏离情况”栏注明“正偏离”、“负偏离”或“无偏离”。</w:t>
      </w:r>
    </w:p>
    <w:p w14:paraId="180D9998">
      <w:pPr>
        <w:pStyle w:val="60"/>
        <w:tabs>
          <w:tab w:val="left" w:pos="360"/>
        </w:tabs>
        <w:spacing w:line="360" w:lineRule="auto"/>
        <w:ind w:right="84" w:rightChars="4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2.如未提供或未填写均视为完全</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采购需求内容。</w:t>
      </w:r>
    </w:p>
    <w:p w14:paraId="10877F56">
      <w:pPr>
        <w:pStyle w:val="60"/>
        <w:tabs>
          <w:tab w:val="left" w:pos="360"/>
        </w:tabs>
        <w:spacing w:line="360" w:lineRule="auto"/>
        <w:ind w:right="84" w:rightChars="40"/>
        <w:rPr>
          <w:rFonts w:hint="eastAsia" w:ascii="宋体" w:hAnsi="宋体" w:eastAsia="宋体" w:cs="宋体"/>
          <w:color w:val="auto"/>
          <w:sz w:val="24"/>
          <w:highlight w:val="none"/>
        </w:rPr>
      </w:pPr>
    </w:p>
    <w:p w14:paraId="2529D4E0">
      <w:pPr>
        <w:keepNext w:val="0"/>
        <w:keepLines w:val="0"/>
        <w:pageBreakBefore w:val="0"/>
        <w:tabs>
          <w:tab w:val="left" w:pos="4860"/>
        </w:tabs>
        <w:kinsoku/>
        <w:wordWrap/>
        <w:overflowPunct/>
        <w:topLinePunct w:val="0"/>
        <w:autoSpaceDE/>
        <w:autoSpaceDN/>
        <w:bidi w:val="0"/>
        <w:adjustRightInd/>
        <w:snapToGrid/>
        <w:spacing w:line="360" w:lineRule="auto"/>
        <w:ind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供应商全称（公章）：</w:t>
      </w:r>
    </w:p>
    <w:p w14:paraId="2ECA7F8B">
      <w:pPr>
        <w:keepNext w:val="0"/>
        <w:keepLines w:val="0"/>
        <w:pageBreakBefore w:val="0"/>
        <w:tabs>
          <w:tab w:val="left" w:pos="4860"/>
        </w:tabs>
        <w:kinsoku/>
        <w:wordWrap/>
        <w:overflowPunct/>
        <w:topLinePunct w:val="0"/>
        <w:autoSpaceDE/>
        <w:autoSpaceDN/>
        <w:bidi w:val="0"/>
        <w:adjustRightInd/>
        <w:snapToGrid/>
        <w:spacing w:line="360" w:lineRule="auto"/>
        <w:ind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法定代表人或授权委托人</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lang w:val="zh-CN" w:eastAsia="zh-CN"/>
        </w:rPr>
        <w:t>：</w:t>
      </w:r>
    </w:p>
    <w:p w14:paraId="7367FD94">
      <w:pPr>
        <w:keepNext w:val="0"/>
        <w:keepLines w:val="0"/>
        <w:pageBreakBefore w:val="0"/>
        <w:tabs>
          <w:tab w:val="left" w:pos="4860"/>
        </w:tabs>
        <w:kinsoku/>
        <w:wordWrap/>
        <w:overflowPunct/>
        <w:topLinePunct w:val="0"/>
        <w:autoSpaceDE/>
        <w:autoSpaceDN/>
        <w:bidi w:val="0"/>
        <w:adjustRightInd/>
        <w:snapToGrid/>
        <w:spacing w:line="360" w:lineRule="auto"/>
        <w:ind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职        务：</w:t>
      </w:r>
    </w:p>
    <w:p w14:paraId="47FB1D38">
      <w:pPr>
        <w:keepNext w:val="0"/>
        <w:keepLines w:val="0"/>
        <w:pageBreakBefore w:val="0"/>
        <w:tabs>
          <w:tab w:val="left" w:pos="4860"/>
        </w:tabs>
        <w:kinsoku/>
        <w:wordWrap/>
        <w:overflowPunct/>
        <w:topLinePunct w:val="0"/>
        <w:autoSpaceDE/>
        <w:autoSpaceDN/>
        <w:bidi w:val="0"/>
        <w:adjustRightInd/>
        <w:snapToGrid/>
        <w:spacing w:line="360" w:lineRule="auto"/>
        <w:ind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        期：</w:t>
      </w:r>
    </w:p>
    <w:p w14:paraId="0DE0D5A7">
      <w:pPr>
        <w:rPr>
          <w:rFonts w:hint="eastAsia" w:ascii="宋体" w:hAnsi="宋体" w:eastAsia="宋体" w:cs="宋体"/>
          <w:color w:val="auto"/>
          <w:sz w:val="24"/>
          <w:highlight w:val="none"/>
          <w:u w:val="single"/>
        </w:rPr>
      </w:pPr>
    </w:p>
    <w:p w14:paraId="763FD53F">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69680CCE">
      <w:pPr>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3</w:t>
      </w:r>
    </w:p>
    <w:p w14:paraId="08EDC3DB">
      <w:pPr>
        <w:spacing w:line="360" w:lineRule="auto"/>
        <w:ind w:firstLine="435"/>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7637152C">
      <w:pPr>
        <w:spacing w:line="360" w:lineRule="auto"/>
        <w:ind w:firstLine="435"/>
        <w:jc w:val="center"/>
        <w:rPr>
          <w:rFonts w:hint="eastAsia" w:ascii="宋体" w:hAnsi="宋体" w:eastAsia="宋体" w:cs="宋体"/>
          <w:b/>
          <w:color w:val="auto"/>
          <w:sz w:val="36"/>
          <w:szCs w:val="36"/>
          <w:highlight w:val="none"/>
        </w:rPr>
      </w:pPr>
    </w:p>
    <w:tbl>
      <w:tblPr>
        <w:tblStyle w:val="38"/>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7E5E7F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14:paraId="4A46FD3D">
            <w:pPr>
              <w:pStyle w:val="57"/>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355" w:type="dxa"/>
            <w:vAlign w:val="center"/>
          </w:tcPr>
          <w:p w14:paraId="1D2CF8BE">
            <w:pPr>
              <w:pStyle w:val="57"/>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w:t>
            </w:r>
          </w:p>
        </w:tc>
        <w:tc>
          <w:tcPr>
            <w:tcW w:w="4061" w:type="dxa"/>
            <w:vAlign w:val="center"/>
          </w:tcPr>
          <w:p w14:paraId="204F50AD">
            <w:pPr>
              <w:pStyle w:val="57"/>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供应商</w:t>
            </w:r>
            <w:r>
              <w:rPr>
                <w:rFonts w:hint="eastAsia" w:ascii="宋体" w:hAnsi="宋体" w:eastAsia="宋体" w:cs="宋体"/>
                <w:b/>
                <w:color w:val="auto"/>
                <w:sz w:val="24"/>
                <w:highlight w:val="none"/>
              </w:rPr>
              <w:t>情况</w:t>
            </w:r>
          </w:p>
        </w:tc>
        <w:tc>
          <w:tcPr>
            <w:tcW w:w="1373" w:type="dxa"/>
            <w:vAlign w:val="center"/>
          </w:tcPr>
          <w:p w14:paraId="6333D032">
            <w:pPr>
              <w:pStyle w:val="57"/>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643073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14:paraId="2C4FF785">
            <w:pPr>
              <w:pStyle w:val="57"/>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2355" w:type="dxa"/>
            <w:vMerge w:val="restart"/>
            <w:vAlign w:val="center"/>
          </w:tcPr>
          <w:p w14:paraId="7A87D177">
            <w:pPr>
              <w:pStyle w:val="57"/>
              <w:widowControl/>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服务期内服务情况(服务方式、服务网点、售后服务的内容和措施等等，可用附页和宣传材料)</w:t>
            </w:r>
          </w:p>
        </w:tc>
        <w:tc>
          <w:tcPr>
            <w:tcW w:w="4061" w:type="dxa"/>
          </w:tcPr>
          <w:p w14:paraId="09AA32C0">
            <w:pPr>
              <w:pStyle w:val="57"/>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服务期内服务情况：</w:t>
            </w:r>
          </w:p>
        </w:tc>
        <w:tc>
          <w:tcPr>
            <w:tcW w:w="1373" w:type="dxa"/>
          </w:tcPr>
          <w:p w14:paraId="379D04C2">
            <w:pPr>
              <w:pStyle w:val="57"/>
              <w:spacing w:line="360" w:lineRule="auto"/>
              <w:rPr>
                <w:rFonts w:hint="eastAsia" w:ascii="宋体" w:hAnsi="宋体" w:eastAsia="宋体" w:cs="宋体"/>
                <w:bCs/>
                <w:color w:val="auto"/>
                <w:sz w:val="24"/>
                <w:highlight w:val="none"/>
              </w:rPr>
            </w:pPr>
          </w:p>
        </w:tc>
      </w:tr>
      <w:tr w14:paraId="741B9F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14:paraId="4FA9E3F4">
            <w:pPr>
              <w:pStyle w:val="57"/>
              <w:widowControl/>
              <w:spacing w:line="360" w:lineRule="auto"/>
              <w:jc w:val="left"/>
              <w:rPr>
                <w:rFonts w:hint="eastAsia" w:ascii="宋体" w:hAnsi="宋体" w:eastAsia="宋体" w:cs="宋体"/>
                <w:bCs/>
                <w:color w:val="auto"/>
                <w:sz w:val="24"/>
                <w:highlight w:val="none"/>
              </w:rPr>
            </w:pPr>
          </w:p>
        </w:tc>
        <w:tc>
          <w:tcPr>
            <w:tcW w:w="2355" w:type="dxa"/>
            <w:vMerge w:val="continue"/>
            <w:vAlign w:val="center"/>
          </w:tcPr>
          <w:p w14:paraId="0C4B6537">
            <w:pPr>
              <w:pStyle w:val="57"/>
              <w:widowControl/>
              <w:spacing w:line="360" w:lineRule="auto"/>
              <w:jc w:val="left"/>
              <w:rPr>
                <w:rFonts w:hint="eastAsia" w:ascii="宋体" w:hAnsi="宋体" w:eastAsia="宋体" w:cs="宋体"/>
                <w:bCs/>
                <w:color w:val="auto"/>
                <w:sz w:val="24"/>
                <w:highlight w:val="none"/>
              </w:rPr>
            </w:pPr>
          </w:p>
        </w:tc>
        <w:tc>
          <w:tcPr>
            <w:tcW w:w="4061" w:type="dxa"/>
          </w:tcPr>
          <w:p w14:paraId="6CFFD187">
            <w:pPr>
              <w:pStyle w:val="57"/>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供应商</w:t>
            </w:r>
            <w:r>
              <w:rPr>
                <w:rFonts w:hint="eastAsia" w:ascii="宋体" w:hAnsi="宋体" w:eastAsia="宋体" w:cs="宋体"/>
                <w:bCs/>
                <w:color w:val="auto"/>
                <w:sz w:val="24"/>
                <w:highlight w:val="none"/>
              </w:rPr>
              <w:t>售后服务情况：</w:t>
            </w:r>
          </w:p>
        </w:tc>
        <w:tc>
          <w:tcPr>
            <w:tcW w:w="1373" w:type="dxa"/>
          </w:tcPr>
          <w:p w14:paraId="2BCCF8DD">
            <w:pPr>
              <w:pStyle w:val="57"/>
              <w:spacing w:line="360" w:lineRule="auto"/>
              <w:jc w:val="left"/>
              <w:rPr>
                <w:rFonts w:hint="eastAsia" w:ascii="宋体" w:hAnsi="宋体" w:eastAsia="宋体" w:cs="宋体"/>
                <w:bCs/>
                <w:color w:val="auto"/>
                <w:sz w:val="24"/>
                <w:highlight w:val="none"/>
              </w:rPr>
            </w:pPr>
          </w:p>
        </w:tc>
      </w:tr>
      <w:tr w14:paraId="696E39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62" w:hRule="exact"/>
          <w:jc w:val="center"/>
        </w:trPr>
        <w:tc>
          <w:tcPr>
            <w:tcW w:w="739" w:type="dxa"/>
            <w:vAlign w:val="center"/>
          </w:tcPr>
          <w:p w14:paraId="2264DCD3">
            <w:pPr>
              <w:pStyle w:val="57"/>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2355" w:type="dxa"/>
            <w:vAlign w:val="center"/>
          </w:tcPr>
          <w:p w14:paraId="15FFE61C">
            <w:pPr>
              <w:pStyle w:val="57"/>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服务期结束后服务</w:t>
            </w:r>
          </w:p>
        </w:tc>
        <w:tc>
          <w:tcPr>
            <w:tcW w:w="4061" w:type="dxa"/>
          </w:tcPr>
          <w:p w14:paraId="41443524">
            <w:pPr>
              <w:pStyle w:val="57"/>
              <w:widowControl/>
              <w:spacing w:line="360" w:lineRule="auto"/>
              <w:jc w:val="left"/>
              <w:rPr>
                <w:rFonts w:hint="eastAsia" w:ascii="宋体" w:hAnsi="宋体" w:eastAsia="宋体" w:cs="宋体"/>
                <w:bCs/>
                <w:color w:val="auto"/>
                <w:sz w:val="24"/>
                <w:highlight w:val="none"/>
              </w:rPr>
            </w:pPr>
          </w:p>
          <w:p w14:paraId="2CBFEDE9">
            <w:pPr>
              <w:pStyle w:val="57"/>
              <w:widowControl/>
              <w:spacing w:line="360" w:lineRule="auto"/>
              <w:jc w:val="left"/>
              <w:rPr>
                <w:rFonts w:hint="eastAsia" w:ascii="宋体" w:hAnsi="宋体" w:eastAsia="宋体" w:cs="宋体"/>
                <w:bCs/>
                <w:color w:val="auto"/>
                <w:sz w:val="24"/>
                <w:highlight w:val="none"/>
              </w:rPr>
            </w:pPr>
          </w:p>
          <w:p w14:paraId="49ECB455">
            <w:pPr>
              <w:pStyle w:val="57"/>
              <w:spacing w:line="360" w:lineRule="auto"/>
              <w:rPr>
                <w:rFonts w:hint="eastAsia" w:ascii="宋体" w:hAnsi="宋体" w:eastAsia="宋体" w:cs="宋体"/>
                <w:bCs/>
                <w:color w:val="auto"/>
                <w:sz w:val="24"/>
                <w:highlight w:val="none"/>
              </w:rPr>
            </w:pPr>
          </w:p>
        </w:tc>
        <w:tc>
          <w:tcPr>
            <w:tcW w:w="1373" w:type="dxa"/>
          </w:tcPr>
          <w:p w14:paraId="0EB937A5">
            <w:pPr>
              <w:pStyle w:val="57"/>
              <w:widowControl/>
              <w:spacing w:line="360" w:lineRule="auto"/>
              <w:jc w:val="left"/>
              <w:rPr>
                <w:rFonts w:hint="eastAsia" w:ascii="宋体" w:hAnsi="宋体" w:eastAsia="宋体" w:cs="宋体"/>
                <w:bCs/>
                <w:color w:val="auto"/>
                <w:sz w:val="24"/>
                <w:highlight w:val="none"/>
              </w:rPr>
            </w:pPr>
          </w:p>
          <w:p w14:paraId="41F4B76B">
            <w:pPr>
              <w:pStyle w:val="57"/>
              <w:widowControl/>
              <w:spacing w:line="360" w:lineRule="auto"/>
              <w:jc w:val="left"/>
              <w:rPr>
                <w:rFonts w:hint="eastAsia" w:ascii="宋体" w:hAnsi="宋体" w:eastAsia="宋体" w:cs="宋体"/>
                <w:bCs/>
                <w:color w:val="auto"/>
                <w:sz w:val="24"/>
                <w:highlight w:val="none"/>
              </w:rPr>
            </w:pPr>
          </w:p>
          <w:p w14:paraId="3E3AB1E7">
            <w:pPr>
              <w:pStyle w:val="57"/>
              <w:spacing w:line="360" w:lineRule="auto"/>
              <w:rPr>
                <w:rFonts w:hint="eastAsia" w:ascii="宋体" w:hAnsi="宋体" w:eastAsia="宋体" w:cs="宋体"/>
                <w:bCs/>
                <w:color w:val="auto"/>
                <w:sz w:val="24"/>
                <w:highlight w:val="none"/>
              </w:rPr>
            </w:pPr>
          </w:p>
        </w:tc>
      </w:tr>
      <w:tr w14:paraId="623206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99" w:hRule="exact"/>
          <w:jc w:val="center"/>
        </w:trPr>
        <w:tc>
          <w:tcPr>
            <w:tcW w:w="739" w:type="dxa"/>
            <w:vAlign w:val="center"/>
          </w:tcPr>
          <w:p w14:paraId="083D9DC8">
            <w:pPr>
              <w:pStyle w:val="57"/>
              <w:widowControl/>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3</w:t>
            </w:r>
          </w:p>
        </w:tc>
        <w:tc>
          <w:tcPr>
            <w:tcW w:w="2355" w:type="dxa"/>
            <w:vAlign w:val="center"/>
          </w:tcPr>
          <w:p w14:paraId="0AF50F4D">
            <w:pPr>
              <w:pStyle w:val="57"/>
              <w:widowControl/>
              <w:spacing w:line="360" w:lineRule="auto"/>
              <w:jc w:val="left"/>
              <w:rPr>
                <w:rFonts w:hint="eastAsia" w:ascii="宋体" w:hAnsi="宋体" w:eastAsia="宋体" w:cs="宋体"/>
                <w:bCs/>
                <w:color w:val="auto"/>
                <w:sz w:val="24"/>
                <w:highlight w:val="none"/>
              </w:rPr>
            </w:pPr>
          </w:p>
        </w:tc>
        <w:tc>
          <w:tcPr>
            <w:tcW w:w="4061" w:type="dxa"/>
          </w:tcPr>
          <w:p w14:paraId="53AE5316">
            <w:pPr>
              <w:pStyle w:val="57"/>
              <w:widowControl/>
              <w:spacing w:line="360" w:lineRule="auto"/>
              <w:jc w:val="left"/>
              <w:rPr>
                <w:rFonts w:hint="eastAsia" w:ascii="宋体" w:hAnsi="宋体" w:eastAsia="宋体" w:cs="宋体"/>
                <w:bCs/>
                <w:i/>
                <w:color w:val="auto"/>
                <w:sz w:val="24"/>
                <w:highlight w:val="none"/>
              </w:rPr>
            </w:pPr>
          </w:p>
          <w:p w14:paraId="6406E8D8">
            <w:pPr>
              <w:pStyle w:val="57"/>
              <w:widowControl/>
              <w:spacing w:line="360" w:lineRule="auto"/>
              <w:jc w:val="left"/>
              <w:rPr>
                <w:rFonts w:hint="eastAsia" w:ascii="宋体" w:hAnsi="宋体" w:eastAsia="宋体" w:cs="宋体"/>
                <w:bCs/>
                <w:i/>
                <w:color w:val="auto"/>
                <w:sz w:val="24"/>
                <w:highlight w:val="none"/>
              </w:rPr>
            </w:pPr>
          </w:p>
        </w:tc>
        <w:tc>
          <w:tcPr>
            <w:tcW w:w="1373" w:type="dxa"/>
          </w:tcPr>
          <w:p w14:paraId="7F6E4E5C">
            <w:pPr>
              <w:pStyle w:val="57"/>
              <w:widowControl/>
              <w:spacing w:line="360" w:lineRule="auto"/>
              <w:jc w:val="left"/>
              <w:rPr>
                <w:rFonts w:hint="eastAsia" w:ascii="宋体" w:hAnsi="宋体" w:eastAsia="宋体" w:cs="宋体"/>
                <w:bCs/>
                <w:i/>
                <w:color w:val="auto"/>
                <w:sz w:val="24"/>
                <w:highlight w:val="none"/>
              </w:rPr>
            </w:pPr>
          </w:p>
          <w:p w14:paraId="646C8F08">
            <w:pPr>
              <w:pStyle w:val="57"/>
              <w:widowControl/>
              <w:spacing w:line="360" w:lineRule="auto"/>
              <w:jc w:val="left"/>
              <w:rPr>
                <w:rFonts w:hint="eastAsia" w:ascii="宋体" w:hAnsi="宋体" w:eastAsia="宋体" w:cs="宋体"/>
                <w:bCs/>
                <w:i/>
                <w:color w:val="auto"/>
                <w:sz w:val="24"/>
                <w:highlight w:val="none"/>
              </w:rPr>
            </w:pPr>
          </w:p>
          <w:p w14:paraId="01EA8A19">
            <w:pPr>
              <w:pStyle w:val="57"/>
              <w:widowControl/>
              <w:spacing w:line="360" w:lineRule="auto"/>
              <w:jc w:val="left"/>
              <w:rPr>
                <w:rFonts w:hint="eastAsia" w:ascii="宋体" w:hAnsi="宋体" w:eastAsia="宋体" w:cs="宋体"/>
                <w:bCs/>
                <w:i/>
                <w:color w:val="auto"/>
                <w:sz w:val="24"/>
                <w:highlight w:val="none"/>
              </w:rPr>
            </w:pPr>
          </w:p>
        </w:tc>
      </w:tr>
      <w:tr w14:paraId="65BA8B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14:paraId="655FC10F">
            <w:pPr>
              <w:pStyle w:val="57"/>
              <w:widowControl/>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tc>
        <w:tc>
          <w:tcPr>
            <w:tcW w:w="2355" w:type="dxa"/>
            <w:vAlign w:val="center"/>
          </w:tcPr>
          <w:p w14:paraId="41DD77B1">
            <w:pPr>
              <w:pStyle w:val="57"/>
              <w:widowControl/>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tc>
        <w:tc>
          <w:tcPr>
            <w:tcW w:w="4061" w:type="dxa"/>
          </w:tcPr>
          <w:p w14:paraId="4E6E1B4A">
            <w:pPr>
              <w:pStyle w:val="57"/>
              <w:widowControl/>
              <w:spacing w:line="360" w:lineRule="auto"/>
              <w:jc w:val="left"/>
              <w:rPr>
                <w:rFonts w:hint="eastAsia" w:ascii="宋体" w:hAnsi="宋体" w:eastAsia="宋体" w:cs="宋体"/>
                <w:bCs/>
                <w:color w:val="auto"/>
                <w:sz w:val="24"/>
                <w:highlight w:val="none"/>
              </w:rPr>
            </w:pPr>
          </w:p>
        </w:tc>
        <w:tc>
          <w:tcPr>
            <w:tcW w:w="1373" w:type="dxa"/>
          </w:tcPr>
          <w:p w14:paraId="30443C72">
            <w:pPr>
              <w:pStyle w:val="57"/>
              <w:widowControl/>
              <w:spacing w:line="360" w:lineRule="auto"/>
              <w:jc w:val="left"/>
              <w:rPr>
                <w:rFonts w:hint="eastAsia" w:ascii="宋体" w:hAnsi="宋体" w:eastAsia="宋体" w:cs="宋体"/>
                <w:bCs/>
                <w:color w:val="auto"/>
                <w:sz w:val="24"/>
                <w:highlight w:val="none"/>
              </w:rPr>
            </w:pPr>
          </w:p>
        </w:tc>
      </w:tr>
    </w:tbl>
    <w:p w14:paraId="4B5DE2B0">
      <w:pPr>
        <w:spacing w:line="360" w:lineRule="auto"/>
        <w:ind w:left="420"/>
        <w:rPr>
          <w:rFonts w:hint="eastAsia" w:ascii="宋体" w:hAnsi="宋体" w:eastAsia="宋体" w:cs="宋体"/>
          <w:color w:val="auto"/>
          <w:sz w:val="24"/>
          <w:highlight w:val="none"/>
        </w:rPr>
      </w:pPr>
    </w:p>
    <w:p w14:paraId="516D0781">
      <w:pPr>
        <w:spacing w:line="360" w:lineRule="auto"/>
        <w:ind w:left="420"/>
        <w:rPr>
          <w:rFonts w:hint="eastAsia" w:ascii="宋体" w:hAnsi="宋体" w:eastAsia="宋体" w:cs="宋体"/>
          <w:color w:val="auto"/>
          <w:sz w:val="24"/>
          <w:highlight w:val="none"/>
        </w:rPr>
      </w:pPr>
    </w:p>
    <w:p w14:paraId="1EEBB1FE">
      <w:pPr>
        <w:spacing w:line="360" w:lineRule="auto"/>
        <w:ind w:left="420"/>
        <w:rPr>
          <w:rFonts w:hint="eastAsia" w:ascii="宋体" w:hAnsi="宋体" w:eastAsia="宋体" w:cs="宋体"/>
          <w:color w:val="auto"/>
          <w:sz w:val="24"/>
          <w:highlight w:val="none"/>
        </w:rPr>
      </w:pPr>
    </w:p>
    <w:p w14:paraId="6D47E404">
      <w:pPr>
        <w:spacing w:line="360" w:lineRule="auto"/>
        <w:ind w:left="420"/>
        <w:rPr>
          <w:rFonts w:hint="eastAsia" w:ascii="宋体" w:hAnsi="宋体" w:eastAsia="宋体" w:cs="宋体"/>
          <w:color w:val="auto"/>
          <w:sz w:val="24"/>
          <w:highlight w:val="none"/>
        </w:rPr>
      </w:pPr>
    </w:p>
    <w:p w14:paraId="56639865">
      <w:pPr>
        <w:spacing w:line="360" w:lineRule="auto"/>
        <w:ind w:left="420"/>
        <w:rPr>
          <w:rFonts w:hint="eastAsia" w:ascii="宋体" w:hAnsi="宋体" w:eastAsia="宋体" w:cs="宋体"/>
          <w:color w:val="auto"/>
          <w:sz w:val="24"/>
          <w:highlight w:val="none"/>
        </w:rPr>
      </w:pPr>
    </w:p>
    <w:p w14:paraId="67A49DFE">
      <w:pPr>
        <w:keepNext w:val="0"/>
        <w:keepLines w:val="0"/>
        <w:pageBreakBefore w:val="0"/>
        <w:tabs>
          <w:tab w:val="left" w:pos="4860"/>
        </w:tabs>
        <w:kinsoku/>
        <w:wordWrap/>
        <w:overflowPunct/>
        <w:topLinePunct w:val="0"/>
        <w:autoSpaceDE/>
        <w:autoSpaceDN/>
        <w:bidi w:val="0"/>
        <w:adjustRightInd/>
        <w:snapToGrid/>
        <w:spacing w:line="360" w:lineRule="auto"/>
        <w:ind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供应商全称（公章）：</w:t>
      </w:r>
    </w:p>
    <w:p w14:paraId="24317BD1">
      <w:pPr>
        <w:keepNext w:val="0"/>
        <w:keepLines w:val="0"/>
        <w:pageBreakBefore w:val="0"/>
        <w:tabs>
          <w:tab w:val="left" w:pos="4860"/>
        </w:tabs>
        <w:kinsoku/>
        <w:wordWrap/>
        <w:overflowPunct/>
        <w:topLinePunct w:val="0"/>
        <w:autoSpaceDE/>
        <w:autoSpaceDN/>
        <w:bidi w:val="0"/>
        <w:adjustRightInd/>
        <w:snapToGrid/>
        <w:spacing w:line="360" w:lineRule="auto"/>
        <w:ind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法定代表人或授权委托人</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lang w:val="zh-CN" w:eastAsia="zh-CN"/>
        </w:rPr>
        <w:t>：</w:t>
      </w:r>
    </w:p>
    <w:p w14:paraId="4E9B7A3F">
      <w:pPr>
        <w:keepNext w:val="0"/>
        <w:keepLines w:val="0"/>
        <w:pageBreakBefore w:val="0"/>
        <w:tabs>
          <w:tab w:val="left" w:pos="4860"/>
        </w:tabs>
        <w:kinsoku/>
        <w:wordWrap/>
        <w:overflowPunct/>
        <w:topLinePunct w:val="0"/>
        <w:autoSpaceDE/>
        <w:autoSpaceDN/>
        <w:bidi w:val="0"/>
        <w:adjustRightInd/>
        <w:snapToGrid/>
        <w:spacing w:line="360" w:lineRule="auto"/>
        <w:ind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职        务：</w:t>
      </w:r>
    </w:p>
    <w:p w14:paraId="08A98CD1">
      <w:pPr>
        <w:keepNext w:val="0"/>
        <w:keepLines w:val="0"/>
        <w:pageBreakBefore w:val="0"/>
        <w:tabs>
          <w:tab w:val="left" w:pos="4860"/>
        </w:tabs>
        <w:kinsoku/>
        <w:wordWrap/>
        <w:overflowPunct/>
        <w:topLinePunct w:val="0"/>
        <w:autoSpaceDE/>
        <w:autoSpaceDN/>
        <w:bidi w:val="0"/>
        <w:adjustRightInd/>
        <w:snapToGrid/>
        <w:spacing w:line="360" w:lineRule="auto"/>
        <w:ind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        期：</w:t>
      </w:r>
    </w:p>
    <w:p w14:paraId="767EC8CE">
      <w:pPr>
        <w:pStyle w:val="59"/>
        <w:ind w:left="0" w:leftChars="0" w:firstLine="0" w:firstLineChars="0"/>
        <w:jc w:val="center"/>
        <w:rPr>
          <w:rFonts w:hint="eastAsia" w:ascii="宋体" w:hAnsi="宋体" w:eastAsia="宋体" w:cs="宋体"/>
          <w:bCs/>
          <w:color w:val="auto"/>
          <w:sz w:val="36"/>
          <w:szCs w:val="36"/>
          <w:highlight w:val="none"/>
        </w:rPr>
      </w:pPr>
    </w:p>
    <w:p w14:paraId="1431145E">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58E0C5AC">
      <w:pPr>
        <w:tabs>
          <w:tab w:val="left" w:pos="2460"/>
        </w:tabs>
        <w:spacing w:line="360" w:lineRule="auto"/>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14</w:t>
      </w:r>
    </w:p>
    <w:p w14:paraId="3E236E72">
      <w:pPr>
        <w:spacing w:line="360" w:lineRule="auto"/>
        <w:ind w:right="-110"/>
        <w:jc w:val="center"/>
        <w:rPr>
          <w:rFonts w:hint="eastAsia" w:ascii="宋体" w:hAnsi="宋体" w:eastAsia="宋体" w:cs="宋体"/>
          <w:color w:val="auto"/>
          <w:spacing w:val="40"/>
          <w:sz w:val="52"/>
          <w:szCs w:val="52"/>
          <w:highlight w:val="none"/>
        </w:rPr>
      </w:pPr>
    </w:p>
    <w:p w14:paraId="2FAFB17F">
      <w:pPr>
        <w:spacing w:line="360" w:lineRule="auto"/>
        <w:ind w:right="-110"/>
        <w:jc w:val="center"/>
        <w:rPr>
          <w:rFonts w:hint="eastAsia" w:ascii="宋体" w:hAnsi="宋体" w:eastAsia="宋体" w:cs="宋体"/>
          <w:color w:val="auto"/>
          <w:spacing w:val="40"/>
          <w:sz w:val="52"/>
          <w:szCs w:val="52"/>
          <w:highlight w:val="none"/>
        </w:rPr>
      </w:pPr>
    </w:p>
    <w:p w14:paraId="51475F9A">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22D23DA5">
      <w:pPr>
        <w:spacing w:beforeLines="100" w:line="360" w:lineRule="auto"/>
        <w:ind w:right="-108" w:firstLine="1800" w:firstLineChars="500"/>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33812FCB">
      <w:pPr>
        <w:pStyle w:val="2"/>
        <w:ind w:firstLine="0" w:firstLineChars="0"/>
        <w:rPr>
          <w:rFonts w:hint="eastAsia" w:ascii="宋体" w:hAnsi="宋体" w:eastAsia="宋体" w:cs="宋体"/>
          <w:color w:val="auto"/>
          <w:sz w:val="84"/>
          <w:szCs w:val="84"/>
          <w:highlight w:val="none"/>
          <w:lang w:val="zh-CN"/>
        </w:rPr>
      </w:pPr>
    </w:p>
    <w:p w14:paraId="2A7BEAF3">
      <w:pPr>
        <w:rPr>
          <w:rFonts w:hint="eastAsia" w:ascii="宋体" w:hAnsi="宋体" w:eastAsia="宋体" w:cs="宋体"/>
          <w:color w:val="auto"/>
          <w:highlight w:val="none"/>
          <w:lang w:val="zh-CN"/>
        </w:rPr>
      </w:pPr>
    </w:p>
    <w:p w14:paraId="5FC1FEDB">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磋商响应文件</w:t>
      </w:r>
    </w:p>
    <w:p w14:paraId="66298DE8">
      <w:pPr>
        <w:spacing w:after="100" w:afterAutospacing="1" w:line="360" w:lineRule="auto"/>
        <w:ind w:right="-108"/>
        <w:jc w:val="center"/>
        <w:rPr>
          <w:rFonts w:hint="eastAsia" w:ascii="宋体" w:hAnsi="宋体" w:eastAsia="宋体" w:cs="宋体"/>
          <w:color w:val="auto"/>
          <w:sz w:val="28"/>
          <w:szCs w:val="28"/>
          <w:highlight w:val="none"/>
          <w:lang w:val="zh-CN"/>
        </w:rPr>
      </w:pPr>
    </w:p>
    <w:p w14:paraId="55F7BCD3">
      <w:pPr>
        <w:spacing w:after="100" w:afterAutospacing="1" w:line="360" w:lineRule="auto"/>
        <w:ind w:right="-108"/>
        <w:jc w:val="center"/>
        <w:rPr>
          <w:rFonts w:hint="eastAsia" w:ascii="宋体" w:hAnsi="宋体" w:eastAsia="宋体" w:cs="宋体"/>
          <w:b/>
          <w:bCs/>
          <w:color w:val="auto"/>
          <w:spacing w:val="40"/>
          <w:sz w:val="28"/>
          <w:szCs w:val="28"/>
          <w:highlight w:val="none"/>
        </w:rPr>
      </w:pPr>
      <w:r>
        <w:rPr>
          <w:rFonts w:hint="eastAsia" w:ascii="宋体" w:hAnsi="宋体" w:eastAsia="宋体" w:cs="宋体"/>
          <w:b/>
          <w:bCs/>
          <w:color w:val="auto"/>
          <w:sz w:val="28"/>
          <w:szCs w:val="28"/>
          <w:highlight w:val="none"/>
          <w:lang w:val="zh-CN"/>
        </w:rPr>
        <w:t>（报价文件</w:t>
      </w:r>
      <w:r>
        <w:rPr>
          <w:rFonts w:hint="eastAsia" w:ascii="宋体" w:hAnsi="宋体" w:eastAsia="宋体" w:cs="宋体"/>
          <w:b/>
          <w:bCs/>
          <w:color w:val="auto"/>
          <w:spacing w:val="40"/>
          <w:sz w:val="28"/>
          <w:szCs w:val="28"/>
          <w:highlight w:val="none"/>
        </w:rPr>
        <w:t>）</w:t>
      </w:r>
    </w:p>
    <w:p w14:paraId="3295D075">
      <w:pPr>
        <w:pStyle w:val="2"/>
        <w:ind w:firstLine="722"/>
        <w:rPr>
          <w:rFonts w:hint="eastAsia" w:ascii="宋体" w:hAnsi="宋体" w:eastAsia="宋体" w:cs="宋体"/>
          <w:b/>
          <w:color w:val="auto"/>
          <w:spacing w:val="40"/>
          <w:sz w:val="28"/>
          <w:szCs w:val="28"/>
          <w:highlight w:val="none"/>
        </w:rPr>
      </w:pPr>
    </w:p>
    <w:p w14:paraId="6EAF2782">
      <w:pPr>
        <w:rPr>
          <w:rFonts w:hint="eastAsia" w:ascii="宋体" w:hAnsi="宋体" w:eastAsia="宋体" w:cs="宋体"/>
          <w:color w:val="auto"/>
          <w:highlight w:val="none"/>
        </w:rPr>
      </w:pPr>
    </w:p>
    <w:p w14:paraId="74E6352D">
      <w:pPr>
        <w:pStyle w:val="2"/>
        <w:ind w:firstLine="480"/>
        <w:rPr>
          <w:rFonts w:hint="eastAsia" w:ascii="宋体" w:hAnsi="宋体" w:eastAsia="宋体" w:cs="宋体"/>
          <w:color w:val="auto"/>
          <w:highlight w:val="none"/>
        </w:rPr>
      </w:pPr>
    </w:p>
    <w:p w14:paraId="57E54512">
      <w:pPr>
        <w:rPr>
          <w:rFonts w:hint="eastAsia" w:ascii="宋体" w:hAnsi="宋体" w:eastAsia="宋体" w:cs="宋体"/>
          <w:color w:val="auto"/>
          <w:highlight w:val="none"/>
        </w:rPr>
      </w:pPr>
    </w:p>
    <w:p w14:paraId="5C30314F">
      <w:pPr>
        <w:pStyle w:val="2"/>
        <w:ind w:firstLine="480"/>
        <w:rPr>
          <w:rFonts w:hint="eastAsia" w:ascii="宋体" w:hAnsi="宋体" w:eastAsia="宋体" w:cs="宋体"/>
          <w:color w:val="auto"/>
          <w:highlight w:val="none"/>
        </w:rPr>
      </w:pPr>
    </w:p>
    <w:p w14:paraId="71BD622C">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供应商全称（公章）：</w:t>
      </w:r>
    </w:p>
    <w:p w14:paraId="4DF959B2">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    址：</w:t>
      </w:r>
    </w:p>
    <w:p w14:paraId="4662980C">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    间：</w:t>
      </w:r>
    </w:p>
    <w:p w14:paraId="55DA7850">
      <w:pPr>
        <w:pStyle w:val="2"/>
        <w:ind w:firstLine="480"/>
        <w:rPr>
          <w:rFonts w:hint="eastAsia" w:ascii="宋体" w:hAnsi="宋体" w:eastAsia="宋体" w:cs="宋体"/>
          <w:color w:val="auto"/>
          <w:highlight w:val="none"/>
        </w:rPr>
      </w:pPr>
    </w:p>
    <w:p w14:paraId="62CF88D5">
      <w:pPr>
        <w:pStyle w:val="59"/>
        <w:ind w:left="0" w:leftChars="0" w:firstLine="0" w:firstLineChars="0"/>
        <w:jc w:val="cente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报价文件目录</w:t>
      </w:r>
    </w:p>
    <w:p w14:paraId="6A35B76C">
      <w:pPr>
        <w:rPr>
          <w:rFonts w:hint="eastAsia" w:ascii="宋体" w:hAnsi="宋体" w:eastAsia="宋体" w:cs="宋体"/>
          <w:b/>
          <w:bCs/>
          <w:color w:val="auto"/>
          <w:sz w:val="36"/>
          <w:szCs w:val="36"/>
          <w:highlight w:val="none"/>
        </w:rPr>
      </w:pPr>
    </w:p>
    <w:p w14:paraId="2B28D83E">
      <w:pPr>
        <w:pStyle w:val="2"/>
        <w:ind w:firstLine="480"/>
        <w:rPr>
          <w:rFonts w:hint="eastAsia" w:ascii="宋体" w:hAnsi="宋体" w:eastAsia="宋体" w:cs="宋体"/>
          <w:color w:val="auto"/>
          <w:highlight w:val="none"/>
        </w:rPr>
      </w:pPr>
    </w:p>
    <w:p w14:paraId="02FE28CD">
      <w:pPr>
        <w:numPr>
          <w:ilvl w:val="0"/>
          <w:numId w:val="6"/>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开标一览表（格式附后）；</w:t>
      </w:r>
    </w:p>
    <w:p w14:paraId="0EEE762C">
      <w:pPr>
        <w:numPr>
          <w:ilvl w:val="0"/>
          <w:numId w:val="6"/>
        </w:numPr>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供应商认为其他需要说明的内容</w:t>
      </w:r>
      <w:r>
        <w:rPr>
          <w:rFonts w:hint="eastAsia" w:ascii="宋体" w:hAnsi="宋体" w:eastAsia="宋体" w:cs="宋体"/>
          <w:bCs/>
          <w:color w:val="auto"/>
          <w:kern w:val="0"/>
          <w:sz w:val="28"/>
          <w:szCs w:val="28"/>
          <w:highlight w:val="none"/>
        </w:rPr>
        <w:t>。</w:t>
      </w:r>
    </w:p>
    <w:p w14:paraId="5D0DB479">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466E72EC">
      <w:pPr>
        <w:tabs>
          <w:tab w:val="left" w:pos="2460"/>
        </w:tabs>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5</w:t>
      </w:r>
      <w:r>
        <w:rPr>
          <w:rFonts w:hint="eastAsia" w:ascii="宋体" w:hAnsi="宋体" w:eastAsia="宋体" w:cs="宋体"/>
          <w:b/>
          <w:color w:val="auto"/>
          <w:sz w:val="28"/>
          <w:highlight w:val="none"/>
        </w:rPr>
        <w:tab/>
      </w:r>
    </w:p>
    <w:p w14:paraId="52DE80F9">
      <w:pPr>
        <w:spacing w:line="360" w:lineRule="auto"/>
        <w:ind w:left="-2" w:hanging="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首次报价一览表</w:t>
      </w:r>
    </w:p>
    <w:p w14:paraId="093DEAF6">
      <w:pPr>
        <w:spacing w:line="360" w:lineRule="auto"/>
        <w:ind w:left="-2" w:hanging="2"/>
        <w:jc w:val="center"/>
        <w:rPr>
          <w:rFonts w:hint="eastAsia" w:ascii="宋体" w:hAnsi="宋体" w:eastAsia="宋体" w:cs="宋体"/>
          <w:b/>
          <w:color w:val="auto"/>
          <w:sz w:val="32"/>
          <w:szCs w:val="32"/>
          <w:highlight w:val="none"/>
        </w:rPr>
      </w:pPr>
    </w:p>
    <w:p w14:paraId="0D910ABF">
      <w:pPr>
        <w:pStyle w:val="21"/>
        <w:spacing w:line="320" w:lineRule="exact"/>
        <w:rPr>
          <w:rFonts w:hint="eastAsia" w:ascii="宋体" w:hAnsi="宋体" w:eastAsia="宋体" w:cs="宋体"/>
          <w:b/>
          <w:color w:val="auto"/>
          <w:sz w:val="24"/>
          <w:highlight w:val="none"/>
        </w:rPr>
      </w:pPr>
    </w:p>
    <w:p w14:paraId="4410F73E">
      <w:pPr>
        <w:pStyle w:val="21"/>
        <w:spacing w:line="320" w:lineRule="exact"/>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rPr>
        <w:t>项目编号：</w:t>
      </w:r>
    </w:p>
    <w:p w14:paraId="6367403F">
      <w:pPr>
        <w:pStyle w:val="58"/>
        <w:spacing w:line="360" w:lineRule="auto"/>
        <w:ind w:right="480"/>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项目名称：</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[货币单位：人民币元]</w:t>
      </w:r>
    </w:p>
    <w:tbl>
      <w:tblPr>
        <w:tblStyle w:val="38"/>
        <w:tblW w:w="87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2708"/>
        <w:gridCol w:w="1356"/>
        <w:gridCol w:w="4654"/>
      </w:tblGrid>
      <w:tr w14:paraId="34E5F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708" w:type="dxa"/>
            <w:vMerge w:val="restart"/>
            <w:tcBorders>
              <w:bottom w:val="single" w:color="auto" w:sz="4" w:space="0"/>
              <w:right w:val="single" w:color="auto" w:sz="4" w:space="0"/>
            </w:tcBorders>
            <w:vAlign w:val="center"/>
          </w:tcPr>
          <w:p w14:paraId="3E2A5DAE">
            <w:pPr>
              <w:autoSpaceDE w:val="0"/>
              <w:autoSpaceDN w:val="0"/>
              <w:spacing w:line="450" w:lineRule="exact"/>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磋商</w:t>
            </w:r>
            <w:r>
              <w:rPr>
                <w:rFonts w:hint="eastAsia" w:ascii="宋体" w:hAnsi="宋体" w:eastAsia="宋体" w:cs="宋体"/>
                <w:color w:val="auto"/>
                <w:sz w:val="24"/>
                <w:highlight w:val="none"/>
                <w:lang w:eastAsia="zh-CN"/>
              </w:rPr>
              <w:t>总报价</w:t>
            </w:r>
            <w:r>
              <w:rPr>
                <w:rFonts w:hint="eastAsia" w:ascii="宋体" w:hAnsi="宋体" w:eastAsia="宋体" w:cs="宋体"/>
                <w:color w:val="auto"/>
                <w:sz w:val="24"/>
                <w:highlight w:val="none"/>
              </w:rPr>
              <w:t>(元)</w:t>
            </w:r>
          </w:p>
        </w:tc>
        <w:tc>
          <w:tcPr>
            <w:tcW w:w="1356" w:type="dxa"/>
            <w:tcBorders>
              <w:left w:val="single" w:color="auto" w:sz="4" w:space="0"/>
              <w:bottom w:val="single" w:color="auto" w:sz="4" w:space="0"/>
              <w:right w:val="single" w:color="auto" w:sz="4" w:space="0"/>
            </w:tcBorders>
            <w:vAlign w:val="center"/>
          </w:tcPr>
          <w:p w14:paraId="6F300685">
            <w:pPr>
              <w:autoSpaceDE w:val="0"/>
              <w:autoSpaceDN w:val="0"/>
              <w:spacing w:line="450" w:lineRule="exact"/>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p>
        </w:tc>
        <w:tc>
          <w:tcPr>
            <w:tcW w:w="4654" w:type="dxa"/>
            <w:tcBorders>
              <w:left w:val="single" w:color="auto" w:sz="4" w:space="0"/>
              <w:bottom w:val="single" w:color="auto" w:sz="4" w:space="0"/>
            </w:tcBorders>
            <w:vAlign w:val="center"/>
          </w:tcPr>
          <w:p w14:paraId="34E7B3A6">
            <w:pPr>
              <w:autoSpaceDE w:val="0"/>
              <w:autoSpaceDN w:val="0"/>
              <w:spacing w:line="450" w:lineRule="exact"/>
              <w:jc w:val="center"/>
              <w:textAlignment w:val="bottom"/>
              <w:rPr>
                <w:rFonts w:hint="eastAsia" w:ascii="宋体" w:hAnsi="宋体" w:eastAsia="宋体" w:cs="宋体"/>
                <w:color w:val="auto"/>
                <w:sz w:val="24"/>
                <w:highlight w:val="none"/>
              </w:rPr>
            </w:pPr>
          </w:p>
        </w:tc>
      </w:tr>
      <w:tr w14:paraId="61DD3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708" w:type="dxa"/>
            <w:vMerge w:val="continue"/>
            <w:tcBorders>
              <w:top w:val="single" w:color="auto" w:sz="12" w:space="0"/>
              <w:right w:val="single" w:color="auto" w:sz="4" w:space="0"/>
            </w:tcBorders>
            <w:vAlign w:val="center"/>
          </w:tcPr>
          <w:p w14:paraId="5D8CC48B">
            <w:pPr>
              <w:rPr>
                <w:rFonts w:hint="eastAsia" w:ascii="宋体" w:hAnsi="宋体" w:eastAsia="宋体" w:cs="宋体"/>
                <w:color w:val="auto"/>
                <w:sz w:val="24"/>
                <w:highlight w:val="none"/>
              </w:rPr>
            </w:pPr>
          </w:p>
        </w:tc>
        <w:tc>
          <w:tcPr>
            <w:tcW w:w="1356" w:type="dxa"/>
            <w:tcBorders>
              <w:top w:val="single" w:color="auto" w:sz="4" w:space="0"/>
              <w:left w:val="single" w:color="auto" w:sz="4" w:space="0"/>
              <w:right w:val="single" w:color="auto" w:sz="4" w:space="0"/>
            </w:tcBorders>
            <w:vAlign w:val="center"/>
          </w:tcPr>
          <w:p w14:paraId="4F87CA58">
            <w:pPr>
              <w:autoSpaceDE w:val="0"/>
              <w:autoSpaceDN w:val="0"/>
              <w:spacing w:line="450" w:lineRule="exact"/>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小写</w:t>
            </w:r>
          </w:p>
        </w:tc>
        <w:tc>
          <w:tcPr>
            <w:tcW w:w="4654" w:type="dxa"/>
            <w:tcBorders>
              <w:top w:val="single" w:color="auto" w:sz="4" w:space="0"/>
              <w:left w:val="single" w:color="auto" w:sz="4" w:space="0"/>
            </w:tcBorders>
            <w:vAlign w:val="center"/>
          </w:tcPr>
          <w:p w14:paraId="73FC4E1E">
            <w:pPr>
              <w:autoSpaceDE w:val="0"/>
              <w:autoSpaceDN w:val="0"/>
              <w:spacing w:line="450" w:lineRule="exact"/>
              <w:jc w:val="center"/>
              <w:textAlignment w:val="bottom"/>
              <w:rPr>
                <w:rFonts w:hint="eastAsia" w:ascii="宋体" w:hAnsi="宋体" w:eastAsia="宋体" w:cs="宋体"/>
                <w:color w:val="auto"/>
                <w:sz w:val="24"/>
                <w:highlight w:val="none"/>
              </w:rPr>
            </w:pPr>
          </w:p>
        </w:tc>
      </w:tr>
    </w:tbl>
    <w:p w14:paraId="38ECBDF2">
      <w:pPr>
        <w:spacing w:line="360" w:lineRule="auto"/>
        <w:rPr>
          <w:rFonts w:hint="eastAsia" w:ascii="宋体" w:hAnsi="宋体" w:eastAsia="宋体" w:cs="宋体"/>
          <w:color w:val="auto"/>
          <w:sz w:val="24"/>
          <w:highlight w:val="none"/>
        </w:rPr>
      </w:pPr>
      <w:r>
        <w:rPr>
          <w:rFonts w:hint="eastAsia" w:ascii="宋体" w:hAnsi="宋体" w:eastAsia="宋体" w:cs="宋体"/>
          <w:b/>
          <w:color w:val="auto"/>
          <w:szCs w:val="21"/>
          <w:highlight w:val="none"/>
        </w:rPr>
        <w:t>填报要求：</w:t>
      </w:r>
    </w:p>
    <w:p w14:paraId="737A6429">
      <w:pPr>
        <w:pStyle w:val="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磋商报价包含实现本项目的所有功能及安全保障工作所需费用，其应包括（但不限于）开发、标准附件、备品备件、服务、专用工具、安装、调试、检验、培训、运输、保险、税款、验收、劳务、人员工资、奖金、各种加班费、食宿与交通、安全、管理、质保、保险、利润、税金、政策性文件规定及合同包含的所有风险、责任等所有费用，供应商认为必需的费用，也应综合考虑</w:t>
      </w:r>
      <w:r>
        <w:rPr>
          <w:rFonts w:hint="eastAsia" w:hAnsi="宋体" w:cs="宋体"/>
          <w:color w:val="auto"/>
          <w:sz w:val="21"/>
          <w:szCs w:val="21"/>
          <w:highlight w:val="none"/>
          <w:lang w:val="en-US" w:eastAsia="zh-CN"/>
        </w:rPr>
        <w:t>。</w:t>
      </w:r>
    </w:p>
    <w:p w14:paraId="4B65C817">
      <w:pPr>
        <w:pStyle w:val="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2.报价一经涂改，应在涂改处加盖单位公章，或者由法定代表人或全权代表签字或盖章，否则作无效标处理。</w:t>
      </w:r>
    </w:p>
    <w:p w14:paraId="32209079">
      <w:pPr>
        <w:keepNext w:val="0"/>
        <w:keepLines w:val="0"/>
        <w:pageBreakBefore w:val="0"/>
        <w:tabs>
          <w:tab w:val="left" w:pos="4860"/>
        </w:tabs>
        <w:kinsoku/>
        <w:wordWrap/>
        <w:overflowPunct/>
        <w:topLinePunct w:val="0"/>
        <w:autoSpaceDE/>
        <w:autoSpaceDN/>
        <w:bidi w:val="0"/>
        <w:adjustRightInd/>
        <w:snapToGrid/>
        <w:spacing w:line="360" w:lineRule="auto"/>
        <w:ind w:right="0" w:firstLine="0" w:firstLineChars="0"/>
        <w:jc w:val="left"/>
        <w:textAlignment w:val="auto"/>
        <w:rPr>
          <w:rFonts w:hint="eastAsia" w:ascii="宋体" w:hAnsi="宋体" w:eastAsia="宋体" w:cs="宋体"/>
          <w:color w:val="auto"/>
          <w:sz w:val="24"/>
          <w:szCs w:val="24"/>
          <w:highlight w:val="none"/>
          <w:lang w:val="en-US" w:eastAsia="zh-CN"/>
        </w:rPr>
      </w:pPr>
    </w:p>
    <w:p w14:paraId="24C55BD5">
      <w:pPr>
        <w:keepNext w:val="0"/>
        <w:keepLines w:val="0"/>
        <w:pageBreakBefore w:val="0"/>
        <w:tabs>
          <w:tab w:val="left" w:pos="4860"/>
        </w:tabs>
        <w:kinsoku/>
        <w:wordWrap/>
        <w:overflowPunct/>
        <w:topLinePunct w:val="0"/>
        <w:autoSpaceDE/>
        <w:autoSpaceDN/>
        <w:bidi w:val="0"/>
        <w:adjustRightInd/>
        <w:snapToGrid/>
        <w:spacing w:line="360" w:lineRule="auto"/>
        <w:ind w:right="0" w:firstLine="0" w:firstLineChars="0"/>
        <w:jc w:val="left"/>
        <w:textAlignment w:val="auto"/>
        <w:rPr>
          <w:rFonts w:hint="eastAsia" w:ascii="宋体" w:hAnsi="宋体" w:eastAsia="宋体" w:cs="宋体"/>
          <w:color w:val="auto"/>
          <w:sz w:val="24"/>
          <w:szCs w:val="24"/>
          <w:highlight w:val="none"/>
          <w:lang w:val="en-US" w:eastAsia="zh-CN"/>
        </w:rPr>
      </w:pPr>
    </w:p>
    <w:p w14:paraId="129EB43F">
      <w:pPr>
        <w:keepNext w:val="0"/>
        <w:keepLines w:val="0"/>
        <w:pageBreakBefore w:val="0"/>
        <w:tabs>
          <w:tab w:val="left" w:pos="4860"/>
        </w:tabs>
        <w:kinsoku/>
        <w:wordWrap/>
        <w:overflowPunct/>
        <w:topLinePunct w:val="0"/>
        <w:autoSpaceDE/>
        <w:autoSpaceDN/>
        <w:bidi w:val="0"/>
        <w:adjustRightInd/>
        <w:snapToGrid/>
        <w:spacing w:line="360" w:lineRule="auto"/>
        <w:ind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供应商全称（公章）：</w:t>
      </w:r>
    </w:p>
    <w:p w14:paraId="539E70A1">
      <w:pPr>
        <w:keepNext w:val="0"/>
        <w:keepLines w:val="0"/>
        <w:pageBreakBefore w:val="0"/>
        <w:tabs>
          <w:tab w:val="left" w:pos="4860"/>
        </w:tabs>
        <w:kinsoku/>
        <w:wordWrap/>
        <w:overflowPunct/>
        <w:topLinePunct w:val="0"/>
        <w:autoSpaceDE/>
        <w:autoSpaceDN/>
        <w:bidi w:val="0"/>
        <w:adjustRightInd/>
        <w:snapToGrid/>
        <w:spacing w:line="360" w:lineRule="auto"/>
        <w:ind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法定代表人或授权委托人</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lang w:val="zh-CN" w:eastAsia="zh-CN"/>
        </w:rPr>
        <w:t>：</w:t>
      </w:r>
    </w:p>
    <w:p w14:paraId="0EDDC904">
      <w:pPr>
        <w:keepNext w:val="0"/>
        <w:keepLines w:val="0"/>
        <w:pageBreakBefore w:val="0"/>
        <w:tabs>
          <w:tab w:val="left" w:pos="4860"/>
        </w:tabs>
        <w:kinsoku/>
        <w:wordWrap/>
        <w:overflowPunct/>
        <w:topLinePunct w:val="0"/>
        <w:autoSpaceDE/>
        <w:autoSpaceDN/>
        <w:bidi w:val="0"/>
        <w:adjustRightInd/>
        <w:snapToGrid/>
        <w:spacing w:line="360" w:lineRule="auto"/>
        <w:ind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职        务：</w:t>
      </w:r>
    </w:p>
    <w:p w14:paraId="0FF565C6">
      <w:pPr>
        <w:keepNext w:val="0"/>
        <w:keepLines w:val="0"/>
        <w:pageBreakBefore w:val="0"/>
        <w:tabs>
          <w:tab w:val="left" w:pos="4860"/>
        </w:tabs>
        <w:kinsoku/>
        <w:wordWrap/>
        <w:overflowPunct/>
        <w:topLinePunct w:val="0"/>
        <w:autoSpaceDE/>
        <w:autoSpaceDN/>
        <w:bidi w:val="0"/>
        <w:adjustRightInd/>
        <w:snapToGrid/>
        <w:spacing w:line="360" w:lineRule="auto"/>
        <w:ind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        期：</w:t>
      </w:r>
    </w:p>
    <w:p w14:paraId="13051727">
      <w:pPr>
        <w:pStyle w:val="62"/>
        <w:shd w:val="clear" w:color="auto" w:fill="FFFFFF"/>
        <w:snapToGrid w:val="0"/>
        <w:spacing w:beforeLines="50" w:beforeAutospacing="0" w:afterLines="50" w:afterAutospacing="0"/>
        <w:rPr>
          <w:rFonts w:hint="eastAsia" w:ascii="宋体" w:hAnsi="宋体" w:eastAsia="宋体" w:cs="宋体"/>
          <w:b/>
          <w:color w:val="auto"/>
          <w:sz w:val="28"/>
          <w:highlight w:val="none"/>
        </w:rPr>
      </w:pPr>
    </w:p>
    <w:p w14:paraId="604FA96E">
      <w:pPr>
        <w:pStyle w:val="62"/>
        <w:shd w:val="clear" w:color="auto" w:fill="FFFFFF"/>
        <w:snapToGrid w:val="0"/>
        <w:spacing w:beforeLines="50" w:beforeAutospacing="0" w:afterLines="50" w:afterAutospacing="0"/>
        <w:rPr>
          <w:rFonts w:hint="eastAsia" w:ascii="宋体" w:hAnsi="宋体" w:eastAsia="宋体" w:cs="宋体"/>
          <w:b/>
          <w:color w:val="auto"/>
          <w:sz w:val="28"/>
          <w:highlight w:val="none"/>
        </w:rPr>
      </w:pPr>
    </w:p>
    <w:p w14:paraId="077F2F1A">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7672F582">
      <w:pPr>
        <w:pStyle w:val="62"/>
        <w:shd w:val="clear" w:color="auto" w:fill="FFFFFF"/>
        <w:snapToGrid w:val="0"/>
        <w:spacing w:beforeLines="50" w:beforeAutospacing="0" w:afterLines="50" w:afterAutospacing="0"/>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6</w:t>
      </w:r>
    </w:p>
    <w:p w14:paraId="0F4AAADA">
      <w:pPr>
        <w:pStyle w:val="62"/>
        <w:shd w:val="clear" w:color="auto" w:fill="FFFFFF"/>
        <w:snapToGrid w:val="0"/>
        <w:spacing w:beforeLines="50" w:beforeAutospacing="0" w:afterLines="50" w:afterAutospacing="0"/>
        <w:ind w:firstLine="498" w:firstLineChars="177"/>
        <w:rPr>
          <w:rFonts w:hint="eastAsia" w:ascii="宋体" w:hAnsi="宋体" w:eastAsia="宋体" w:cs="宋体"/>
          <w:color w:val="auto"/>
          <w:highlight w:val="none"/>
          <w:u w:val="single"/>
        </w:rPr>
      </w:pPr>
      <w:r>
        <w:rPr>
          <w:rFonts w:hint="eastAsia" w:ascii="宋体" w:hAnsi="宋体" w:eastAsia="宋体" w:cs="宋体"/>
          <w:b/>
          <w:color w:val="auto"/>
          <w:sz w:val="28"/>
          <w:highlight w:val="none"/>
        </w:rPr>
        <w:t>此附件在开标时进入最后报价环节填写，磋商响应文件中无需提供。</w:t>
      </w:r>
    </w:p>
    <w:p w14:paraId="37604855">
      <w:pPr>
        <w:spacing w:line="360" w:lineRule="auto"/>
        <w:ind w:left="-2" w:hanging="2"/>
        <w:jc w:val="center"/>
        <w:rPr>
          <w:rFonts w:hint="eastAsia" w:ascii="宋体" w:hAnsi="宋体" w:eastAsia="宋体" w:cs="宋体"/>
          <w:b/>
          <w:color w:val="auto"/>
          <w:sz w:val="32"/>
          <w:szCs w:val="32"/>
          <w:highlight w:val="none"/>
          <w:lang w:eastAsia="zh-CN"/>
        </w:rPr>
      </w:pPr>
      <w:r>
        <w:rPr>
          <w:rFonts w:hint="eastAsia" w:ascii="宋体" w:hAnsi="宋体" w:eastAsia="宋体" w:cs="宋体"/>
          <w:b/>
          <w:bCs/>
          <w:color w:val="auto"/>
          <w:sz w:val="32"/>
          <w:szCs w:val="32"/>
          <w:highlight w:val="none"/>
          <w:lang w:eastAsia="zh-CN"/>
        </w:rPr>
        <w:t>台州市公安局信息化办公驻点维护项目</w:t>
      </w:r>
    </w:p>
    <w:p w14:paraId="6C737A89">
      <w:pPr>
        <w:spacing w:line="480" w:lineRule="auto"/>
        <w:jc w:val="center"/>
        <w:rPr>
          <w:rFonts w:hint="eastAsia" w:ascii="宋体" w:hAnsi="宋体" w:eastAsia="宋体" w:cs="宋体"/>
          <w:color w:val="auto"/>
          <w:sz w:val="46"/>
          <w:szCs w:val="46"/>
          <w:highlight w:val="none"/>
        </w:rPr>
      </w:pPr>
      <w:r>
        <w:rPr>
          <w:rFonts w:hint="eastAsia" w:ascii="宋体" w:hAnsi="宋体" w:eastAsia="宋体" w:cs="宋体"/>
          <w:color w:val="auto"/>
          <w:sz w:val="46"/>
          <w:szCs w:val="46"/>
          <w:highlight w:val="none"/>
        </w:rPr>
        <w:t>最</w:t>
      </w:r>
      <w:r>
        <w:rPr>
          <w:rFonts w:hint="eastAsia" w:ascii="宋体" w:hAnsi="宋体" w:eastAsia="宋体" w:cs="宋体"/>
          <w:color w:val="auto"/>
          <w:sz w:val="46"/>
          <w:szCs w:val="46"/>
          <w:highlight w:val="none"/>
          <w:lang w:val="en-US" w:eastAsia="zh-CN"/>
        </w:rPr>
        <w:t>终</w:t>
      </w:r>
      <w:r>
        <w:rPr>
          <w:rFonts w:hint="eastAsia" w:ascii="宋体" w:hAnsi="宋体" w:eastAsia="宋体" w:cs="宋体"/>
          <w:color w:val="auto"/>
          <w:sz w:val="46"/>
          <w:szCs w:val="46"/>
          <w:highlight w:val="none"/>
        </w:rPr>
        <w:t>报价</w:t>
      </w:r>
    </w:p>
    <w:tbl>
      <w:tblPr>
        <w:tblStyle w:val="38"/>
        <w:tblW w:w="8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1"/>
      </w:tblGrid>
      <w:tr w14:paraId="3B81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8841" w:type="dxa"/>
            <w:vAlign w:val="center"/>
          </w:tcPr>
          <w:p w14:paraId="78EA4033">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最</w:t>
            </w:r>
            <w:r>
              <w:rPr>
                <w:rFonts w:hint="eastAsia" w:ascii="宋体" w:hAnsi="宋体" w:eastAsia="宋体" w:cs="宋体"/>
                <w:color w:val="auto"/>
                <w:sz w:val="30"/>
                <w:szCs w:val="30"/>
                <w:highlight w:val="none"/>
                <w:lang w:eastAsia="zh-CN"/>
              </w:rPr>
              <w:t>终</w:t>
            </w:r>
            <w:r>
              <w:rPr>
                <w:rFonts w:hint="eastAsia" w:ascii="宋体" w:hAnsi="宋体" w:eastAsia="宋体" w:cs="宋体"/>
                <w:color w:val="auto"/>
                <w:sz w:val="30"/>
                <w:szCs w:val="30"/>
                <w:highlight w:val="none"/>
              </w:rPr>
              <w:t>报价：¥</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rPr>
              <w:t>(元)</w:t>
            </w:r>
          </w:p>
        </w:tc>
      </w:tr>
      <w:tr w14:paraId="4977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841" w:type="dxa"/>
            <w:vAlign w:val="center"/>
          </w:tcPr>
          <w:p w14:paraId="26302438">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大写：</w:t>
            </w:r>
          </w:p>
        </w:tc>
      </w:tr>
      <w:tr w14:paraId="1758D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trPr>
        <w:tc>
          <w:tcPr>
            <w:tcW w:w="8841" w:type="dxa"/>
          </w:tcPr>
          <w:p w14:paraId="52BF9FAE">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其他磋商要点：</w:t>
            </w:r>
          </w:p>
        </w:tc>
      </w:tr>
    </w:tbl>
    <w:p w14:paraId="7F19ADAE">
      <w:pPr>
        <w:spacing w:line="360" w:lineRule="auto"/>
        <w:rPr>
          <w:rFonts w:hint="eastAsia" w:ascii="宋体" w:hAnsi="宋体" w:eastAsia="宋体" w:cs="宋体"/>
          <w:color w:val="auto"/>
          <w:sz w:val="24"/>
          <w:highlight w:val="none"/>
        </w:rPr>
      </w:pPr>
      <w:r>
        <w:rPr>
          <w:rFonts w:hint="eastAsia" w:ascii="宋体" w:hAnsi="宋体" w:eastAsia="宋体" w:cs="宋体"/>
          <w:b/>
          <w:color w:val="auto"/>
          <w:szCs w:val="21"/>
          <w:highlight w:val="none"/>
        </w:rPr>
        <w:t>填报要求：</w:t>
      </w:r>
    </w:p>
    <w:p w14:paraId="45914E33">
      <w:pPr>
        <w:pStyle w:val="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磋商报价包含实现本项目的所有功能及安全保障工作所需费用，其应包括（但不限于）开发、标准附件、备品备件、服务、专用工具、安装、调试、检验、培训、运输、保险、税款、验收、劳务、人员工资、奖金、各种加班费、食宿与交通、安全、管理、质保、保险、利润、税金、政策性文件规定及合同包含的所有风险、责任等所有费用，供应商认为必需的费用，也应综合考虑</w:t>
      </w:r>
      <w:r>
        <w:rPr>
          <w:rFonts w:hint="eastAsia" w:hAnsi="宋体" w:cs="宋体"/>
          <w:color w:val="auto"/>
          <w:sz w:val="21"/>
          <w:szCs w:val="21"/>
          <w:highlight w:val="none"/>
          <w:lang w:val="en-US" w:eastAsia="zh-CN"/>
        </w:rPr>
        <w:t>。</w:t>
      </w:r>
    </w:p>
    <w:p w14:paraId="252ED90E">
      <w:pPr>
        <w:pStyle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2.报价一经涂改，应在涂改处加盖单位公章，或者由法定代表人或全权代表签字或盖章，否则作无效标处理。</w:t>
      </w:r>
    </w:p>
    <w:p w14:paraId="77EA4536">
      <w:pPr>
        <w:keepNext w:val="0"/>
        <w:keepLines w:val="0"/>
        <w:pageBreakBefore w:val="0"/>
        <w:tabs>
          <w:tab w:val="left" w:pos="4860"/>
        </w:tabs>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color w:val="auto"/>
          <w:sz w:val="24"/>
          <w:szCs w:val="24"/>
          <w:highlight w:val="none"/>
          <w:lang w:val="en-US" w:eastAsia="zh-CN"/>
        </w:rPr>
      </w:pPr>
    </w:p>
    <w:p w14:paraId="474B5718">
      <w:pPr>
        <w:pStyle w:val="2"/>
        <w:rPr>
          <w:rFonts w:hint="eastAsia"/>
          <w:color w:val="auto"/>
          <w:highlight w:val="none"/>
          <w:lang w:val="en-US" w:eastAsia="zh-CN"/>
        </w:rPr>
      </w:pPr>
    </w:p>
    <w:p w14:paraId="40882811">
      <w:pPr>
        <w:keepNext w:val="0"/>
        <w:keepLines w:val="0"/>
        <w:pageBreakBefore w:val="0"/>
        <w:tabs>
          <w:tab w:val="left" w:pos="4860"/>
        </w:tabs>
        <w:kinsoku/>
        <w:wordWrap/>
        <w:overflowPunct/>
        <w:topLinePunct w:val="0"/>
        <w:autoSpaceDE/>
        <w:autoSpaceDN/>
        <w:bidi w:val="0"/>
        <w:adjustRightInd/>
        <w:snapToGrid/>
        <w:spacing w:line="360" w:lineRule="auto"/>
        <w:ind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供应商全称：</w:t>
      </w:r>
    </w:p>
    <w:p w14:paraId="798CC89B">
      <w:pPr>
        <w:keepNext w:val="0"/>
        <w:keepLines w:val="0"/>
        <w:pageBreakBefore w:val="0"/>
        <w:tabs>
          <w:tab w:val="left" w:pos="4860"/>
        </w:tabs>
        <w:kinsoku/>
        <w:wordWrap/>
        <w:overflowPunct/>
        <w:topLinePunct w:val="0"/>
        <w:autoSpaceDE/>
        <w:autoSpaceDN/>
        <w:bidi w:val="0"/>
        <w:adjustRightInd/>
        <w:snapToGrid/>
        <w:spacing w:line="360" w:lineRule="auto"/>
        <w:ind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法定代表人或授权委托人</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lang w:val="zh-CN" w:eastAsia="zh-CN"/>
        </w:rPr>
        <w:t>：</w:t>
      </w:r>
    </w:p>
    <w:p w14:paraId="0D56C37F">
      <w:pPr>
        <w:keepNext w:val="0"/>
        <w:keepLines w:val="0"/>
        <w:pageBreakBefore w:val="0"/>
        <w:tabs>
          <w:tab w:val="left" w:pos="4860"/>
        </w:tabs>
        <w:kinsoku/>
        <w:wordWrap/>
        <w:overflowPunct/>
        <w:topLinePunct w:val="0"/>
        <w:autoSpaceDE/>
        <w:autoSpaceDN/>
        <w:bidi w:val="0"/>
        <w:adjustRightInd/>
        <w:snapToGrid/>
        <w:spacing w:line="360" w:lineRule="auto"/>
        <w:ind w:right="0" w:firstLine="0" w:firstLineChars="0"/>
        <w:jc w:val="left"/>
        <w:textAlignment w:val="auto"/>
        <w:rPr>
          <w:rFonts w:hint="eastAsia" w:ascii="宋体" w:hAnsi="宋体" w:eastAsia="宋体" w:cs="宋体"/>
          <w:color w:val="auto"/>
          <w:highlight w:val="none"/>
          <w:u w:val="single"/>
        </w:rPr>
      </w:pPr>
      <w:r>
        <w:rPr>
          <w:rFonts w:hint="eastAsia" w:ascii="宋体" w:hAnsi="宋体" w:eastAsia="宋体" w:cs="宋体"/>
          <w:color w:val="auto"/>
          <w:sz w:val="24"/>
          <w:szCs w:val="24"/>
          <w:highlight w:val="none"/>
          <w:lang w:val="en-US" w:eastAsia="zh-CN"/>
        </w:rPr>
        <w:t>日        期：</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script"/>
    <w:pitch w:val="default"/>
    <w:sig w:usb0="00000000" w:usb1="00000000" w:usb2="00000012" w:usb3="00000000" w:csb0="00040001" w:csb1="00000000"/>
  </w:font>
  <w:font w:name="??">
    <w:altName w:val="微软雅黑"/>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源淏窪极潠极2.">
    <w:altName w:val="MingLiU-ExtB"/>
    <w:panose1 w:val="00000000000000000000"/>
    <w:charset w:val="88"/>
    <w:family w:val="swiss"/>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A90E2">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14:paraId="34DAD8DB">
                          <w:pPr>
                            <w:pStyle w:val="25"/>
                          </w:pPr>
                          <w:r>
                            <w:fldChar w:fldCharType="begin"/>
                          </w:r>
                          <w:r>
                            <w:instrText xml:space="preserve"> PAGE  \* MERGEFORMAT </w:instrText>
                          </w:r>
                          <w:r>
                            <w:fldChar w:fldCharType="separate"/>
                          </w:r>
                          <w:r>
                            <w:t>- 22 -</w:t>
                          </w:r>
                          <w: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6pebnP&#10;AAAABQEAAA8AAAAAAAAAAQAgAAAAIgAAAGRycy9kb3ducmV2LnhtbFBLAQIUABQAAAAIAIdO4kAN&#10;0eu98AEAAOIDAAAOAAAAAAAAAAEAIAAAAB4BAABkcnMvZTJvRG9jLnhtbFBLBQYAAAAABgAGAFkB&#10;AACABQAAAAA=&#10;">
              <v:fill on="f" focussize="0,0"/>
              <v:stroke on="f"/>
              <v:imagedata o:title=""/>
              <o:lock v:ext="edit" aspectratio="f"/>
              <v:textbox inset="0mm,0mm,0mm,0mm" style="mso-fit-shape-to-text:t;">
                <w:txbxContent>
                  <w:p w14:paraId="34DAD8DB">
                    <w:pPr>
                      <w:pStyle w:val="25"/>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C7794">
    <w:pPr>
      <w:pStyle w:val="2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C5D90EC">
                          <w:pPr>
                            <w:pStyle w:val="25"/>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VlfrwyAgAAY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7dX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V+vDICAABjBAAADgAAAAAAAAABACAAAAAfAQAAZHJzL2Uyb0RvYy54bWxQSwUG&#10;AAAAAAYABgBZAQAAwwUAAAAA&#10;">
              <v:fill on="f" focussize="0,0"/>
              <v:stroke on="f" weight="0.5pt"/>
              <v:imagedata o:title=""/>
              <o:lock v:ext="edit" aspectratio="f"/>
              <v:textbox inset="0mm,0mm,0mm,0mm" style="mso-fit-shape-to-text:t;">
                <w:txbxContent>
                  <w:p w14:paraId="6C5D90EC">
                    <w:pPr>
                      <w:pStyle w:val="25"/>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2DD75">
    <w:pPr>
      <w:spacing w:line="20" w:lineRule="atLeast"/>
      <w:rPr>
        <w:b/>
        <w:color w:val="808080"/>
        <w:sz w:val="10"/>
        <w:u w:val="single"/>
      </w:rPr>
    </w:pPr>
    <w:r>
      <w:rPr>
        <w:rFonts w:hint="eastAsia"/>
        <w:b/>
        <w:i/>
        <w:color w:val="808080"/>
        <w:spacing w:val="-20"/>
        <w:kern w:val="0"/>
        <w:sz w:val="18"/>
        <w:u w:val="single"/>
      </w:rPr>
      <w:t>第</w:t>
    </w:r>
    <w:r>
      <w:rPr>
        <w:b/>
        <w:i/>
        <w:color w:val="808080"/>
        <w:spacing w:val="-20"/>
        <w:kern w:val="0"/>
        <w:sz w:val="18"/>
        <w:u w:val="single"/>
      </w:rPr>
      <w:fldChar w:fldCharType="begin"/>
    </w:r>
    <w:r>
      <w:rPr>
        <w:b/>
        <w:i/>
        <w:color w:val="808080"/>
        <w:spacing w:val="-20"/>
        <w:kern w:val="0"/>
        <w:sz w:val="18"/>
        <w:u w:val="single"/>
      </w:rPr>
      <w:instrText xml:space="preserve"> PAGE </w:instrText>
    </w:r>
    <w:r>
      <w:rPr>
        <w:b/>
        <w:i/>
        <w:color w:val="808080"/>
        <w:spacing w:val="-20"/>
        <w:kern w:val="0"/>
        <w:sz w:val="18"/>
        <w:u w:val="single"/>
      </w:rPr>
      <w:fldChar w:fldCharType="separate"/>
    </w:r>
    <w:r>
      <w:rPr>
        <w:b/>
        <w:i/>
        <w:color w:val="808080"/>
        <w:spacing w:val="-20"/>
        <w:kern w:val="0"/>
        <w:sz w:val="18"/>
        <w:u w:val="single"/>
      </w:rPr>
      <w:t>- 22 -</w:t>
    </w:r>
    <w:r>
      <w:rPr>
        <w:b/>
        <w:i/>
        <w:color w:val="808080"/>
        <w:spacing w:val="-20"/>
        <w:kern w:val="0"/>
        <w:sz w:val="18"/>
        <w:u w:val="single"/>
      </w:rPr>
      <w:fldChar w:fldCharType="end"/>
    </w:r>
    <w:r>
      <w:rPr>
        <w:rFonts w:hint="eastAsia"/>
        <w:b/>
        <w:i/>
        <w:color w:val="808080"/>
        <w:spacing w:val="-20"/>
        <w:kern w:val="0"/>
        <w:sz w:val="18"/>
        <w:u w:val="single"/>
      </w:rPr>
      <w:t>页共</w:t>
    </w:r>
    <w:r>
      <w:rPr>
        <w:b/>
        <w:i/>
        <w:color w:val="808080"/>
        <w:spacing w:val="-20"/>
        <w:kern w:val="0"/>
        <w:sz w:val="18"/>
        <w:u w:val="single"/>
      </w:rPr>
      <w:fldChar w:fldCharType="begin"/>
    </w:r>
    <w:r>
      <w:rPr>
        <w:b/>
        <w:i/>
        <w:color w:val="808080"/>
        <w:spacing w:val="-20"/>
        <w:kern w:val="0"/>
        <w:sz w:val="18"/>
        <w:u w:val="single"/>
      </w:rPr>
      <w:instrText xml:space="preserve"> NUMPAGES </w:instrText>
    </w:r>
    <w:r>
      <w:rPr>
        <w:b/>
        <w:i/>
        <w:color w:val="808080"/>
        <w:spacing w:val="-20"/>
        <w:kern w:val="0"/>
        <w:sz w:val="18"/>
        <w:u w:val="single"/>
      </w:rPr>
      <w:fldChar w:fldCharType="separate"/>
    </w:r>
    <w:r>
      <w:rPr>
        <w:b/>
        <w:i/>
        <w:color w:val="808080"/>
        <w:spacing w:val="-20"/>
        <w:kern w:val="0"/>
        <w:sz w:val="18"/>
        <w:u w:val="single"/>
      </w:rPr>
      <w:t>56</w:t>
    </w:r>
    <w:r>
      <w:rPr>
        <w:b/>
        <w:i/>
        <w:color w:val="808080"/>
        <w:spacing w:val="-20"/>
        <w:kern w:val="0"/>
        <w:sz w:val="18"/>
        <w:u w:val="single"/>
      </w:rPr>
      <w:fldChar w:fldCharType="end"/>
    </w:r>
    <w:r>
      <w:rPr>
        <w:rFonts w:hint="eastAsia"/>
        <w:b/>
        <w:i/>
        <w:color w:val="808080"/>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7B2CA"/>
    <w:multiLevelType w:val="singleLevel"/>
    <w:tmpl w:val="AAF7B2CA"/>
    <w:lvl w:ilvl="0" w:tentative="0">
      <w:start w:val="1"/>
      <w:numFmt w:val="decimal"/>
      <w:suff w:val="nothing"/>
      <w:lvlText w:val="%1、"/>
      <w:lvlJc w:val="left"/>
    </w:lvl>
  </w:abstractNum>
  <w:abstractNum w:abstractNumId="1">
    <w:nsid w:val="E922FDBF"/>
    <w:multiLevelType w:val="singleLevel"/>
    <w:tmpl w:val="E922FDBF"/>
    <w:lvl w:ilvl="0" w:tentative="0">
      <w:start w:val="1"/>
      <w:numFmt w:val="decimal"/>
      <w:lvlText w:val="%1."/>
      <w:lvlJc w:val="left"/>
      <w:pPr>
        <w:tabs>
          <w:tab w:val="left" w:pos="312"/>
        </w:tabs>
      </w:pPr>
    </w:lvl>
  </w:abstractNum>
  <w:abstractNum w:abstractNumId="2">
    <w:nsid w:val="471E06A1"/>
    <w:multiLevelType w:val="singleLevel"/>
    <w:tmpl w:val="471E06A1"/>
    <w:lvl w:ilvl="0" w:tentative="0">
      <w:start w:val="1"/>
      <w:numFmt w:val="japaneseCounting"/>
      <w:pStyle w:val="13"/>
      <w:lvlText w:val="%1、"/>
      <w:lvlJc w:val="left"/>
      <w:pPr>
        <w:tabs>
          <w:tab w:val="left" w:pos="960"/>
        </w:tabs>
        <w:ind w:left="960" w:hanging="600"/>
      </w:pPr>
      <w:rPr>
        <w:rFonts w:hint="eastAsia"/>
        <w:lang w:val="en-US"/>
      </w:rPr>
    </w:lvl>
  </w:abstractNum>
  <w:abstractNum w:abstractNumId="3">
    <w:nsid w:val="4969F691"/>
    <w:multiLevelType w:val="singleLevel"/>
    <w:tmpl w:val="4969F691"/>
    <w:lvl w:ilvl="0" w:tentative="0">
      <w:start w:val="2"/>
      <w:numFmt w:val="decimal"/>
      <w:suff w:val="nothing"/>
      <w:lvlText w:val="（%1）"/>
      <w:lvlJc w:val="left"/>
    </w:lvl>
  </w:abstractNum>
  <w:abstractNum w:abstractNumId="4">
    <w:nsid w:val="4EEB4E0E"/>
    <w:multiLevelType w:val="multilevel"/>
    <w:tmpl w:val="4EEB4E0E"/>
    <w:lvl w:ilvl="0" w:tentative="0">
      <w:start w:val="2"/>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79AFC29D"/>
    <w:multiLevelType w:val="multilevel"/>
    <w:tmpl w:val="79AFC29D"/>
    <w:lvl w:ilvl="0" w:tentative="0">
      <w:start w:val="1"/>
      <w:numFmt w:val="chineseCounting"/>
      <w:pStyle w:val="4"/>
      <w:suff w:val="nothing"/>
      <w:lvlText w:val="%1、"/>
      <w:lvlJc w:val="left"/>
      <w:pPr>
        <w:tabs>
          <w:tab w:val="left" w:pos="0"/>
        </w:tabs>
        <w:ind w:left="0" w:firstLine="0"/>
      </w:pPr>
      <w:rPr>
        <w:rFonts w:hint="eastAsia" w:ascii="宋体" w:hAnsi="宋体" w:eastAsia="宋体" w:cs="宋体"/>
        <w:sz w:val="30"/>
        <w:szCs w:val="30"/>
      </w:rPr>
    </w:lvl>
    <w:lvl w:ilvl="1" w:tentative="0">
      <w:start w:val="1"/>
      <w:numFmt w:val="decimal"/>
      <w:pStyle w:val="5"/>
      <w:suff w:val="nothing"/>
      <w:lvlText w:val="%2."/>
      <w:lvlJc w:val="left"/>
      <w:pPr>
        <w:tabs>
          <w:tab w:val="left" w:pos="0"/>
        </w:tabs>
        <w:ind w:left="0" w:firstLine="0"/>
      </w:pPr>
      <w:rPr>
        <w:rFonts w:hint="eastAsia" w:ascii="宋体" w:hAnsi="宋体" w:eastAsia="宋体" w:cs="宋体"/>
        <w:sz w:val="28"/>
        <w:szCs w:val="28"/>
      </w:rPr>
    </w:lvl>
    <w:lvl w:ilvl="2" w:tentative="0">
      <w:start w:val="1"/>
      <w:numFmt w:val="decimal"/>
      <w:pStyle w:val="6"/>
      <w:isLgl/>
      <w:suff w:val="nothing"/>
      <w:lvlText w:val="%2.%3."/>
      <w:lvlJc w:val="left"/>
      <w:pPr>
        <w:tabs>
          <w:tab w:val="left" w:pos="0"/>
        </w:tabs>
        <w:ind w:left="210" w:firstLine="0"/>
      </w:pPr>
      <w:rPr>
        <w:rFonts w:hint="default" w:ascii="宋体" w:hAnsi="宋体" w:cs="宋体"/>
        <w:sz w:val="28"/>
        <w:szCs w:val="28"/>
        <w:highlight w:val="none"/>
      </w:rPr>
    </w:lvl>
    <w:lvl w:ilvl="3" w:tentative="0">
      <w:start w:val="1"/>
      <w:numFmt w:val="decimal"/>
      <w:pStyle w:val="7"/>
      <w:isLgl/>
      <w:suff w:val="nothing"/>
      <w:lvlText w:val="%2.%3.%4."/>
      <w:lvlJc w:val="left"/>
      <w:pPr>
        <w:ind w:left="0" w:firstLine="0"/>
      </w:pPr>
      <w:rPr>
        <w:rFonts w:hint="eastAsia" w:ascii="宋体" w:hAnsi="宋体" w:cs="宋体"/>
        <w:b/>
        <w:bCs/>
        <w:sz w:val="28"/>
        <w:szCs w:val="28"/>
      </w:rPr>
    </w:lvl>
    <w:lvl w:ilvl="4" w:tentative="0">
      <w:start w:val="1"/>
      <w:numFmt w:val="decimal"/>
      <w:pStyle w:val="8"/>
      <w:isLgl/>
      <w:suff w:val="nothing"/>
      <w:lvlText w:val="%2.%3.%4.%5."/>
      <w:lvlJc w:val="left"/>
      <w:pPr>
        <w:ind w:left="0" w:firstLine="0"/>
      </w:pPr>
      <w:rPr>
        <w:rFonts w:hint="eastAsia" w:ascii="宋体" w:hAnsi="宋体" w:cs="宋体"/>
        <w:b/>
        <w:bCs/>
        <w:sz w:val="28"/>
        <w:szCs w:val="28"/>
      </w:rPr>
    </w:lvl>
    <w:lvl w:ilvl="5" w:tentative="0">
      <w:start w:val="1"/>
      <w:numFmt w:val="decimal"/>
      <w:pStyle w:val="9"/>
      <w:isLgl/>
      <w:suff w:val="nothing"/>
      <w:lvlText w:val="%2.%3.%4.%5.%6."/>
      <w:lvlJc w:val="left"/>
      <w:pPr>
        <w:ind w:left="0" w:firstLine="0"/>
      </w:pPr>
      <w:rPr>
        <w:rFonts w:hint="eastAsia" w:ascii="宋体" w:hAnsi="宋体" w:cs="宋体"/>
      </w:rPr>
    </w:lvl>
    <w:lvl w:ilvl="6" w:tentative="0">
      <w:start w:val="1"/>
      <w:numFmt w:val="lowerLetter"/>
      <w:pStyle w:val="10"/>
      <w:suff w:val="nothing"/>
      <w:lvlText w:val="%7．"/>
      <w:lvlJc w:val="left"/>
      <w:pPr>
        <w:ind w:left="0" w:firstLine="402"/>
      </w:pPr>
      <w:rPr>
        <w:rFonts w:hint="eastAsia"/>
      </w:rPr>
    </w:lvl>
    <w:lvl w:ilvl="7" w:tentative="0">
      <w:start w:val="1"/>
      <w:numFmt w:val="decimal"/>
      <w:pStyle w:val="11"/>
      <w:suff w:val="nothing"/>
      <w:lvlText w:val="3.%8."/>
      <w:lvlJc w:val="left"/>
      <w:pPr>
        <w:tabs>
          <w:tab w:val="left" w:pos="0"/>
        </w:tabs>
        <w:ind w:left="0" w:firstLine="0"/>
      </w:pPr>
      <w:rPr>
        <w:rFonts w:hint="eastAsia" w:ascii="宋体" w:hAnsi="宋体" w:eastAsia="宋体" w:cs="宋体"/>
        <w:sz w:val="28"/>
        <w:szCs w:val="28"/>
      </w:rPr>
    </w:lvl>
    <w:lvl w:ilvl="8" w:tentative="0">
      <w:start w:val="1"/>
      <w:numFmt w:val="decimal"/>
      <w:pStyle w:val="12"/>
      <w:suff w:val="nothing"/>
      <w:lvlText w:val="4.%9 ."/>
      <w:lvlJc w:val="left"/>
      <w:pPr>
        <w:tabs>
          <w:tab w:val="left" w:pos="0"/>
        </w:tabs>
        <w:ind w:left="0" w:firstLine="402"/>
      </w:pPr>
      <w:rPr>
        <w:rFonts w:hint="eastAsia" w:ascii="宋体" w:hAnsi="宋体" w:cs="宋体"/>
        <w:b/>
        <w:bCs/>
        <w:sz w:val="28"/>
        <w:szCs w:val="28"/>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dit="trackedChanges"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2YTgyZDU3ZWYxMmFlYjM2ZTg3NjhiZmFkMTdkMDQifQ=="/>
  </w:docVars>
  <w:rsids>
    <w:rsidRoot w:val="00225CDE"/>
    <w:rsid w:val="00002FCA"/>
    <w:rsid w:val="00003136"/>
    <w:rsid w:val="000068E3"/>
    <w:rsid w:val="00007EDE"/>
    <w:rsid w:val="000113CF"/>
    <w:rsid w:val="0001328F"/>
    <w:rsid w:val="00014706"/>
    <w:rsid w:val="00014A3D"/>
    <w:rsid w:val="0002114A"/>
    <w:rsid w:val="000238C2"/>
    <w:rsid w:val="00023C88"/>
    <w:rsid w:val="000251CD"/>
    <w:rsid w:val="00026889"/>
    <w:rsid w:val="00033334"/>
    <w:rsid w:val="00034FCB"/>
    <w:rsid w:val="00041CD0"/>
    <w:rsid w:val="00056C73"/>
    <w:rsid w:val="00057F44"/>
    <w:rsid w:val="000618F0"/>
    <w:rsid w:val="000643FA"/>
    <w:rsid w:val="0007117D"/>
    <w:rsid w:val="00076373"/>
    <w:rsid w:val="00077284"/>
    <w:rsid w:val="00077A92"/>
    <w:rsid w:val="00084D51"/>
    <w:rsid w:val="00092528"/>
    <w:rsid w:val="00093886"/>
    <w:rsid w:val="00096DB4"/>
    <w:rsid w:val="0009771D"/>
    <w:rsid w:val="00097FF8"/>
    <w:rsid w:val="000A1947"/>
    <w:rsid w:val="000A3E87"/>
    <w:rsid w:val="000A5FE4"/>
    <w:rsid w:val="000A6575"/>
    <w:rsid w:val="000A65B4"/>
    <w:rsid w:val="000B3F40"/>
    <w:rsid w:val="000B523F"/>
    <w:rsid w:val="000B736F"/>
    <w:rsid w:val="000C0B10"/>
    <w:rsid w:val="000C5B76"/>
    <w:rsid w:val="000C6D68"/>
    <w:rsid w:val="000C734F"/>
    <w:rsid w:val="000D4371"/>
    <w:rsid w:val="000E308E"/>
    <w:rsid w:val="000E3830"/>
    <w:rsid w:val="000F5B40"/>
    <w:rsid w:val="00111749"/>
    <w:rsid w:val="00111E1B"/>
    <w:rsid w:val="00112B03"/>
    <w:rsid w:val="00114E4B"/>
    <w:rsid w:val="00116C9D"/>
    <w:rsid w:val="001224C6"/>
    <w:rsid w:val="00122D50"/>
    <w:rsid w:val="001230AB"/>
    <w:rsid w:val="00126A4C"/>
    <w:rsid w:val="001318A9"/>
    <w:rsid w:val="00131B16"/>
    <w:rsid w:val="001346F0"/>
    <w:rsid w:val="0013792F"/>
    <w:rsid w:val="00140EC9"/>
    <w:rsid w:val="00142A30"/>
    <w:rsid w:val="00142C82"/>
    <w:rsid w:val="00147C0A"/>
    <w:rsid w:val="001501C0"/>
    <w:rsid w:val="001516AF"/>
    <w:rsid w:val="00153F10"/>
    <w:rsid w:val="001574E8"/>
    <w:rsid w:val="0016361A"/>
    <w:rsid w:val="00164781"/>
    <w:rsid w:val="00166951"/>
    <w:rsid w:val="00166D22"/>
    <w:rsid w:val="00173E22"/>
    <w:rsid w:val="001761D3"/>
    <w:rsid w:val="001771E5"/>
    <w:rsid w:val="001778D7"/>
    <w:rsid w:val="00181F9E"/>
    <w:rsid w:val="001830C2"/>
    <w:rsid w:val="00190B97"/>
    <w:rsid w:val="00191356"/>
    <w:rsid w:val="0019183A"/>
    <w:rsid w:val="00196345"/>
    <w:rsid w:val="00196BAF"/>
    <w:rsid w:val="001A554A"/>
    <w:rsid w:val="001A6152"/>
    <w:rsid w:val="001A629F"/>
    <w:rsid w:val="001A73CA"/>
    <w:rsid w:val="001B40C9"/>
    <w:rsid w:val="001D1DB2"/>
    <w:rsid w:val="001D53D7"/>
    <w:rsid w:val="001D7F0C"/>
    <w:rsid w:val="001E2D5E"/>
    <w:rsid w:val="001E4207"/>
    <w:rsid w:val="001E66E4"/>
    <w:rsid w:val="001E738B"/>
    <w:rsid w:val="001E7EDC"/>
    <w:rsid w:val="001F00FE"/>
    <w:rsid w:val="00201A41"/>
    <w:rsid w:val="00202B0D"/>
    <w:rsid w:val="00204B47"/>
    <w:rsid w:val="00207A5A"/>
    <w:rsid w:val="002116C9"/>
    <w:rsid w:val="00211F4A"/>
    <w:rsid w:val="00217E6D"/>
    <w:rsid w:val="002208E0"/>
    <w:rsid w:val="00225CDE"/>
    <w:rsid w:val="00225EE4"/>
    <w:rsid w:val="002272C6"/>
    <w:rsid w:val="002336DD"/>
    <w:rsid w:val="00234C48"/>
    <w:rsid w:val="002363B0"/>
    <w:rsid w:val="002408EB"/>
    <w:rsid w:val="00241EB4"/>
    <w:rsid w:val="002428F7"/>
    <w:rsid w:val="00246F9E"/>
    <w:rsid w:val="00254AC0"/>
    <w:rsid w:val="00255016"/>
    <w:rsid w:val="00256AF7"/>
    <w:rsid w:val="00256CB0"/>
    <w:rsid w:val="00257A80"/>
    <w:rsid w:val="0026109B"/>
    <w:rsid w:val="002635F8"/>
    <w:rsid w:val="00263A18"/>
    <w:rsid w:val="00263B66"/>
    <w:rsid w:val="00264884"/>
    <w:rsid w:val="00270EB6"/>
    <w:rsid w:val="00271703"/>
    <w:rsid w:val="002760D9"/>
    <w:rsid w:val="00291659"/>
    <w:rsid w:val="00296AEA"/>
    <w:rsid w:val="002A18EC"/>
    <w:rsid w:val="002A46BE"/>
    <w:rsid w:val="002C3AF4"/>
    <w:rsid w:val="002C493A"/>
    <w:rsid w:val="002C5FCD"/>
    <w:rsid w:val="002D0961"/>
    <w:rsid w:val="002D1599"/>
    <w:rsid w:val="002D1656"/>
    <w:rsid w:val="002D3351"/>
    <w:rsid w:val="002D3C2B"/>
    <w:rsid w:val="002D4E9E"/>
    <w:rsid w:val="002E0695"/>
    <w:rsid w:val="002E12F2"/>
    <w:rsid w:val="002E4B72"/>
    <w:rsid w:val="002F14B6"/>
    <w:rsid w:val="002F1649"/>
    <w:rsid w:val="002F2E84"/>
    <w:rsid w:val="002F52DF"/>
    <w:rsid w:val="002F61FA"/>
    <w:rsid w:val="002F67C7"/>
    <w:rsid w:val="0031041F"/>
    <w:rsid w:val="00314627"/>
    <w:rsid w:val="00314F2B"/>
    <w:rsid w:val="00317C2F"/>
    <w:rsid w:val="0032065E"/>
    <w:rsid w:val="00321186"/>
    <w:rsid w:val="00321974"/>
    <w:rsid w:val="003261EA"/>
    <w:rsid w:val="0033046C"/>
    <w:rsid w:val="0033564A"/>
    <w:rsid w:val="00336F8A"/>
    <w:rsid w:val="00344723"/>
    <w:rsid w:val="003448C9"/>
    <w:rsid w:val="0034629D"/>
    <w:rsid w:val="00347B85"/>
    <w:rsid w:val="003505FE"/>
    <w:rsid w:val="0035233F"/>
    <w:rsid w:val="00356539"/>
    <w:rsid w:val="003625A2"/>
    <w:rsid w:val="0036637D"/>
    <w:rsid w:val="003671A6"/>
    <w:rsid w:val="003672EE"/>
    <w:rsid w:val="00372507"/>
    <w:rsid w:val="00372E53"/>
    <w:rsid w:val="00374028"/>
    <w:rsid w:val="00374CB0"/>
    <w:rsid w:val="003769A9"/>
    <w:rsid w:val="00376C70"/>
    <w:rsid w:val="0038574C"/>
    <w:rsid w:val="00386D57"/>
    <w:rsid w:val="00387546"/>
    <w:rsid w:val="003915F1"/>
    <w:rsid w:val="00395D0D"/>
    <w:rsid w:val="00397A50"/>
    <w:rsid w:val="003A53DD"/>
    <w:rsid w:val="003B04B4"/>
    <w:rsid w:val="003B6AA1"/>
    <w:rsid w:val="003B7536"/>
    <w:rsid w:val="003B766B"/>
    <w:rsid w:val="003C09F1"/>
    <w:rsid w:val="003D06E7"/>
    <w:rsid w:val="003D22B7"/>
    <w:rsid w:val="003D3BED"/>
    <w:rsid w:val="003D7521"/>
    <w:rsid w:val="003E1D65"/>
    <w:rsid w:val="003E4624"/>
    <w:rsid w:val="003F0CC5"/>
    <w:rsid w:val="003F1CBF"/>
    <w:rsid w:val="00405E5A"/>
    <w:rsid w:val="0041248C"/>
    <w:rsid w:val="004132D1"/>
    <w:rsid w:val="0041416B"/>
    <w:rsid w:val="004147D9"/>
    <w:rsid w:val="00424ECB"/>
    <w:rsid w:val="00434EB3"/>
    <w:rsid w:val="0044224A"/>
    <w:rsid w:val="00444B14"/>
    <w:rsid w:val="00450129"/>
    <w:rsid w:val="00450A1F"/>
    <w:rsid w:val="00451375"/>
    <w:rsid w:val="00452557"/>
    <w:rsid w:val="00456047"/>
    <w:rsid w:val="00456F48"/>
    <w:rsid w:val="00457B04"/>
    <w:rsid w:val="00457DC6"/>
    <w:rsid w:val="0046059F"/>
    <w:rsid w:val="004627F9"/>
    <w:rsid w:val="004663F2"/>
    <w:rsid w:val="00467876"/>
    <w:rsid w:val="00483B2B"/>
    <w:rsid w:val="00484041"/>
    <w:rsid w:val="004921ED"/>
    <w:rsid w:val="004924E6"/>
    <w:rsid w:val="004932F9"/>
    <w:rsid w:val="004A025E"/>
    <w:rsid w:val="004A2C45"/>
    <w:rsid w:val="004A4ACE"/>
    <w:rsid w:val="004B0C7C"/>
    <w:rsid w:val="004B1F33"/>
    <w:rsid w:val="004B248F"/>
    <w:rsid w:val="004B3421"/>
    <w:rsid w:val="004B3465"/>
    <w:rsid w:val="004C6BF3"/>
    <w:rsid w:val="004C6C06"/>
    <w:rsid w:val="004D0AB5"/>
    <w:rsid w:val="004D23EA"/>
    <w:rsid w:val="004D4442"/>
    <w:rsid w:val="004D4E7A"/>
    <w:rsid w:val="004E1B0E"/>
    <w:rsid w:val="004E2E89"/>
    <w:rsid w:val="004E6325"/>
    <w:rsid w:val="004F53F0"/>
    <w:rsid w:val="004F6293"/>
    <w:rsid w:val="004F6578"/>
    <w:rsid w:val="00501A03"/>
    <w:rsid w:val="00505E7A"/>
    <w:rsid w:val="00507499"/>
    <w:rsid w:val="005078C0"/>
    <w:rsid w:val="0051052F"/>
    <w:rsid w:val="00514CCC"/>
    <w:rsid w:val="00515044"/>
    <w:rsid w:val="005256DD"/>
    <w:rsid w:val="0052619C"/>
    <w:rsid w:val="00527BD5"/>
    <w:rsid w:val="00531116"/>
    <w:rsid w:val="00535955"/>
    <w:rsid w:val="0054170A"/>
    <w:rsid w:val="00541A44"/>
    <w:rsid w:val="005423FB"/>
    <w:rsid w:val="00551CB4"/>
    <w:rsid w:val="00551DA4"/>
    <w:rsid w:val="00551E5F"/>
    <w:rsid w:val="005553F1"/>
    <w:rsid w:val="005608E9"/>
    <w:rsid w:val="00562B0A"/>
    <w:rsid w:val="005677F8"/>
    <w:rsid w:val="00573153"/>
    <w:rsid w:val="00583898"/>
    <w:rsid w:val="00595C5D"/>
    <w:rsid w:val="005A4133"/>
    <w:rsid w:val="005A5FA1"/>
    <w:rsid w:val="005B01FB"/>
    <w:rsid w:val="005B16A7"/>
    <w:rsid w:val="005B2CB7"/>
    <w:rsid w:val="005B3546"/>
    <w:rsid w:val="005B49A7"/>
    <w:rsid w:val="005B4F70"/>
    <w:rsid w:val="005B5F8B"/>
    <w:rsid w:val="005B7068"/>
    <w:rsid w:val="005C0B06"/>
    <w:rsid w:val="005C4BAA"/>
    <w:rsid w:val="005D6DEB"/>
    <w:rsid w:val="005E440B"/>
    <w:rsid w:val="005E44AE"/>
    <w:rsid w:val="005E488C"/>
    <w:rsid w:val="005E76E1"/>
    <w:rsid w:val="005E7BDA"/>
    <w:rsid w:val="005F5F0B"/>
    <w:rsid w:val="005F673A"/>
    <w:rsid w:val="005F6A48"/>
    <w:rsid w:val="005F794F"/>
    <w:rsid w:val="00615F84"/>
    <w:rsid w:val="006261DB"/>
    <w:rsid w:val="00627192"/>
    <w:rsid w:val="00627531"/>
    <w:rsid w:val="00630FA1"/>
    <w:rsid w:val="006350F0"/>
    <w:rsid w:val="006364A3"/>
    <w:rsid w:val="00637E20"/>
    <w:rsid w:val="006439F3"/>
    <w:rsid w:val="00644F81"/>
    <w:rsid w:val="00645549"/>
    <w:rsid w:val="00645967"/>
    <w:rsid w:val="00645BD2"/>
    <w:rsid w:val="006475F2"/>
    <w:rsid w:val="006525B5"/>
    <w:rsid w:val="006616BF"/>
    <w:rsid w:val="00661F52"/>
    <w:rsid w:val="006624C3"/>
    <w:rsid w:val="00664A3A"/>
    <w:rsid w:val="006707D6"/>
    <w:rsid w:val="00671660"/>
    <w:rsid w:val="00671A9F"/>
    <w:rsid w:val="00675B75"/>
    <w:rsid w:val="006933A8"/>
    <w:rsid w:val="006946DC"/>
    <w:rsid w:val="0069520F"/>
    <w:rsid w:val="00695E5C"/>
    <w:rsid w:val="00697352"/>
    <w:rsid w:val="006A1349"/>
    <w:rsid w:val="006D14F1"/>
    <w:rsid w:val="006F1EF4"/>
    <w:rsid w:val="006F1FF3"/>
    <w:rsid w:val="006F2265"/>
    <w:rsid w:val="00700A76"/>
    <w:rsid w:val="007106F0"/>
    <w:rsid w:val="007109F8"/>
    <w:rsid w:val="00711694"/>
    <w:rsid w:val="0071578B"/>
    <w:rsid w:val="00717067"/>
    <w:rsid w:val="007172C4"/>
    <w:rsid w:val="00721909"/>
    <w:rsid w:val="00721EC7"/>
    <w:rsid w:val="007237F5"/>
    <w:rsid w:val="007300AA"/>
    <w:rsid w:val="00730F23"/>
    <w:rsid w:val="007313D6"/>
    <w:rsid w:val="0073498A"/>
    <w:rsid w:val="0074057F"/>
    <w:rsid w:val="00741407"/>
    <w:rsid w:val="00742509"/>
    <w:rsid w:val="00744D37"/>
    <w:rsid w:val="00753C4C"/>
    <w:rsid w:val="0075462B"/>
    <w:rsid w:val="00755E00"/>
    <w:rsid w:val="00762630"/>
    <w:rsid w:val="0076296F"/>
    <w:rsid w:val="00770B44"/>
    <w:rsid w:val="00770BF5"/>
    <w:rsid w:val="00771A4A"/>
    <w:rsid w:val="00771B66"/>
    <w:rsid w:val="0077324E"/>
    <w:rsid w:val="00782F73"/>
    <w:rsid w:val="00787152"/>
    <w:rsid w:val="00797397"/>
    <w:rsid w:val="007A37B9"/>
    <w:rsid w:val="007A6B99"/>
    <w:rsid w:val="007A6CC6"/>
    <w:rsid w:val="007B1D1F"/>
    <w:rsid w:val="007B689E"/>
    <w:rsid w:val="007C608A"/>
    <w:rsid w:val="007D3FD7"/>
    <w:rsid w:val="007D54B5"/>
    <w:rsid w:val="007D7293"/>
    <w:rsid w:val="007E2766"/>
    <w:rsid w:val="007E53C3"/>
    <w:rsid w:val="007F3F07"/>
    <w:rsid w:val="007F4149"/>
    <w:rsid w:val="007F5652"/>
    <w:rsid w:val="007F6B9D"/>
    <w:rsid w:val="007F7985"/>
    <w:rsid w:val="00805C31"/>
    <w:rsid w:val="00805C45"/>
    <w:rsid w:val="00812347"/>
    <w:rsid w:val="00814AFC"/>
    <w:rsid w:val="0081595C"/>
    <w:rsid w:val="00821977"/>
    <w:rsid w:val="00840672"/>
    <w:rsid w:val="00842103"/>
    <w:rsid w:val="0084380A"/>
    <w:rsid w:val="00846498"/>
    <w:rsid w:val="0085095B"/>
    <w:rsid w:val="00860480"/>
    <w:rsid w:val="00862B90"/>
    <w:rsid w:val="00872732"/>
    <w:rsid w:val="0087659D"/>
    <w:rsid w:val="00880016"/>
    <w:rsid w:val="008833CA"/>
    <w:rsid w:val="00887228"/>
    <w:rsid w:val="00887312"/>
    <w:rsid w:val="008878C2"/>
    <w:rsid w:val="00890006"/>
    <w:rsid w:val="008913E5"/>
    <w:rsid w:val="0089321C"/>
    <w:rsid w:val="0089362A"/>
    <w:rsid w:val="00893875"/>
    <w:rsid w:val="00894544"/>
    <w:rsid w:val="00895956"/>
    <w:rsid w:val="00895D88"/>
    <w:rsid w:val="008A0A4B"/>
    <w:rsid w:val="008A4C03"/>
    <w:rsid w:val="008A4D22"/>
    <w:rsid w:val="008A5E57"/>
    <w:rsid w:val="008B3853"/>
    <w:rsid w:val="008B7488"/>
    <w:rsid w:val="008B7D5E"/>
    <w:rsid w:val="008C2A6F"/>
    <w:rsid w:val="008D13CD"/>
    <w:rsid w:val="008D181F"/>
    <w:rsid w:val="008D5A5C"/>
    <w:rsid w:val="008D6268"/>
    <w:rsid w:val="008F3150"/>
    <w:rsid w:val="008F3A7C"/>
    <w:rsid w:val="008F46E1"/>
    <w:rsid w:val="00900F60"/>
    <w:rsid w:val="00910878"/>
    <w:rsid w:val="00914E27"/>
    <w:rsid w:val="00917D80"/>
    <w:rsid w:val="009303C2"/>
    <w:rsid w:val="0093416F"/>
    <w:rsid w:val="00934FD8"/>
    <w:rsid w:val="00942598"/>
    <w:rsid w:val="00943D9A"/>
    <w:rsid w:val="00943DEF"/>
    <w:rsid w:val="00952559"/>
    <w:rsid w:val="009531A6"/>
    <w:rsid w:val="00953824"/>
    <w:rsid w:val="00953CD2"/>
    <w:rsid w:val="009546B0"/>
    <w:rsid w:val="00955A0B"/>
    <w:rsid w:val="00957C45"/>
    <w:rsid w:val="0096328A"/>
    <w:rsid w:val="009755FF"/>
    <w:rsid w:val="00977516"/>
    <w:rsid w:val="0098301C"/>
    <w:rsid w:val="00984B2D"/>
    <w:rsid w:val="00984F88"/>
    <w:rsid w:val="009854D8"/>
    <w:rsid w:val="0098566F"/>
    <w:rsid w:val="00990C56"/>
    <w:rsid w:val="009A15BD"/>
    <w:rsid w:val="009A3520"/>
    <w:rsid w:val="009A3D0C"/>
    <w:rsid w:val="009A3EB3"/>
    <w:rsid w:val="009A4312"/>
    <w:rsid w:val="009A5812"/>
    <w:rsid w:val="009A75F9"/>
    <w:rsid w:val="009B48C0"/>
    <w:rsid w:val="009B65B9"/>
    <w:rsid w:val="009B6B78"/>
    <w:rsid w:val="009C19EE"/>
    <w:rsid w:val="009C3BDA"/>
    <w:rsid w:val="009C5D41"/>
    <w:rsid w:val="009C7F30"/>
    <w:rsid w:val="009D5772"/>
    <w:rsid w:val="009D5F20"/>
    <w:rsid w:val="009E49FD"/>
    <w:rsid w:val="009E4C25"/>
    <w:rsid w:val="009F0D9E"/>
    <w:rsid w:val="009F33DA"/>
    <w:rsid w:val="009F66EB"/>
    <w:rsid w:val="00A16813"/>
    <w:rsid w:val="00A1730B"/>
    <w:rsid w:val="00A17C65"/>
    <w:rsid w:val="00A2177C"/>
    <w:rsid w:val="00A224A8"/>
    <w:rsid w:val="00A256A3"/>
    <w:rsid w:val="00A3344B"/>
    <w:rsid w:val="00A342E2"/>
    <w:rsid w:val="00A360E1"/>
    <w:rsid w:val="00A3713E"/>
    <w:rsid w:val="00A51F7A"/>
    <w:rsid w:val="00A525F7"/>
    <w:rsid w:val="00A53716"/>
    <w:rsid w:val="00A5441D"/>
    <w:rsid w:val="00A565C9"/>
    <w:rsid w:val="00A570D7"/>
    <w:rsid w:val="00A5737F"/>
    <w:rsid w:val="00A677F0"/>
    <w:rsid w:val="00A81B69"/>
    <w:rsid w:val="00A913AC"/>
    <w:rsid w:val="00A924D4"/>
    <w:rsid w:val="00A93BF9"/>
    <w:rsid w:val="00A946BA"/>
    <w:rsid w:val="00AA04C7"/>
    <w:rsid w:val="00AA50F9"/>
    <w:rsid w:val="00AA7D94"/>
    <w:rsid w:val="00AC0342"/>
    <w:rsid w:val="00AC3C97"/>
    <w:rsid w:val="00AC6351"/>
    <w:rsid w:val="00AD6BE3"/>
    <w:rsid w:val="00AE046F"/>
    <w:rsid w:val="00AE0632"/>
    <w:rsid w:val="00AE24B1"/>
    <w:rsid w:val="00AE492D"/>
    <w:rsid w:val="00AE7F9B"/>
    <w:rsid w:val="00AF3BA8"/>
    <w:rsid w:val="00AF4390"/>
    <w:rsid w:val="00AF49C8"/>
    <w:rsid w:val="00AF5299"/>
    <w:rsid w:val="00AF54C2"/>
    <w:rsid w:val="00AF7B2C"/>
    <w:rsid w:val="00B00F2F"/>
    <w:rsid w:val="00B010A1"/>
    <w:rsid w:val="00B031D9"/>
    <w:rsid w:val="00B03A22"/>
    <w:rsid w:val="00B06C8B"/>
    <w:rsid w:val="00B12781"/>
    <w:rsid w:val="00B17A77"/>
    <w:rsid w:val="00B25614"/>
    <w:rsid w:val="00B25F6A"/>
    <w:rsid w:val="00B26944"/>
    <w:rsid w:val="00B301E9"/>
    <w:rsid w:val="00B30F4B"/>
    <w:rsid w:val="00B31023"/>
    <w:rsid w:val="00B3371A"/>
    <w:rsid w:val="00B413E0"/>
    <w:rsid w:val="00B42F9F"/>
    <w:rsid w:val="00B445C7"/>
    <w:rsid w:val="00B47353"/>
    <w:rsid w:val="00B47A0E"/>
    <w:rsid w:val="00B53457"/>
    <w:rsid w:val="00B562B5"/>
    <w:rsid w:val="00B62DB0"/>
    <w:rsid w:val="00B65F14"/>
    <w:rsid w:val="00B66E6B"/>
    <w:rsid w:val="00B71D6C"/>
    <w:rsid w:val="00B71E7B"/>
    <w:rsid w:val="00B725B1"/>
    <w:rsid w:val="00B75202"/>
    <w:rsid w:val="00B77C01"/>
    <w:rsid w:val="00B81990"/>
    <w:rsid w:val="00B83443"/>
    <w:rsid w:val="00B846C1"/>
    <w:rsid w:val="00B876B8"/>
    <w:rsid w:val="00B87DB7"/>
    <w:rsid w:val="00B97537"/>
    <w:rsid w:val="00B97748"/>
    <w:rsid w:val="00BA47A9"/>
    <w:rsid w:val="00BA74E1"/>
    <w:rsid w:val="00BB5156"/>
    <w:rsid w:val="00BC64BE"/>
    <w:rsid w:val="00BC7CBA"/>
    <w:rsid w:val="00BD09D8"/>
    <w:rsid w:val="00BE0FA1"/>
    <w:rsid w:val="00BE1AF7"/>
    <w:rsid w:val="00BE1B9F"/>
    <w:rsid w:val="00BE2E9A"/>
    <w:rsid w:val="00BE3750"/>
    <w:rsid w:val="00BE6831"/>
    <w:rsid w:val="00BF103A"/>
    <w:rsid w:val="00BF5504"/>
    <w:rsid w:val="00BF7DC7"/>
    <w:rsid w:val="00C06AB1"/>
    <w:rsid w:val="00C06BDF"/>
    <w:rsid w:val="00C103B2"/>
    <w:rsid w:val="00C149CA"/>
    <w:rsid w:val="00C152E9"/>
    <w:rsid w:val="00C15886"/>
    <w:rsid w:val="00C2084F"/>
    <w:rsid w:val="00C20A8F"/>
    <w:rsid w:val="00C2789E"/>
    <w:rsid w:val="00C4711F"/>
    <w:rsid w:val="00C5451B"/>
    <w:rsid w:val="00C61009"/>
    <w:rsid w:val="00C62AF2"/>
    <w:rsid w:val="00C6410B"/>
    <w:rsid w:val="00C64A2E"/>
    <w:rsid w:val="00C65610"/>
    <w:rsid w:val="00C67D39"/>
    <w:rsid w:val="00C737B9"/>
    <w:rsid w:val="00C77363"/>
    <w:rsid w:val="00C8151E"/>
    <w:rsid w:val="00C822D0"/>
    <w:rsid w:val="00C86970"/>
    <w:rsid w:val="00C91468"/>
    <w:rsid w:val="00C92065"/>
    <w:rsid w:val="00C94876"/>
    <w:rsid w:val="00C95B77"/>
    <w:rsid w:val="00CA3F62"/>
    <w:rsid w:val="00CB18CB"/>
    <w:rsid w:val="00CB2426"/>
    <w:rsid w:val="00CC2080"/>
    <w:rsid w:val="00CC483A"/>
    <w:rsid w:val="00CC6FC0"/>
    <w:rsid w:val="00CD0CE2"/>
    <w:rsid w:val="00CD1B25"/>
    <w:rsid w:val="00CD2CC4"/>
    <w:rsid w:val="00CE2A5B"/>
    <w:rsid w:val="00CE301F"/>
    <w:rsid w:val="00CF2EB6"/>
    <w:rsid w:val="00CF5A31"/>
    <w:rsid w:val="00CF6B07"/>
    <w:rsid w:val="00CF7383"/>
    <w:rsid w:val="00D03154"/>
    <w:rsid w:val="00D0555E"/>
    <w:rsid w:val="00D074D4"/>
    <w:rsid w:val="00D12B8A"/>
    <w:rsid w:val="00D15B78"/>
    <w:rsid w:val="00D378D3"/>
    <w:rsid w:val="00D441EC"/>
    <w:rsid w:val="00D453D0"/>
    <w:rsid w:val="00D47E73"/>
    <w:rsid w:val="00D61457"/>
    <w:rsid w:val="00D61FB4"/>
    <w:rsid w:val="00D63776"/>
    <w:rsid w:val="00D6549E"/>
    <w:rsid w:val="00D67704"/>
    <w:rsid w:val="00D71FD4"/>
    <w:rsid w:val="00D74207"/>
    <w:rsid w:val="00D74708"/>
    <w:rsid w:val="00D82BA2"/>
    <w:rsid w:val="00D83417"/>
    <w:rsid w:val="00D873CA"/>
    <w:rsid w:val="00DA027C"/>
    <w:rsid w:val="00DA09ED"/>
    <w:rsid w:val="00DA18A2"/>
    <w:rsid w:val="00DA5346"/>
    <w:rsid w:val="00DA5752"/>
    <w:rsid w:val="00DB7244"/>
    <w:rsid w:val="00DC075A"/>
    <w:rsid w:val="00DC2AA9"/>
    <w:rsid w:val="00DC4593"/>
    <w:rsid w:val="00DC5836"/>
    <w:rsid w:val="00DC5B38"/>
    <w:rsid w:val="00DD0861"/>
    <w:rsid w:val="00DD0F6B"/>
    <w:rsid w:val="00DD3A1A"/>
    <w:rsid w:val="00DD6107"/>
    <w:rsid w:val="00DE0CCA"/>
    <w:rsid w:val="00DE6B95"/>
    <w:rsid w:val="00DF100A"/>
    <w:rsid w:val="00DF3B7F"/>
    <w:rsid w:val="00E0335D"/>
    <w:rsid w:val="00E04C3C"/>
    <w:rsid w:val="00E052FD"/>
    <w:rsid w:val="00E11488"/>
    <w:rsid w:val="00E12C79"/>
    <w:rsid w:val="00E13C86"/>
    <w:rsid w:val="00E209D9"/>
    <w:rsid w:val="00E302E7"/>
    <w:rsid w:val="00E3305F"/>
    <w:rsid w:val="00E341E9"/>
    <w:rsid w:val="00E43868"/>
    <w:rsid w:val="00E563CF"/>
    <w:rsid w:val="00E5655A"/>
    <w:rsid w:val="00E64039"/>
    <w:rsid w:val="00E6434D"/>
    <w:rsid w:val="00E65B04"/>
    <w:rsid w:val="00E66F3C"/>
    <w:rsid w:val="00E813E3"/>
    <w:rsid w:val="00E82196"/>
    <w:rsid w:val="00E9598D"/>
    <w:rsid w:val="00EA3F96"/>
    <w:rsid w:val="00EA7801"/>
    <w:rsid w:val="00EB06F1"/>
    <w:rsid w:val="00EB0E64"/>
    <w:rsid w:val="00EB4D57"/>
    <w:rsid w:val="00EC0C0C"/>
    <w:rsid w:val="00EC3F20"/>
    <w:rsid w:val="00EC65A8"/>
    <w:rsid w:val="00EC69FA"/>
    <w:rsid w:val="00EC6F52"/>
    <w:rsid w:val="00EC74A6"/>
    <w:rsid w:val="00ED7569"/>
    <w:rsid w:val="00ED7816"/>
    <w:rsid w:val="00EE2C64"/>
    <w:rsid w:val="00EF1820"/>
    <w:rsid w:val="00EF681C"/>
    <w:rsid w:val="00EF7202"/>
    <w:rsid w:val="00EF7678"/>
    <w:rsid w:val="00F01BB1"/>
    <w:rsid w:val="00F06D0B"/>
    <w:rsid w:val="00F07551"/>
    <w:rsid w:val="00F07B97"/>
    <w:rsid w:val="00F12074"/>
    <w:rsid w:val="00F129D0"/>
    <w:rsid w:val="00F13256"/>
    <w:rsid w:val="00F149CB"/>
    <w:rsid w:val="00F2694A"/>
    <w:rsid w:val="00F32356"/>
    <w:rsid w:val="00F33447"/>
    <w:rsid w:val="00F35B00"/>
    <w:rsid w:val="00F37745"/>
    <w:rsid w:val="00F47C6D"/>
    <w:rsid w:val="00F6139A"/>
    <w:rsid w:val="00F63E20"/>
    <w:rsid w:val="00F667AF"/>
    <w:rsid w:val="00F707E6"/>
    <w:rsid w:val="00F72390"/>
    <w:rsid w:val="00F726BF"/>
    <w:rsid w:val="00F742F7"/>
    <w:rsid w:val="00F74D10"/>
    <w:rsid w:val="00F80BF4"/>
    <w:rsid w:val="00F822A6"/>
    <w:rsid w:val="00F83408"/>
    <w:rsid w:val="00F835DD"/>
    <w:rsid w:val="00F8580F"/>
    <w:rsid w:val="00F87601"/>
    <w:rsid w:val="00FA0F97"/>
    <w:rsid w:val="00FA1C99"/>
    <w:rsid w:val="00FA2A40"/>
    <w:rsid w:val="00FA6E8A"/>
    <w:rsid w:val="00FB0CFD"/>
    <w:rsid w:val="00FB2EE4"/>
    <w:rsid w:val="00FB4140"/>
    <w:rsid w:val="00FB6BC3"/>
    <w:rsid w:val="00FC1BC1"/>
    <w:rsid w:val="00FC7949"/>
    <w:rsid w:val="00FD2949"/>
    <w:rsid w:val="00FD3450"/>
    <w:rsid w:val="00FD577E"/>
    <w:rsid w:val="00FE4399"/>
    <w:rsid w:val="00FE4B5B"/>
    <w:rsid w:val="00FE524C"/>
    <w:rsid w:val="00FE5504"/>
    <w:rsid w:val="00FE65EB"/>
    <w:rsid w:val="011253ED"/>
    <w:rsid w:val="01EB6FA2"/>
    <w:rsid w:val="01FF3FCE"/>
    <w:rsid w:val="02193080"/>
    <w:rsid w:val="028A1E3A"/>
    <w:rsid w:val="02BB1D58"/>
    <w:rsid w:val="031F0BD0"/>
    <w:rsid w:val="036A5EB9"/>
    <w:rsid w:val="0370783D"/>
    <w:rsid w:val="03770A84"/>
    <w:rsid w:val="03A82039"/>
    <w:rsid w:val="03E461FA"/>
    <w:rsid w:val="04103BEF"/>
    <w:rsid w:val="04380AEB"/>
    <w:rsid w:val="046D20E5"/>
    <w:rsid w:val="04CD731B"/>
    <w:rsid w:val="04E262EB"/>
    <w:rsid w:val="05CB6909"/>
    <w:rsid w:val="05D90111"/>
    <w:rsid w:val="064819BE"/>
    <w:rsid w:val="06D77414"/>
    <w:rsid w:val="07173A02"/>
    <w:rsid w:val="074D3469"/>
    <w:rsid w:val="07CA43AC"/>
    <w:rsid w:val="0865362C"/>
    <w:rsid w:val="087B07C5"/>
    <w:rsid w:val="092F1BB4"/>
    <w:rsid w:val="09341EBD"/>
    <w:rsid w:val="09836121"/>
    <w:rsid w:val="0A307C97"/>
    <w:rsid w:val="0A686E57"/>
    <w:rsid w:val="0AC02141"/>
    <w:rsid w:val="0AD92A42"/>
    <w:rsid w:val="0B6B1123"/>
    <w:rsid w:val="0B73551E"/>
    <w:rsid w:val="0B82361C"/>
    <w:rsid w:val="0C707814"/>
    <w:rsid w:val="0D353973"/>
    <w:rsid w:val="0DB11A4D"/>
    <w:rsid w:val="0DE2468A"/>
    <w:rsid w:val="0E0E4E1B"/>
    <w:rsid w:val="0E3831AC"/>
    <w:rsid w:val="0EB06045"/>
    <w:rsid w:val="0EC87EFD"/>
    <w:rsid w:val="0ECD0C9A"/>
    <w:rsid w:val="0F5170E2"/>
    <w:rsid w:val="0F895230"/>
    <w:rsid w:val="100C28E9"/>
    <w:rsid w:val="1097590F"/>
    <w:rsid w:val="11A13C4A"/>
    <w:rsid w:val="11E608FC"/>
    <w:rsid w:val="122F6C04"/>
    <w:rsid w:val="126348AB"/>
    <w:rsid w:val="12D322B2"/>
    <w:rsid w:val="12D84FAE"/>
    <w:rsid w:val="131324FA"/>
    <w:rsid w:val="13504EB2"/>
    <w:rsid w:val="13840A01"/>
    <w:rsid w:val="13DF5B95"/>
    <w:rsid w:val="13E61172"/>
    <w:rsid w:val="14132920"/>
    <w:rsid w:val="154E289B"/>
    <w:rsid w:val="15B60AF1"/>
    <w:rsid w:val="15D4618E"/>
    <w:rsid w:val="15E13284"/>
    <w:rsid w:val="15E96C0C"/>
    <w:rsid w:val="164517D1"/>
    <w:rsid w:val="16814005"/>
    <w:rsid w:val="16D3445C"/>
    <w:rsid w:val="175F2CDC"/>
    <w:rsid w:val="17BC6FF9"/>
    <w:rsid w:val="18345F44"/>
    <w:rsid w:val="18B3029F"/>
    <w:rsid w:val="19007965"/>
    <w:rsid w:val="194B570C"/>
    <w:rsid w:val="196E3837"/>
    <w:rsid w:val="19981211"/>
    <w:rsid w:val="199E229D"/>
    <w:rsid w:val="19B11A58"/>
    <w:rsid w:val="19E216F7"/>
    <w:rsid w:val="1A093C4A"/>
    <w:rsid w:val="1A1D3847"/>
    <w:rsid w:val="1A2A3350"/>
    <w:rsid w:val="1A7673F8"/>
    <w:rsid w:val="1AB737DE"/>
    <w:rsid w:val="1AEE7334"/>
    <w:rsid w:val="1B0165D7"/>
    <w:rsid w:val="1B974A15"/>
    <w:rsid w:val="1C7014F3"/>
    <w:rsid w:val="1C7A5349"/>
    <w:rsid w:val="1D8544EC"/>
    <w:rsid w:val="1D8F4C7F"/>
    <w:rsid w:val="1DAF441C"/>
    <w:rsid w:val="1DE63703"/>
    <w:rsid w:val="1E00333A"/>
    <w:rsid w:val="1E2672B2"/>
    <w:rsid w:val="1E530394"/>
    <w:rsid w:val="1EC644F3"/>
    <w:rsid w:val="1F142320"/>
    <w:rsid w:val="1F41468D"/>
    <w:rsid w:val="1F6B1389"/>
    <w:rsid w:val="1FDD6196"/>
    <w:rsid w:val="21302811"/>
    <w:rsid w:val="21461D45"/>
    <w:rsid w:val="21535882"/>
    <w:rsid w:val="21F42720"/>
    <w:rsid w:val="236951EB"/>
    <w:rsid w:val="2379270B"/>
    <w:rsid w:val="23A57E1F"/>
    <w:rsid w:val="23B00E00"/>
    <w:rsid w:val="24311EAA"/>
    <w:rsid w:val="24631F36"/>
    <w:rsid w:val="247F0D69"/>
    <w:rsid w:val="24A508B9"/>
    <w:rsid w:val="24AB7C91"/>
    <w:rsid w:val="24CC0D68"/>
    <w:rsid w:val="257F739C"/>
    <w:rsid w:val="25CD5548"/>
    <w:rsid w:val="25F2369D"/>
    <w:rsid w:val="26684EB3"/>
    <w:rsid w:val="269C7FCA"/>
    <w:rsid w:val="26A860A2"/>
    <w:rsid w:val="26E303C7"/>
    <w:rsid w:val="27195BAC"/>
    <w:rsid w:val="273E1D47"/>
    <w:rsid w:val="285A52B6"/>
    <w:rsid w:val="28945237"/>
    <w:rsid w:val="29217931"/>
    <w:rsid w:val="297C731B"/>
    <w:rsid w:val="29E0324E"/>
    <w:rsid w:val="29F069E3"/>
    <w:rsid w:val="2A4A0719"/>
    <w:rsid w:val="2A6F6A9F"/>
    <w:rsid w:val="2A8C732D"/>
    <w:rsid w:val="2A972C46"/>
    <w:rsid w:val="2B48435D"/>
    <w:rsid w:val="2B532F26"/>
    <w:rsid w:val="2B74142C"/>
    <w:rsid w:val="2B9E5370"/>
    <w:rsid w:val="2BD335AA"/>
    <w:rsid w:val="2C703D2B"/>
    <w:rsid w:val="2CC7637F"/>
    <w:rsid w:val="2CCD1218"/>
    <w:rsid w:val="2CFB01B2"/>
    <w:rsid w:val="2CFF231F"/>
    <w:rsid w:val="2D091D10"/>
    <w:rsid w:val="2E327793"/>
    <w:rsid w:val="2E6B420B"/>
    <w:rsid w:val="2E763E36"/>
    <w:rsid w:val="2E9A0FAB"/>
    <w:rsid w:val="2EE330D8"/>
    <w:rsid w:val="2F3015F5"/>
    <w:rsid w:val="2F5F4142"/>
    <w:rsid w:val="2FBB23E2"/>
    <w:rsid w:val="30656104"/>
    <w:rsid w:val="30782C0F"/>
    <w:rsid w:val="310F6B93"/>
    <w:rsid w:val="31210BB1"/>
    <w:rsid w:val="31A25D99"/>
    <w:rsid w:val="31DD3714"/>
    <w:rsid w:val="31F444E5"/>
    <w:rsid w:val="3259240A"/>
    <w:rsid w:val="32AE6E38"/>
    <w:rsid w:val="32C77C8B"/>
    <w:rsid w:val="331779EF"/>
    <w:rsid w:val="332E2DC3"/>
    <w:rsid w:val="338B2B89"/>
    <w:rsid w:val="33D90C83"/>
    <w:rsid w:val="33EB4E73"/>
    <w:rsid w:val="340469E7"/>
    <w:rsid w:val="34906D47"/>
    <w:rsid w:val="35235D8C"/>
    <w:rsid w:val="35273392"/>
    <w:rsid w:val="35AE79B4"/>
    <w:rsid w:val="35B51802"/>
    <w:rsid w:val="35D151C8"/>
    <w:rsid w:val="36016551"/>
    <w:rsid w:val="36413C79"/>
    <w:rsid w:val="36BF1DD2"/>
    <w:rsid w:val="36CE1E68"/>
    <w:rsid w:val="36D37D0B"/>
    <w:rsid w:val="378379B5"/>
    <w:rsid w:val="37B359B9"/>
    <w:rsid w:val="37EC6020"/>
    <w:rsid w:val="37F93EF4"/>
    <w:rsid w:val="388919A1"/>
    <w:rsid w:val="38EE3222"/>
    <w:rsid w:val="39137BCC"/>
    <w:rsid w:val="3918612C"/>
    <w:rsid w:val="39322CCC"/>
    <w:rsid w:val="39904862"/>
    <w:rsid w:val="3A5D2959"/>
    <w:rsid w:val="3A731392"/>
    <w:rsid w:val="3A945BA3"/>
    <w:rsid w:val="3AD04A73"/>
    <w:rsid w:val="3B2228E4"/>
    <w:rsid w:val="3B5C0D90"/>
    <w:rsid w:val="3C3B6DA1"/>
    <w:rsid w:val="3C647477"/>
    <w:rsid w:val="3CB91A62"/>
    <w:rsid w:val="3CF5550F"/>
    <w:rsid w:val="3D3C393E"/>
    <w:rsid w:val="3E7F1137"/>
    <w:rsid w:val="3EB412B6"/>
    <w:rsid w:val="3EDE0269"/>
    <w:rsid w:val="3F086869"/>
    <w:rsid w:val="3F1847F8"/>
    <w:rsid w:val="3F2E0E71"/>
    <w:rsid w:val="3FA77F3D"/>
    <w:rsid w:val="3FAD63A0"/>
    <w:rsid w:val="3FDF265D"/>
    <w:rsid w:val="40217801"/>
    <w:rsid w:val="407816AF"/>
    <w:rsid w:val="40BF59E8"/>
    <w:rsid w:val="412D5350"/>
    <w:rsid w:val="41430991"/>
    <w:rsid w:val="4162324B"/>
    <w:rsid w:val="41E81103"/>
    <w:rsid w:val="41F85AAD"/>
    <w:rsid w:val="423626BA"/>
    <w:rsid w:val="42B41F5E"/>
    <w:rsid w:val="42CC2325"/>
    <w:rsid w:val="42DD5BB5"/>
    <w:rsid w:val="42F70692"/>
    <w:rsid w:val="42FD40F2"/>
    <w:rsid w:val="43891006"/>
    <w:rsid w:val="439C1CE5"/>
    <w:rsid w:val="43CA10CC"/>
    <w:rsid w:val="43E80C33"/>
    <w:rsid w:val="44931544"/>
    <w:rsid w:val="44993795"/>
    <w:rsid w:val="44FF2081"/>
    <w:rsid w:val="458727AA"/>
    <w:rsid w:val="461D7942"/>
    <w:rsid w:val="46BC37F2"/>
    <w:rsid w:val="47024216"/>
    <w:rsid w:val="474C741A"/>
    <w:rsid w:val="47A1125B"/>
    <w:rsid w:val="47A874A9"/>
    <w:rsid w:val="47BE4580"/>
    <w:rsid w:val="488C4018"/>
    <w:rsid w:val="488F561C"/>
    <w:rsid w:val="48D31770"/>
    <w:rsid w:val="48D507A7"/>
    <w:rsid w:val="48E96709"/>
    <w:rsid w:val="49A117C5"/>
    <w:rsid w:val="4A1031F0"/>
    <w:rsid w:val="4A1B668D"/>
    <w:rsid w:val="4A42223B"/>
    <w:rsid w:val="4A430B30"/>
    <w:rsid w:val="4A902903"/>
    <w:rsid w:val="4AC97E06"/>
    <w:rsid w:val="4AD66569"/>
    <w:rsid w:val="4AE07E07"/>
    <w:rsid w:val="4AF96FA1"/>
    <w:rsid w:val="4B112EBE"/>
    <w:rsid w:val="4B7C5803"/>
    <w:rsid w:val="4B9C3844"/>
    <w:rsid w:val="4BD05436"/>
    <w:rsid w:val="4C1009A7"/>
    <w:rsid w:val="4C1C4380"/>
    <w:rsid w:val="4C2B0528"/>
    <w:rsid w:val="4D1B4A9D"/>
    <w:rsid w:val="4DD101CC"/>
    <w:rsid w:val="4DDA685F"/>
    <w:rsid w:val="4E2B34A0"/>
    <w:rsid w:val="4E44109A"/>
    <w:rsid w:val="4ED056C1"/>
    <w:rsid w:val="4EDE3A3B"/>
    <w:rsid w:val="4EE96BB0"/>
    <w:rsid w:val="4F0B668B"/>
    <w:rsid w:val="4FCD3430"/>
    <w:rsid w:val="502658DD"/>
    <w:rsid w:val="50606126"/>
    <w:rsid w:val="50B11F2C"/>
    <w:rsid w:val="514D2DC3"/>
    <w:rsid w:val="51802E6A"/>
    <w:rsid w:val="51E76B13"/>
    <w:rsid w:val="525B269A"/>
    <w:rsid w:val="52E34D9E"/>
    <w:rsid w:val="531D6EA3"/>
    <w:rsid w:val="53CE684F"/>
    <w:rsid w:val="53DB0C3B"/>
    <w:rsid w:val="54692312"/>
    <w:rsid w:val="553A4658"/>
    <w:rsid w:val="559850AE"/>
    <w:rsid w:val="55A87BC1"/>
    <w:rsid w:val="55C71E85"/>
    <w:rsid w:val="55FE1324"/>
    <w:rsid w:val="56AF6BFF"/>
    <w:rsid w:val="57280BE4"/>
    <w:rsid w:val="57405985"/>
    <w:rsid w:val="57B3519B"/>
    <w:rsid w:val="57B8664D"/>
    <w:rsid w:val="57BF18E9"/>
    <w:rsid w:val="586F7C3D"/>
    <w:rsid w:val="59377765"/>
    <w:rsid w:val="594D5E9A"/>
    <w:rsid w:val="595C24F6"/>
    <w:rsid w:val="59936A54"/>
    <w:rsid w:val="5A1153B7"/>
    <w:rsid w:val="5A156B34"/>
    <w:rsid w:val="5AB27356"/>
    <w:rsid w:val="5B0C2013"/>
    <w:rsid w:val="5B265EB5"/>
    <w:rsid w:val="5B9B5880"/>
    <w:rsid w:val="5BA07723"/>
    <w:rsid w:val="5BC562B5"/>
    <w:rsid w:val="5C302BB6"/>
    <w:rsid w:val="5C932D4B"/>
    <w:rsid w:val="5CB31DD7"/>
    <w:rsid w:val="5CD01F00"/>
    <w:rsid w:val="5CD726B6"/>
    <w:rsid w:val="5D0132A8"/>
    <w:rsid w:val="5D4A5C12"/>
    <w:rsid w:val="5DA52508"/>
    <w:rsid w:val="5DDB48DC"/>
    <w:rsid w:val="5DEF4297"/>
    <w:rsid w:val="5DF97997"/>
    <w:rsid w:val="5E5218E8"/>
    <w:rsid w:val="5E9641CF"/>
    <w:rsid w:val="5E9E68BF"/>
    <w:rsid w:val="5EC85896"/>
    <w:rsid w:val="5F0F6EAA"/>
    <w:rsid w:val="5F1301B4"/>
    <w:rsid w:val="5F8D127C"/>
    <w:rsid w:val="5FDC3F39"/>
    <w:rsid w:val="5FF37764"/>
    <w:rsid w:val="601D521F"/>
    <w:rsid w:val="60360C5D"/>
    <w:rsid w:val="60842DA1"/>
    <w:rsid w:val="609008FA"/>
    <w:rsid w:val="60EC7228"/>
    <w:rsid w:val="610042FE"/>
    <w:rsid w:val="61590550"/>
    <w:rsid w:val="61B117EC"/>
    <w:rsid w:val="61B84374"/>
    <w:rsid w:val="625C4297"/>
    <w:rsid w:val="62BA36E0"/>
    <w:rsid w:val="6322494F"/>
    <w:rsid w:val="635554EA"/>
    <w:rsid w:val="638044B2"/>
    <w:rsid w:val="63AF710F"/>
    <w:rsid w:val="63B60CD2"/>
    <w:rsid w:val="63C50CED"/>
    <w:rsid w:val="63E37DC4"/>
    <w:rsid w:val="63F928DC"/>
    <w:rsid w:val="640D1C80"/>
    <w:rsid w:val="64673021"/>
    <w:rsid w:val="65383CC7"/>
    <w:rsid w:val="6548290E"/>
    <w:rsid w:val="65AD413F"/>
    <w:rsid w:val="65E33EAB"/>
    <w:rsid w:val="65F6541C"/>
    <w:rsid w:val="66AE605A"/>
    <w:rsid w:val="673B084B"/>
    <w:rsid w:val="677F245B"/>
    <w:rsid w:val="679B3BD0"/>
    <w:rsid w:val="67BF4C6D"/>
    <w:rsid w:val="68037ED4"/>
    <w:rsid w:val="68A71E7B"/>
    <w:rsid w:val="69EA082E"/>
    <w:rsid w:val="6A1439B5"/>
    <w:rsid w:val="6A4061BB"/>
    <w:rsid w:val="6A697B48"/>
    <w:rsid w:val="6A8310CA"/>
    <w:rsid w:val="6AAD3424"/>
    <w:rsid w:val="6AB3549A"/>
    <w:rsid w:val="6AF277D8"/>
    <w:rsid w:val="6B053E23"/>
    <w:rsid w:val="6B1C7422"/>
    <w:rsid w:val="6B253B1A"/>
    <w:rsid w:val="6BD62996"/>
    <w:rsid w:val="6BE95552"/>
    <w:rsid w:val="6C0B435C"/>
    <w:rsid w:val="6C192D97"/>
    <w:rsid w:val="6C881A75"/>
    <w:rsid w:val="6CC176D2"/>
    <w:rsid w:val="6CF8455B"/>
    <w:rsid w:val="6D1B4AE2"/>
    <w:rsid w:val="6D256976"/>
    <w:rsid w:val="6D267305"/>
    <w:rsid w:val="6D772D6F"/>
    <w:rsid w:val="6D9E6044"/>
    <w:rsid w:val="6DC26C9C"/>
    <w:rsid w:val="6ECB0263"/>
    <w:rsid w:val="6EF15C07"/>
    <w:rsid w:val="6F12105F"/>
    <w:rsid w:val="6F6E4633"/>
    <w:rsid w:val="6F997ED1"/>
    <w:rsid w:val="6FB84FA5"/>
    <w:rsid w:val="70396223"/>
    <w:rsid w:val="70BE1611"/>
    <w:rsid w:val="71474C28"/>
    <w:rsid w:val="71610950"/>
    <w:rsid w:val="71CF663F"/>
    <w:rsid w:val="71F2536B"/>
    <w:rsid w:val="71F551F2"/>
    <w:rsid w:val="729F5BC0"/>
    <w:rsid w:val="72D45675"/>
    <w:rsid w:val="72E74D5A"/>
    <w:rsid w:val="73591E51"/>
    <w:rsid w:val="735E7467"/>
    <w:rsid w:val="73A925A0"/>
    <w:rsid w:val="74147E02"/>
    <w:rsid w:val="748C717C"/>
    <w:rsid w:val="752237F8"/>
    <w:rsid w:val="75307CAB"/>
    <w:rsid w:val="754D11B1"/>
    <w:rsid w:val="75C83176"/>
    <w:rsid w:val="75E46FE3"/>
    <w:rsid w:val="76154284"/>
    <w:rsid w:val="761C2919"/>
    <w:rsid w:val="76552E85"/>
    <w:rsid w:val="765A31D3"/>
    <w:rsid w:val="767E3926"/>
    <w:rsid w:val="7707109B"/>
    <w:rsid w:val="771B2345"/>
    <w:rsid w:val="77707003"/>
    <w:rsid w:val="77926B73"/>
    <w:rsid w:val="779F35B7"/>
    <w:rsid w:val="77AD5D0A"/>
    <w:rsid w:val="77D616AE"/>
    <w:rsid w:val="77F70773"/>
    <w:rsid w:val="782B0837"/>
    <w:rsid w:val="78681428"/>
    <w:rsid w:val="78E51593"/>
    <w:rsid w:val="79756E7D"/>
    <w:rsid w:val="79761B8E"/>
    <w:rsid w:val="7A0C4606"/>
    <w:rsid w:val="7A6504F8"/>
    <w:rsid w:val="7A88301C"/>
    <w:rsid w:val="7A896CE2"/>
    <w:rsid w:val="7AB401A8"/>
    <w:rsid w:val="7AB72675"/>
    <w:rsid w:val="7AC2525C"/>
    <w:rsid w:val="7AC548E5"/>
    <w:rsid w:val="7AD63D9C"/>
    <w:rsid w:val="7B12124B"/>
    <w:rsid w:val="7B3927AA"/>
    <w:rsid w:val="7B4A4B29"/>
    <w:rsid w:val="7BED7A99"/>
    <w:rsid w:val="7C297E3D"/>
    <w:rsid w:val="7C6914E9"/>
    <w:rsid w:val="7C82671B"/>
    <w:rsid w:val="7CA207E3"/>
    <w:rsid w:val="7CC6124F"/>
    <w:rsid w:val="7D0A3F03"/>
    <w:rsid w:val="7D835210"/>
    <w:rsid w:val="7D914FAF"/>
    <w:rsid w:val="7DC66335"/>
    <w:rsid w:val="7DE0587A"/>
    <w:rsid w:val="7E1062E8"/>
    <w:rsid w:val="7E3B6081"/>
    <w:rsid w:val="7EF96296"/>
    <w:rsid w:val="7FB46B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
    <w:pPr>
      <w:numPr>
        <w:ilvl w:val="0"/>
        <w:numId w:val="1"/>
      </w:numPr>
      <w:spacing w:beforeAutospacing="1" w:afterAutospacing="1" w:line="360" w:lineRule="auto"/>
      <w:jc w:val="left"/>
      <w:outlineLvl w:val="0"/>
    </w:pPr>
    <w:rPr>
      <w:rFonts w:hint="eastAsia" w:ascii="宋体" w:hAnsi="宋体"/>
      <w:b/>
      <w:bCs/>
      <w:kern w:val="44"/>
      <w:sz w:val="32"/>
      <w:szCs w:val="48"/>
    </w:rPr>
  </w:style>
  <w:style w:type="paragraph" w:styleId="5">
    <w:name w:val="heading 2"/>
    <w:basedOn w:val="1"/>
    <w:next w:val="1"/>
    <w:link w:val="84"/>
    <w:autoRedefine/>
    <w:unhideWhenUsed/>
    <w:qFormat/>
    <w:uiPriority w:val="0"/>
    <w:pPr>
      <w:keepNext/>
      <w:keepLines/>
      <w:numPr>
        <w:ilvl w:val="1"/>
        <w:numId w:val="1"/>
      </w:numPr>
      <w:spacing w:line="360" w:lineRule="auto"/>
      <w:ind w:left="0" w:firstLine="0"/>
      <w:jc w:val="left"/>
      <w:outlineLvl w:val="1"/>
    </w:pPr>
    <w:rPr>
      <w:rFonts w:ascii="宋体" w:hAnsi="宋体" w:eastAsia="宋体" w:cs="宋体"/>
      <w:b/>
      <w:bCs/>
      <w:sz w:val="28"/>
      <w:szCs w:val="32"/>
    </w:rPr>
  </w:style>
  <w:style w:type="paragraph" w:styleId="6">
    <w:name w:val="heading 3"/>
    <w:basedOn w:val="1"/>
    <w:next w:val="1"/>
    <w:autoRedefine/>
    <w:qFormat/>
    <w:uiPriority w:val="0"/>
    <w:pPr>
      <w:keepNext/>
      <w:keepLines/>
      <w:numPr>
        <w:ilvl w:val="2"/>
        <w:numId w:val="1"/>
      </w:numPr>
      <w:spacing w:line="360" w:lineRule="auto"/>
      <w:jc w:val="left"/>
      <w:outlineLvl w:val="2"/>
    </w:pPr>
    <w:rPr>
      <w:rFonts w:ascii="宋体" w:hAnsi="宋体" w:eastAsia="宋体" w:cs="宋体"/>
      <w:b/>
      <w:bCs/>
      <w:sz w:val="28"/>
      <w:szCs w:val="28"/>
    </w:rPr>
  </w:style>
  <w:style w:type="paragraph" w:styleId="7">
    <w:name w:val="heading 4"/>
    <w:basedOn w:val="1"/>
    <w:next w:val="1"/>
    <w:autoRedefine/>
    <w:unhideWhenUsed/>
    <w:qFormat/>
    <w:uiPriority w:val="0"/>
    <w:pPr>
      <w:keepNext/>
      <w:keepLines/>
      <w:numPr>
        <w:ilvl w:val="3"/>
        <w:numId w:val="1"/>
      </w:numPr>
      <w:tabs>
        <w:tab w:val="left" w:pos="0"/>
        <w:tab w:val="left" w:pos="864"/>
        <w:tab w:val="left" w:pos="992"/>
      </w:tabs>
      <w:spacing w:beforeLines="50" w:afterLines="50"/>
      <w:outlineLvl w:val="3"/>
    </w:pPr>
    <w:rPr>
      <w:rFonts w:ascii="Arial" w:hAnsi="Arial" w:eastAsia="黑体"/>
      <w:b/>
      <w:bCs/>
      <w:szCs w:val="28"/>
    </w:rPr>
  </w:style>
  <w:style w:type="paragraph" w:styleId="8">
    <w:name w:val="heading 5"/>
    <w:basedOn w:val="1"/>
    <w:next w:val="1"/>
    <w:autoRedefine/>
    <w:unhideWhenUsed/>
    <w:qFormat/>
    <w:uiPriority w:val="0"/>
    <w:pPr>
      <w:keepNext/>
      <w:keepLines/>
      <w:numPr>
        <w:ilvl w:val="4"/>
        <w:numId w:val="1"/>
      </w:numPr>
      <w:tabs>
        <w:tab w:val="left" w:pos="0"/>
      </w:tabs>
      <w:spacing w:beforeLines="50" w:afterLines="50"/>
      <w:outlineLvl w:val="4"/>
    </w:pPr>
    <w:rPr>
      <w:rFonts w:eastAsia="黑体"/>
      <w:b/>
    </w:rPr>
  </w:style>
  <w:style w:type="paragraph" w:styleId="9">
    <w:name w:val="heading 6"/>
    <w:basedOn w:val="1"/>
    <w:next w:val="1"/>
    <w:link w:val="73"/>
    <w:autoRedefine/>
    <w:unhideWhenUsed/>
    <w:qFormat/>
    <w:uiPriority w:val="0"/>
    <w:pPr>
      <w:keepNext/>
      <w:keepLines/>
      <w:numPr>
        <w:ilvl w:val="5"/>
        <w:numId w:val="1"/>
      </w:numPr>
      <w:spacing w:before="240" w:after="64" w:line="360" w:lineRule="auto"/>
      <w:outlineLvl w:val="5"/>
    </w:pPr>
    <w:rPr>
      <w:rFonts w:ascii="宋体" w:hAnsi="宋体" w:eastAsia="宋体" w:cs="宋体"/>
      <w:b/>
      <w:bCs/>
      <w:sz w:val="24"/>
    </w:rPr>
  </w:style>
  <w:style w:type="paragraph" w:styleId="10">
    <w:name w:val="heading 7"/>
    <w:basedOn w:val="1"/>
    <w:next w:val="1"/>
    <w:unhideWhenUsed/>
    <w:qFormat/>
    <w:uiPriority w:val="0"/>
    <w:pPr>
      <w:keepNext/>
      <w:keepLines/>
      <w:numPr>
        <w:ilvl w:val="6"/>
        <w:numId w:val="1"/>
      </w:numPr>
      <w:spacing w:before="50" w:beforeLines="50" w:beforeAutospacing="0" w:after="50" w:afterLines="50" w:afterAutospacing="0" w:line="360" w:lineRule="auto"/>
      <w:ind w:firstLine="402"/>
      <w:outlineLvl w:val="6"/>
    </w:pPr>
    <w:rPr>
      <w:rFonts w:ascii="Times New Roman" w:hAnsi="Times New Roman" w:eastAsia="宋体" w:cs="Times New Roman"/>
      <w:b/>
      <w:sz w:val="24"/>
    </w:rPr>
  </w:style>
  <w:style w:type="paragraph" w:styleId="11">
    <w:name w:val="heading 8"/>
    <w:basedOn w:val="1"/>
    <w:next w:val="1"/>
    <w:unhideWhenUsed/>
    <w:qFormat/>
    <w:uiPriority w:val="0"/>
    <w:pPr>
      <w:keepNext/>
      <w:keepLines/>
      <w:numPr>
        <w:ilvl w:val="7"/>
        <w:numId w:val="1"/>
      </w:numPr>
      <w:spacing w:before="240" w:beforeLines="0" w:beforeAutospacing="0" w:after="64" w:afterLines="0" w:afterAutospacing="0" w:line="360" w:lineRule="auto"/>
      <w:ind w:firstLine="0"/>
      <w:outlineLvl w:val="7"/>
    </w:pPr>
    <w:rPr>
      <w:rFonts w:ascii="宋体" w:hAnsi="宋体" w:eastAsia="宋体" w:cs="宋体"/>
      <w:b/>
      <w:sz w:val="28"/>
      <w:szCs w:val="28"/>
    </w:rPr>
  </w:style>
  <w:style w:type="paragraph" w:styleId="12">
    <w:name w:val="heading 9"/>
    <w:basedOn w:val="1"/>
    <w:next w:val="1"/>
    <w:unhideWhenUsed/>
    <w:qFormat/>
    <w:uiPriority w:val="0"/>
    <w:pPr>
      <w:keepNext/>
      <w:keepLines/>
      <w:numPr>
        <w:ilvl w:val="8"/>
        <w:numId w:val="1"/>
      </w:numPr>
      <w:spacing w:before="240" w:beforeLines="0" w:beforeAutospacing="0" w:after="64" w:afterLines="0" w:afterAutospacing="0" w:line="360" w:lineRule="auto"/>
      <w:ind w:firstLine="402"/>
      <w:outlineLvl w:val="8"/>
    </w:pPr>
    <w:rPr>
      <w:rFonts w:ascii="宋体" w:hAnsi="宋体" w:eastAsia="宋体" w:cs="宋体"/>
      <w:b/>
      <w:sz w:val="28"/>
      <w:szCs w:val="28"/>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99"/>
    <w:pPr>
      <w:tabs>
        <w:tab w:val="left" w:pos="720"/>
        <w:tab w:val="left" w:pos="1260"/>
        <w:tab w:val="left" w:pos="2160"/>
        <w:tab w:val="left" w:pos="2880"/>
        <w:tab w:val="left" w:pos="3600"/>
        <w:tab w:val="left" w:pos="4320"/>
        <w:tab w:val="left" w:pos="5040"/>
        <w:tab w:val="left" w:pos="5760"/>
      </w:tabs>
      <w:ind w:firstLine="420" w:firstLineChars="200"/>
    </w:pPr>
  </w:style>
  <w:style w:type="paragraph" w:styleId="3">
    <w:name w:val="Body Text Indent"/>
    <w:basedOn w:val="1"/>
    <w:autoRedefine/>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3">
    <w:name w:val="List Number"/>
    <w:basedOn w:val="1"/>
    <w:autoRedefine/>
    <w:qFormat/>
    <w:uiPriority w:val="0"/>
    <w:pPr>
      <w:widowControl/>
      <w:numPr>
        <w:ilvl w:val="0"/>
        <w:numId w:val="2"/>
      </w:numPr>
      <w:tabs>
        <w:tab w:val="left" w:pos="454"/>
        <w:tab w:val="left" w:pos="720"/>
        <w:tab w:val="left" w:pos="899"/>
      </w:tabs>
      <w:spacing w:afterLines="50"/>
      <w:ind w:left="454" w:hanging="284"/>
      <w:jc w:val="left"/>
    </w:pPr>
    <w:rPr>
      <w:kern w:val="0"/>
      <w:sz w:val="24"/>
      <w:szCs w:val="20"/>
    </w:rPr>
  </w:style>
  <w:style w:type="paragraph" w:styleId="14">
    <w:name w:val="Normal Indent"/>
    <w:basedOn w:val="1"/>
    <w:next w:val="1"/>
    <w:link w:val="83"/>
    <w:autoRedefine/>
    <w:qFormat/>
    <w:uiPriority w:val="0"/>
    <w:pPr>
      <w:ind w:firstLine="420"/>
    </w:pPr>
    <w:rPr>
      <w:szCs w:val="20"/>
    </w:rPr>
  </w:style>
  <w:style w:type="paragraph" w:styleId="15">
    <w:name w:val="caption"/>
    <w:basedOn w:val="1"/>
    <w:next w:val="1"/>
    <w:autoRedefine/>
    <w:qFormat/>
    <w:uiPriority w:val="0"/>
    <w:pPr>
      <w:spacing w:before="152" w:after="160"/>
    </w:pPr>
    <w:rPr>
      <w:rFonts w:ascii="Arial" w:hAnsi="Arial" w:eastAsia="黑体" w:cs="Arial"/>
      <w:sz w:val="20"/>
      <w:szCs w:val="20"/>
    </w:rPr>
  </w:style>
  <w:style w:type="paragraph" w:styleId="16">
    <w:name w:val="annotation text"/>
    <w:basedOn w:val="1"/>
    <w:link w:val="51"/>
    <w:autoRedefine/>
    <w:qFormat/>
    <w:uiPriority w:val="0"/>
    <w:pPr>
      <w:jc w:val="left"/>
    </w:pPr>
  </w:style>
  <w:style w:type="paragraph" w:styleId="17">
    <w:name w:val="Body Text 3"/>
    <w:basedOn w:val="1"/>
    <w:autoRedefine/>
    <w:qFormat/>
    <w:uiPriority w:val="0"/>
    <w:pPr>
      <w:spacing w:after="120"/>
    </w:pPr>
    <w:rPr>
      <w:sz w:val="16"/>
      <w:szCs w:val="16"/>
    </w:rPr>
  </w:style>
  <w:style w:type="paragraph" w:styleId="18">
    <w:name w:val="Body Text"/>
    <w:basedOn w:val="1"/>
    <w:next w:val="1"/>
    <w:autoRedefine/>
    <w:qFormat/>
    <w:uiPriority w:val="0"/>
    <w:pPr>
      <w:spacing w:after="120"/>
    </w:pPr>
  </w:style>
  <w:style w:type="paragraph" w:styleId="19">
    <w:name w:val="List 2"/>
    <w:basedOn w:val="1"/>
    <w:autoRedefine/>
    <w:qFormat/>
    <w:uiPriority w:val="0"/>
    <w:pPr>
      <w:ind w:left="100" w:leftChars="200" w:hanging="200" w:hangingChars="200"/>
    </w:pPr>
  </w:style>
  <w:style w:type="paragraph" w:styleId="2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21">
    <w:name w:val="Plain Text"/>
    <w:basedOn w:val="1"/>
    <w:link w:val="54"/>
    <w:autoRedefine/>
    <w:qFormat/>
    <w:uiPriority w:val="0"/>
    <w:rPr>
      <w:rFonts w:ascii="宋体" w:hAnsi="Courier New"/>
    </w:rPr>
  </w:style>
  <w:style w:type="paragraph" w:styleId="22">
    <w:name w:val="Date"/>
    <w:basedOn w:val="1"/>
    <w:next w:val="1"/>
    <w:autoRedefine/>
    <w:qFormat/>
    <w:uiPriority w:val="0"/>
    <w:pPr>
      <w:ind w:left="2500" w:leftChars="2500"/>
    </w:pPr>
    <w:rPr>
      <w:rFonts w:eastAsia="楷体_GB2312"/>
      <w:sz w:val="32"/>
      <w:szCs w:val="20"/>
    </w:rPr>
  </w:style>
  <w:style w:type="paragraph" w:styleId="23">
    <w:name w:val="Body Text Indent 2"/>
    <w:basedOn w:val="1"/>
    <w:autoRedefine/>
    <w:qFormat/>
    <w:uiPriority w:val="0"/>
    <w:pPr>
      <w:spacing w:after="120" w:line="480" w:lineRule="auto"/>
      <w:ind w:left="420" w:leftChars="200"/>
    </w:pPr>
  </w:style>
  <w:style w:type="paragraph" w:styleId="24">
    <w:name w:val="Balloon Text"/>
    <w:basedOn w:val="1"/>
    <w:link w:val="50"/>
    <w:autoRedefine/>
    <w:qFormat/>
    <w:uiPriority w:val="0"/>
    <w:rPr>
      <w:sz w:val="18"/>
      <w:szCs w:val="18"/>
    </w:rPr>
  </w:style>
  <w:style w:type="paragraph" w:styleId="25">
    <w:name w:val="footer"/>
    <w:basedOn w:val="1"/>
    <w:link w:val="53"/>
    <w:autoRedefine/>
    <w:qFormat/>
    <w:uiPriority w:val="0"/>
    <w:pPr>
      <w:tabs>
        <w:tab w:val="center" w:pos="4153"/>
        <w:tab w:val="right" w:pos="8306"/>
      </w:tabs>
      <w:snapToGrid w:val="0"/>
      <w:jc w:val="left"/>
    </w:pPr>
    <w:rPr>
      <w:sz w:val="18"/>
      <w:szCs w:val="18"/>
    </w:rPr>
  </w:style>
  <w:style w:type="paragraph" w:styleId="26">
    <w:name w:val="envelope return"/>
    <w:basedOn w:val="1"/>
    <w:autoRedefine/>
    <w:qFormat/>
    <w:uiPriority w:val="0"/>
    <w:pPr>
      <w:widowControl/>
      <w:adjustRightInd w:val="0"/>
      <w:snapToGrid w:val="0"/>
      <w:spacing w:after="200"/>
      <w:jc w:val="left"/>
    </w:pPr>
    <w:rPr>
      <w:rFonts w:ascii="Arial" w:hAnsi="Arial" w:eastAsia="微软雅黑"/>
      <w:kern w:val="0"/>
      <w:sz w:val="22"/>
      <w:szCs w:val="22"/>
    </w:rPr>
  </w:style>
  <w:style w:type="paragraph" w:styleId="27">
    <w:name w:val="header"/>
    <w:basedOn w:val="1"/>
    <w:link w:val="52"/>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0"/>
  </w:style>
  <w:style w:type="paragraph" w:styleId="29">
    <w:name w:val="List"/>
    <w:basedOn w:val="1"/>
    <w:autoRedefine/>
    <w:qFormat/>
    <w:uiPriority w:val="0"/>
    <w:pPr>
      <w:ind w:left="200" w:hanging="200" w:hangingChars="200"/>
    </w:pPr>
    <w:rPr>
      <w:sz w:val="28"/>
    </w:rPr>
  </w:style>
  <w:style w:type="paragraph" w:styleId="30">
    <w:name w:val="footnote text"/>
    <w:basedOn w:val="1"/>
    <w:autoRedefine/>
    <w:qFormat/>
    <w:uiPriority w:val="0"/>
    <w:rPr>
      <w:rFonts w:ascii="Calibri" w:hAnsi="Calibri" w:eastAsia="PMingLiU" w:cs="Arial"/>
      <w:color w:val="000000"/>
      <w:sz w:val="18"/>
    </w:rPr>
  </w:style>
  <w:style w:type="paragraph" w:styleId="31">
    <w:name w:val="toc 6"/>
    <w:basedOn w:val="1"/>
    <w:next w:val="1"/>
    <w:autoRedefine/>
    <w:qFormat/>
    <w:uiPriority w:val="39"/>
    <w:pPr>
      <w:ind w:left="1050"/>
      <w:jc w:val="left"/>
    </w:pPr>
    <w:rPr>
      <w:rFonts w:ascii="Calibri" w:hAnsi="Calibri" w:cs="Calibri"/>
      <w:sz w:val="18"/>
      <w:szCs w:val="18"/>
    </w:rPr>
  </w:style>
  <w:style w:type="paragraph" w:styleId="32">
    <w:name w:val="index 7"/>
    <w:basedOn w:val="1"/>
    <w:next w:val="1"/>
    <w:autoRedefine/>
    <w:qFormat/>
    <w:uiPriority w:val="0"/>
    <w:pPr>
      <w:ind w:left="2520"/>
    </w:pPr>
  </w:style>
  <w:style w:type="paragraph" w:styleId="33">
    <w:name w:val="toc 2"/>
    <w:basedOn w:val="1"/>
    <w:next w:val="1"/>
    <w:autoRedefine/>
    <w:qFormat/>
    <w:uiPriority w:val="0"/>
    <w:pPr>
      <w:ind w:left="420" w:leftChars="200"/>
    </w:pPr>
    <w:rPr>
      <w:sz w:val="24"/>
    </w:rPr>
  </w:style>
  <w:style w:type="paragraph" w:styleId="34">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35">
    <w:name w:val="Title"/>
    <w:basedOn w:val="1"/>
    <w:next w:val="1"/>
    <w:autoRedefine/>
    <w:qFormat/>
    <w:uiPriority w:val="0"/>
    <w:pPr>
      <w:spacing w:before="240" w:after="60"/>
      <w:jc w:val="center"/>
      <w:outlineLvl w:val="0"/>
    </w:pPr>
    <w:rPr>
      <w:rFonts w:ascii="Arial" w:hAnsi="Arial" w:cs="Arial"/>
      <w:b/>
      <w:bCs/>
      <w:sz w:val="32"/>
      <w:szCs w:val="32"/>
    </w:rPr>
  </w:style>
  <w:style w:type="paragraph" w:styleId="36">
    <w:name w:val="annotation subject"/>
    <w:basedOn w:val="16"/>
    <w:next w:val="16"/>
    <w:link w:val="55"/>
    <w:autoRedefine/>
    <w:qFormat/>
    <w:uiPriority w:val="0"/>
    <w:rPr>
      <w:b/>
      <w:bCs/>
    </w:rPr>
  </w:style>
  <w:style w:type="paragraph" w:styleId="37">
    <w:name w:val="Body Text First Indent"/>
    <w:basedOn w:val="18"/>
    <w:next w:val="1"/>
    <w:autoRedefine/>
    <w:qFormat/>
    <w:uiPriority w:val="99"/>
    <w:pPr>
      <w:ind w:firstLine="420"/>
    </w:pPr>
  </w:style>
  <w:style w:type="table" w:styleId="39">
    <w:name w:val="Table Grid"/>
    <w:basedOn w:val="3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page number"/>
    <w:basedOn w:val="40"/>
    <w:autoRedefine/>
    <w:qFormat/>
    <w:uiPriority w:val="0"/>
  </w:style>
  <w:style w:type="character" w:styleId="42">
    <w:name w:val="Hyperlink"/>
    <w:autoRedefine/>
    <w:qFormat/>
    <w:uiPriority w:val="99"/>
    <w:rPr>
      <w:color w:val="0000FF"/>
      <w:u w:val="single"/>
    </w:rPr>
  </w:style>
  <w:style w:type="character" w:styleId="43">
    <w:name w:val="annotation reference"/>
    <w:autoRedefine/>
    <w:qFormat/>
    <w:uiPriority w:val="0"/>
    <w:rPr>
      <w:sz w:val="21"/>
      <w:szCs w:val="21"/>
    </w:rPr>
  </w:style>
  <w:style w:type="paragraph" w:customStyle="1" w:styleId="44">
    <w:name w:val="DAS正文"/>
    <w:basedOn w:val="1"/>
    <w:qFormat/>
    <w:uiPriority w:val="0"/>
    <w:pPr>
      <w:ind w:right="181" w:firstLine="480"/>
    </w:pPr>
    <w:rPr>
      <w:rFonts w:ascii="Verdana" w:hAnsi="Verdana"/>
      <w:sz w:val="24"/>
    </w:rPr>
  </w:style>
  <w:style w:type="paragraph" w:customStyle="1" w:styleId="45">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46">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47">
    <w:name w:val="表格文字"/>
    <w:basedOn w:val="48"/>
    <w:next w:val="18"/>
    <w:autoRedefine/>
    <w:qFormat/>
    <w:uiPriority w:val="0"/>
    <w:pPr>
      <w:spacing w:before="25" w:after="25"/>
    </w:pPr>
    <w:rPr>
      <w:bCs/>
      <w:spacing w:val="10"/>
      <w:kern w:val="0"/>
      <w:sz w:val="24"/>
    </w:rPr>
  </w:style>
  <w:style w:type="paragraph" w:customStyle="1" w:styleId="48">
    <w:name w:val="表格文字（两侧对齐）"/>
    <w:basedOn w:val="1"/>
    <w:autoRedefine/>
    <w:qFormat/>
    <w:uiPriority w:val="0"/>
    <w:pPr>
      <w:snapToGrid w:val="0"/>
      <w:jc w:val="left"/>
    </w:pPr>
    <w:rPr>
      <w:sz w:val="20"/>
    </w:rPr>
  </w:style>
  <w:style w:type="paragraph" w:customStyle="1" w:styleId="49">
    <w:name w:val="Normal Indent1"/>
    <w:basedOn w:val="1"/>
    <w:autoRedefine/>
    <w:qFormat/>
    <w:uiPriority w:val="0"/>
    <w:pPr>
      <w:ind w:firstLine="200" w:firstLineChars="200"/>
    </w:pPr>
  </w:style>
  <w:style w:type="character" w:customStyle="1" w:styleId="50">
    <w:name w:val="批注框文本 Char"/>
    <w:link w:val="24"/>
    <w:autoRedefine/>
    <w:qFormat/>
    <w:uiPriority w:val="0"/>
    <w:rPr>
      <w:kern w:val="2"/>
      <w:sz w:val="18"/>
      <w:szCs w:val="18"/>
    </w:rPr>
  </w:style>
  <w:style w:type="character" w:customStyle="1" w:styleId="51">
    <w:name w:val="批注文字 Char"/>
    <w:link w:val="16"/>
    <w:autoRedefine/>
    <w:qFormat/>
    <w:uiPriority w:val="0"/>
    <w:rPr>
      <w:kern w:val="2"/>
      <w:sz w:val="21"/>
      <w:szCs w:val="24"/>
    </w:rPr>
  </w:style>
  <w:style w:type="character" w:customStyle="1" w:styleId="52">
    <w:name w:val="页眉 Char"/>
    <w:link w:val="27"/>
    <w:autoRedefine/>
    <w:qFormat/>
    <w:uiPriority w:val="0"/>
    <w:rPr>
      <w:kern w:val="2"/>
      <w:sz w:val="18"/>
      <w:szCs w:val="18"/>
    </w:rPr>
  </w:style>
  <w:style w:type="character" w:customStyle="1" w:styleId="53">
    <w:name w:val="页脚 Char"/>
    <w:link w:val="25"/>
    <w:autoRedefine/>
    <w:qFormat/>
    <w:uiPriority w:val="0"/>
    <w:rPr>
      <w:kern w:val="2"/>
      <w:sz w:val="18"/>
      <w:szCs w:val="18"/>
    </w:rPr>
  </w:style>
  <w:style w:type="character" w:customStyle="1" w:styleId="54">
    <w:name w:val="纯文本 Char"/>
    <w:link w:val="21"/>
    <w:autoRedefine/>
    <w:qFormat/>
    <w:uiPriority w:val="0"/>
    <w:rPr>
      <w:rFonts w:ascii="宋体" w:hAnsi="Courier New" w:eastAsia="宋体"/>
      <w:kern w:val="2"/>
      <w:sz w:val="21"/>
      <w:szCs w:val="24"/>
      <w:lang w:val="en-US" w:eastAsia="zh-CN" w:bidi="ar-SA"/>
    </w:rPr>
  </w:style>
  <w:style w:type="character" w:customStyle="1" w:styleId="55">
    <w:name w:val="批注主题 Char"/>
    <w:basedOn w:val="51"/>
    <w:link w:val="36"/>
    <w:autoRedefine/>
    <w:qFormat/>
    <w:uiPriority w:val="0"/>
    <w:rPr>
      <w:kern w:val="2"/>
      <w:sz w:val="21"/>
      <w:szCs w:val="24"/>
    </w:rPr>
  </w:style>
  <w:style w:type="paragraph" w:customStyle="1" w:styleId="56">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2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9">
    <w:name w:val="目录 21"/>
    <w:basedOn w:val="1"/>
    <w:next w:val="1"/>
    <w:autoRedefine/>
    <w:qFormat/>
    <w:uiPriority w:val="0"/>
    <w:pPr>
      <w:spacing w:line="360" w:lineRule="auto"/>
      <w:ind w:left="210" w:leftChars="100" w:firstLine="472" w:firstLineChars="196"/>
      <w:jc w:val="left"/>
    </w:pPr>
    <w:rPr>
      <w:rFonts w:ascii="宋体" w:hAnsi="宋体"/>
      <w:b/>
      <w:sz w:val="24"/>
    </w:rPr>
  </w:style>
  <w:style w:type="paragraph" w:customStyle="1" w:styleId="60">
    <w:name w:val="正文_14"/>
    <w:autoRedefine/>
    <w:qFormat/>
    <w:uiPriority w:val="0"/>
    <w:rPr>
      <w:rFonts w:ascii="Times New Roman" w:hAnsi="Times New Roman" w:eastAsia="宋体" w:cs="Times New Roman"/>
      <w:sz w:val="21"/>
      <w:lang w:val="en-US" w:eastAsia="zh-CN" w:bidi="ar-SA"/>
    </w:rPr>
  </w:style>
  <w:style w:type="paragraph" w:customStyle="1" w:styleId="61">
    <w:name w:val="列出段落1"/>
    <w:basedOn w:val="1"/>
    <w:autoRedefine/>
    <w:qFormat/>
    <w:uiPriority w:val="0"/>
    <w:pPr>
      <w:ind w:firstLine="420" w:firstLineChars="200"/>
    </w:pPr>
    <w:rPr>
      <w:rFonts w:ascii="Calibri" w:hAnsi="Calibri"/>
      <w:kern w:val="0"/>
      <w:szCs w:val="20"/>
    </w:rPr>
  </w:style>
  <w:style w:type="paragraph" w:customStyle="1" w:styleId="62">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3">
    <w:name w:val="默认段落字体 Para Char Char Char Char Char Char Char Char Char1 Char Char Char Char"/>
    <w:basedOn w:val="1"/>
    <w:autoRedefine/>
    <w:qFormat/>
    <w:uiPriority w:val="0"/>
    <w:rPr>
      <w:rFonts w:ascii="Tahoma" w:hAnsi="Tahoma"/>
      <w:sz w:val="24"/>
      <w:szCs w:val="20"/>
    </w:rPr>
  </w:style>
  <w:style w:type="paragraph" w:customStyle="1" w:styleId="64">
    <w:name w:val="Char"/>
    <w:basedOn w:val="1"/>
    <w:autoRedefine/>
    <w:qFormat/>
    <w:uiPriority w:val="0"/>
  </w:style>
  <w:style w:type="paragraph" w:customStyle="1" w:styleId="65">
    <w:name w:val="列出段落2"/>
    <w:basedOn w:val="1"/>
    <w:autoRedefine/>
    <w:qFormat/>
    <w:uiPriority w:val="34"/>
    <w:pPr>
      <w:ind w:firstLine="420" w:firstLineChars="200"/>
    </w:pPr>
    <w:rPr>
      <w:rFonts w:ascii="Calibri" w:hAnsi="Calibri"/>
      <w:szCs w:val="22"/>
    </w:rPr>
  </w:style>
  <w:style w:type="paragraph" w:customStyle="1" w:styleId="66">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68">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无间隔11"/>
    <w:autoRedefine/>
    <w:qFormat/>
    <w:uiPriority w:val="0"/>
    <w:pPr>
      <w:adjustRightInd w:val="0"/>
      <w:snapToGrid w:val="0"/>
    </w:pPr>
    <w:rPr>
      <w:rFonts w:ascii="Tahoma" w:hAnsi="Tahoma" w:eastAsia="微软雅黑" w:cs="Times New Roman"/>
      <w:sz w:val="22"/>
      <w:szCs w:val="22"/>
      <w:lang w:val="en-US" w:eastAsia="zh-CN" w:bidi="ar-SA"/>
    </w:rPr>
  </w:style>
  <w:style w:type="paragraph" w:customStyle="1" w:styleId="70">
    <w:name w:val="img"/>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1">
    <w:name w:val="Char1"/>
    <w:basedOn w:val="1"/>
    <w:autoRedefine/>
    <w:qFormat/>
    <w:uiPriority w:val="0"/>
  </w:style>
  <w:style w:type="paragraph" w:customStyle="1" w:styleId="72">
    <w:name w:val="Table Paragraph"/>
    <w:basedOn w:val="1"/>
    <w:autoRedefine/>
    <w:qFormat/>
    <w:uiPriority w:val="1"/>
    <w:rPr>
      <w:rFonts w:ascii="Calibri" w:hAnsi="Calibri"/>
      <w:szCs w:val="20"/>
    </w:rPr>
  </w:style>
  <w:style w:type="character" w:customStyle="1" w:styleId="73">
    <w:name w:val="标题 6 Char"/>
    <w:link w:val="9"/>
    <w:autoRedefine/>
    <w:semiHidden/>
    <w:qFormat/>
    <w:uiPriority w:val="0"/>
    <w:rPr>
      <w:rFonts w:ascii="宋体" w:hAnsi="宋体" w:eastAsia="宋体" w:cs="宋体"/>
      <w:b/>
      <w:bCs/>
      <w:kern w:val="2"/>
      <w:sz w:val="24"/>
      <w:szCs w:val="24"/>
    </w:rPr>
  </w:style>
  <w:style w:type="paragraph" w:customStyle="1" w:styleId="74">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75">
    <w:name w:val="p18"/>
    <w:basedOn w:val="1"/>
    <w:autoRedefine/>
    <w:qFormat/>
    <w:uiPriority w:val="99"/>
    <w:pPr>
      <w:widowControl/>
      <w:spacing w:line="748" w:lineRule="atLeast"/>
      <w:ind w:left="-527" w:firstLine="527"/>
    </w:pPr>
    <w:rPr>
      <w:rFonts w:ascii="宋体" w:hAnsi="宋体" w:cs="宋体"/>
      <w:kern w:val="0"/>
      <w:sz w:val="24"/>
    </w:rPr>
  </w:style>
  <w:style w:type="paragraph" w:customStyle="1" w:styleId="76">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79">
    <w:name w:val="纯文本 Char2"/>
    <w:autoRedefine/>
    <w:qFormat/>
    <w:uiPriority w:val="0"/>
    <w:rPr>
      <w:rFonts w:ascii="宋体" w:hAnsi="Courier New" w:cs="Times New Roman"/>
      <w:kern w:val="2"/>
      <w:sz w:val="21"/>
      <w:szCs w:val="24"/>
    </w:rPr>
  </w:style>
  <w:style w:type="paragraph" w:customStyle="1" w:styleId="80">
    <w:name w:val="样式 正文（首行缩进两字） + 首行缩进:  2 字符"/>
    <w:basedOn w:val="14"/>
    <w:autoRedefine/>
    <w:qFormat/>
    <w:uiPriority w:val="0"/>
    <w:pPr>
      <w:spacing w:line="460" w:lineRule="exact"/>
      <w:ind w:firstLine="536" w:firstLineChars="200"/>
    </w:pPr>
    <w:rPr>
      <w:rFonts w:cs="宋体"/>
      <w:spacing w:val="6"/>
      <w:kern w:val="24"/>
      <w:sz w:val="24"/>
      <w:szCs w:val="24"/>
    </w:rPr>
  </w:style>
  <w:style w:type="paragraph" w:styleId="81">
    <w:name w:val="List Paragraph"/>
    <w:basedOn w:val="1"/>
    <w:autoRedefine/>
    <w:qFormat/>
    <w:uiPriority w:val="99"/>
    <w:pPr>
      <w:ind w:firstLine="420" w:firstLineChars="200"/>
    </w:pPr>
  </w:style>
  <w:style w:type="character" w:customStyle="1" w:styleId="82">
    <w:name w:val="未处理的提及1"/>
    <w:basedOn w:val="40"/>
    <w:autoRedefine/>
    <w:semiHidden/>
    <w:unhideWhenUsed/>
    <w:qFormat/>
    <w:uiPriority w:val="99"/>
    <w:rPr>
      <w:color w:val="605E5C"/>
      <w:shd w:val="clear" w:color="auto" w:fill="E1DFDD"/>
    </w:rPr>
  </w:style>
  <w:style w:type="character" w:customStyle="1" w:styleId="83">
    <w:name w:val="正文缩进 Char"/>
    <w:link w:val="14"/>
    <w:autoRedefine/>
    <w:qFormat/>
    <w:locked/>
    <w:uiPriority w:val="0"/>
    <w:rPr>
      <w:kern w:val="2"/>
      <w:sz w:val="21"/>
    </w:rPr>
  </w:style>
  <w:style w:type="character" w:customStyle="1" w:styleId="84">
    <w:name w:val="标题 2 Char"/>
    <w:basedOn w:val="40"/>
    <w:link w:val="5"/>
    <w:autoRedefine/>
    <w:semiHidden/>
    <w:qFormat/>
    <w:uiPriority w:val="0"/>
    <w:rPr>
      <w:rFonts w:ascii="宋体" w:hAnsi="宋体" w:eastAsia="宋体" w:cs="宋体"/>
      <w:b/>
      <w:bCs/>
      <w:kern w:val="2"/>
      <w:sz w:val="28"/>
      <w:szCs w:val="32"/>
    </w:rPr>
  </w:style>
  <w:style w:type="paragraph" w:customStyle="1" w:styleId="85">
    <w:name w:val="首行缩进"/>
    <w:basedOn w:val="1"/>
    <w:autoRedefine/>
    <w:qFormat/>
    <w:uiPriority w:val="0"/>
    <w:pPr>
      <w:spacing w:line="360" w:lineRule="auto"/>
      <w:ind w:firstLine="480" w:firstLineChars="200"/>
    </w:pPr>
    <w:rPr>
      <w:rFonts w:ascii="宋体" w:hAnsi="宋体" w:cs="宋体"/>
      <w:kern w:val="0"/>
      <w:sz w:val="24"/>
    </w:rPr>
  </w:style>
  <w:style w:type="paragraph" w:customStyle="1" w:styleId="86">
    <w:name w:val="纯文本1"/>
    <w:basedOn w:val="87"/>
    <w:autoRedefine/>
    <w:qFormat/>
    <w:uiPriority w:val="0"/>
    <w:pPr>
      <w:widowControl/>
      <w:tabs>
        <w:tab w:val="right" w:leader="dot" w:pos="8268"/>
      </w:tabs>
      <w:jc w:val="left"/>
    </w:pPr>
    <w:rPr>
      <w:rFonts w:hAnsi="Courier New"/>
    </w:rPr>
  </w:style>
  <w:style w:type="paragraph" w:customStyle="1" w:styleId="87">
    <w:name w:val="正文1"/>
    <w:basedOn w:val="20"/>
    <w:next w:val="88"/>
    <w:autoRedefine/>
    <w:qFormat/>
    <w:uiPriority w:val="0"/>
    <w:pPr>
      <w:adjustRightInd w:val="0"/>
      <w:spacing w:line="312" w:lineRule="atLeast"/>
      <w:textAlignment w:val="baseline"/>
    </w:pPr>
    <w:rPr>
      <w:rFonts w:hAnsi="Times New Roman"/>
      <w:sz w:val="34"/>
    </w:rPr>
  </w:style>
  <w:style w:type="paragraph" w:customStyle="1" w:styleId="88">
    <w:name w:val="标题 21"/>
    <w:basedOn w:val="87"/>
    <w:next w:val="87"/>
    <w:qFormat/>
    <w:uiPriority w:val="0"/>
    <w:pPr>
      <w:keepNext/>
      <w:keepLines/>
      <w:tabs>
        <w:tab w:val="left" w:pos="706"/>
      </w:tabs>
      <w:ind w:left="106" w:firstLine="454"/>
      <w:outlineLvl w:val="1"/>
    </w:pPr>
    <w:rPr>
      <w:rFonts w:ascii="Arial" w:hAnsi="Arial" w:eastAsia="??"/>
      <w:b/>
      <w:bCs/>
      <w:szCs w:val="32"/>
    </w:rPr>
  </w:style>
  <w:style w:type="paragraph" w:customStyle="1" w:styleId="89">
    <w:name w:val="表格用"/>
    <w:basedOn w:val="1"/>
    <w:autoRedefine/>
    <w:qFormat/>
    <w:uiPriority w:val="0"/>
    <w:rPr>
      <w:rFonts w:ascii="等线" w:hAnsi="等线"/>
      <w:kern w:val="0"/>
    </w:rPr>
  </w:style>
  <w:style w:type="character" w:customStyle="1" w:styleId="90">
    <w:name w:val="NormalCharacter"/>
    <w:autoRedefine/>
    <w:qFormat/>
    <w:uiPriority w:val="0"/>
  </w:style>
  <w:style w:type="character" w:customStyle="1" w:styleId="91">
    <w:name w:val="font11"/>
    <w:basedOn w:val="40"/>
    <w:autoRedefine/>
    <w:qFormat/>
    <w:uiPriority w:val="0"/>
    <w:rPr>
      <w:rFonts w:hint="eastAsia" w:ascii="宋体" w:hAnsi="宋体" w:eastAsia="宋体" w:cs="宋体"/>
      <w:b/>
      <w:bCs/>
      <w:color w:val="000000"/>
      <w:sz w:val="18"/>
      <w:szCs w:val="18"/>
      <w:u w:val="none"/>
    </w:rPr>
  </w:style>
  <w:style w:type="character" w:customStyle="1" w:styleId="92">
    <w:name w:val="font21"/>
    <w:basedOn w:val="40"/>
    <w:autoRedefine/>
    <w:qFormat/>
    <w:uiPriority w:val="0"/>
    <w:rPr>
      <w:rFonts w:hint="eastAsia" w:ascii="宋体" w:hAnsi="宋体" w:eastAsia="宋体" w:cs="宋体"/>
      <w:color w:val="000000"/>
      <w:sz w:val="18"/>
      <w:szCs w:val="18"/>
      <w:u w:val="none"/>
    </w:rPr>
  </w:style>
  <w:style w:type="character" w:customStyle="1" w:styleId="93">
    <w:name w:val="font31"/>
    <w:basedOn w:val="40"/>
    <w:autoRedefine/>
    <w:qFormat/>
    <w:uiPriority w:val="0"/>
    <w:rPr>
      <w:rFonts w:hint="eastAsia" w:ascii="宋体" w:hAnsi="宋体" w:eastAsia="宋体" w:cs="宋体"/>
      <w:b/>
      <w:bCs/>
      <w:color w:val="FF0000"/>
      <w:sz w:val="18"/>
      <w:szCs w:val="18"/>
      <w:u w:val="none"/>
    </w:rPr>
  </w:style>
  <w:style w:type="paragraph" w:customStyle="1" w:styleId="94">
    <w:name w:val="title1"/>
    <w:basedOn w:val="1"/>
    <w:autoRedefine/>
    <w:qFormat/>
    <w:uiPriority w:val="0"/>
    <w:pPr>
      <w:widowControl/>
      <w:jc w:val="left"/>
    </w:pPr>
    <w:rPr>
      <w:rFonts w:ascii="宋体" w:hAnsi="宋体" w:cs="宋体"/>
      <w:kern w:val="0"/>
      <w:sz w:val="24"/>
    </w:rPr>
  </w:style>
  <w:style w:type="paragraph" w:customStyle="1" w:styleId="95">
    <w:name w:val="Default"/>
    <w:autoRedefine/>
    <w:qFormat/>
    <w:uiPriority w:val="0"/>
    <w:pPr>
      <w:widowControl w:val="0"/>
      <w:autoSpaceDE w:val="0"/>
      <w:autoSpaceDN w:val="0"/>
      <w:adjustRightInd w:val="0"/>
      <w:spacing w:line="360" w:lineRule="auto"/>
      <w:jc w:val="both"/>
    </w:pPr>
    <w:rPr>
      <w:rFonts w:ascii="源淏窪极潠极2." w:hAnsi="Times New Roman" w:eastAsia="源淏窪极潠极2." w:cs="源淏窪极潠极2."/>
      <w:color w:val="000000"/>
      <w:sz w:val="24"/>
      <w:szCs w:val="24"/>
      <w:lang w:val="en-US" w:eastAsia="zh-CN" w:bidi="ar-SA"/>
    </w:rPr>
  </w:style>
  <w:style w:type="paragraph" w:customStyle="1" w:styleId="96">
    <w:name w:val="正文文本首行缩进 2"/>
    <w:basedOn w:val="97"/>
    <w:qFormat/>
    <w:uiPriority w:val="99"/>
    <w:pPr>
      <w:tabs>
        <w:tab w:val="right" w:leader="dot" w:pos="8268"/>
      </w:tabs>
      <w:spacing w:line="200" w:lineRule="atLeast"/>
      <w:ind w:firstLine="420"/>
    </w:pPr>
    <w:rPr>
      <w:rFonts w:hAnsi="Courier New"/>
      <w:spacing w:val="-4"/>
      <w:sz w:val="18"/>
    </w:rPr>
  </w:style>
  <w:style w:type="paragraph" w:customStyle="1" w:styleId="97">
    <w:name w:val="正文缩进1"/>
    <w:basedOn w:val="87"/>
    <w:next w:val="9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98">
    <w:name w:val="表内文字"/>
    <w:basedOn w:val="1"/>
    <w:qFormat/>
    <w:uiPriority w:val="0"/>
    <w:pPr>
      <w:tabs>
        <w:tab w:val="left" w:pos="1418"/>
      </w:tabs>
      <w:spacing w:line="360" w:lineRule="auto"/>
      <w:ind w:firstLine="420" w:firstLineChars="200"/>
      <w:jc w:val="center"/>
    </w:pPr>
    <w:rPr>
      <w:rFonts w:ascii="仿宋_GB2312" w:eastAsia="仿宋_GB2312"/>
      <w:spacing w:val="-20"/>
      <w:kern w:val="0"/>
      <w:sz w:val="24"/>
    </w:rPr>
  </w:style>
  <w:style w:type="character" w:customStyle="1" w:styleId="99">
    <w:name w:val="样式 宋体 小四"/>
    <w:autoRedefine/>
    <w:qFormat/>
    <w:uiPriority w:val="0"/>
    <w:rPr>
      <w:rFonts w:ascii="宋体"/>
      <w:kern w:val="0"/>
      <w:sz w:val="24"/>
      <w:szCs w:val="18"/>
    </w:rPr>
  </w:style>
  <w:style w:type="paragraph" w:customStyle="1" w:styleId="100">
    <w:name w:val="表格专用wjk"/>
    <w:basedOn w:val="1"/>
    <w:qFormat/>
    <w:uiPriority w:val="0"/>
    <w:pPr>
      <w:jc w:val="center"/>
    </w:pPr>
    <w:rPr>
      <w:rFonts w:hint="eastAsia" w:ascii="宋体" w:hAnsi="宋体" w:cs="宋体"/>
    </w:rPr>
  </w:style>
  <w:style w:type="paragraph" w:customStyle="1" w:styleId="101">
    <w:name w:val="正文文字2"/>
    <w:basedOn w:val="18"/>
    <w:qFormat/>
    <w:uiPriority w:val="0"/>
    <w:pPr>
      <w:widowControl/>
      <w:adjustRightInd w:val="0"/>
      <w:spacing w:after="60" w:line="360" w:lineRule="atLeast"/>
      <w:ind w:left="72" w:leftChars="30" w:right="72" w:rightChars="30" w:firstLine="200" w:firstLineChars="200"/>
      <w:jc w:val="center"/>
      <w:textAlignment w:val="baseline"/>
    </w:pPr>
    <w:rPr>
      <w:rFonts w:ascii="Arial" w:eastAsia="黑体"/>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1ACF03-1BB0-43DF-9FA6-FB5956A11C02}">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56</Pages>
  <Words>11295</Words>
  <Characters>11843</Characters>
  <Lines>182</Lines>
  <Paragraphs>51</Paragraphs>
  <TotalTime>10</TotalTime>
  <ScaleCrop>false</ScaleCrop>
  <LinksUpToDate>false</LinksUpToDate>
  <CharactersWithSpaces>11952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2024-05-20T08:25:00Z</dcterms:created>
  <dc:creator>dell</dc:creator>
  <cp:lastModifiedBy>Miss sherlock</cp:lastModifiedBy>
  <cp:lastPrinted>2024-08-07T08:11:00Z</cp:lastPrinted>
  <dcterms:modified xsi:type="dcterms:W3CDTF">2025-05-29T08:54:48Z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108344CF246D48B3A76803E00996D57D_13</vt:lpwstr>
  </property>
  <property fmtid="{D5CDD505-2E9C-101B-9397-08002B2CF9AE}" pid="4" name="KSOTemplateDocerSaveRecord">
    <vt:lpwstr>eyJoZGlkIjoiMzEwNTM5NzYwMDRjMzkwZTVkZjY2ODkwMGIxNGU0OTUiLCJ1c2VySWQiOiI5MzA1OTQwNzgifQ==</vt:lpwstr>
  </property>
</Properties>
</file>