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2" cstate="print"/>
                    <a:stretch>
                      <a:fillRect/>
                    </a:stretch>
                  </pic:blipFill>
                  <pic:spPr>
                    <a:xfrm>
                      <a:off x="0" y="0"/>
                      <a:ext cx="5488940" cy="2279015"/>
                    </a:xfrm>
                    <a:prstGeom prst="rect">
                      <a:avLst/>
                    </a:prstGeom>
                  </pic:spPr>
                </pic:pic>
              </a:graphicData>
            </a:graphic>
          </wp:anchor>
        </w:drawing>
      </w:r>
    </w:p>
    <w:p w14:paraId="3CDDC3A3">
      <w:pPr>
        <w:pStyle w:val="2"/>
        <w:jc w:val="center"/>
        <w:rPr>
          <w:rFonts w:hint="eastAsia" w:ascii="宋体" w:hAnsi="宋体" w:eastAsia="宋体" w:cs="宋体"/>
          <w:color w:val="auto"/>
          <w:highlight w:val="none"/>
        </w:rPr>
      </w:pPr>
    </w:p>
    <w:p w14:paraId="589055D1">
      <w:pPr>
        <w:pStyle w:val="2"/>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tzya2025-lq23</w:t>
      </w:r>
      <w:r>
        <w:rPr>
          <w:rFonts w:hint="eastAsia" w:ascii="宋体" w:hAnsi="宋体" w:eastAsia="宋体" w:cs="宋体"/>
          <w:color w:val="auto"/>
          <w:kern w:val="0"/>
          <w:sz w:val="28"/>
          <w:szCs w:val="28"/>
          <w:highlight w:val="none"/>
          <w:u w:val="single"/>
          <w:lang w:val="en-US" w:eastAsia="zh-CN"/>
        </w:rPr>
        <w:t xml:space="preserve"> </w:t>
      </w:r>
    </w:p>
    <w:p w14:paraId="73E885A2">
      <w:pPr>
        <w:pStyle w:val="2"/>
        <w:jc w:val="center"/>
        <w:rPr>
          <w:rFonts w:hint="eastAsia" w:ascii="宋体" w:hAnsi="宋体" w:eastAsia="宋体" w:cs="宋体"/>
          <w:color w:val="auto"/>
          <w:highlight w:val="none"/>
        </w:rPr>
      </w:pPr>
    </w:p>
    <w:p w14:paraId="1708585E">
      <w:pPr>
        <w:pStyle w:val="2"/>
        <w:jc w:val="both"/>
        <w:rPr>
          <w:rFonts w:hint="eastAsia" w:ascii="宋体" w:hAnsi="宋体" w:eastAsia="宋体" w:cs="宋体"/>
          <w:color w:val="auto"/>
          <w:highlight w:val="none"/>
        </w:rPr>
      </w:pPr>
    </w:p>
    <w:p w14:paraId="4C72AF17">
      <w:pPr>
        <w:pStyle w:val="2"/>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横街镇应急处置现场维持秩序服务项目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台州市路桥区横街镇人民政府</w:t>
      </w:r>
    </w:p>
    <w:p w14:paraId="37A6AD10">
      <w:pPr>
        <w:pStyle w:val="2"/>
        <w:rPr>
          <w:rFonts w:hint="eastAsia" w:ascii="宋体" w:hAnsi="宋体" w:eastAsia="宋体" w:cs="宋体"/>
          <w:color w:val="auto"/>
          <w:highlight w:val="none"/>
        </w:rPr>
      </w:pPr>
    </w:p>
    <w:p w14:paraId="4A758623">
      <w:pPr>
        <w:pStyle w:val="2"/>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2"/>
        <w:rPr>
          <w:rFonts w:hint="eastAsia" w:ascii="宋体" w:hAnsi="宋体" w:eastAsia="宋体" w:cs="宋体"/>
          <w:color w:val="auto"/>
          <w:highlight w:val="none"/>
        </w:rPr>
      </w:pPr>
    </w:p>
    <w:p w14:paraId="31A6DFC7">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二○二五年四月</w:t>
      </w:r>
    </w:p>
    <w:p w14:paraId="14E71F3D">
      <w:pPr>
        <w:pStyle w:val="2"/>
        <w:jc w:val="center"/>
        <w:rPr>
          <w:rFonts w:hint="eastAsia" w:ascii="宋体" w:hAnsi="宋体" w:eastAsia="宋体" w:cs="宋体"/>
          <w:color w:val="auto"/>
          <w:kern w:val="0"/>
          <w:szCs w:val="21"/>
          <w:highlight w:val="none"/>
        </w:rPr>
      </w:pPr>
    </w:p>
    <w:p w14:paraId="293D9607">
      <w:pPr>
        <w:pStyle w:val="2"/>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2"/>
        <w:jc w:val="center"/>
        <w:rPr>
          <w:rFonts w:hint="eastAsia" w:ascii="宋体" w:hAnsi="宋体" w:eastAsia="宋体" w:cs="宋体"/>
          <w:color w:val="auto"/>
          <w:highlight w:val="none"/>
        </w:rPr>
      </w:pPr>
    </w:p>
    <w:p w14:paraId="50BA5BA5">
      <w:pPr>
        <w:pStyle w:val="2"/>
        <w:jc w:val="center"/>
        <w:rPr>
          <w:rFonts w:hint="eastAsia" w:ascii="宋体" w:hAnsi="宋体" w:eastAsia="宋体" w:cs="宋体"/>
          <w:color w:val="auto"/>
          <w:highlight w:val="none"/>
        </w:rPr>
      </w:pPr>
    </w:p>
    <w:p w14:paraId="1E1C4765">
      <w:pPr>
        <w:pStyle w:val="2"/>
        <w:jc w:val="center"/>
        <w:rPr>
          <w:rFonts w:hint="eastAsia" w:ascii="宋体" w:hAnsi="宋体" w:eastAsia="宋体" w:cs="宋体"/>
          <w:color w:val="auto"/>
          <w:highlight w:val="none"/>
        </w:rPr>
      </w:pPr>
    </w:p>
    <w:p w14:paraId="6222552D">
      <w:pPr>
        <w:pStyle w:val="2"/>
        <w:jc w:val="center"/>
        <w:rPr>
          <w:rFonts w:hint="eastAsia" w:ascii="宋体" w:hAnsi="宋体" w:eastAsia="宋体" w:cs="宋体"/>
          <w:color w:val="auto"/>
          <w:highlight w:val="none"/>
        </w:rPr>
      </w:pPr>
    </w:p>
    <w:p w14:paraId="331CADB1">
      <w:pPr>
        <w:pStyle w:val="2"/>
        <w:jc w:val="center"/>
        <w:rPr>
          <w:rFonts w:hint="eastAsia" w:ascii="宋体" w:hAnsi="宋体" w:eastAsia="宋体" w:cs="宋体"/>
          <w:color w:val="auto"/>
          <w:highlight w:val="none"/>
        </w:rPr>
      </w:pPr>
    </w:p>
    <w:p w14:paraId="7DA842D4">
      <w:pPr>
        <w:pStyle w:val="2"/>
        <w:jc w:val="center"/>
        <w:rPr>
          <w:rFonts w:hint="eastAsia" w:ascii="宋体" w:hAnsi="宋体" w:eastAsia="宋体" w:cs="宋体"/>
          <w:color w:val="auto"/>
          <w:highlight w:val="none"/>
        </w:rPr>
      </w:pPr>
    </w:p>
    <w:p w14:paraId="2D68CF0D">
      <w:pPr>
        <w:pStyle w:val="2"/>
        <w:jc w:val="center"/>
        <w:rPr>
          <w:rFonts w:hint="eastAsia" w:ascii="宋体" w:hAnsi="宋体" w:eastAsia="宋体" w:cs="宋体"/>
          <w:color w:val="auto"/>
          <w:highlight w:val="none"/>
        </w:rPr>
      </w:pPr>
    </w:p>
    <w:p w14:paraId="35BB7733">
      <w:pPr>
        <w:pStyle w:val="2"/>
        <w:jc w:val="center"/>
        <w:rPr>
          <w:rFonts w:hint="eastAsia" w:ascii="宋体" w:hAnsi="宋体" w:eastAsia="宋体" w:cs="宋体"/>
          <w:color w:val="auto"/>
          <w:highlight w:val="none"/>
        </w:rPr>
      </w:pPr>
    </w:p>
    <w:p w14:paraId="02B431F4">
      <w:pPr>
        <w:pStyle w:val="2"/>
        <w:jc w:val="center"/>
        <w:rPr>
          <w:rFonts w:hint="eastAsia" w:ascii="宋体" w:hAnsi="宋体" w:eastAsia="宋体" w:cs="宋体"/>
          <w:color w:val="auto"/>
          <w:highlight w:val="none"/>
        </w:rPr>
      </w:pPr>
    </w:p>
    <w:p w14:paraId="4F419DB2">
      <w:pPr>
        <w:pStyle w:val="2"/>
        <w:jc w:val="center"/>
        <w:rPr>
          <w:rFonts w:hint="eastAsia" w:ascii="宋体" w:hAnsi="宋体" w:eastAsia="宋体" w:cs="宋体"/>
          <w:color w:val="auto"/>
          <w:highlight w:val="none"/>
        </w:rPr>
      </w:pPr>
    </w:p>
    <w:p w14:paraId="1CFACB3E">
      <w:pPr>
        <w:pStyle w:val="2"/>
        <w:jc w:val="center"/>
        <w:rPr>
          <w:rFonts w:hint="eastAsia" w:ascii="宋体" w:hAnsi="宋体" w:eastAsia="宋体" w:cs="宋体"/>
          <w:color w:val="auto"/>
          <w:highlight w:val="none"/>
        </w:rPr>
      </w:pPr>
    </w:p>
    <w:p w14:paraId="6EA18690">
      <w:pPr>
        <w:pStyle w:val="2"/>
        <w:jc w:val="center"/>
        <w:rPr>
          <w:rFonts w:hint="eastAsia" w:ascii="宋体" w:hAnsi="宋体" w:eastAsia="宋体" w:cs="宋体"/>
          <w:color w:val="auto"/>
          <w:highlight w:val="none"/>
        </w:rPr>
      </w:pPr>
    </w:p>
    <w:p w14:paraId="429902BF">
      <w:pPr>
        <w:pStyle w:val="3"/>
        <w:rPr>
          <w:rFonts w:hint="eastAsia" w:ascii="宋体" w:hAnsi="宋体" w:eastAsia="宋体" w:cs="宋体"/>
          <w:color w:val="auto"/>
          <w:highlight w:val="none"/>
        </w:rPr>
      </w:pPr>
    </w:p>
    <w:p w14:paraId="0BAAC219">
      <w:pPr>
        <w:pStyle w:val="3"/>
        <w:rPr>
          <w:rFonts w:hint="eastAsia" w:ascii="宋体" w:hAnsi="宋体" w:eastAsia="宋体" w:cs="宋体"/>
          <w:color w:val="auto"/>
          <w:highlight w:val="none"/>
        </w:rPr>
      </w:pPr>
    </w:p>
    <w:p w14:paraId="1190BB94">
      <w:pPr>
        <w:pStyle w:val="2"/>
        <w:jc w:val="center"/>
        <w:rPr>
          <w:rFonts w:hint="eastAsia" w:ascii="宋体" w:hAnsi="宋体" w:eastAsia="宋体" w:cs="宋体"/>
          <w:color w:val="auto"/>
          <w:highlight w:val="none"/>
        </w:rPr>
      </w:pPr>
    </w:p>
    <w:p w14:paraId="077DDCED">
      <w:pPr>
        <w:pStyle w:val="3"/>
        <w:rPr>
          <w:rFonts w:hint="eastAsia" w:ascii="宋体" w:hAnsi="宋体" w:eastAsia="宋体" w:cs="宋体"/>
          <w:color w:val="auto"/>
          <w:highlight w:val="none"/>
        </w:rPr>
      </w:pPr>
    </w:p>
    <w:p w14:paraId="45DE0236">
      <w:pPr>
        <w:pStyle w:val="2"/>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bookmarkStart w:id="2" w:name="_GoBack"/>
      <w:bookmarkEnd w:id="2"/>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台州市路桥区横街镇人民政府</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横街镇应急处置现场维持秩序服务项目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根据《政府向社会力量购买服务指导性目录（202</w:t>
      </w:r>
      <w:r>
        <w:rPr>
          <w:rFonts w:hint="eastAsia" w:ascii="宋体" w:hAnsi="宋体" w:cs="宋体"/>
          <w:b/>
          <w:color w:val="auto"/>
          <w:kern w:val="2"/>
          <w:sz w:val="21"/>
          <w:szCs w:val="21"/>
          <w:highlight w:val="none"/>
          <w:lang w:val="en-US" w:eastAsia="zh-CN" w:bidi="ar-SA"/>
        </w:rPr>
        <w:t>5</w:t>
      </w:r>
      <w:r>
        <w:rPr>
          <w:rFonts w:hint="eastAsia" w:ascii="宋体" w:hAnsi="宋体" w:eastAsia="宋体" w:cs="宋体"/>
          <w:b/>
          <w:color w:val="auto"/>
          <w:kern w:val="2"/>
          <w:sz w:val="21"/>
          <w:szCs w:val="21"/>
          <w:highlight w:val="none"/>
          <w:lang w:val="en-US" w:eastAsia="zh-CN" w:bidi="ar-SA"/>
        </w:rPr>
        <w:t>年）》中</w:t>
      </w:r>
      <w:r>
        <w:rPr>
          <w:rFonts w:hint="eastAsia" w:ascii="宋体" w:hAnsi="宋体" w:cs="宋体"/>
          <w:b/>
          <w:color w:val="auto"/>
          <w:kern w:val="2"/>
          <w:sz w:val="21"/>
          <w:szCs w:val="21"/>
          <w:highlight w:val="none"/>
          <w:lang w:val="en-US" w:eastAsia="zh-CN" w:bidi="ar-SA"/>
        </w:rPr>
        <w:t>A18</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横街镇应急处置现场维持秩序服务项目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tzya2025-lq23</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695"/>
        <w:gridCol w:w="777"/>
        <w:gridCol w:w="982"/>
        <w:gridCol w:w="2072"/>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0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5"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7"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982"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2072"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服务期</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横街镇应急处置现场维持秩序服务项目</w:t>
            </w:r>
          </w:p>
        </w:tc>
        <w:tc>
          <w:tcPr>
            <w:tcW w:w="110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695"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982"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c>
          <w:tcPr>
            <w:tcW w:w="2072" w:type="dxa"/>
            <w:noWrap w:val="0"/>
            <w:vAlign w:val="center"/>
          </w:tcPr>
          <w:p w14:paraId="3E6B06A9">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两年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tc>
      </w:tr>
    </w:tbl>
    <w:p w14:paraId="386FEC96">
      <w:pPr>
        <w:pStyle w:val="11"/>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BC02689">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w:t>
      </w:r>
      <w:r>
        <w:rPr>
          <w:rStyle w:val="25"/>
          <w:rFonts w:hint="eastAsia" w:ascii="宋体" w:hAnsi="宋体" w:eastAsia="宋体" w:cs="宋体"/>
          <w:b w:val="0"/>
          <w:bCs/>
          <w:i w:val="0"/>
          <w:caps w:val="0"/>
          <w:color w:val="auto"/>
          <w:spacing w:val="0"/>
          <w:sz w:val="21"/>
          <w:szCs w:val="21"/>
          <w:highlight w:val="none"/>
          <w:u w:val="single"/>
        </w:rPr>
        <w:t>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66F88930">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B02E41E">
      <w:pPr>
        <w:pStyle w:val="19"/>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 xml:space="preserve">14:00整，地点：通过“政府采购云平台（www.zcygov.cn）”实行在线投标响应   </w:t>
      </w:r>
    </w:p>
    <w:p w14:paraId="5553A1F1">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14:00整，地点：通过“政府采购云平台（www.zcygov.cn）”实行在线投标响应</w:t>
      </w:r>
    </w:p>
    <w:p w14:paraId="2D514735">
      <w:pPr>
        <w:pStyle w:val="54"/>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14:30整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4"/>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w:t>
      </w:r>
      <w:r>
        <w:rPr>
          <w:rFonts w:hint="eastAsia" w:ascii="宋体" w:hAnsi="宋体" w:eastAsia="宋体" w:cs="宋体"/>
          <w:b/>
          <w:bCs/>
          <w:color w:val="auto"/>
          <w:kern w:val="0"/>
          <w:sz w:val="21"/>
          <w:szCs w:val="21"/>
          <w:highlight w:val="none"/>
          <w:lang w:val="en-US" w:eastAsia="zh-CN" w:bidi="ar-SA"/>
        </w:rPr>
        <w:t>磋商响应文件的，应当先行撤回原文件，补充、修改后重新传输递交。磋商截止时间前未完成传输的，视为撤回磋商响应文件。</w:t>
      </w:r>
    </w:p>
    <w:p w14:paraId="56BD55DD">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t>
      </w:r>
      <w:r>
        <w:rPr>
          <w:rFonts w:hint="eastAsia" w:ascii="宋体" w:hAnsi="宋体" w:eastAsia="宋体" w:cs="宋体"/>
          <w:color w:val="auto"/>
          <w:sz w:val="21"/>
          <w:szCs w:val="21"/>
          <w:highlight w:val="none"/>
          <w:lang w:eastAsia="zh-CN"/>
        </w:rPr>
        <w:t>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台州市路桥区横街镇人民政府</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cs="宋体"/>
          <w:color w:val="auto"/>
          <w:szCs w:val="21"/>
          <w:highlight w:val="none"/>
          <w:lang w:val="en-US" w:eastAsia="zh-CN"/>
        </w:rPr>
        <w:t>张先生</w:t>
      </w:r>
      <w:r>
        <w:rPr>
          <w:rFonts w:hint="eastAsia" w:ascii="宋体" w:hAnsi="宋体" w:eastAsia="宋体" w:cs="宋体"/>
          <w:color w:val="auto"/>
          <w:szCs w:val="21"/>
          <w:highlight w:val="none"/>
        </w:rPr>
        <w:t xml:space="preserve">      询问联系电话：</w:t>
      </w:r>
      <w:r>
        <w:rPr>
          <w:rFonts w:hint="eastAsia" w:asciiTheme="minorEastAsia" w:hAnsiTheme="minorEastAsia" w:eastAsiaTheme="minorEastAsia" w:cstheme="minorEastAsia"/>
          <w:color w:val="auto"/>
          <w:sz w:val="21"/>
          <w:szCs w:val="21"/>
          <w:highlight w:val="none"/>
          <w:shd w:val="clear" w:color="auto" w:fill="auto"/>
        </w:rPr>
        <w:t>0576-</w:t>
      </w:r>
      <w:r>
        <w:rPr>
          <w:rFonts w:hint="eastAsia" w:asciiTheme="minorEastAsia" w:hAnsiTheme="minorEastAsia" w:eastAsiaTheme="minorEastAsia" w:cstheme="minorEastAsia"/>
          <w:color w:val="auto"/>
          <w:sz w:val="21"/>
          <w:szCs w:val="21"/>
          <w:highlight w:val="none"/>
          <w:shd w:val="clear" w:color="auto" w:fill="auto"/>
          <w:lang w:val="en-US" w:eastAsia="zh-CN"/>
        </w:rPr>
        <w:t>82655173</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XXXXXXXX</w:t>
      </w:r>
    </w:p>
    <w:p w14:paraId="6E08A9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Theme="minorEastAsia" w:hAnsiTheme="minorEastAsia" w:eastAsiaTheme="minorEastAsia" w:cstheme="minorEastAsia"/>
          <w:color w:val="auto"/>
          <w:sz w:val="21"/>
          <w:szCs w:val="21"/>
          <w:highlight w:val="none"/>
        </w:rPr>
        <w:t>台州市路桥区新兴路60号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6230F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pStyle w:val="30"/>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2"/>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9"/>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2"/>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二○二五年四月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14:00整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4"/>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w:t>
            </w:r>
            <w:r>
              <w:rPr>
                <w:rFonts w:hint="eastAsia" w:ascii="宋体" w:hAnsi="宋体" w:eastAsia="宋体" w:cs="宋体"/>
                <w:b/>
                <w:bCs/>
                <w:color w:val="auto"/>
                <w:kern w:val="2"/>
                <w:sz w:val="21"/>
                <w:szCs w:val="21"/>
                <w:highlight w:val="none"/>
                <w:u w:val="single"/>
                <w:lang w:val="en-US" w:eastAsia="zh-CN" w:bidi="ar-SA"/>
              </w:rPr>
              <w:t>14:00整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14:00-14:30</w:t>
            </w:r>
            <w:r>
              <w:rPr>
                <w:rFonts w:hint="eastAsia" w:ascii="宋体" w:hAnsi="宋体" w:eastAsia="宋体" w:cs="宋体"/>
                <w:color w:val="auto"/>
                <w:sz w:val="21"/>
                <w:szCs w:val="21"/>
                <w:highlight w:val="none"/>
              </w:rPr>
              <w:t>（北京时间）</w:t>
            </w:r>
          </w:p>
          <w:p w14:paraId="636F6A39">
            <w:pPr>
              <w:pStyle w:val="53"/>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6BA27FBE">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8ECDE34">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5DD72F7">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1A92DFA6">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现场演示：无要求。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color w:val="auto"/>
                <w:szCs w:val="21"/>
                <w:highlight w:val="none"/>
                <w:lang w:val="en-US" w:eastAsia="zh-CN"/>
              </w:rPr>
              <w:t>5、履约保证金：</w:t>
            </w:r>
            <w:r>
              <w:rPr>
                <w:rFonts w:hint="eastAsia" w:ascii="宋体" w:hAnsi="宋体" w:eastAsia="宋体" w:cs="宋体"/>
                <w:color w:val="auto"/>
                <w:szCs w:val="21"/>
                <w:highlight w:val="none"/>
              </w:rPr>
              <w:t>中标方应在收到中标通知书后一周内向采购方交纳合同金额的1%作为履约保证金，以保证中标方遵守本合同，包括担保、保函、保险等形式。</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3"/>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3"/>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5"/>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 w:val="21"/>
          <w:szCs w:val="21"/>
          <w:highlight w:val="none"/>
        </w:rPr>
        <w:t>）。</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9D9AF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（3）商务及技术响应表</w:t>
      </w:r>
      <w:r>
        <w:rPr>
          <w:rFonts w:hint="eastAsia" w:ascii="宋体" w:hAnsi="宋体" w:cs="宋体"/>
          <w:color w:val="auto"/>
          <w:sz w:val="21"/>
          <w:szCs w:val="21"/>
          <w:highlight w:val="none"/>
          <w:lang w:eastAsia="zh-CN"/>
        </w:rPr>
        <w:t>。</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w:t>
      </w:r>
      <w:r>
        <w:rPr>
          <w:rFonts w:hint="eastAsia" w:ascii="宋体" w:hAnsi="宋体" w:eastAsia="宋体" w:cs="宋体"/>
          <w:color w:val="auto"/>
          <w:sz w:val="21"/>
          <w:szCs w:val="21"/>
          <w:highlight w:val="none"/>
        </w:rPr>
        <w:t>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一览表、报价明细表，以及供应商认为其他需要说明的内容组成。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1"/>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w:t>
      </w:r>
      <w:r>
        <w:rPr>
          <w:rFonts w:hint="eastAsia" w:ascii="宋体" w:hAnsi="宋体" w:eastAsia="宋体" w:cs="宋体"/>
          <w:color w:val="auto"/>
          <w:sz w:val="21"/>
          <w:szCs w:val="21"/>
          <w:highlight w:val="none"/>
          <w:lang w:eastAsia="zh-CN"/>
        </w:rPr>
        <w:t>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3"/>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w:t>
      </w:r>
      <w:r>
        <w:rPr>
          <w:rFonts w:hint="eastAsia" w:ascii="宋体" w:hAnsi="宋体" w:eastAsia="宋体" w:cs="宋体"/>
          <w:b w:val="0"/>
          <w:bCs w:val="0"/>
          <w:color w:val="auto"/>
          <w:kern w:val="2"/>
          <w:sz w:val="21"/>
          <w:szCs w:val="21"/>
          <w:highlight w:val="none"/>
          <w:lang w:val="en-US" w:eastAsia="zh-CN" w:bidi="ar-SA"/>
        </w:rPr>
        <w:t>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8"/>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8"/>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w:t>
      </w:r>
      <w:r>
        <w:rPr>
          <w:rFonts w:hint="eastAsia" w:ascii="宋体" w:hAnsi="宋体" w:eastAsia="宋体" w:cs="宋体"/>
          <w:color w:val="auto"/>
          <w:sz w:val="21"/>
          <w:szCs w:val="21"/>
          <w:highlight w:val="none"/>
        </w:rPr>
        <w:t>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2"/>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w:t>
      </w:r>
      <w:r>
        <w:rPr>
          <w:rFonts w:hint="eastAsia" w:ascii="宋体" w:hAnsi="宋体" w:eastAsia="宋体" w:cs="宋体"/>
          <w:color w:val="auto"/>
          <w:sz w:val="21"/>
          <w:szCs w:val="21"/>
          <w:highlight w:val="none"/>
        </w:rPr>
        <w:t>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w:t>
      </w:r>
      <w:r>
        <w:rPr>
          <w:rFonts w:hint="eastAsia" w:ascii="宋体" w:hAnsi="宋体" w:eastAsia="宋体" w:cs="宋体"/>
          <w:color w:val="auto"/>
          <w:sz w:val="21"/>
          <w:szCs w:val="21"/>
          <w:highlight w:val="none"/>
        </w:rPr>
        <w:t>进行综合评分。</w:t>
      </w:r>
    </w:p>
    <w:p w14:paraId="6EB409ED">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rPr>
        <w:t>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19"/>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19"/>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19"/>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19"/>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eastAsia="zh-CN"/>
        </w:rPr>
        <w:t>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19"/>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19"/>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19"/>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19"/>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19"/>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rPr>
        <w:t>签订合同</w:t>
      </w:r>
    </w:p>
    <w:p w14:paraId="11A82A6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w:t>
      </w:r>
      <w:r>
        <w:rPr>
          <w:rFonts w:hint="eastAsia" w:ascii="宋体" w:hAnsi="宋体" w:eastAsia="宋体" w:cs="宋体"/>
          <w:color w:val="auto"/>
          <w:sz w:val="21"/>
          <w:szCs w:val="21"/>
          <w:highlight w:val="none"/>
          <w:lang w:val="zh-CN"/>
        </w:rPr>
        <w:t>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eastAsia="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、本次评分具体分值细化条款如下表</w:t>
      </w:r>
      <w:r>
        <w:rPr>
          <w:rFonts w:hint="eastAsia" w:ascii="宋体" w:hAnsi="宋体" w:eastAsia="宋体" w:cs="宋体"/>
          <w:color w:val="auto"/>
          <w:kern w:val="0"/>
          <w:sz w:val="21"/>
          <w:szCs w:val="21"/>
          <w:highlight w:val="none"/>
        </w:rPr>
        <w:t>：</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pPr w:leftFromText="180" w:rightFromText="180" w:vertAnchor="text" w:horzAnchor="page" w:tblpX="1174" w:tblpY="322"/>
        <w:tblOverlap w:val="never"/>
        <w:tblW w:w="10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273"/>
        <w:gridCol w:w="7065"/>
        <w:gridCol w:w="800"/>
      </w:tblGrid>
      <w:tr w14:paraId="0481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56" w:type="dxa"/>
            <w:gridSpan w:val="2"/>
            <w:vAlign w:val="center"/>
          </w:tcPr>
          <w:p w14:paraId="45EF794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125F83E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800" w:type="dxa"/>
            <w:vAlign w:val="center"/>
          </w:tcPr>
          <w:p w14:paraId="1523DED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173F8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983" w:type="dxa"/>
            <w:vMerge w:val="restart"/>
            <w:vAlign w:val="center"/>
          </w:tcPr>
          <w:p w14:paraId="2461514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eastAsia="zh-CN"/>
              </w:rPr>
              <w:t>）</w:t>
            </w:r>
          </w:p>
        </w:tc>
        <w:tc>
          <w:tcPr>
            <w:tcW w:w="1273" w:type="dxa"/>
            <w:vAlign w:val="center"/>
          </w:tcPr>
          <w:p w14:paraId="476241F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7"/>
                <w:rFonts w:hint="eastAsia" w:ascii="宋体" w:hAnsi="宋体" w:eastAsia="宋体" w:cs="宋体"/>
                <w:color w:val="auto"/>
                <w:sz w:val="21"/>
                <w:szCs w:val="21"/>
                <w:highlight w:val="none"/>
                <w:lang w:val="en-US" w:eastAsia="zh-CN"/>
              </w:rPr>
              <w:t>承接经验</w:t>
            </w:r>
          </w:p>
        </w:tc>
        <w:tc>
          <w:tcPr>
            <w:tcW w:w="7065" w:type="dxa"/>
            <w:vAlign w:val="center"/>
          </w:tcPr>
          <w:p w14:paraId="7C69C5DB">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自2022年1月1日以来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承接过类似项目的，每提供1个合同得1分，最高得2分。</w:t>
            </w:r>
          </w:p>
          <w:p w14:paraId="68DD8BB9">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Cs w:val="21"/>
                <w:highlight w:val="none"/>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800" w:type="dxa"/>
            <w:vAlign w:val="center"/>
          </w:tcPr>
          <w:p w14:paraId="3CB0060B">
            <w:pPr>
              <w:pStyle w:val="11"/>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3254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Merge w:val="continue"/>
            <w:vAlign w:val="center"/>
          </w:tcPr>
          <w:p w14:paraId="7D2A917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Align w:val="center"/>
          </w:tcPr>
          <w:p w14:paraId="67C39ECC">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065" w:type="dxa"/>
            <w:vAlign w:val="center"/>
          </w:tcPr>
          <w:p w14:paraId="5C957A2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投标人具有有效期内</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质量管理体系、环境管理体系、职业健康安全管理体系认证的，每</w:t>
            </w:r>
            <w:r>
              <w:rPr>
                <w:rFonts w:hint="eastAsia" w:ascii="宋体" w:hAnsi="宋体" w:eastAsia="宋体" w:cs="宋体"/>
                <w:color w:val="auto"/>
                <w:highlight w:val="none"/>
                <w:lang w:val="en-US" w:eastAsia="zh-CN"/>
              </w:rPr>
              <w:t>提供1项</w:t>
            </w:r>
            <w:r>
              <w:rPr>
                <w:rFonts w:hint="eastAsia" w:ascii="宋体" w:hAnsi="宋体" w:eastAsia="宋体" w:cs="宋体"/>
                <w:color w:val="auto"/>
                <w:highlight w:val="none"/>
              </w:rPr>
              <w:t>得1分，本项最高得3分</w:t>
            </w:r>
            <w:r>
              <w:rPr>
                <w:rFonts w:hint="eastAsia" w:ascii="宋体" w:hAnsi="宋体" w:cs="宋体"/>
                <w:color w:val="auto"/>
                <w:highlight w:val="none"/>
                <w:lang w:eastAsia="zh-CN"/>
              </w:rPr>
              <w:t>。</w:t>
            </w:r>
          </w:p>
          <w:p w14:paraId="612AECF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提供证书扫描件</w:t>
            </w:r>
            <w:r>
              <w:rPr>
                <w:rFonts w:hint="eastAsia" w:ascii="宋体" w:hAnsi="宋体" w:eastAsia="宋体" w:cs="宋体"/>
                <w:b/>
                <w:bCs/>
                <w:color w:val="auto"/>
                <w:szCs w:val="21"/>
                <w:highlight w:val="none"/>
              </w:rPr>
              <w:t>并</w:t>
            </w:r>
            <w:r>
              <w:rPr>
                <w:rFonts w:hint="eastAsia" w:ascii="宋体" w:hAnsi="宋体" w:eastAsia="宋体" w:cs="宋体"/>
                <w:b/>
                <w:bCs/>
                <w:color w:val="auto"/>
                <w:kern w:val="0"/>
                <w:sz w:val="21"/>
                <w:szCs w:val="21"/>
                <w:highlight w:val="none"/>
                <w:u w:val="none"/>
                <w:lang w:val="zh-CN"/>
              </w:rPr>
              <w:t>加盖投标人公章编入投标文件中，未提供的不得分）</w:t>
            </w:r>
          </w:p>
        </w:tc>
        <w:tc>
          <w:tcPr>
            <w:tcW w:w="800" w:type="dxa"/>
            <w:vAlign w:val="center"/>
          </w:tcPr>
          <w:p w14:paraId="41627681">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10C06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983" w:type="dxa"/>
            <w:vMerge w:val="continue"/>
            <w:vAlign w:val="center"/>
          </w:tcPr>
          <w:p w14:paraId="653BF23B">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30D24006">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p>
        </w:tc>
        <w:tc>
          <w:tcPr>
            <w:tcW w:w="7065" w:type="dxa"/>
            <w:vAlign w:val="center"/>
          </w:tcPr>
          <w:p w14:paraId="06F36F3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拟派</w:t>
            </w:r>
            <w:r>
              <w:rPr>
                <w:rFonts w:hint="eastAsia" w:ascii="宋体" w:hAnsi="宋体" w:eastAsia="宋体" w:cs="宋体"/>
                <w:color w:val="auto"/>
                <w:szCs w:val="21"/>
                <w:highlight w:val="none"/>
                <w:lang w:val="en-US" w:eastAsia="zh-CN"/>
              </w:rPr>
              <w:t>秩序维护</w:t>
            </w:r>
            <w:r>
              <w:rPr>
                <w:rFonts w:hint="eastAsia" w:ascii="宋体" w:hAnsi="宋体" w:eastAsia="宋体" w:cs="宋体"/>
                <w:color w:val="auto"/>
                <w:szCs w:val="21"/>
                <w:highlight w:val="none"/>
              </w:rPr>
              <w:t>人员（不含队长）</w:t>
            </w:r>
            <w:r>
              <w:rPr>
                <w:rFonts w:hint="eastAsia" w:ascii="宋体" w:hAnsi="宋体" w:eastAsia="宋体" w:cs="宋体"/>
                <w:color w:val="auto"/>
                <w:szCs w:val="21"/>
                <w:highlight w:val="none"/>
                <w:lang w:eastAsia="zh-CN"/>
              </w:rPr>
              <w:t>：</w:t>
            </w:r>
          </w:p>
          <w:p w14:paraId="3DF13EFE">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具备一级或二级保安员证的，每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14634EAF">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具备三级或四级保安员证的，每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609D5D0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具备五级保安员证的，每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43BDC8FA">
            <w:pPr>
              <w:adjustRightInd w:val="0"/>
              <w:snapToGrid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本项最高得5分。</w:t>
            </w:r>
          </w:p>
          <w:p w14:paraId="1BF8ED8E">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（须提供有效的</w:t>
            </w:r>
            <w:r>
              <w:rPr>
                <w:rFonts w:hint="eastAsia" w:ascii="宋体" w:hAnsi="宋体" w:eastAsia="宋体" w:cs="宋体"/>
                <w:b/>
                <w:bCs/>
                <w:color w:val="auto"/>
                <w:szCs w:val="21"/>
                <w:highlight w:val="none"/>
                <w:lang w:val="en-US" w:eastAsia="zh-CN"/>
              </w:rPr>
              <w:t>保安员</w:t>
            </w:r>
            <w:r>
              <w:rPr>
                <w:rFonts w:hint="eastAsia" w:ascii="宋体" w:hAnsi="宋体" w:eastAsia="宋体" w:cs="宋体"/>
                <w:b/>
                <w:bCs/>
                <w:color w:val="auto"/>
                <w:szCs w:val="21"/>
                <w:highlight w:val="none"/>
              </w:rPr>
              <w:t>证书扫描件及投标截止时间前近3个月内的社保缴费证明并加盖投标人公章编入投标文件中，未提供或提供不全的不得分）</w:t>
            </w:r>
          </w:p>
        </w:tc>
        <w:tc>
          <w:tcPr>
            <w:tcW w:w="800" w:type="dxa"/>
            <w:vAlign w:val="center"/>
          </w:tcPr>
          <w:p w14:paraId="020FD25F">
            <w:pPr>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rPr>
              <w:t>5</w:t>
            </w:r>
          </w:p>
        </w:tc>
      </w:tr>
      <w:tr w14:paraId="29A54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83" w:type="dxa"/>
            <w:vMerge w:val="continue"/>
            <w:vAlign w:val="center"/>
          </w:tcPr>
          <w:p w14:paraId="176999E6">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3CFB7BC7">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065" w:type="dxa"/>
            <w:vAlign w:val="center"/>
          </w:tcPr>
          <w:p w14:paraId="70D704E5">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拟派秩序维护人员</w:t>
            </w:r>
            <w:r>
              <w:rPr>
                <w:rFonts w:hint="eastAsia" w:ascii="宋体" w:hAnsi="宋体" w:eastAsia="宋体" w:cs="宋体"/>
                <w:color w:val="auto"/>
                <w:sz w:val="21"/>
                <w:szCs w:val="21"/>
                <w:highlight w:val="none"/>
              </w:rPr>
              <w:t>队长</w:t>
            </w:r>
            <w:r>
              <w:rPr>
                <w:rFonts w:hint="eastAsia" w:ascii="宋体" w:hAnsi="宋体" w:eastAsia="宋体" w:cs="宋体"/>
                <w:color w:val="auto"/>
                <w:sz w:val="21"/>
                <w:szCs w:val="21"/>
                <w:highlight w:val="none"/>
                <w:lang w:eastAsia="zh-CN"/>
              </w:rPr>
              <w:t>：</w:t>
            </w:r>
          </w:p>
          <w:p w14:paraId="71955C88">
            <w:pPr>
              <w:keepNext w:val="0"/>
              <w:keepLines w:val="0"/>
              <w:pageBreakBefore w:val="0"/>
              <w:numPr>
                <w:ilvl w:val="0"/>
                <w:numId w:val="4"/>
              </w:numPr>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具有一级或二级保安员证</w:t>
            </w:r>
            <w:r>
              <w:rPr>
                <w:rFonts w:hint="eastAsia" w:ascii="宋体" w:hAnsi="宋体" w:eastAsia="宋体" w:cs="宋体"/>
                <w:color w:val="auto"/>
                <w:sz w:val="21"/>
                <w:szCs w:val="21"/>
                <w:highlight w:val="none"/>
                <w:lang w:val="en-US" w:eastAsia="zh-CN"/>
              </w:rPr>
              <w:t>的得2分；</w:t>
            </w:r>
          </w:p>
          <w:p w14:paraId="59B287CE">
            <w:pPr>
              <w:keepNext w:val="0"/>
              <w:keepLines w:val="0"/>
              <w:pageBreakBefore w:val="0"/>
              <w:numPr>
                <w:ilvl w:val="0"/>
                <w:numId w:val="4"/>
              </w:numPr>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具有本科及以上学历的得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81E359">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本项最高得3分。</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有效的保安员</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毕业证书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800" w:type="dxa"/>
            <w:vAlign w:val="center"/>
          </w:tcPr>
          <w:p w14:paraId="6EF9C27C">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r>
      <w:tr w14:paraId="1B39C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83" w:type="dxa"/>
            <w:vMerge w:val="restart"/>
            <w:vAlign w:val="center"/>
          </w:tcPr>
          <w:p w14:paraId="77CE2949">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305DDD1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0291A3A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3621051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7B5612F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36CC2C8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37BE3D8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484BDBE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23C25F5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0CA6BC66">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4911270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0AEF0B45">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67分</w:t>
            </w:r>
            <w:r>
              <w:rPr>
                <w:rFonts w:hint="eastAsia" w:ascii="宋体" w:hAnsi="宋体" w:eastAsia="宋体" w:cs="宋体"/>
                <w:color w:val="auto"/>
                <w:sz w:val="21"/>
                <w:szCs w:val="21"/>
                <w:highlight w:val="none"/>
                <w:lang w:eastAsia="zh-CN"/>
              </w:rPr>
              <w:t>）</w:t>
            </w:r>
          </w:p>
          <w:p w14:paraId="2442CDB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558C7847">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7065" w:type="dxa"/>
            <w:vAlign w:val="center"/>
          </w:tcPr>
          <w:p w14:paraId="3F9B6C2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olor w:val="auto"/>
                <w:sz w:val="21"/>
                <w:szCs w:val="21"/>
                <w:highlight w:val="none"/>
                <w:lang w:eastAsia="zh-CN"/>
              </w:rPr>
              <w:t>横街镇应急处置现场维持秩序服务的</w:t>
            </w:r>
            <w:r>
              <w:rPr>
                <w:rFonts w:hint="eastAsia" w:ascii="宋体" w:hAnsi="宋体" w:eastAsia="宋体" w:cs="宋体"/>
                <w:b w:val="0"/>
                <w:color w:val="auto"/>
                <w:sz w:val="21"/>
                <w:szCs w:val="21"/>
                <w:highlight w:val="none"/>
                <w:lang w:val="en-US" w:eastAsia="zh-CN"/>
              </w:rPr>
              <w:t>区域特征</w:t>
            </w:r>
            <w:r>
              <w:rPr>
                <w:rFonts w:hint="eastAsia" w:ascii="宋体" w:hAnsi="宋体" w:eastAsia="宋体" w:cs="宋体"/>
                <w:b w:val="0"/>
                <w:color w:val="auto"/>
                <w:sz w:val="21"/>
                <w:szCs w:val="21"/>
                <w:highlight w:val="none"/>
              </w:rPr>
              <w:t>分析</w:t>
            </w:r>
            <w:r>
              <w:rPr>
                <w:rFonts w:hint="eastAsia" w:ascii="宋体" w:hAnsi="宋体" w:eastAsia="宋体" w:cs="宋体"/>
                <w:b w:val="0"/>
                <w:color w:val="auto"/>
                <w:sz w:val="21"/>
                <w:szCs w:val="21"/>
                <w:highlight w:val="none"/>
                <w:lang w:val="en-US" w:eastAsia="zh-CN"/>
              </w:rPr>
              <w:t>等进行打分。</w:t>
            </w:r>
          </w:p>
          <w:p w14:paraId="5844371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调查全面，服务背景分析有针对性的得</w:t>
            </w:r>
            <w:r>
              <w:rPr>
                <w:rFonts w:hint="eastAsia" w:ascii="宋体" w:hAnsi="宋体" w:eastAsia="宋体" w:cs="宋体"/>
                <w:color w:val="auto"/>
                <w:spacing w:val="-4"/>
                <w:szCs w:val="21"/>
                <w:highlight w:val="none"/>
                <w:lang w:val="en-US" w:eastAsia="zh-CN"/>
              </w:rPr>
              <w:t>3.0-5.0分</w:t>
            </w:r>
            <w:r>
              <w:rPr>
                <w:rFonts w:hint="eastAsia" w:ascii="宋体" w:hAnsi="宋体" w:eastAsia="宋体" w:cs="宋体"/>
                <w:b w:val="0"/>
                <w:color w:val="auto"/>
                <w:sz w:val="21"/>
                <w:szCs w:val="21"/>
                <w:highlight w:val="none"/>
                <w:lang w:val="en-US" w:eastAsia="zh-CN"/>
              </w:rPr>
              <w:t>；</w:t>
            </w:r>
          </w:p>
          <w:p w14:paraId="0067CAE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对项目相关服务内容了解度不高，区域特征分析基本合理、简单的得</w:t>
            </w:r>
            <w:r>
              <w:rPr>
                <w:rFonts w:hint="eastAsia" w:ascii="宋体" w:hAnsi="宋体" w:eastAsia="宋体" w:cs="宋体"/>
                <w:color w:val="auto"/>
                <w:spacing w:val="-4"/>
                <w:szCs w:val="21"/>
                <w:highlight w:val="none"/>
                <w:lang w:val="en-US" w:eastAsia="zh-CN"/>
              </w:rPr>
              <w:t>0.1-2.9分</w:t>
            </w:r>
            <w:r>
              <w:rPr>
                <w:rFonts w:hint="eastAsia" w:ascii="宋体" w:hAnsi="宋体" w:eastAsia="宋体" w:cs="宋体"/>
                <w:b w:val="0"/>
                <w:color w:val="auto"/>
                <w:sz w:val="21"/>
                <w:szCs w:val="21"/>
                <w:highlight w:val="none"/>
                <w:lang w:val="en-US" w:eastAsia="zh-CN"/>
              </w:rPr>
              <w:t>；</w:t>
            </w:r>
          </w:p>
          <w:p w14:paraId="1C700FE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65F877C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11BCB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83" w:type="dxa"/>
            <w:vMerge w:val="continue"/>
            <w:vAlign w:val="center"/>
          </w:tcPr>
          <w:p w14:paraId="49DAF0AF">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37C509FE">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w:t>
            </w:r>
          </w:p>
        </w:tc>
        <w:tc>
          <w:tcPr>
            <w:tcW w:w="7065" w:type="dxa"/>
            <w:vAlign w:val="center"/>
          </w:tcPr>
          <w:p w14:paraId="34374FE8">
            <w:pPr>
              <w:widowControl/>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实施背景、</w:t>
            </w:r>
            <w:r>
              <w:rPr>
                <w:rFonts w:hint="eastAsia" w:ascii="宋体" w:hAnsi="宋体"/>
                <w:color w:val="auto"/>
                <w:sz w:val="21"/>
                <w:szCs w:val="21"/>
                <w:highlight w:val="none"/>
                <w:lang w:eastAsia="zh-CN"/>
              </w:rPr>
              <w:t>横街镇应急处置现场维持秩序服务</w:t>
            </w:r>
            <w:r>
              <w:rPr>
                <w:rFonts w:hint="eastAsia" w:ascii="宋体" w:hAnsi="宋体" w:eastAsia="宋体" w:cs="宋体"/>
                <w:color w:val="auto"/>
                <w:sz w:val="21"/>
                <w:szCs w:val="21"/>
                <w:highlight w:val="none"/>
                <w:lang w:val="en-US" w:eastAsia="zh-CN"/>
              </w:rPr>
              <w:t>调查、存在问题和具体服务过程中可能遇到的</w:t>
            </w:r>
            <w:r>
              <w:rPr>
                <w:rFonts w:hint="eastAsia" w:ascii="宋体" w:hAnsi="宋体" w:eastAsia="宋体" w:cs="宋体"/>
                <w:color w:val="auto"/>
                <w:sz w:val="21"/>
                <w:szCs w:val="21"/>
                <w:highlight w:val="none"/>
              </w:rPr>
              <w:t>重点难点分析情况</w:t>
            </w:r>
            <w:r>
              <w:rPr>
                <w:rFonts w:hint="eastAsia" w:ascii="宋体" w:hAnsi="宋体" w:eastAsia="宋体" w:cs="宋体"/>
                <w:color w:val="auto"/>
                <w:sz w:val="21"/>
                <w:szCs w:val="21"/>
                <w:highlight w:val="none"/>
                <w:lang w:val="en-US" w:eastAsia="zh-CN"/>
              </w:rPr>
              <w:t>进行打分。</w:t>
            </w:r>
          </w:p>
          <w:p w14:paraId="2CB67702">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调查仔细，调查资料收集完整全面，重难点分析</w:t>
            </w:r>
            <w:r>
              <w:rPr>
                <w:rFonts w:hint="eastAsia" w:ascii="宋体" w:hAnsi="宋体" w:eastAsia="宋体" w:cs="宋体"/>
                <w:color w:val="auto"/>
                <w:spacing w:val="-4"/>
                <w:szCs w:val="21"/>
                <w:highlight w:val="none"/>
                <w:lang w:val="en-US" w:eastAsia="zh-CN"/>
              </w:rPr>
              <w:t>详细且有针对性的得3.0-5.0分；</w:t>
            </w:r>
          </w:p>
          <w:p w14:paraId="19C1EE52">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调查资料简单，重难点分析内容片面，缺乏针对性的得0.1-2.9分；</w:t>
            </w:r>
          </w:p>
          <w:p w14:paraId="2D4B2B1A">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800" w:type="dxa"/>
            <w:vAlign w:val="center"/>
          </w:tcPr>
          <w:p w14:paraId="45F9A7B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r>
      <w:tr w14:paraId="7302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83" w:type="dxa"/>
            <w:vMerge w:val="continue"/>
            <w:vAlign w:val="center"/>
          </w:tcPr>
          <w:p w14:paraId="414D9DF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2974186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重难点解决方案</w:t>
            </w:r>
          </w:p>
        </w:tc>
        <w:tc>
          <w:tcPr>
            <w:tcW w:w="7065" w:type="dxa"/>
            <w:vAlign w:val="center"/>
          </w:tcPr>
          <w:p w14:paraId="1AA5B01D">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0"/>
                <w:highlight w:val="none"/>
                <w:lang w:eastAsia="zh-CN"/>
              </w:rPr>
            </w:pPr>
            <w:r>
              <w:rPr>
                <w:rFonts w:hint="eastAsia" w:ascii="宋体" w:hAnsi="宋体" w:eastAsia="宋体" w:cs="宋体"/>
                <w:b w:val="0"/>
                <w:color w:val="auto"/>
                <w:sz w:val="21"/>
                <w:szCs w:val="20"/>
                <w:highlight w:val="none"/>
              </w:rPr>
              <w:t>根据投标人对项目工作存在的</w:t>
            </w:r>
            <w:r>
              <w:rPr>
                <w:rFonts w:hint="eastAsia" w:ascii="宋体" w:hAnsi="宋体" w:eastAsia="宋体" w:cs="宋体"/>
                <w:b w:val="0"/>
                <w:color w:val="auto"/>
                <w:sz w:val="21"/>
                <w:szCs w:val="20"/>
                <w:highlight w:val="none"/>
                <w:lang w:val="en-US" w:eastAsia="zh-CN"/>
              </w:rPr>
              <w:t>重点难点问题提出的</w:t>
            </w:r>
            <w:r>
              <w:rPr>
                <w:rFonts w:hint="eastAsia" w:ascii="宋体" w:hAnsi="宋体" w:eastAsia="宋体" w:cs="宋体"/>
                <w:b w:val="0"/>
                <w:color w:val="auto"/>
                <w:sz w:val="21"/>
                <w:szCs w:val="20"/>
                <w:highlight w:val="none"/>
              </w:rPr>
              <w:t>解决措施进行打分</w:t>
            </w:r>
            <w:r>
              <w:rPr>
                <w:rFonts w:hint="eastAsia" w:ascii="宋体" w:hAnsi="宋体" w:eastAsia="宋体" w:cs="宋体"/>
                <w:b w:val="0"/>
                <w:color w:val="auto"/>
                <w:sz w:val="21"/>
                <w:szCs w:val="20"/>
                <w:highlight w:val="none"/>
                <w:lang w:eastAsia="zh-CN"/>
              </w:rPr>
              <w:t>。</w:t>
            </w:r>
          </w:p>
          <w:p w14:paraId="359CCC4B">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0"/>
                <w:highlight w:val="none"/>
              </w:rPr>
            </w:pP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方法，具有针对性、合理性、可行性</w:t>
            </w:r>
            <w:r>
              <w:rPr>
                <w:rFonts w:hint="eastAsia" w:ascii="宋体" w:hAnsi="宋体" w:eastAsia="宋体" w:cs="宋体"/>
                <w:b w:val="0"/>
                <w:color w:val="auto"/>
                <w:sz w:val="21"/>
                <w:szCs w:val="20"/>
                <w:highlight w:val="none"/>
              </w:rPr>
              <w:t>的得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color w:val="auto"/>
                <w:sz w:val="21"/>
                <w:szCs w:val="20"/>
                <w:highlight w:val="none"/>
              </w:rPr>
              <w:t>；</w:t>
            </w:r>
          </w:p>
          <w:p w14:paraId="614DEAA4">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0"/>
                <w:highlight w:val="none"/>
              </w:rPr>
            </w:pP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不够详尽的得</w:t>
            </w:r>
            <w:r>
              <w:rPr>
                <w:rFonts w:hint="eastAsia" w:ascii="宋体" w:hAnsi="宋体" w:eastAsia="宋体" w:cs="宋体"/>
                <w:b w:val="0"/>
                <w:color w:val="auto"/>
                <w:sz w:val="21"/>
                <w:szCs w:val="21"/>
                <w:highlight w:val="none"/>
                <w:lang w:val="en-US" w:eastAsia="zh-CN"/>
              </w:rPr>
              <w:t>0.1-2.9分</w:t>
            </w:r>
            <w:r>
              <w:rPr>
                <w:rFonts w:hint="eastAsia" w:ascii="宋体" w:hAnsi="宋体" w:eastAsia="宋体" w:cs="宋体"/>
                <w:b w:val="0"/>
                <w:color w:val="auto"/>
                <w:sz w:val="21"/>
                <w:szCs w:val="20"/>
                <w:highlight w:val="none"/>
              </w:rPr>
              <w:t>；</w:t>
            </w:r>
          </w:p>
          <w:p w14:paraId="53464FA6">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r>
              <w:rPr>
                <w:rFonts w:hint="eastAsia" w:ascii="宋体" w:hAnsi="宋体" w:eastAsia="宋体" w:cs="宋体"/>
                <w:b w:val="0"/>
                <w:color w:val="auto"/>
                <w:sz w:val="21"/>
                <w:szCs w:val="20"/>
                <w:highlight w:val="none"/>
              </w:rPr>
              <w:t>。</w:t>
            </w:r>
          </w:p>
        </w:tc>
        <w:tc>
          <w:tcPr>
            <w:tcW w:w="800" w:type="dxa"/>
            <w:vAlign w:val="center"/>
          </w:tcPr>
          <w:p w14:paraId="17595FD7">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41B7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83" w:type="dxa"/>
            <w:vMerge w:val="continue"/>
            <w:vAlign w:val="center"/>
          </w:tcPr>
          <w:p w14:paraId="5D4E48D9">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645D367B">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服务方案</w:t>
            </w:r>
          </w:p>
        </w:tc>
        <w:tc>
          <w:tcPr>
            <w:tcW w:w="7065" w:type="dxa"/>
            <w:vAlign w:val="center"/>
          </w:tcPr>
          <w:p w14:paraId="04DB60B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“管理方案和工作计划”</w:t>
            </w:r>
            <w:r>
              <w:rPr>
                <w:rFonts w:hint="eastAsia" w:ascii="宋体" w:hAnsi="宋体" w:eastAsia="宋体" w:cs="宋体"/>
                <w:b w:val="0"/>
                <w:color w:val="auto"/>
                <w:sz w:val="21"/>
                <w:szCs w:val="21"/>
                <w:highlight w:val="none"/>
                <w:lang w:val="en-US" w:eastAsia="zh-CN"/>
              </w:rPr>
              <w:t>进行打分。</w:t>
            </w:r>
          </w:p>
          <w:p w14:paraId="4109C6E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方案阐述详细全面可行，内容贴合项目实际，工作计划安排明确，内容完整具有针对性、可操作性，符合项目需求，能有效保障项目后续服务质量的得3.0-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11F358D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方案合理，但内容有欠缺，相关工作计划安排不合理，无法保障项目服务质量的得0.1-2.9分；</w:t>
            </w:r>
          </w:p>
          <w:p w14:paraId="4727B4C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5DFC71C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50DB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83" w:type="dxa"/>
            <w:vMerge w:val="continue"/>
            <w:vAlign w:val="center"/>
          </w:tcPr>
          <w:p w14:paraId="080D7A6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5AE88984">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65" w:type="dxa"/>
            <w:vAlign w:val="center"/>
          </w:tcPr>
          <w:p w14:paraId="3C00D8E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“秩序维护人员服务方案”</w:t>
            </w:r>
            <w:r>
              <w:rPr>
                <w:rFonts w:hint="eastAsia" w:ascii="宋体" w:hAnsi="宋体" w:eastAsia="宋体" w:cs="宋体"/>
                <w:b w:val="0"/>
                <w:color w:val="auto"/>
                <w:sz w:val="21"/>
                <w:szCs w:val="21"/>
                <w:highlight w:val="none"/>
                <w:lang w:val="en-US" w:eastAsia="zh-CN"/>
              </w:rPr>
              <w:t>进行打分。</w:t>
            </w:r>
          </w:p>
          <w:p w14:paraId="53931B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方案阐述详细全面可行，内容贴合项目实际，工作安排明确，内容完整具有针对性、可操作性，符合项目需求，能有效保障项目后续服务质量的得3.0-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3529953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方案合理，但内容有欠缺，相关工作安排不合理，无法保障项目服务质量的得0.1-2.9分；</w:t>
            </w:r>
          </w:p>
          <w:p w14:paraId="57591BB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1C61916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75BD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83" w:type="dxa"/>
            <w:vMerge w:val="continue"/>
            <w:vAlign w:val="center"/>
          </w:tcPr>
          <w:p w14:paraId="7420A62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046E764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交接计划</w:t>
            </w:r>
          </w:p>
        </w:tc>
        <w:tc>
          <w:tcPr>
            <w:tcW w:w="7065" w:type="dxa"/>
            <w:vAlign w:val="center"/>
          </w:tcPr>
          <w:p w14:paraId="2ED79CE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“交接方案”</w:t>
            </w:r>
            <w:r>
              <w:rPr>
                <w:rFonts w:hint="eastAsia" w:ascii="宋体" w:hAnsi="宋体" w:eastAsia="宋体" w:cs="宋体"/>
                <w:b w:val="0"/>
                <w:color w:val="auto"/>
                <w:sz w:val="21"/>
                <w:szCs w:val="21"/>
                <w:highlight w:val="none"/>
                <w:lang w:val="en-US" w:eastAsia="zh-CN"/>
              </w:rPr>
              <w:t>进行打分。</w:t>
            </w:r>
          </w:p>
          <w:p w14:paraId="5809C37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交接方案阐述完整，设备、车辆、人员等各方面均有详细交接安排，具有全面性、针对性、可操作性，能有效解决项目交接问题的得3.0-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3466F33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针对设备、车辆、人员等各方面安排不明确，提出的交接方案较为空泛，对本项目交接问题的解决缺乏实质性帮助的得0.1-2.9分；</w:t>
            </w:r>
          </w:p>
          <w:p w14:paraId="533063D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2767A3F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6B6A4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83" w:type="dxa"/>
            <w:vMerge w:val="continue"/>
            <w:vAlign w:val="center"/>
          </w:tcPr>
          <w:p w14:paraId="634B31F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restart"/>
            <w:vAlign w:val="center"/>
          </w:tcPr>
          <w:p w14:paraId="195234A7">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相关制度</w:t>
            </w:r>
          </w:p>
        </w:tc>
        <w:tc>
          <w:tcPr>
            <w:tcW w:w="7065" w:type="dxa"/>
            <w:vAlign w:val="center"/>
          </w:tcPr>
          <w:p w14:paraId="583BD6F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根据投标人是否具备较完备的</w:t>
            </w:r>
            <w:r>
              <w:rPr>
                <w:rFonts w:hint="eastAsia" w:ascii="宋体" w:hAnsi="宋体" w:eastAsia="宋体" w:cs="宋体"/>
                <w:b/>
                <w:bCs/>
                <w:color w:val="auto"/>
                <w:sz w:val="21"/>
                <w:szCs w:val="21"/>
                <w:highlight w:val="none"/>
                <w:lang w:val="en-US" w:eastAsia="zh-CN"/>
              </w:rPr>
              <w:t>安全教育与管理制度</w:t>
            </w:r>
            <w:r>
              <w:rPr>
                <w:rFonts w:hint="eastAsia" w:ascii="宋体" w:hAnsi="宋体" w:eastAsia="宋体" w:cs="宋体"/>
                <w:b w:val="0"/>
                <w:color w:val="auto"/>
                <w:sz w:val="21"/>
                <w:szCs w:val="21"/>
                <w:highlight w:val="none"/>
                <w:lang w:val="en-US" w:eastAsia="zh-CN"/>
              </w:rPr>
              <w:t>，包括提供的作业人员安全教育、劳动保护及安全措施等方案的科学性、合理性情况进行打分。</w:t>
            </w:r>
          </w:p>
          <w:p w14:paraId="0901E9F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秩序维护人员安全教育、劳动保护及安全措施等方案阐述完整详细，安全教育、劳动保护及安全措施贴合本项目实际，操作性强，有针对性的得3.0-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079754F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各项安全保护办法有提及，但安全教育、劳动保护安排不合理、安全措施方法不完善，缺乏针对性的得0.1-2.9分；</w:t>
            </w:r>
          </w:p>
          <w:p w14:paraId="458A3C4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7E904804">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3194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83" w:type="dxa"/>
            <w:vMerge w:val="continue"/>
            <w:vAlign w:val="center"/>
          </w:tcPr>
          <w:p w14:paraId="0B2CF2CD">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Merge w:val="continue"/>
            <w:vAlign w:val="center"/>
          </w:tcPr>
          <w:p w14:paraId="05B5E8EC">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65" w:type="dxa"/>
            <w:vAlign w:val="center"/>
          </w:tcPr>
          <w:p w14:paraId="2702137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“相应的作业管理制度和内部考核办法”</w:t>
            </w:r>
            <w:r>
              <w:rPr>
                <w:rFonts w:hint="eastAsia" w:ascii="宋体" w:hAnsi="宋体" w:eastAsia="宋体" w:cs="宋体"/>
                <w:b w:val="0"/>
                <w:color w:val="auto"/>
                <w:sz w:val="21"/>
                <w:szCs w:val="21"/>
                <w:highlight w:val="none"/>
                <w:lang w:val="en-US" w:eastAsia="zh-CN"/>
              </w:rPr>
              <w:t>进行打分。</w:t>
            </w:r>
          </w:p>
          <w:p w14:paraId="42BDDEA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本项目的作业管理制度、内部考核办法阐述完整详细，管理制度、内部考核办法贴合本项目实际，操作性强，有针对性的得3.0-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49CED4C8">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各项内部考核办法有提及，作业管理制度、内部考核办法安排不合理、工作方法不完善，缺乏针对性的得0.1-2.9分；</w:t>
            </w:r>
          </w:p>
          <w:p w14:paraId="4B0626C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3A581636">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r>
      <w:tr w14:paraId="30A2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983" w:type="dxa"/>
            <w:vMerge w:val="continue"/>
            <w:vAlign w:val="center"/>
          </w:tcPr>
          <w:p w14:paraId="383C6119">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460EF7F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培训方案</w:t>
            </w:r>
          </w:p>
        </w:tc>
        <w:tc>
          <w:tcPr>
            <w:tcW w:w="7065" w:type="dxa"/>
            <w:vAlign w:val="center"/>
          </w:tcPr>
          <w:p w14:paraId="63EC12D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针对秩序维护人员提供的培训方案</w:t>
            </w:r>
            <w:r>
              <w:rPr>
                <w:rFonts w:hint="eastAsia" w:ascii="宋体" w:hAnsi="宋体" w:eastAsia="宋体" w:cs="宋体"/>
                <w:bCs/>
                <w:color w:val="auto"/>
                <w:szCs w:val="21"/>
                <w:highlight w:val="none"/>
                <w:lang w:val="en-US" w:eastAsia="zh-CN"/>
              </w:rPr>
              <w:t>的科学性、合理性、规范性和可操作性</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包括培训计划、地点、组织等内容进行打分</w:t>
            </w:r>
            <w:r>
              <w:rPr>
                <w:rFonts w:hint="eastAsia" w:ascii="宋体" w:hAnsi="宋体" w:eastAsia="宋体" w:cs="宋体"/>
                <w:color w:val="auto"/>
                <w:szCs w:val="21"/>
                <w:highlight w:val="none"/>
                <w:lang w:val="en-US" w:eastAsia="zh-CN"/>
              </w:rPr>
              <w:t>。</w:t>
            </w:r>
          </w:p>
          <w:p w14:paraId="43CE589D">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培训方案全面，</w:t>
            </w:r>
            <w:r>
              <w:rPr>
                <w:rFonts w:hint="eastAsia" w:ascii="宋体" w:hAnsi="宋体" w:eastAsia="宋体" w:cs="宋体"/>
                <w:bCs/>
                <w:color w:val="auto"/>
                <w:szCs w:val="21"/>
                <w:highlight w:val="none"/>
                <w:lang w:val="en-US" w:eastAsia="zh-CN"/>
              </w:rPr>
              <w:t>培训计划安排合理，相关人员、地点等内容阐述完整，方案具有可操作性的</w:t>
            </w:r>
            <w:r>
              <w:rPr>
                <w:rFonts w:hint="eastAsia" w:ascii="宋体" w:hAnsi="宋体" w:eastAsia="宋体" w:cs="宋体"/>
                <w:bCs/>
                <w:color w:val="auto"/>
                <w:szCs w:val="21"/>
                <w:highlight w:val="none"/>
              </w:rPr>
              <w:t>得3.</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.0分；</w:t>
            </w:r>
          </w:p>
          <w:p w14:paraId="3653AA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培训方案简单片面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相关培训计划、人员安排、培训地点等内容不明确</w:t>
            </w:r>
            <w:r>
              <w:rPr>
                <w:rFonts w:hint="eastAsia" w:ascii="宋体" w:hAnsi="宋体" w:eastAsia="宋体" w:cs="宋体"/>
                <w:bCs/>
                <w:color w:val="auto"/>
                <w:szCs w:val="21"/>
                <w:highlight w:val="none"/>
              </w:rPr>
              <w:t>的得0.1-</w:t>
            </w:r>
            <w:r>
              <w:rPr>
                <w:rFonts w:hint="eastAsia" w:ascii="宋体" w:hAnsi="宋体" w:eastAsia="宋体" w:cs="宋体"/>
                <w:bCs/>
                <w:color w:val="auto"/>
                <w:szCs w:val="21"/>
                <w:highlight w:val="none"/>
                <w:lang w:val="en-US" w:eastAsia="zh-CN"/>
              </w:rPr>
              <w:t>2.9</w:t>
            </w:r>
            <w:r>
              <w:rPr>
                <w:rFonts w:hint="eastAsia" w:ascii="宋体" w:hAnsi="宋体" w:eastAsia="宋体" w:cs="宋体"/>
                <w:bCs/>
                <w:color w:val="auto"/>
                <w:szCs w:val="21"/>
                <w:highlight w:val="none"/>
              </w:rPr>
              <w:t>分；</w:t>
            </w:r>
          </w:p>
          <w:p w14:paraId="621C497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Cs/>
                <w:color w:val="auto"/>
                <w:szCs w:val="21"/>
                <w:highlight w:val="none"/>
              </w:rPr>
              <w:t>未提及此项不得分。</w:t>
            </w:r>
          </w:p>
        </w:tc>
        <w:tc>
          <w:tcPr>
            <w:tcW w:w="800" w:type="dxa"/>
            <w:vAlign w:val="center"/>
          </w:tcPr>
          <w:p w14:paraId="225DB00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r>
      <w:tr w14:paraId="1B39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83" w:type="dxa"/>
            <w:vMerge w:val="continue"/>
            <w:vAlign w:val="center"/>
          </w:tcPr>
          <w:p w14:paraId="3B6D873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4551C8BF">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服务质量管控</w:t>
            </w:r>
          </w:p>
        </w:tc>
        <w:tc>
          <w:tcPr>
            <w:tcW w:w="7065" w:type="dxa"/>
            <w:vAlign w:val="center"/>
          </w:tcPr>
          <w:p w14:paraId="5978296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根据投标人是否有明确的质量保证目标，质量保证措施，并具有详细的实施内容进行打分。</w:t>
            </w:r>
          </w:p>
          <w:p w14:paraId="1BF2912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质量保证目标、质量保证措施及实施内容阐述详系全面，且质量保证措施以及实施内容贴合本项目实际，操作性强，有针对性的得3.0-5.0分；</w:t>
            </w:r>
          </w:p>
          <w:p w14:paraId="5484E5D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阐述简单，相关内容不完整但基本能保障的得0.1-2.9分；</w:t>
            </w:r>
          </w:p>
          <w:p w14:paraId="01096EF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5AA2C137">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r>
      <w:tr w14:paraId="7EB2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Merge w:val="continue"/>
            <w:vAlign w:val="center"/>
          </w:tcPr>
          <w:p w14:paraId="471A903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34A6F71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合理化建议</w:t>
            </w:r>
          </w:p>
        </w:tc>
        <w:tc>
          <w:tcPr>
            <w:tcW w:w="7065" w:type="dxa"/>
            <w:vAlign w:val="center"/>
          </w:tcPr>
          <w:p w14:paraId="28DCC281">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根据投标人依据本项目服务要求、实际</w:t>
            </w:r>
            <w:r>
              <w:rPr>
                <w:rFonts w:hint="eastAsia" w:ascii="宋体" w:hAnsi="宋体" w:cs="宋体"/>
                <w:color w:val="auto"/>
                <w:szCs w:val="21"/>
                <w:highlight w:val="none"/>
                <w:lang w:val="en-US" w:eastAsia="zh-CN"/>
              </w:rPr>
              <w:t>工作</w:t>
            </w:r>
            <w:r>
              <w:rPr>
                <w:rFonts w:hint="eastAsia" w:ascii="宋体" w:hAnsi="宋体" w:eastAsia="宋体" w:cs="宋体"/>
                <w:color w:val="auto"/>
                <w:szCs w:val="21"/>
                <w:highlight w:val="none"/>
              </w:rPr>
              <w:t>需求提出的合理化建议</w:t>
            </w:r>
            <w:r>
              <w:rPr>
                <w:rFonts w:hint="eastAsia" w:ascii="宋体" w:hAnsi="宋体" w:eastAsia="宋体" w:cs="宋体"/>
                <w:b w:val="0"/>
                <w:bCs w:val="0"/>
                <w:color w:val="auto"/>
                <w:sz w:val="21"/>
                <w:szCs w:val="21"/>
                <w:highlight w:val="none"/>
                <w:lang w:val="en-US" w:eastAsia="zh-CN"/>
              </w:rPr>
              <w:t>进行打分。</w:t>
            </w:r>
          </w:p>
          <w:p w14:paraId="53807C21">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b w:val="0"/>
                <w:bCs w:val="0"/>
                <w:color w:val="auto"/>
                <w:sz w:val="21"/>
                <w:szCs w:val="21"/>
                <w:highlight w:val="none"/>
                <w:lang w:val="en-US" w:eastAsia="zh-CN"/>
              </w:rPr>
              <w:t>建议合理，可实现性强，具有改进意义</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r>
              <w:rPr>
                <w:rFonts w:hint="eastAsia" w:ascii="宋体" w:hAnsi="宋体" w:eastAsia="宋体" w:cs="宋体"/>
                <w:b w:val="0"/>
                <w:color w:val="auto"/>
                <w:sz w:val="21"/>
                <w:szCs w:val="20"/>
                <w:highlight w:val="none"/>
              </w:rPr>
              <w:t>；</w:t>
            </w:r>
          </w:p>
          <w:p w14:paraId="4EE3033B">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建议</w:t>
            </w: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较差，几乎没有改进意义</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0"/>
                <w:highlight w:val="none"/>
                <w:lang w:val="en-US" w:eastAsia="zh-CN"/>
              </w:rPr>
              <w:t>得</w:t>
            </w:r>
            <w:r>
              <w:rPr>
                <w:rFonts w:hint="eastAsia" w:ascii="宋体" w:hAnsi="宋体" w:eastAsia="宋体" w:cs="宋体"/>
                <w:b w:val="0"/>
                <w:color w:val="auto"/>
                <w:sz w:val="21"/>
                <w:szCs w:val="21"/>
                <w:highlight w:val="none"/>
                <w:lang w:val="en-US" w:eastAsia="zh-CN"/>
              </w:rPr>
              <w:t>0.1-2.9分；</w:t>
            </w:r>
          </w:p>
          <w:p w14:paraId="5CC577FC">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487B231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p>
        </w:tc>
      </w:tr>
      <w:tr w14:paraId="2545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Merge w:val="continue"/>
            <w:vAlign w:val="center"/>
          </w:tcPr>
          <w:p w14:paraId="058BE56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273" w:type="dxa"/>
            <w:vAlign w:val="center"/>
          </w:tcPr>
          <w:p w14:paraId="6C25C07D">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sz w:val="21"/>
                <w:szCs w:val="21"/>
                <w:highlight w:val="none"/>
                <w:lang w:val="en-US" w:eastAsia="zh-CN"/>
              </w:rPr>
              <w:t>应急方案</w:t>
            </w:r>
          </w:p>
        </w:tc>
        <w:tc>
          <w:tcPr>
            <w:tcW w:w="7065" w:type="dxa"/>
            <w:vAlign w:val="center"/>
          </w:tcPr>
          <w:p w14:paraId="3BE25C4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针对突发事件，台风、暴雨等天气影响，重大接待任务，重大节假日或活动等特殊情况制定的应急处置方案、经济调度方案及实施经验的完整性、合理性和可操作性进行打分。</w:t>
            </w:r>
          </w:p>
          <w:p w14:paraId="4A4966C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针对特殊情况出具详细的应急处置方案，承诺及时增加或调动人员满足要求，应急响应制度阐述完整详细，实施保障方案内容明确且具有针对性，提出的应急措施科学可行的得3.0-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15C9131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针对特殊情况增加或调动人员有所困难，方案简单，提出的应急措施缺乏针对性和有效性的得0.1-2.9分；</w:t>
            </w:r>
          </w:p>
          <w:p w14:paraId="4BFBA05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800" w:type="dxa"/>
            <w:vAlign w:val="center"/>
          </w:tcPr>
          <w:p w14:paraId="67B9E3A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p>
        </w:tc>
      </w:tr>
      <w:tr w14:paraId="26DC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256" w:type="dxa"/>
            <w:gridSpan w:val="2"/>
            <w:vAlign w:val="center"/>
          </w:tcPr>
          <w:p w14:paraId="49C2FE60">
            <w:pPr>
              <w:keepLines w:val="0"/>
              <w:pageBreakBefore w:val="0"/>
              <w:kinsoku/>
              <w:wordWrap/>
              <w:overflowPunct/>
              <w:topLinePunct w:val="0"/>
              <w:bidi w:val="0"/>
              <w:spacing w:beforeAutospacing="0" w:afterAutospacing="0" w:line="240" w:lineRule="auto"/>
              <w:ind w:left="0"/>
              <w:jc w:val="center"/>
              <w:textAlignment w:val="auto"/>
              <w:rPr>
                <w:rStyle w:val="57"/>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价格</w:t>
            </w:r>
          </w:p>
          <w:p w14:paraId="7C951DDB">
            <w:pPr>
              <w:keepLines w:val="0"/>
              <w:pageBreakBefore w:val="0"/>
              <w:kinsoku/>
              <w:wordWrap/>
              <w:overflowPunct/>
              <w:topLinePunct w:val="0"/>
              <w:bidi w:val="0"/>
              <w:spacing w:beforeAutospacing="0" w:afterAutospacing="0" w:line="240" w:lineRule="auto"/>
              <w:ind w:left="0"/>
              <w:jc w:val="center"/>
              <w:textAlignment w:val="auto"/>
              <w:rPr>
                <w:rFonts w:hint="eastAsia" w:ascii="宋体" w:hAnsi="宋体" w:eastAsia="宋体" w:cs="宋体"/>
                <w:color w:val="auto"/>
                <w:kern w:val="0"/>
                <w:sz w:val="21"/>
                <w:szCs w:val="21"/>
                <w:highlight w:val="none"/>
              </w:rPr>
            </w:pPr>
            <w:r>
              <w:rPr>
                <w:rStyle w:val="57"/>
                <w:rFonts w:hint="eastAsia" w:ascii="宋体" w:hAnsi="宋体" w:eastAsia="宋体" w:cs="宋体"/>
                <w:color w:val="auto"/>
                <w:kern w:val="0"/>
                <w:sz w:val="21"/>
                <w:szCs w:val="21"/>
                <w:highlight w:val="none"/>
              </w:rPr>
              <w:t>（20分）</w:t>
            </w:r>
          </w:p>
        </w:tc>
        <w:tc>
          <w:tcPr>
            <w:tcW w:w="7065" w:type="dxa"/>
            <w:vAlign w:val="center"/>
          </w:tcPr>
          <w:p w14:paraId="4F201BAA">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基准价为20分</w:t>
            </w:r>
            <w:r>
              <w:rPr>
                <w:rFonts w:hint="eastAsia" w:ascii="宋体" w:hAnsi="宋体" w:eastAsia="宋体" w:cs="宋体"/>
                <w:color w:val="auto"/>
                <w:sz w:val="21"/>
                <w:szCs w:val="21"/>
                <w:highlight w:val="none"/>
                <w:lang w:val="zh-CN"/>
              </w:rPr>
              <w:t>。</w:t>
            </w:r>
          </w:p>
          <w:p w14:paraId="132F133E">
            <w:pPr>
              <w:keepLines w:val="0"/>
              <w:pageBreakBefore w:val="0"/>
              <w:kinsoku/>
              <w:wordWrap/>
              <w:overflowPunct/>
              <w:topLinePunct w:val="0"/>
              <w:bidi w:val="0"/>
              <w:spacing w:beforeAutospacing="0" w:afterAutospacing="0" w:line="240" w:lineRule="auto"/>
              <w:ind w:left="0"/>
              <w:jc w:val="left"/>
              <w:textAlignment w:val="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eastAsia="宋体" w:cs="宋体"/>
                <w:color w:val="auto"/>
                <w:sz w:val="21"/>
                <w:szCs w:val="21"/>
                <w:highlight w:val="none"/>
                <w:lang w:val="zh-CN"/>
              </w:rPr>
              <w:t>）。</w:t>
            </w:r>
          </w:p>
        </w:tc>
        <w:tc>
          <w:tcPr>
            <w:tcW w:w="800" w:type="dxa"/>
            <w:vAlign w:val="center"/>
          </w:tcPr>
          <w:p w14:paraId="5929B96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r>
    </w:tbl>
    <w:p w14:paraId="27237439">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651C7447">
      <w:pPr>
        <w:numPr>
          <w:ilvl w:val="0"/>
          <w:numId w:val="5"/>
        </w:numPr>
        <w:spacing w:line="360" w:lineRule="auto"/>
        <w:jc w:val="left"/>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项目</w:t>
      </w:r>
      <w:r>
        <w:rPr>
          <w:rFonts w:hint="eastAsia" w:asciiTheme="minorEastAsia" w:hAnsiTheme="minorEastAsia" w:eastAsiaTheme="minorEastAsia" w:cstheme="minorEastAsia"/>
          <w:b/>
          <w:bCs w:val="0"/>
          <w:color w:val="auto"/>
          <w:sz w:val="21"/>
          <w:szCs w:val="21"/>
          <w:highlight w:val="none"/>
          <w:lang w:val="en-US" w:eastAsia="zh-CN"/>
        </w:rPr>
        <w:t>概况</w:t>
      </w:r>
    </w:p>
    <w:tbl>
      <w:tblPr>
        <w:tblStyle w:val="22"/>
        <w:tblW w:w="10576" w:type="dxa"/>
        <w:jc w:val="center"/>
        <w:tblLayout w:type="fixed"/>
        <w:tblCellMar>
          <w:top w:w="0" w:type="dxa"/>
          <w:left w:w="108" w:type="dxa"/>
          <w:bottom w:w="0" w:type="dxa"/>
          <w:right w:w="108" w:type="dxa"/>
        </w:tblCellMar>
      </w:tblPr>
      <w:tblGrid>
        <w:gridCol w:w="707"/>
        <w:gridCol w:w="2783"/>
        <w:gridCol w:w="1765"/>
        <w:gridCol w:w="1288"/>
        <w:gridCol w:w="2718"/>
        <w:gridCol w:w="1315"/>
      </w:tblGrid>
      <w:tr w14:paraId="3BD796DB">
        <w:tblPrEx>
          <w:tblCellMar>
            <w:top w:w="0" w:type="dxa"/>
            <w:left w:w="108" w:type="dxa"/>
            <w:bottom w:w="0" w:type="dxa"/>
            <w:right w:w="108" w:type="dxa"/>
          </w:tblCellMar>
        </w:tblPrEx>
        <w:trPr>
          <w:trHeight w:val="66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0331BBB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783" w:type="dxa"/>
            <w:tcBorders>
              <w:top w:val="single" w:color="auto" w:sz="4" w:space="0"/>
              <w:left w:val="nil"/>
              <w:bottom w:val="single" w:color="auto" w:sz="4" w:space="0"/>
              <w:right w:val="single" w:color="auto" w:sz="4" w:space="0"/>
            </w:tcBorders>
            <w:vAlign w:val="center"/>
          </w:tcPr>
          <w:p w14:paraId="23B4A5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1765" w:type="dxa"/>
            <w:tcBorders>
              <w:top w:val="single" w:color="auto" w:sz="4" w:space="0"/>
              <w:left w:val="nil"/>
              <w:bottom w:val="single" w:color="auto" w:sz="4" w:space="0"/>
              <w:right w:val="single" w:color="auto" w:sz="4" w:space="0"/>
            </w:tcBorders>
            <w:vAlign w:val="center"/>
          </w:tcPr>
          <w:p w14:paraId="713D909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最高单价限价</w:t>
            </w:r>
          </w:p>
        </w:tc>
        <w:tc>
          <w:tcPr>
            <w:tcW w:w="1288" w:type="dxa"/>
            <w:tcBorders>
              <w:top w:val="single" w:color="auto" w:sz="4" w:space="0"/>
              <w:left w:val="nil"/>
              <w:bottom w:val="single" w:color="auto" w:sz="4" w:space="0"/>
              <w:right w:val="single" w:color="auto" w:sz="4" w:space="0"/>
            </w:tcBorders>
            <w:vAlign w:val="center"/>
          </w:tcPr>
          <w:p w14:paraId="5A9B092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暂定数量</w:t>
            </w:r>
          </w:p>
        </w:tc>
        <w:tc>
          <w:tcPr>
            <w:tcW w:w="2718" w:type="dxa"/>
            <w:tcBorders>
              <w:top w:val="single" w:color="auto" w:sz="4" w:space="0"/>
              <w:left w:val="nil"/>
              <w:bottom w:val="single" w:color="auto" w:sz="4" w:space="0"/>
              <w:right w:val="single" w:color="auto" w:sz="4" w:space="0"/>
            </w:tcBorders>
            <w:vAlign w:val="center"/>
          </w:tcPr>
          <w:p w14:paraId="67CDEF18">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c>
          <w:tcPr>
            <w:tcW w:w="1315" w:type="dxa"/>
            <w:tcBorders>
              <w:top w:val="single" w:color="auto" w:sz="4" w:space="0"/>
              <w:left w:val="nil"/>
              <w:bottom w:val="single" w:color="auto" w:sz="4" w:space="0"/>
              <w:right w:val="single" w:color="auto" w:sz="4" w:space="0"/>
            </w:tcBorders>
            <w:vAlign w:val="center"/>
          </w:tcPr>
          <w:p w14:paraId="3C2E4D3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服务期限</w:t>
            </w:r>
          </w:p>
        </w:tc>
      </w:tr>
      <w:tr w14:paraId="5CC601D9">
        <w:tblPrEx>
          <w:tblCellMar>
            <w:top w:w="0" w:type="dxa"/>
            <w:left w:w="108" w:type="dxa"/>
            <w:bottom w:w="0" w:type="dxa"/>
            <w:right w:w="108" w:type="dxa"/>
          </w:tblCellMar>
        </w:tblPrEx>
        <w:trPr>
          <w:trHeight w:val="66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30D111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783" w:type="dxa"/>
            <w:tcBorders>
              <w:top w:val="single" w:color="auto" w:sz="4" w:space="0"/>
              <w:left w:val="nil"/>
              <w:bottom w:val="single" w:color="auto" w:sz="4" w:space="0"/>
              <w:right w:val="single" w:color="auto" w:sz="4" w:space="0"/>
            </w:tcBorders>
            <w:vAlign w:val="center"/>
          </w:tcPr>
          <w:p w14:paraId="1E3CD476">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秩序维护人员</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全日</w:t>
            </w:r>
            <w:r>
              <w:rPr>
                <w:rFonts w:hint="eastAsia" w:ascii="宋体" w:hAnsi="宋体" w:eastAsia="宋体" w:cs="宋体"/>
                <w:color w:val="auto"/>
                <w:kern w:val="0"/>
                <w:sz w:val="21"/>
                <w:szCs w:val="21"/>
                <w:highlight w:val="none"/>
              </w:rPr>
              <w:t>/人）</w:t>
            </w:r>
          </w:p>
        </w:tc>
        <w:tc>
          <w:tcPr>
            <w:tcW w:w="1765" w:type="dxa"/>
            <w:tcBorders>
              <w:top w:val="single" w:color="auto" w:sz="4" w:space="0"/>
              <w:left w:val="nil"/>
              <w:bottom w:val="single" w:color="auto" w:sz="4" w:space="0"/>
              <w:right w:val="single" w:color="auto" w:sz="4" w:space="0"/>
            </w:tcBorders>
            <w:vAlign w:val="center"/>
          </w:tcPr>
          <w:p w14:paraId="40F45D5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0元/人/日</w:t>
            </w:r>
          </w:p>
        </w:tc>
        <w:tc>
          <w:tcPr>
            <w:tcW w:w="1288" w:type="dxa"/>
            <w:tcBorders>
              <w:top w:val="single" w:color="auto" w:sz="4" w:space="0"/>
              <w:left w:val="nil"/>
              <w:bottom w:val="single" w:color="auto" w:sz="4" w:space="0"/>
              <w:right w:val="single" w:color="auto" w:sz="4" w:space="0"/>
            </w:tcBorders>
            <w:vAlign w:val="center"/>
          </w:tcPr>
          <w:p w14:paraId="56CC553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2408</w:t>
            </w:r>
            <w:r>
              <w:rPr>
                <w:rFonts w:hint="eastAsia" w:ascii="宋体" w:hAnsi="宋体" w:eastAsia="宋体" w:cs="宋体"/>
                <w:color w:val="auto"/>
                <w:kern w:val="0"/>
                <w:sz w:val="21"/>
                <w:szCs w:val="21"/>
                <w:highlight w:val="none"/>
              </w:rPr>
              <w:t>人次</w:t>
            </w:r>
          </w:p>
        </w:tc>
        <w:tc>
          <w:tcPr>
            <w:tcW w:w="2718" w:type="dxa"/>
            <w:tcBorders>
              <w:top w:val="single" w:color="auto" w:sz="4" w:space="0"/>
              <w:left w:val="nil"/>
              <w:bottom w:val="single" w:color="auto" w:sz="4" w:space="0"/>
              <w:right w:val="single" w:color="auto" w:sz="4" w:space="0"/>
            </w:tcBorders>
            <w:vAlign w:val="center"/>
          </w:tcPr>
          <w:p w14:paraId="0A31EE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rPr>
              <w:t>不得高于单价，1次为1日</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费用已包含餐饮费。</w:t>
            </w:r>
          </w:p>
        </w:tc>
        <w:tc>
          <w:tcPr>
            <w:tcW w:w="1315" w:type="dxa"/>
            <w:vMerge w:val="restart"/>
            <w:tcBorders>
              <w:top w:val="single" w:color="auto" w:sz="4" w:space="0"/>
              <w:left w:val="nil"/>
              <w:right w:val="single" w:color="auto" w:sz="4" w:space="0"/>
            </w:tcBorders>
            <w:vAlign w:val="center"/>
          </w:tcPr>
          <w:p w14:paraId="0CFF759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rPr>
            </w:pPr>
            <w:r>
              <w:rPr>
                <w:rFonts w:hint="eastAsia" w:ascii="宋体" w:hAnsi="宋体"/>
                <w:color w:val="auto"/>
                <w:sz w:val="21"/>
                <w:szCs w:val="21"/>
                <w:highlight w:val="none"/>
                <w:lang w:val="en-US" w:eastAsia="zh-CN"/>
              </w:rPr>
              <w:t>两年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tc>
      </w:tr>
      <w:tr w14:paraId="4EC6EB72">
        <w:tblPrEx>
          <w:tblCellMar>
            <w:top w:w="0" w:type="dxa"/>
            <w:left w:w="108" w:type="dxa"/>
            <w:bottom w:w="0" w:type="dxa"/>
            <w:right w:w="108" w:type="dxa"/>
          </w:tblCellMar>
        </w:tblPrEx>
        <w:trPr>
          <w:trHeight w:val="66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21C3D4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2783" w:type="dxa"/>
            <w:tcBorders>
              <w:top w:val="single" w:color="auto" w:sz="4" w:space="0"/>
              <w:left w:val="nil"/>
              <w:bottom w:val="single" w:color="auto" w:sz="4" w:space="0"/>
              <w:right w:val="single" w:color="auto" w:sz="4" w:space="0"/>
            </w:tcBorders>
            <w:vAlign w:val="center"/>
          </w:tcPr>
          <w:p w14:paraId="6654F8F9">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秩序维护人员</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半</w:t>
            </w:r>
            <w:r>
              <w:rPr>
                <w:rFonts w:hint="eastAsia" w:ascii="宋体" w:hAnsi="宋体" w:cs="宋体"/>
                <w:color w:val="auto"/>
                <w:kern w:val="0"/>
                <w:sz w:val="21"/>
                <w:szCs w:val="21"/>
                <w:highlight w:val="none"/>
                <w:lang w:val="en-US" w:eastAsia="zh-CN"/>
              </w:rPr>
              <w:t>日</w:t>
            </w:r>
            <w:r>
              <w:rPr>
                <w:rFonts w:hint="eastAsia" w:ascii="宋体" w:hAnsi="宋体" w:eastAsia="宋体" w:cs="宋体"/>
                <w:color w:val="auto"/>
                <w:kern w:val="0"/>
                <w:sz w:val="21"/>
                <w:szCs w:val="21"/>
                <w:highlight w:val="none"/>
              </w:rPr>
              <w:t>/人）</w:t>
            </w:r>
          </w:p>
        </w:tc>
        <w:tc>
          <w:tcPr>
            <w:tcW w:w="1765" w:type="dxa"/>
            <w:tcBorders>
              <w:top w:val="single" w:color="auto" w:sz="4" w:space="0"/>
              <w:left w:val="nil"/>
              <w:bottom w:val="single" w:color="auto" w:sz="4" w:space="0"/>
              <w:right w:val="single" w:color="auto" w:sz="4" w:space="0"/>
            </w:tcBorders>
            <w:vAlign w:val="center"/>
          </w:tcPr>
          <w:p w14:paraId="509EA3C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160</w:t>
            </w:r>
            <w:r>
              <w:rPr>
                <w:rFonts w:hint="eastAsia" w:ascii="宋体" w:hAnsi="宋体" w:eastAsia="宋体" w:cs="宋体"/>
                <w:color w:val="auto"/>
                <w:kern w:val="0"/>
                <w:sz w:val="21"/>
                <w:szCs w:val="21"/>
                <w:highlight w:val="none"/>
              </w:rPr>
              <w:t>元/人/</w:t>
            </w:r>
            <w:r>
              <w:rPr>
                <w:rFonts w:hint="eastAsia" w:ascii="宋体" w:hAnsi="宋体" w:eastAsia="宋体" w:cs="宋体"/>
                <w:color w:val="auto"/>
                <w:kern w:val="0"/>
                <w:sz w:val="21"/>
                <w:szCs w:val="21"/>
                <w:highlight w:val="none"/>
                <w:lang w:val="en-US" w:eastAsia="zh-CN"/>
              </w:rPr>
              <w:t>半</w:t>
            </w:r>
            <w:r>
              <w:rPr>
                <w:rFonts w:hint="eastAsia" w:ascii="宋体" w:hAnsi="宋体" w:eastAsia="宋体" w:cs="宋体"/>
                <w:color w:val="auto"/>
                <w:kern w:val="0"/>
                <w:sz w:val="21"/>
                <w:szCs w:val="21"/>
                <w:highlight w:val="none"/>
              </w:rPr>
              <w:t>日</w:t>
            </w:r>
          </w:p>
        </w:tc>
        <w:tc>
          <w:tcPr>
            <w:tcW w:w="1288" w:type="dxa"/>
            <w:tcBorders>
              <w:top w:val="single" w:color="auto" w:sz="4" w:space="0"/>
              <w:left w:val="nil"/>
              <w:bottom w:val="single" w:color="auto" w:sz="4" w:space="0"/>
              <w:right w:val="single" w:color="auto" w:sz="4" w:space="0"/>
            </w:tcBorders>
            <w:vAlign w:val="center"/>
          </w:tcPr>
          <w:p w14:paraId="54A2DB6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925</w:t>
            </w:r>
            <w:r>
              <w:rPr>
                <w:rFonts w:hint="eastAsia" w:ascii="宋体" w:hAnsi="宋体" w:eastAsia="宋体" w:cs="宋体"/>
                <w:color w:val="auto"/>
                <w:kern w:val="0"/>
                <w:sz w:val="21"/>
                <w:szCs w:val="21"/>
                <w:highlight w:val="none"/>
              </w:rPr>
              <w:t>人次</w:t>
            </w:r>
          </w:p>
        </w:tc>
        <w:tc>
          <w:tcPr>
            <w:tcW w:w="2718" w:type="dxa"/>
            <w:tcBorders>
              <w:top w:val="single" w:color="auto" w:sz="4" w:space="0"/>
              <w:left w:val="nil"/>
              <w:bottom w:val="single" w:color="auto" w:sz="4" w:space="0"/>
              <w:right w:val="single" w:color="auto" w:sz="4" w:space="0"/>
            </w:tcBorders>
            <w:vAlign w:val="center"/>
          </w:tcPr>
          <w:p w14:paraId="0E2CF4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不得高于单价，1次为</w:t>
            </w:r>
            <w:r>
              <w:rPr>
                <w:rFonts w:hint="eastAsia" w:ascii="宋体" w:hAnsi="宋体" w:eastAsia="宋体" w:cs="宋体"/>
                <w:b/>
                <w:color w:val="auto"/>
                <w:kern w:val="0"/>
                <w:sz w:val="21"/>
                <w:szCs w:val="21"/>
                <w:highlight w:val="none"/>
                <w:lang w:val="en-US" w:eastAsia="zh-CN"/>
              </w:rPr>
              <w:t>半</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费用已包含餐饮费。</w:t>
            </w:r>
          </w:p>
        </w:tc>
        <w:tc>
          <w:tcPr>
            <w:tcW w:w="1315" w:type="dxa"/>
            <w:vMerge w:val="continue"/>
            <w:tcBorders>
              <w:left w:val="nil"/>
              <w:right w:val="single" w:color="auto" w:sz="4" w:space="0"/>
            </w:tcBorders>
            <w:vAlign w:val="center"/>
          </w:tcPr>
          <w:p w14:paraId="4FF187D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r>
      <w:tr w14:paraId="454D3E0A">
        <w:tblPrEx>
          <w:tblCellMar>
            <w:top w:w="0" w:type="dxa"/>
            <w:left w:w="108" w:type="dxa"/>
            <w:bottom w:w="0" w:type="dxa"/>
            <w:right w:w="108" w:type="dxa"/>
          </w:tblCellMar>
        </w:tblPrEx>
        <w:trPr>
          <w:trHeight w:val="665"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38233CE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2783" w:type="dxa"/>
            <w:tcBorders>
              <w:top w:val="single" w:color="auto" w:sz="4" w:space="0"/>
              <w:left w:val="nil"/>
              <w:bottom w:val="single" w:color="auto" w:sz="4" w:space="0"/>
              <w:right w:val="single" w:color="auto" w:sz="4" w:space="0"/>
            </w:tcBorders>
            <w:vAlign w:val="center"/>
          </w:tcPr>
          <w:p w14:paraId="19BDB9F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车辆使用费（中巴车，最多可乘坐30人）</w:t>
            </w:r>
          </w:p>
        </w:tc>
        <w:tc>
          <w:tcPr>
            <w:tcW w:w="1765" w:type="dxa"/>
            <w:tcBorders>
              <w:top w:val="single" w:color="auto" w:sz="4" w:space="0"/>
              <w:left w:val="nil"/>
              <w:bottom w:val="single" w:color="auto" w:sz="4" w:space="0"/>
              <w:right w:val="single" w:color="auto" w:sz="4" w:space="0"/>
            </w:tcBorders>
            <w:vAlign w:val="center"/>
          </w:tcPr>
          <w:p w14:paraId="0B97F2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600元/辆/次</w:t>
            </w:r>
          </w:p>
        </w:tc>
        <w:tc>
          <w:tcPr>
            <w:tcW w:w="1288" w:type="dxa"/>
            <w:tcBorders>
              <w:top w:val="single" w:color="auto" w:sz="4" w:space="0"/>
              <w:left w:val="nil"/>
              <w:bottom w:val="single" w:color="auto" w:sz="4" w:space="0"/>
              <w:right w:val="single" w:color="auto" w:sz="4" w:space="0"/>
            </w:tcBorders>
            <w:vAlign w:val="center"/>
          </w:tcPr>
          <w:p w14:paraId="5DCC7CC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100辆次</w:t>
            </w:r>
          </w:p>
        </w:tc>
        <w:tc>
          <w:tcPr>
            <w:tcW w:w="2718" w:type="dxa"/>
            <w:tcBorders>
              <w:top w:val="single" w:color="auto" w:sz="4" w:space="0"/>
              <w:left w:val="nil"/>
              <w:bottom w:val="single" w:color="auto" w:sz="4" w:space="0"/>
              <w:right w:val="single" w:color="auto" w:sz="4" w:space="0"/>
            </w:tcBorders>
            <w:vAlign w:val="center"/>
          </w:tcPr>
          <w:p w14:paraId="4A8B5E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不得高于单价，1次为1日</w:t>
            </w:r>
          </w:p>
        </w:tc>
        <w:tc>
          <w:tcPr>
            <w:tcW w:w="1315" w:type="dxa"/>
            <w:vMerge w:val="continue"/>
            <w:tcBorders>
              <w:left w:val="nil"/>
              <w:right w:val="single" w:color="auto" w:sz="4" w:space="0"/>
            </w:tcBorders>
            <w:vAlign w:val="center"/>
          </w:tcPr>
          <w:p w14:paraId="457F1F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r>
      <w:tr w14:paraId="42D2A384">
        <w:tblPrEx>
          <w:tblCellMar>
            <w:top w:w="0" w:type="dxa"/>
            <w:left w:w="108" w:type="dxa"/>
            <w:bottom w:w="0" w:type="dxa"/>
            <w:right w:w="108" w:type="dxa"/>
          </w:tblCellMar>
        </w:tblPrEx>
        <w:trPr>
          <w:trHeight w:val="674"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14:paraId="63E4D7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783" w:type="dxa"/>
            <w:tcBorders>
              <w:top w:val="single" w:color="auto" w:sz="4" w:space="0"/>
              <w:left w:val="nil"/>
              <w:bottom w:val="single" w:color="auto" w:sz="4" w:space="0"/>
              <w:right w:val="single" w:color="auto" w:sz="4" w:space="0"/>
            </w:tcBorders>
            <w:vAlign w:val="center"/>
          </w:tcPr>
          <w:p w14:paraId="0FF0256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车辆使用费（大巴车，可乘坐30人以上）</w:t>
            </w:r>
          </w:p>
        </w:tc>
        <w:tc>
          <w:tcPr>
            <w:tcW w:w="1765" w:type="dxa"/>
            <w:tcBorders>
              <w:top w:val="single" w:color="auto" w:sz="4" w:space="0"/>
              <w:left w:val="nil"/>
              <w:bottom w:val="single" w:color="auto" w:sz="4" w:space="0"/>
              <w:right w:val="single" w:color="auto" w:sz="4" w:space="0"/>
            </w:tcBorders>
            <w:vAlign w:val="center"/>
          </w:tcPr>
          <w:p w14:paraId="798821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900元/辆/次</w:t>
            </w:r>
          </w:p>
        </w:tc>
        <w:tc>
          <w:tcPr>
            <w:tcW w:w="1288" w:type="dxa"/>
            <w:tcBorders>
              <w:top w:val="single" w:color="auto" w:sz="4" w:space="0"/>
              <w:left w:val="nil"/>
              <w:bottom w:val="single" w:color="auto" w:sz="4" w:space="0"/>
              <w:right w:val="single" w:color="auto" w:sz="4" w:space="0"/>
            </w:tcBorders>
            <w:vAlign w:val="center"/>
          </w:tcPr>
          <w:p w14:paraId="3FD438D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100辆次</w:t>
            </w:r>
          </w:p>
        </w:tc>
        <w:tc>
          <w:tcPr>
            <w:tcW w:w="2718" w:type="dxa"/>
            <w:tcBorders>
              <w:top w:val="single" w:color="auto" w:sz="4" w:space="0"/>
              <w:left w:val="nil"/>
              <w:bottom w:val="single" w:color="auto" w:sz="4" w:space="0"/>
              <w:right w:val="single" w:color="auto" w:sz="4" w:space="0"/>
            </w:tcBorders>
            <w:vAlign w:val="center"/>
          </w:tcPr>
          <w:p w14:paraId="69CBB8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不得高于单价，1次为1日</w:t>
            </w:r>
          </w:p>
        </w:tc>
        <w:tc>
          <w:tcPr>
            <w:tcW w:w="1315" w:type="dxa"/>
            <w:vMerge w:val="continue"/>
            <w:tcBorders>
              <w:left w:val="nil"/>
              <w:bottom w:val="single" w:color="auto" w:sz="4" w:space="0"/>
              <w:right w:val="single" w:color="auto" w:sz="4" w:space="0"/>
            </w:tcBorders>
            <w:vAlign w:val="center"/>
          </w:tcPr>
          <w:p w14:paraId="10285FA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r>
    </w:tbl>
    <w:p w14:paraId="744DA674">
      <w:pPr>
        <w:autoSpaceDN w:val="0"/>
        <w:spacing w:line="360" w:lineRule="auto"/>
        <w:rPr>
          <w:rFonts w:hint="eastAsia" w:asciiTheme="minorEastAsia" w:hAnsiTheme="minorEastAsia" w:eastAsiaTheme="minorEastAsia" w:cstheme="minorEastAsia"/>
          <w:b/>
          <w:bCs w:val="0"/>
          <w:color w:val="auto"/>
          <w:sz w:val="21"/>
          <w:szCs w:val="21"/>
          <w:highlight w:val="none"/>
          <w:lang w:val="en-US" w:eastAsia="zh-CN"/>
        </w:rPr>
      </w:pPr>
    </w:p>
    <w:p w14:paraId="6C794B51">
      <w:pPr>
        <w:autoSpaceDN w:val="0"/>
        <w:spacing w:line="360" w:lineRule="auto"/>
        <w:rPr>
          <w:rFonts w:hint="default"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二、工作内容</w:t>
      </w:r>
    </w:p>
    <w:p w14:paraId="330AD55A">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本项目实行固定综合单价方式进行结算，中标供应商的中标单价一次性包干，实际服务人数按实结算，如本项目在实施过程中，合同未到期，但结算总价超过</w:t>
      </w: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万元的，采购人有权终止合同。</w:t>
      </w:r>
    </w:p>
    <w:p w14:paraId="30C8761A">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、投标人的报价应为承包完成本次项目需完成全部工作所发生的所有费用（含税），并承担一切风险责任。投标人应结合本项目特点，市场行情及投标人自身的技术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管理水平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竞争能力，确定最终报价。特殊时间段和夜班费及由此产生的服务风险、责任已包含在供应商的报价中，不再另行增加。</w:t>
      </w:r>
    </w:p>
    <w:p w14:paraId="494847E8">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、▲人员、车辆服务费计算方式：</w:t>
      </w:r>
    </w:p>
    <w:p w14:paraId="0C7DE4BB">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.1当日服务时间小于等于4个小时的按半日计算；</w:t>
      </w:r>
    </w:p>
    <w:p w14:paraId="18E2DC22">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.2当日服务时间大于4个小时但小于等于8个小时的按全日计算；</w:t>
      </w:r>
    </w:p>
    <w:p w14:paraId="2CDC9337">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.3当日服务时间（午休及午餐时间不计入服务时间）大于8小时的，每超过1小时，超出部分按全日价*12.5%计算（不足1小时按1小时计取）；</w:t>
      </w:r>
    </w:p>
    <w:p w14:paraId="3F280FAD">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.4当日提供服务时间进行累积计算（如上午、下午分别提供服务按全天计算）。</w:t>
      </w:r>
    </w:p>
    <w:p w14:paraId="76CE168D">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3.5晚上工作时间为晚上21：00—次日6：00，晚上工作时间不足5个小时按1全日计算，超过5个小时按2全日计算。</w:t>
      </w:r>
    </w:p>
    <w:p w14:paraId="5F201EB9">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供应商承诺在承包服务期内，在执行事务过程中，加强消除现场风险隐患，全力确保现场安全，并做好保密工作。发生安全事故的，责任和损失由供应商自行承担。因供应商原因导致的人员财产损失由供应商负责赔偿。</w:t>
      </w:r>
    </w:p>
    <w:p w14:paraId="703FCB9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、中标供应商主要提供日常安保、拆违安保服务，具体服务内容以采购人确定为准。</w:t>
      </w:r>
    </w:p>
    <w:p w14:paraId="73BD8EB2">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、人员配置要求：</w:t>
      </w:r>
      <w:r>
        <w:rPr>
          <w:rFonts w:hint="eastAsia" w:ascii="宋体" w:hAnsi="宋体" w:eastAsia="宋体" w:cs="宋体"/>
          <w:color w:val="auto"/>
          <w:szCs w:val="21"/>
          <w:highlight w:val="none"/>
          <w:lang w:eastAsia="zh-CN"/>
        </w:rPr>
        <w:t>秩序维护</w:t>
      </w:r>
      <w:r>
        <w:rPr>
          <w:rFonts w:hint="eastAsia" w:ascii="宋体" w:hAnsi="宋体" w:eastAsia="宋体" w:cs="宋体"/>
          <w:color w:val="auto"/>
          <w:szCs w:val="21"/>
          <w:highlight w:val="none"/>
          <w:lang w:val="en-US" w:eastAsia="zh-CN"/>
        </w:rPr>
        <w:t>队长</w:t>
      </w:r>
      <w:r>
        <w:rPr>
          <w:rFonts w:hint="eastAsia" w:ascii="宋体" w:hAnsi="宋体" w:eastAsia="宋体" w:cs="宋体"/>
          <w:color w:val="auto"/>
          <w:szCs w:val="21"/>
          <w:highlight w:val="none"/>
        </w:rPr>
        <w:t>1名，</w:t>
      </w:r>
      <w:r>
        <w:rPr>
          <w:rFonts w:hint="eastAsia" w:ascii="宋体" w:hAnsi="宋体" w:eastAsia="宋体" w:cs="宋体"/>
          <w:color w:val="auto"/>
          <w:szCs w:val="21"/>
          <w:highlight w:val="none"/>
          <w:lang w:eastAsia="zh-CN"/>
        </w:rPr>
        <w:t>秩序维护</w:t>
      </w:r>
      <w:r>
        <w:rPr>
          <w:rFonts w:hint="eastAsia" w:ascii="宋体" w:hAnsi="宋体" w:eastAsia="宋体" w:cs="宋体"/>
          <w:color w:val="auto"/>
          <w:szCs w:val="21"/>
          <w:highlight w:val="none"/>
        </w:rPr>
        <w:t>人员常年在岗人员不少于3人，在实际执行过程中，中标供应商须按采购人要求派遣人员。</w:t>
      </w:r>
      <w:r>
        <w:rPr>
          <w:rFonts w:hint="eastAsia" w:ascii="宋体" w:hAnsi="宋体" w:eastAsia="宋体" w:cs="宋体"/>
          <w:color w:val="auto"/>
          <w:szCs w:val="21"/>
          <w:highlight w:val="none"/>
          <w:lang w:eastAsia="zh-CN"/>
        </w:rPr>
        <w:t>秩序维护</w:t>
      </w:r>
      <w:r>
        <w:rPr>
          <w:rFonts w:hint="eastAsia" w:ascii="宋体" w:hAnsi="宋体" w:eastAsia="宋体" w:cs="宋体"/>
          <w:color w:val="auto"/>
          <w:szCs w:val="21"/>
          <w:highlight w:val="none"/>
          <w:lang w:val="en-US" w:eastAsia="zh-CN"/>
        </w:rPr>
        <w:t>队长</w:t>
      </w:r>
      <w:r>
        <w:rPr>
          <w:rFonts w:hint="eastAsia" w:ascii="宋体" w:hAnsi="宋体" w:eastAsia="宋体" w:cs="宋体"/>
          <w:color w:val="auto"/>
          <w:szCs w:val="21"/>
          <w:highlight w:val="none"/>
        </w:rPr>
        <w:t>未经采购人同意不得随意更换。所有人员要求年龄为18周岁至60周岁之间，要求为男性。</w:t>
      </w:r>
      <w:r>
        <w:rPr>
          <w:rFonts w:hint="eastAsia" w:ascii="宋体" w:hAnsi="宋体" w:eastAsia="宋体" w:cs="宋体"/>
          <w:color w:val="auto"/>
          <w:szCs w:val="21"/>
          <w:highlight w:val="none"/>
          <w:lang w:val="en-US" w:eastAsia="zh-CN"/>
        </w:rPr>
        <w:t>由采购人决定上岗时间、工作内容，其实际在岗时间、人数不定，按实际在岗时间、人数进行结算。</w:t>
      </w:r>
    </w:p>
    <w:p w14:paraId="3918E982">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、违规处罚</w:t>
      </w:r>
    </w:p>
    <w:p w14:paraId="58146F89">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.1如服务人员有违规行为的情况，扣除当次总服务费的50%；</w:t>
      </w:r>
    </w:p>
    <w:p w14:paraId="2E10FA26">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.2如服务人员未穿着佩戴安全帽等相关安全保护装束，扣除违规人员当次服务费的30%；</w:t>
      </w:r>
    </w:p>
    <w:p w14:paraId="46FF692D">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.3如</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人员未穿着统一的保安制服或穿着制服衣冠不整，扣除违规人员当次服务费的30%；</w:t>
      </w:r>
    </w:p>
    <w:p w14:paraId="6C3BF598">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.4如服务人员存在偷懒、消极怠工等情况，扣除违规人员当次服务费的30%；</w:t>
      </w:r>
    </w:p>
    <w:p w14:paraId="6A4C439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.5如服务人员未在指定时间到达指定地点，扣除违规人员当次服务费的50%；</w:t>
      </w:r>
    </w:p>
    <w:p w14:paraId="1A74CFEF">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.6如未按招标人要求的人数指派服务人员及车辆的，根据具体违规情况，扣除当次服务费的20~100%；</w:t>
      </w:r>
    </w:p>
    <w:p w14:paraId="0B1F4646">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.7如出现违法违规等行动的，招标人有权终止合同并没收履约保证金；</w:t>
      </w:r>
    </w:p>
    <w:p w14:paraId="107FB9BD">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.8如出现包括但不限于以上的行为，引起恶劣社会影响的，招标人有权终止合同并没收履约保证金。</w:t>
      </w:r>
    </w:p>
    <w:p w14:paraId="42563E02">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7.9如磋商供应商中标本项目，发现拟派人员为非本单位人员或签订合同后现场服务人员非磋商时承诺的人员，将视为弄虚作假，没收履约保证金，并解除合同。</w:t>
      </w:r>
    </w:p>
    <w:p w14:paraId="6F4F624F">
      <w:pPr>
        <w:keepNext w:val="0"/>
        <w:keepLines w:val="0"/>
        <w:pageBreakBefore w:val="0"/>
        <w:kinsoku/>
        <w:wordWrap/>
        <w:overflowPunct/>
        <w:topLinePunct w:val="0"/>
        <w:autoSpaceDE/>
        <w:autoSpaceDN/>
        <w:bidi w:val="0"/>
        <w:adjustRightInd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8</w:t>
      </w:r>
      <w:r>
        <w:rPr>
          <w:rFonts w:hint="eastAsia" w:ascii="宋体" w:hAnsi="宋体" w:eastAsia="宋体" w:cs="宋体"/>
          <w:b/>
          <w:bCs/>
          <w:color w:val="auto"/>
          <w:szCs w:val="21"/>
          <w:highlight w:val="none"/>
        </w:rPr>
        <w:t>、履约保证金：</w:t>
      </w:r>
    </w:p>
    <w:p w14:paraId="7904BBD1">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（1）中标方应在收到中标通知书后一周内向采购方交纳合同金额的1%作为履约保证金，以保证中标方遵守本合同，包括担保、保函、保险等形式。</w:t>
      </w:r>
      <w:r>
        <w:rPr>
          <w:rFonts w:hint="eastAsia" w:ascii="宋体" w:hAnsi="宋体" w:eastAsia="宋体" w:cs="宋体"/>
          <w:color w:val="auto"/>
          <w:szCs w:val="21"/>
          <w:highlight w:val="none"/>
        </w:rPr>
        <w:t>中标供应商未按规定提交履约保证金则招标人有权拒签合同。</w:t>
      </w:r>
    </w:p>
    <w:p w14:paraId="02540A7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rPr>
        <w:t>采购方认为中标方在承包期内没有涉及违约行为，采购方在服务期满后一个月内全额退还履约保证金，</w:t>
      </w:r>
      <w:r>
        <w:rPr>
          <w:rFonts w:hint="eastAsia" w:ascii="宋体" w:hAnsi="宋体" w:eastAsia="宋体" w:cs="宋体"/>
          <w:color w:val="auto"/>
          <w:szCs w:val="21"/>
          <w:highlight w:val="none"/>
        </w:rPr>
        <w:t>否则，采购方将在扣除中标方应付金额或违约金后退还保证金余额。</w:t>
      </w:r>
    </w:p>
    <w:p w14:paraId="04E58C7A">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、响应时间：接到招标人通知后在半小时内作出响应，并在指定时间达到指定地点。</w:t>
      </w:r>
    </w:p>
    <w:p w14:paraId="78BBA2B6">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、签到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"http://www.ahsrst.cn/a/xinchouzhidu/" \t "http://www.ahsrst.cn/a/201601/_blank"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：本项目所需服务人员须在指定时间前，达到指定地点并自觉签到，不许他人代签，由采购人相关人员确认为准。</w:t>
      </w:r>
    </w:p>
    <w:p w14:paraId="3EBEC84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、费用核对：</w:t>
      </w:r>
      <w:r>
        <w:rPr>
          <w:rFonts w:hint="eastAsia" w:ascii="宋体" w:hAnsi="宋体" w:eastAsia="宋体" w:cs="宋体"/>
          <w:color w:val="auto"/>
          <w:szCs w:val="21"/>
          <w:highlight w:val="none"/>
        </w:rPr>
        <w:t>每月服务结束，由中标供应商根据实际服务内容，按中标单价计算服务费用，并交由招标人核对。供应商应于次月15日前将当月所有采购人确认的签到表、发票交由采购人，未于次月的15日前提交发票的，自动转为下月结算。</w:t>
      </w:r>
    </w:p>
    <w:p w14:paraId="49C9DF4F">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付款方式：</w:t>
      </w:r>
    </w:p>
    <w:p w14:paraId="388CA80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bidi="ar"/>
        </w:rPr>
        <w:t>签订合同后，在合同生效以及具备实施条件后7个工作日内支付</w:t>
      </w:r>
      <w:r>
        <w:rPr>
          <w:rFonts w:hint="eastAsia" w:ascii="宋体" w:hAnsi="宋体" w:cs="宋体"/>
          <w:color w:val="auto"/>
          <w:sz w:val="21"/>
          <w:szCs w:val="21"/>
          <w:highlight w:val="none"/>
          <w:lang w:val="en-US" w:eastAsia="zh-CN" w:bidi="ar"/>
        </w:rPr>
        <w:t>合同第一年计划金额的 20%作为预付款</w:t>
      </w:r>
      <w:r>
        <w:rPr>
          <w:rFonts w:hint="eastAsia" w:ascii="宋体" w:hAnsi="宋体" w:eastAsia="宋体" w:cs="宋体"/>
          <w:color w:val="auto"/>
          <w:sz w:val="21"/>
          <w:szCs w:val="21"/>
          <w:highlight w:val="none"/>
          <w:lang w:val="en-US" w:eastAsia="zh-CN" w:bidi="ar"/>
        </w:rPr>
        <w:t>，服务满</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个月后支付至合同第一年计划金额的</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val="en-US" w:eastAsia="zh-CN" w:bidi="ar"/>
        </w:rPr>
        <w:t>%，后续款项按</w:t>
      </w:r>
      <w:r>
        <w:rPr>
          <w:rFonts w:hint="eastAsia" w:ascii="宋体" w:hAnsi="宋体" w:cs="宋体"/>
          <w:color w:val="auto"/>
          <w:sz w:val="21"/>
          <w:szCs w:val="21"/>
          <w:highlight w:val="none"/>
          <w:lang w:val="en-US" w:eastAsia="zh-CN" w:bidi="ar"/>
        </w:rPr>
        <w:t>季度</w:t>
      </w:r>
      <w:r>
        <w:rPr>
          <w:rFonts w:hint="eastAsia" w:ascii="宋体" w:hAnsi="宋体" w:eastAsia="宋体" w:cs="宋体"/>
          <w:color w:val="auto"/>
          <w:sz w:val="21"/>
          <w:szCs w:val="21"/>
          <w:highlight w:val="none"/>
          <w:lang w:val="en-US" w:eastAsia="zh-CN" w:bidi="ar"/>
        </w:rPr>
        <w:t>结算</w:t>
      </w:r>
      <w:r>
        <w:rPr>
          <w:rFonts w:hint="eastAsia" w:ascii="宋体" w:hAnsi="宋体" w:eastAsia="宋体" w:cs="宋体"/>
          <w:color w:val="auto"/>
          <w:szCs w:val="21"/>
          <w:highlight w:val="none"/>
          <w:lang w:val="en-US" w:eastAsia="zh-CN"/>
        </w:rPr>
        <w:t>，即每季度服务结束后的次月</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lang w:val="en-US" w:eastAsia="zh-CN"/>
        </w:rPr>
        <w:t>方向</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方付清上季度服务费（</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方必须开具正式税务发票）</w:t>
      </w:r>
      <w:r>
        <w:rPr>
          <w:rFonts w:hint="eastAsia" w:ascii="宋体" w:hAnsi="宋体" w:eastAsia="宋体" w:cs="宋体"/>
          <w:color w:val="auto"/>
          <w:sz w:val="21"/>
          <w:szCs w:val="21"/>
          <w:highlight w:val="none"/>
          <w:lang w:val="en-US" w:eastAsia="zh-CN" w:bidi="ar"/>
        </w:rPr>
        <w:t>。</w:t>
      </w:r>
    </w:p>
    <w:p w14:paraId="5D6CD852">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eastAsia="zh-CN" w:bidi="ar"/>
        </w:rPr>
        <w:t>（2）服务满12个月后支付合同第二年计划金额的20%作为预付款，服务满15个月后支付至合同第二年计划金额的25%，后续款项按季度结算</w:t>
      </w:r>
      <w:r>
        <w:rPr>
          <w:rFonts w:hint="eastAsia" w:ascii="宋体" w:hAnsi="宋体" w:eastAsia="宋体" w:cs="宋体"/>
          <w:color w:val="auto"/>
          <w:szCs w:val="21"/>
          <w:highlight w:val="none"/>
          <w:lang w:val="en-US" w:eastAsia="zh-CN"/>
        </w:rPr>
        <w:t>，即每季度服务结束后的次月</w:t>
      </w: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lang w:val="en-US" w:eastAsia="zh-CN"/>
        </w:rPr>
        <w:t>方向</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方付清上季度服务费（</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方必须开具正式税务发票）。</w:t>
      </w:r>
    </w:p>
    <w:p w14:paraId="49639EF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供应商若中标本项目，无论投标时是否已经承诺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须配备至少1辆6座（含司机）及以上车辆。</w:t>
      </w:r>
    </w:p>
    <w:p w14:paraId="11966AB9">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default" w:asciiTheme="minorEastAsia" w:hAnsiTheme="minorEastAsia" w:eastAsiaTheme="minorEastAsia" w:cstheme="minorEastAsia"/>
          <w:b/>
          <w:bCs w:val="0"/>
          <w:color w:val="auto"/>
          <w:sz w:val="21"/>
          <w:szCs w:val="21"/>
          <w:highlight w:val="none"/>
          <w:lang w:val="en-US" w:eastAsia="zh-CN"/>
        </w:rPr>
      </w:pPr>
      <w:r>
        <w:rPr>
          <w:rFonts w:hint="eastAsia" w:ascii="宋体" w:hAnsi="宋体" w:eastAsia="宋体" w:cs="宋体"/>
          <w:color w:val="auto"/>
          <w:szCs w:val="21"/>
          <w:highlight w:val="none"/>
          <w:lang w:val="en-US" w:eastAsia="zh-CN"/>
        </w:rPr>
        <w:t>14、</w:t>
      </w:r>
      <w:r>
        <w:rPr>
          <w:rFonts w:hint="eastAsia" w:ascii="宋体" w:hAnsi="宋体" w:eastAsia="宋体" w:cs="宋体"/>
          <w:color w:val="auto"/>
          <w:szCs w:val="21"/>
          <w:highlight w:val="none"/>
          <w:lang w:val="en-US" w:eastAsia="zh-CN"/>
        </w:rPr>
        <w:t>服务期限：自合同签订之日起两年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p w14:paraId="1027D4E7">
      <w:pPr>
        <w:autoSpaceDN w:val="0"/>
        <w:spacing w:line="360" w:lineRule="auto"/>
        <w:rPr>
          <w:rFonts w:hint="eastAsia" w:ascii="宋体" w:hAnsi="宋体" w:eastAsia="宋体" w:cs="宋体"/>
          <w:b/>
          <w:color w:val="auto"/>
          <w:sz w:val="21"/>
          <w:szCs w:val="21"/>
          <w:highlight w:val="none"/>
        </w:rPr>
      </w:pPr>
      <w:r>
        <w:rPr>
          <w:rFonts w:hint="eastAsia" w:asciiTheme="minorEastAsia" w:hAnsiTheme="minorEastAsia" w:eastAsiaTheme="minorEastAsia" w:cstheme="minorEastAsia"/>
          <w:b/>
          <w:bCs w:val="0"/>
          <w:color w:val="auto"/>
          <w:sz w:val="21"/>
          <w:szCs w:val="21"/>
          <w:highlight w:val="none"/>
          <w:lang w:val="en-US" w:eastAsia="zh-CN"/>
        </w:rPr>
        <w:t>三</w:t>
      </w:r>
      <w:r>
        <w:rPr>
          <w:rFonts w:hint="eastAsia" w:asciiTheme="minorEastAsia" w:hAnsiTheme="minorEastAsia" w:eastAsiaTheme="minorEastAsia" w:cstheme="minorEastAsia"/>
          <w:b/>
          <w:bCs w:val="0"/>
          <w:color w:val="auto"/>
          <w:sz w:val="21"/>
          <w:szCs w:val="21"/>
          <w:highlight w:val="none"/>
        </w:rPr>
        <w:t>、</w:t>
      </w:r>
      <w:r>
        <w:rPr>
          <w:rFonts w:hint="eastAsia" w:asciiTheme="minorEastAsia" w:hAnsiTheme="minorEastAsia" w:eastAsiaTheme="minorEastAsia" w:cstheme="minorEastAsia"/>
          <w:b/>
          <w:color w:val="auto"/>
          <w:sz w:val="21"/>
          <w:szCs w:val="21"/>
          <w:highlight w:val="none"/>
        </w:rPr>
        <w:t>本项目中标（成交）供应商应在浙江省政府采购网</w:t>
      </w:r>
      <w:r>
        <w:rPr>
          <w:rFonts w:hint="eastAsia" w:asciiTheme="minorEastAsia" w:hAnsiTheme="minorEastAsia" w:eastAsiaTheme="minorEastAsia" w:cstheme="minorEastAsia"/>
          <w:b/>
          <w:color w:val="auto"/>
          <w:sz w:val="21"/>
          <w:szCs w:val="21"/>
          <w:highlight w:val="none"/>
          <w:lang w:eastAsia="zh-CN"/>
        </w:rPr>
        <w:t>（http://zfcg.czt.zj.gov.cn）</w:t>
      </w:r>
      <w:r>
        <w:rPr>
          <w:rFonts w:hint="eastAsia" w:asciiTheme="minorEastAsia" w:hAnsiTheme="minorEastAsia" w:eastAsiaTheme="minorEastAsia" w:cstheme="minorEastAsia"/>
          <w:b/>
          <w:color w:val="auto"/>
          <w:sz w:val="21"/>
          <w:szCs w:val="21"/>
          <w:highlight w:val="none"/>
        </w:rPr>
        <w:t>上注册成为“政府采购供应商”，如不按要求注册的，采购方有权延期发布中标（成交）通知书和中标（成交）公告，后果由供应商自行承担。</w:t>
      </w:r>
    </w:p>
    <w:p w14:paraId="3B7A9E8B">
      <w:pPr>
        <w:spacing w:line="360" w:lineRule="auto"/>
        <w:jc w:val="center"/>
        <w:rPr>
          <w:rFonts w:hint="eastAsia" w:ascii="宋体" w:hAnsi="宋体" w:eastAsia="宋体" w:cs="宋体"/>
          <w:b/>
          <w:color w:val="auto"/>
          <w:sz w:val="36"/>
          <w:szCs w:val="36"/>
          <w:highlight w:val="none"/>
        </w:rPr>
      </w:pPr>
    </w:p>
    <w:p w14:paraId="1532FF2D">
      <w:pPr>
        <w:spacing w:line="360" w:lineRule="auto"/>
        <w:jc w:val="center"/>
        <w:rPr>
          <w:rFonts w:hint="eastAsia" w:ascii="宋体" w:hAnsi="宋体" w:eastAsia="宋体" w:cs="宋体"/>
          <w:b/>
          <w:color w:val="auto"/>
          <w:sz w:val="36"/>
          <w:szCs w:val="36"/>
          <w:highlight w:val="none"/>
        </w:rPr>
      </w:pPr>
    </w:p>
    <w:p w14:paraId="46CFF3CC">
      <w:pPr>
        <w:spacing w:line="360" w:lineRule="auto"/>
        <w:jc w:val="center"/>
        <w:rPr>
          <w:rFonts w:hint="eastAsia" w:ascii="宋体" w:hAnsi="宋体" w:eastAsia="宋体" w:cs="宋体"/>
          <w:b/>
          <w:color w:val="auto"/>
          <w:sz w:val="36"/>
          <w:szCs w:val="36"/>
          <w:highlight w:val="none"/>
        </w:rPr>
      </w:pPr>
    </w:p>
    <w:p w14:paraId="687110AC">
      <w:pPr>
        <w:spacing w:line="360" w:lineRule="auto"/>
        <w:jc w:val="center"/>
        <w:rPr>
          <w:rFonts w:hint="eastAsia" w:ascii="宋体" w:hAnsi="宋体" w:eastAsia="宋体" w:cs="宋体"/>
          <w:b/>
          <w:color w:val="auto"/>
          <w:sz w:val="36"/>
          <w:szCs w:val="36"/>
          <w:highlight w:val="none"/>
        </w:rPr>
      </w:pPr>
    </w:p>
    <w:p w14:paraId="4C66D261">
      <w:pPr>
        <w:spacing w:line="360" w:lineRule="auto"/>
        <w:jc w:val="center"/>
        <w:rPr>
          <w:rFonts w:hint="eastAsia" w:ascii="宋体" w:hAnsi="宋体" w:eastAsia="宋体" w:cs="宋体"/>
          <w:b/>
          <w:color w:val="auto"/>
          <w:sz w:val="36"/>
          <w:szCs w:val="36"/>
          <w:highlight w:val="none"/>
        </w:rPr>
      </w:pPr>
    </w:p>
    <w:p w14:paraId="556FFF8D">
      <w:pPr>
        <w:spacing w:line="360" w:lineRule="auto"/>
        <w:jc w:val="center"/>
        <w:rPr>
          <w:rFonts w:hint="eastAsia" w:ascii="宋体" w:hAnsi="宋体" w:eastAsia="宋体" w:cs="宋体"/>
          <w:b/>
          <w:color w:val="auto"/>
          <w:sz w:val="36"/>
          <w:szCs w:val="36"/>
          <w:highlight w:val="none"/>
        </w:rPr>
      </w:pPr>
    </w:p>
    <w:p w14:paraId="1EFB566E">
      <w:pPr>
        <w:spacing w:line="360" w:lineRule="auto"/>
        <w:jc w:val="both"/>
        <w:rPr>
          <w:rFonts w:hint="eastAsia" w:ascii="宋体" w:hAnsi="宋体" w:eastAsia="宋体" w:cs="宋体"/>
          <w:b/>
          <w:color w:val="auto"/>
          <w:sz w:val="36"/>
          <w:szCs w:val="36"/>
          <w:highlight w:val="none"/>
        </w:rPr>
      </w:pPr>
    </w:p>
    <w:p w14:paraId="231928B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3"/>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台州市路桥区横街镇人民政府</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台州市路桥区横街镇人民政府</w:t>
      </w:r>
    </w:p>
    <w:p w14:paraId="7AB10109">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台州市路桥区横街镇人民政府横街镇应急处置现场维持秩序服务项目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440AAC03">
      <w:pPr>
        <w:pStyle w:val="11"/>
        <w:keepNext w:val="0"/>
        <w:keepLines w:val="0"/>
        <w:pageBreakBefore w:val="0"/>
        <w:kinsoku/>
        <w:wordWrap/>
        <w:overflowPunct/>
        <w:topLinePunct w:val="0"/>
        <w:autoSpaceDE/>
        <w:autoSpaceDN/>
        <w:bidi w:val="0"/>
        <w:adjustRightInd w:val="0"/>
        <w:snapToGrid w:val="0"/>
        <w:spacing w:line="360" w:lineRule="auto"/>
        <w:outlineLvl w:val="9"/>
        <w:rPr>
          <w:rFonts w:hAnsi="宋体" w:cs="宋体"/>
          <w:b/>
          <w:color w:val="auto"/>
          <w:szCs w:val="21"/>
          <w:highlight w:val="none"/>
        </w:rPr>
      </w:pPr>
      <w:r>
        <w:rPr>
          <w:rFonts w:hint="eastAsia" w:hAnsi="宋体" w:cs="宋体"/>
          <w:b/>
          <w:color w:val="auto"/>
          <w:szCs w:val="21"/>
          <w:highlight w:val="none"/>
          <w:lang w:val="en-US" w:eastAsia="zh-CN"/>
        </w:rPr>
        <w:t>第一条：</w:t>
      </w:r>
      <w:r>
        <w:rPr>
          <w:rFonts w:hint="eastAsia" w:hAnsi="宋体" w:cs="宋体"/>
          <w:b/>
          <w:color w:val="auto"/>
          <w:szCs w:val="21"/>
          <w:highlight w:val="none"/>
        </w:rPr>
        <w:t>服务内容</w:t>
      </w:r>
    </w:p>
    <w:p w14:paraId="339D76E8">
      <w:pPr>
        <w:pStyle w:val="11"/>
        <w:keepNext w:val="0"/>
        <w:keepLines w:val="0"/>
        <w:pageBreakBefore w:val="0"/>
        <w:kinsoku/>
        <w:wordWrap/>
        <w:overflowPunct/>
        <w:topLinePunct w:val="0"/>
        <w:autoSpaceDE/>
        <w:autoSpaceDN/>
        <w:bidi w:val="0"/>
        <w:adjustRightInd w:val="0"/>
        <w:snapToGrid w:val="0"/>
        <w:spacing w:line="360" w:lineRule="auto"/>
        <w:outlineLvl w:val="9"/>
        <w:rPr>
          <w:rFonts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详见本项目招标文件</w:t>
      </w:r>
      <w:r>
        <w:rPr>
          <w:rFonts w:hint="eastAsia" w:hAnsi="宋体" w:cs="宋体"/>
          <w:bCs/>
          <w:color w:val="auto"/>
          <w:szCs w:val="21"/>
          <w:highlight w:val="none"/>
        </w:rPr>
        <w:t>第</w:t>
      </w:r>
      <w:r>
        <w:rPr>
          <w:rFonts w:hint="eastAsia" w:hAnsi="宋体" w:cs="宋体"/>
          <w:bCs/>
          <w:color w:val="auto"/>
          <w:szCs w:val="21"/>
          <w:highlight w:val="none"/>
          <w:lang w:val="en-US" w:eastAsia="zh-CN"/>
        </w:rPr>
        <w:t>四</w:t>
      </w:r>
      <w:r>
        <w:rPr>
          <w:rFonts w:hint="eastAsia" w:hAnsi="宋体" w:cs="宋体"/>
          <w:bCs/>
          <w:color w:val="auto"/>
          <w:szCs w:val="21"/>
          <w:highlight w:val="none"/>
        </w:rPr>
        <w:t>部分《</w:t>
      </w:r>
      <w:r>
        <w:rPr>
          <w:rFonts w:hint="eastAsia" w:hAnsi="宋体" w:cs="宋体"/>
          <w:color w:val="auto"/>
          <w:szCs w:val="21"/>
          <w:highlight w:val="none"/>
        </w:rPr>
        <w:t>项目需求》。</w:t>
      </w:r>
    </w:p>
    <w:p w14:paraId="6DF11277">
      <w:pPr>
        <w:keepNext w:val="0"/>
        <w:keepLines w:val="0"/>
        <w:pageBreakBefore w:val="0"/>
        <w:kinsoku/>
        <w:wordWrap/>
        <w:overflowPunct/>
        <w:topLinePunct w:val="0"/>
        <w:autoSpaceDE/>
        <w:autoSpaceDN/>
        <w:bidi w:val="0"/>
        <w:snapToGrid w:val="0"/>
        <w:spacing w:line="360" w:lineRule="auto"/>
        <w:outlineLvl w:val="9"/>
        <w:rPr>
          <w:rFonts w:ascii="宋体" w:hAnsi="宋体"/>
          <w:b/>
          <w:color w:val="auto"/>
          <w:szCs w:val="21"/>
          <w:highlight w:val="none"/>
        </w:rPr>
      </w:pPr>
      <w:r>
        <w:rPr>
          <w:rFonts w:hint="eastAsia" w:ascii="宋体" w:hAnsi="宋体"/>
          <w:b/>
          <w:color w:val="auto"/>
          <w:szCs w:val="21"/>
          <w:highlight w:val="none"/>
        </w:rPr>
        <w:t>第二条：合同金额</w:t>
      </w:r>
    </w:p>
    <w:p w14:paraId="27C0DC6A">
      <w:pPr>
        <w:keepNext w:val="0"/>
        <w:keepLines w:val="0"/>
        <w:pageBreakBefore w:val="0"/>
        <w:kinsoku/>
        <w:wordWrap/>
        <w:overflowPunct/>
        <w:topLinePunct w:val="0"/>
        <w:autoSpaceDE/>
        <w:autoSpaceDN/>
        <w:bidi w:val="0"/>
        <w:spacing w:line="360" w:lineRule="auto"/>
        <w:ind w:firstLine="420" w:firstLineChars="200"/>
        <w:outlineLvl w:val="9"/>
        <w:rPr>
          <w:rFonts w:hAnsi="宋体" w:cs="宋体"/>
          <w:color w:val="auto"/>
          <w:szCs w:val="21"/>
          <w:highlight w:val="none"/>
        </w:rPr>
      </w:pPr>
      <w:r>
        <w:rPr>
          <w:rFonts w:hint="eastAsia" w:ascii="宋体" w:hAnsi="宋体"/>
          <w:color w:val="auto"/>
          <w:szCs w:val="21"/>
          <w:highlight w:val="none"/>
        </w:rPr>
        <w:t>本合同金额为(大写)</w:t>
      </w:r>
      <w:r>
        <w:rPr>
          <w:rFonts w:hint="eastAsia" w:ascii="宋体" w:hAnsi="宋体"/>
          <w:color w:val="auto"/>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rPr>
        <w:t>元 (￥:</w:t>
      </w:r>
      <w:r>
        <w:rPr>
          <w:rFonts w:hint="eastAsia" w:ascii="宋体" w:hAnsi="宋体"/>
          <w:color w:val="auto"/>
          <w:szCs w:val="21"/>
          <w:highlight w:val="none"/>
          <w:u w:val="single"/>
        </w:rPr>
        <w:t xml:space="preserve">              </w:t>
      </w:r>
      <w:r>
        <w:rPr>
          <w:rFonts w:hint="eastAsia" w:ascii="宋体" w:hAnsi="宋体"/>
          <w:color w:val="auto"/>
          <w:szCs w:val="21"/>
          <w:highlight w:val="none"/>
        </w:rPr>
        <w:t>元) 人民币。</w:t>
      </w:r>
    </w:p>
    <w:tbl>
      <w:tblPr>
        <w:tblStyle w:val="22"/>
        <w:tblW w:w="9697" w:type="dxa"/>
        <w:jc w:val="center"/>
        <w:tblLayout w:type="fixed"/>
        <w:tblCellMar>
          <w:top w:w="0" w:type="dxa"/>
          <w:left w:w="108" w:type="dxa"/>
          <w:bottom w:w="0" w:type="dxa"/>
          <w:right w:w="108" w:type="dxa"/>
        </w:tblCellMar>
      </w:tblPr>
      <w:tblGrid>
        <w:gridCol w:w="627"/>
        <w:gridCol w:w="3298"/>
        <w:gridCol w:w="1506"/>
        <w:gridCol w:w="1139"/>
        <w:gridCol w:w="1437"/>
        <w:gridCol w:w="1690"/>
      </w:tblGrid>
      <w:tr w14:paraId="58221A77">
        <w:tblPrEx>
          <w:tblCellMar>
            <w:top w:w="0" w:type="dxa"/>
            <w:left w:w="108" w:type="dxa"/>
            <w:bottom w:w="0" w:type="dxa"/>
            <w:right w:w="108" w:type="dxa"/>
          </w:tblCellMar>
        </w:tblPrEx>
        <w:trPr>
          <w:trHeight w:val="66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70D783F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298" w:type="dxa"/>
            <w:tcBorders>
              <w:top w:val="single" w:color="auto" w:sz="4" w:space="0"/>
              <w:left w:val="nil"/>
              <w:bottom w:val="single" w:color="auto" w:sz="4" w:space="0"/>
              <w:right w:val="single" w:color="auto" w:sz="4" w:space="0"/>
            </w:tcBorders>
            <w:vAlign w:val="center"/>
          </w:tcPr>
          <w:p w14:paraId="62C04EC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1506" w:type="dxa"/>
            <w:tcBorders>
              <w:top w:val="single" w:color="auto" w:sz="4" w:space="0"/>
              <w:left w:val="nil"/>
              <w:bottom w:val="single" w:color="auto" w:sz="4" w:space="0"/>
              <w:right w:val="single" w:color="auto" w:sz="4" w:space="0"/>
            </w:tcBorders>
            <w:vAlign w:val="center"/>
          </w:tcPr>
          <w:p w14:paraId="0C4E99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暂定数量</w:t>
            </w:r>
          </w:p>
        </w:tc>
        <w:tc>
          <w:tcPr>
            <w:tcW w:w="1139" w:type="dxa"/>
            <w:tcBorders>
              <w:top w:val="single" w:color="auto" w:sz="4" w:space="0"/>
              <w:left w:val="nil"/>
              <w:bottom w:val="single" w:color="auto" w:sz="4" w:space="0"/>
              <w:right w:val="single" w:color="auto" w:sz="4" w:space="0"/>
            </w:tcBorders>
            <w:vAlign w:val="center"/>
          </w:tcPr>
          <w:p w14:paraId="5A362C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单价</w:t>
            </w:r>
          </w:p>
        </w:tc>
        <w:tc>
          <w:tcPr>
            <w:tcW w:w="1437" w:type="dxa"/>
            <w:tcBorders>
              <w:top w:val="single" w:color="auto" w:sz="4" w:space="0"/>
              <w:left w:val="nil"/>
              <w:bottom w:val="single" w:color="auto" w:sz="4" w:space="0"/>
              <w:right w:val="single" w:color="auto" w:sz="4" w:space="0"/>
            </w:tcBorders>
            <w:vAlign w:val="center"/>
          </w:tcPr>
          <w:p w14:paraId="478E138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小计（元）</w:t>
            </w:r>
          </w:p>
        </w:tc>
        <w:tc>
          <w:tcPr>
            <w:tcW w:w="1690" w:type="dxa"/>
            <w:tcBorders>
              <w:top w:val="single" w:color="auto" w:sz="4" w:space="0"/>
              <w:left w:val="nil"/>
              <w:bottom w:val="single" w:color="auto" w:sz="4" w:space="0"/>
              <w:right w:val="single" w:color="auto" w:sz="4" w:space="0"/>
            </w:tcBorders>
            <w:vAlign w:val="center"/>
          </w:tcPr>
          <w:p w14:paraId="498E506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备注</w:t>
            </w:r>
          </w:p>
        </w:tc>
      </w:tr>
      <w:tr w14:paraId="6A1B7005">
        <w:tblPrEx>
          <w:tblCellMar>
            <w:top w:w="0" w:type="dxa"/>
            <w:left w:w="108" w:type="dxa"/>
            <w:bottom w:w="0" w:type="dxa"/>
            <w:right w:w="108" w:type="dxa"/>
          </w:tblCellMar>
        </w:tblPrEx>
        <w:trPr>
          <w:trHeight w:val="714"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4E4CB33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3298" w:type="dxa"/>
            <w:tcBorders>
              <w:top w:val="single" w:color="auto" w:sz="4" w:space="0"/>
              <w:left w:val="nil"/>
              <w:bottom w:val="single" w:color="auto" w:sz="4" w:space="0"/>
              <w:right w:val="single" w:color="auto" w:sz="4" w:space="0"/>
            </w:tcBorders>
            <w:vAlign w:val="center"/>
          </w:tcPr>
          <w:p w14:paraId="189517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秩序维护人员</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全日</w:t>
            </w:r>
            <w:r>
              <w:rPr>
                <w:rFonts w:hint="eastAsia" w:ascii="宋体" w:hAnsi="宋体" w:eastAsia="宋体" w:cs="宋体"/>
                <w:color w:val="auto"/>
                <w:kern w:val="0"/>
                <w:sz w:val="21"/>
                <w:szCs w:val="21"/>
                <w:highlight w:val="none"/>
              </w:rPr>
              <w:t>/人）</w:t>
            </w:r>
          </w:p>
        </w:tc>
        <w:tc>
          <w:tcPr>
            <w:tcW w:w="1506" w:type="dxa"/>
            <w:tcBorders>
              <w:top w:val="single" w:color="auto" w:sz="4" w:space="0"/>
              <w:left w:val="nil"/>
              <w:bottom w:val="single" w:color="auto" w:sz="4" w:space="0"/>
              <w:right w:val="single" w:color="auto" w:sz="4" w:space="0"/>
            </w:tcBorders>
            <w:vAlign w:val="center"/>
          </w:tcPr>
          <w:p w14:paraId="7BDF7E7D">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2408</w:t>
            </w:r>
            <w:r>
              <w:rPr>
                <w:rFonts w:hint="eastAsia" w:ascii="宋体" w:hAnsi="宋体" w:eastAsia="宋体" w:cs="宋体"/>
                <w:color w:val="auto"/>
                <w:kern w:val="0"/>
                <w:sz w:val="21"/>
                <w:szCs w:val="21"/>
                <w:highlight w:val="none"/>
              </w:rPr>
              <w:t>人次</w:t>
            </w:r>
          </w:p>
        </w:tc>
        <w:tc>
          <w:tcPr>
            <w:tcW w:w="1139" w:type="dxa"/>
            <w:tcBorders>
              <w:top w:val="single" w:color="auto" w:sz="4" w:space="0"/>
              <w:left w:val="nil"/>
              <w:bottom w:val="single" w:color="auto" w:sz="4" w:space="0"/>
              <w:right w:val="single" w:color="auto" w:sz="4" w:space="0"/>
            </w:tcBorders>
            <w:shd w:val="clear" w:color="auto" w:fill="auto"/>
            <w:vAlign w:val="center"/>
          </w:tcPr>
          <w:p w14:paraId="45F100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元/人/日</w:t>
            </w:r>
          </w:p>
        </w:tc>
        <w:tc>
          <w:tcPr>
            <w:tcW w:w="1437" w:type="dxa"/>
            <w:tcBorders>
              <w:top w:val="single" w:color="auto" w:sz="4" w:space="0"/>
              <w:left w:val="nil"/>
              <w:bottom w:val="single" w:color="auto" w:sz="4" w:space="0"/>
              <w:right w:val="single" w:color="auto" w:sz="4" w:space="0"/>
            </w:tcBorders>
            <w:vAlign w:val="center"/>
          </w:tcPr>
          <w:p w14:paraId="0FD95C9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690" w:type="dxa"/>
            <w:tcBorders>
              <w:top w:val="single" w:color="auto" w:sz="4" w:space="0"/>
              <w:left w:val="nil"/>
              <w:bottom w:val="single" w:color="auto" w:sz="4" w:space="0"/>
              <w:right w:val="single" w:color="auto" w:sz="4" w:space="0"/>
            </w:tcBorders>
            <w:vAlign w:val="center"/>
          </w:tcPr>
          <w:p w14:paraId="25583D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不得高于单价，1次为1日</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费用已包含餐饮费。</w:t>
            </w:r>
          </w:p>
        </w:tc>
      </w:tr>
      <w:tr w14:paraId="425AADF7">
        <w:tblPrEx>
          <w:tblCellMar>
            <w:top w:w="0" w:type="dxa"/>
            <w:left w:w="108" w:type="dxa"/>
            <w:bottom w:w="0" w:type="dxa"/>
            <w:right w:w="108" w:type="dxa"/>
          </w:tblCellMar>
        </w:tblPrEx>
        <w:trPr>
          <w:trHeight w:val="714"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6BE2076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3298" w:type="dxa"/>
            <w:tcBorders>
              <w:top w:val="single" w:color="auto" w:sz="4" w:space="0"/>
              <w:left w:val="nil"/>
              <w:bottom w:val="single" w:color="auto" w:sz="4" w:space="0"/>
              <w:right w:val="single" w:color="auto" w:sz="4" w:space="0"/>
            </w:tcBorders>
            <w:vAlign w:val="center"/>
          </w:tcPr>
          <w:p w14:paraId="2213EE15">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秩序维护人员</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半</w:t>
            </w:r>
            <w:r>
              <w:rPr>
                <w:rFonts w:hint="eastAsia" w:ascii="宋体" w:hAnsi="宋体" w:cs="宋体"/>
                <w:color w:val="auto"/>
                <w:kern w:val="0"/>
                <w:sz w:val="21"/>
                <w:szCs w:val="21"/>
                <w:highlight w:val="none"/>
                <w:lang w:val="en-US" w:eastAsia="zh-CN"/>
              </w:rPr>
              <w:t>日</w:t>
            </w:r>
            <w:r>
              <w:rPr>
                <w:rFonts w:hint="eastAsia" w:ascii="宋体" w:hAnsi="宋体" w:eastAsia="宋体" w:cs="宋体"/>
                <w:color w:val="auto"/>
                <w:kern w:val="0"/>
                <w:sz w:val="21"/>
                <w:szCs w:val="21"/>
                <w:highlight w:val="none"/>
              </w:rPr>
              <w:t>/人）</w:t>
            </w:r>
          </w:p>
        </w:tc>
        <w:tc>
          <w:tcPr>
            <w:tcW w:w="1506" w:type="dxa"/>
            <w:tcBorders>
              <w:top w:val="single" w:color="auto" w:sz="4" w:space="0"/>
              <w:left w:val="nil"/>
              <w:bottom w:val="single" w:color="auto" w:sz="4" w:space="0"/>
              <w:right w:val="single" w:color="auto" w:sz="4" w:space="0"/>
            </w:tcBorders>
            <w:vAlign w:val="center"/>
          </w:tcPr>
          <w:p w14:paraId="5D3977D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925</w:t>
            </w:r>
            <w:r>
              <w:rPr>
                <w:rFonts w:hint="eastAsia" w:ascii="宋体" w:hAnsi="宋体" w:eastAsia="宋体" w:cs="宋体"/>
                <w:color w:val="auto"/>
                <w:kern w:val="0"/>
                <w:sz w:val="21"/>
                <w:szCs w:val="21"/>
                <w:highlight w:val="none"/>
              </w:rPr>
              <w:t>人次</w:t>
            </w:r>
          </w:p>
        </w:tc>
        <w:tc>
          <w:tcPr>
            <w:tcW w:w="1139" w:type="dxa"/>
            <w:tcBorders>
              <w:top w:val="single" w:color="auto" w:sz="4" w:space="0"/>
              <w:left w:val="nil"/>
              <w:bottom w:val="single" w:color="auto" w:sz="4" w:space="0"/>
              <w:right w:val="single" w:color="auto" w:sz="4" w:space="0"/>
            </w:tcBorders>
            <w:shd w:val="clear" w:color="auto" w:fill="auto"/>
            <w:vAlign w:val="center"/>
          </w:tcPr>
          <w:p w14:paraId="6B29BDA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元/人/</w:t>
            </w:r>
            <w:r>
              <w:rPr>
                <w:rFonts w:hint="eastAsia" w:ascii="宋体" w:hAnsi="宋体" w:eastAsia="宋体" w:cs="宋体"/>
                <w:color w:val="auto"/>
                <w:kern w:val="0"/>
                <w:sz w:val="21"/>
                <w:szCs w:val="21"/>
                <w:highlight w:val="none"/>
                <w:lang w:val="en-US" w:eastAsia="zh-CN"/>
              </w:rPr>
              <w:t>半</w:t>
            </w:r>
            <w:r>
              <w:rPr>
                <w:rFonts w:hint="eastAsia" w:ascii="宋体" w:hAnsi="宋体" w:eastAsia="宋体" w:cs="宋体"/>
                <w:color w:val="auto"/>
                <w:kern w:val="0"/>
                <w:sz w:val="21"/>
                <w:szCs w:val="21"/>
                <w:highlight w:val="none"/>
              </w:rPr>
              <w:t>日</w:t>
            </w:r>
          </w:p>
        </w:tc>
        <w:tc>
          <w:tcPr>
            <w:tcW w:w="1437" w:type="dxa"/>
            <w:tcBorders>
              <w:top w:val="single" w:color="auto" w:sz="4" w:space="0"/>
              <w:left w:val="nil"/>
              <w:bottom w:val="single" w:color="auto" w:sz="4" w:space="0"/>
              <w:right w:val="single" w:color="auto" w:sz="4" w:space="0"/>
            </w:tcBorders>
            <w:vAlign w:val="center"/>
          </w:tcPr>
          <w:p w14:paraId="140C81F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690" w:type="dxa"/>
            <w:tcBorders>
              <w:top w:val="single" w:color="auto" w:sz="4" w:space="0"/>
              <w:left w:val="nil"/>
              <w:bottom w:val="single" w:color="auto" w:sz="4" w:space="0"/>
              <w:right w:val="single" w:color="auto" w:sz="4" w:space="0"/>
            </w:tcBorders>
            <w:vAlign w:val="center"/>
          </w:tcPr>
          <w:p w14:paraId="287C24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不得高于单价，1次为</w:t>
            </w:r>
            <w:r>
              <w:rPr>
                <w:rFonts w:hint="eastAsia" w:ascii="宋体" w:hAnsi="宋体" w:eastAsia="宋体" w:cs="宋体"/>
                <w:b/>
                <w:color w:val="auto"/>
                <w:kern w:val="0"/>
                <w:sz w:val="21"/>
                <w:szCs w:val="21"/>
                <w:highlight w:val="none"/>
                <w:lang w:val="en-US" w:eastAsia="zh-CN"/>
              </w:rPr>
              <w:t>半</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费用已包含餐饮费。</w:t>
            </w:r>
          </w:p>
        </w:tc>
      </w:tr>
      <w:tr w14:paraId="2F286183">
        <w:tblPrEx>
          <w:tblCellMar>
            <w:top w:w="0" w:type="dxa"/>
            <w:left w:w="108" w:type="dxa"/>
            <w:bottom w:w="0" w:type="dxa"/>
            <w:right w:w="108" w:type="dxa"/>
          </w:tblCellMar>
        </w:tblPrEx>
        <w:trPr>
          <w:trHeight w:val="66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6622F9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3298" w:type="dxa"/>
            <w:tcBorders>
              <w:top w:val="single" w:color="auto" w:sz="4" w:space="0"/>
              <w:left w:val="nil"/>
              <w:bottom w:val="single" w:color="auto" w:sz="4" w:space="0"/>
              <w:right w:val="single" w:color="auto" w:sz="4" w:space="0"/>
            </w:tcBorders>
            <w:vAlign w:val="center"/>
          </w:tcPr>
          <w:p w14:paraId="5C3DA82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车辆使用费（中巴车，最多可乘坐30人）</w:t>
            </w:r>
          </w:p>
        </w:tc>
        <w:tc>
          <w:tcPr>
            <w:tcW w:w="1506" w:type="dxa"/>
            <w:tcBorders>
              <w:top w:val="single" w:color="auto" w:sz="4" w:space="0"/>
              <w:left w:val="nil"/>
              <w:bottom w:val="single" w:color="auto" w:sz="4" w:space="0"/>
              <w:right w:val="single" w:color="auto" w:sz="4" w:space="0"/>
            </w:tcBorders>
            <w:vAlign w:val="center"/>
          </w:tcPr>
          <w:p w14:paraId="50100A7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100辆次</w:t>
            </w:r>
          </w:p>
        </w:tc>
        <w:tc>
          <w:tcPr>
            <w:tcW w:w="1139" w:type="dxa"/>
            <w:tcBorders>
              <w:top w:val="single" w:color="auto" w:sz="4" w:space="0"/>
              <w:left w:val="nil"/>
              <w:bottom w:val="single" w:color="auto" w:sz="4" w:space="0"/>
              <w:right w:val="single" w:color="auto" w:sz="4" w:space="0"/>
            </w:tcBorders>
            <w:shd w:val="clear" w:color="auto" w:fill="auto"/>
            <w:vAlign w:val="center"/>
          </w:tcPr>
          <w:p w14:paraId="24F96BC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元/辆/次</w:t>
            </w:r>
          </w:p>
        </w:tc>
        <w:tc>
          <w:tcPr>
            <w:tcW w:w="1437" w:type="dxa"/>
            <w:tcBorders>
              <w:top w:val="single" w:color="auto" w:sz="4" w:space="0"/>
              <w:left w:val="nil"/>
              <w:bottom w:val="single" w:color="auto" w:sz="4" w:space="0"/>
              <w:right w:val="single" w:color="auto" w:sz="4" w:space="0"/>
            </w:tcBorders>
            <w:vAlign w:val="center"/>
          </w:tcPr>
          <w:p w14:paraId="779667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690" w:type="dxa"/>
            <w:tcBorders>
              <w:top w:val="single" w:color="auto" w:sz="4" w:space="0"/>
              <w:left w:val="nil"/>
              <w:bottom w:val="single" w:color="auto" w:sz="4" w:space="0"/>
              <w:right w:val="single" w:color="auto" w:sz="4" w:space="0"/>
            </w:tcBorders>
            <w:vAlign w:val="center"/>
          </w:tcPr>
          <w:p w14:paraId="492A26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不得高于单价，1次为1日</w:t>
            </w:r>
          </w:p>
        </w:tc>
      </w:tr>
      <w:tr w14:paraId="2419075C">
        <w:tblPrEx>
          <w:tblCellMar>
            <w:top w:w="0" w:type="dxa"/>
            <w:left w:w="108" w:type="dxa"/>
            <w:bottom w:w="0" w:type="dxa"/>
            <w:right w:w="108" w:type="dxa"/>
          </w:tblCellMar>
        </w:tblPrEx>
        <w:trPr>
          <w:trHeight w:val="705"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14:paraId="429AAED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3298" w:type="dxa"/>
            <w:tcBorders>
              <w:top w:val="single" w:color="auto" w:sz="4" w:space="0"/>
              <w:left w:val="nil"/>
              <w:bottom w:val="single" w:color="auto" w:sz="4" w:space="0"/>
              <w:right w:val="single" w:color="auto" w:sz="4" w:space="0"/>
            </w:tcBorders>
            <w:vAlign w:val="center"/>
          </w:tcPr>
          <w:p w14:paraId="2A57394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车辆使用费（大巴车，可乘坐30人以上）</w:t>
            </w:r>
          </w:p>
        </w:tc>
        <w:tc>
          <w:tcPr>
            <w:tcW w:w="1506" w:type="dxa"/>
            <w:tcBorders>
              <w:top w:val="single" w:color="auto" w:sz="4" w:space="0"/>
              <w:left w:val="nil"/>
              <w:bottom w:val="single" w:color="auto" w:sz="4" w:space="0"/>
              <w:right w:val="single" w:color="auto" w:sz="4" w:space="0"/>
            </w:tcBorders>
            <w:vAlign w:val="center"/>
          </w:tcPr>
          <w:p w14:paraId="647E553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100辆次</w:t>
            </w:r>
          </w:p>
        </w:tc>
        <w:tc>
          <w:tcPr>
            <w:tcW w:w="1139" w:type="dxa"/>
            <w:tcBorders>
              <w:top w:val="single" w:color="auto" w:sz="4" w:space="0"/>
              <w:left w:val="nil"/>
              <w:bottom w:val="single" w:color="auto" w:sz="4" w:space="0"/>
              <w:right w:val="single" w:color="auto" w:sz="4" w:space="0"/>
            </w:tcBorders>
            <w:shd w:val="clear" w:color="auto" w:fill="auto"/>
            <w:vAlign w:val="center"/>
          </w:tcPr>
          <w:p w14:paraId="68D1B01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元/辆/次</w:t>
            </w:r>
          </w:p>
        </w:tc>
        <w:tc>
          <w:tcPr>
            <w:tcW w:w="1437" w:type="dxa"/>
            <w:tcBorders>
              <w:top w:val="single" w:color="auto" w:sz="4" w:space="0"/>
              <w:left w:val="nil"/>
              <w:bottom w:val="single" w:color="auto" w:sz="4" w:space="0"/>
              <w:right w:val="single" w:color="auto" w:sz="4" w:space="0"/>
            </w:tcBorders>
            <w:vAlign w:val="center"/>
          </w:tcPr>
          <w:p w14:paraId="1E5F44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690" w:type="dxa"/>
            <w:tcBorders>
              <w:top w:val="single" w:color="auto" w:sz="4" w:space="0"/>
              <w:left w:val="nil"/>
              <w:bottom w:val="single" w:color="auto" w:sz="4" w:space="0"/>
              <w:right w:val="single" w:color="auto" w:sz="4" w:space="0"/>
            </w:tcBorders>
            <w:vAlign w:val="center"/>
          </w:tcPr>
          <w:p w14:paraId="6D51C50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不得高于单价，1次为1日</w:t>
            </w:r>
          </w:p>
        </w:tc>
      </w:tr>
      <w:tr w14:paraId="78EDC49B">
        <w:tblPrEx>
          <w:tblCellMar>
            <w:top w:w="0" w:type="dxa"/>
            <w:left w:w="108" w:type="dxa"/>
            <w:bottom w:w="0" w:type="dxa"/>
            <w:right w:w="108" w:type="dxa"/>
          </w:tblCellMar>
        </w:tblPrEx>
        <w:trPr>
          <w:trHeight w:val="705" w:hRule="atLeast"/>
          <w:jc w:val="center"/>
        </w:trPr>
        <w:tc>
          <w:tcPr>
            <w:tcW w:w="9697" w:type="dxa"/>
            <w:gridSpan w:val="6"/>
            <w:tcBorders>
              <w:top w:val="single" w:color="auto" w:sz="4" w:space="0"/>
              <w:left w:val="single" w:color="auto" w:sz="4" w:space="0"/>
              <w:bottom w:val="single" w:color="auto" w:sz="4" w:space="0"/>
              <w:right w:val="single" w:color="auto" w:sz="4" w:space="0"/>
            </w:tcBorders>
            <w:vAlign w:val="center"/>
          </w:tcPr>
          <w:p w14:paraId="0128080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合计</w:t>
            </w:r>
          </w:p>
          <w:p w14:paraId="70283C1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大写：</w:t>
            </w:r>
          </w:p>
          <w:p w14:paraId="7ACDB59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小写：</w:t>
            </w:r>
          </w:p>
        </w:tc>
      </w:tr>
    </w:tbl>
    <w:p w14:paraId="70DB1961">
      <w:pPr>
        <w:keepNext w:val="0"/>
        <w:keepLines w:val="0"/>
        <w:pageBreakBefore w:val="0"/>
        <w:kinsoku/>
        <w:wordWrap/>
        <w:overflowPunct/>
        <w:topLinePunct w:val="0"/>
        <w:autoSpaceDE/>
        <w:autoSpaceDN/>
        <w:bidi w:val="0"/>
        <w:snapToGrid w:val="0"/>
        <w:spacing w:line="360" w:lineRule="auto"/>
        <w:outlineLvl w:val="9"/>
        <w:rPr>
          <w:rFonts w:hint="eastAsia" w:ascii="Times New Roman" w:hAnsi="宋体"/>
          <w:b/>
          <w:color w:val="auto"/>
          <w:szCs w:val="21"/>
          <w:highlight w:val="none"/>
        </w:rPr>
      </w:pPr>
    </w:p>
    <w:p w14:paraId="66BC6BEB">
      <w:pPr>
        <w:keepNext w:val="0"/>
        <w:keepLines w:val="0"/>
        <w:pageBreakBefore w:val="0"/>
        <w:kinsoku/>
        <w:wordWrap/>
        <w:overflowPunct/>
        <w:topLinePunct w:val="0"/>
        <w:autoSpaceDE/>
        <w:autoSpaceDN/>
        <w:bidi w:val="0"/>
        <w:snapToGrid w:val="0"/>
        <w:spacing w:line="360" w:lineRule="auto"/>
        <w:outlineLvl w:val="9"/>
        <w:rPr>
          <w:rFonts w:ascii="宋体" w:hAnsi="宋体"/>
          <w:b/>
          <w:color w:val="auto"/>
          <w:szCs w:val="21"/>
          <w:highlight w:val="none"/>
        </w:rPr>
      </w:pPr>
      <w:r>
        <w:rPr>
          <w:rFonts w:hint="eastAsia" w:ascii="Times New Roman" w:hAnsi="宋体"/>
          <w:b/>
          <w:color w:val="auto"/>
          <w:szCs w:val="21"/>
          <w:highlight w:val="none"/>
        </w:rPr>
        <w:t>第三条：</w:t>
      </w:r>
      <w:r>
        <w:rPr>
          <w:rFonts w:hint="eastAsia" w:ascii="宋体" w:hAnsi="宋体"/>
          <w:b/>
          <w:color w:val="auto"/>
          <w:szCs w:val="21"/>
          <w:highlight w:val="none"/>
        </w:rPr>
        <w:t>转包或分包</w:t>
      </w:r>
    </w:p>
    <w:p w14:paraId="57A2E85E">
      <w:pPr>
        <w:keepNext w:val="0"/>
        <w:keepLines w:val="0"/>
        <w:pageBreakBefore w:val="0"/>
        <w:kinsoku/>
        <w:wordWrap/>
        <w:overflowPunct/>
        <w:topLinePunct w:val="0"/>
        <w:autoSpaceDE/>
        <w:autoSpaceDN/>
        <w:bidi w:val="0"/>
        <w:snapToGrid w:val="0"/>
        <w:spacing w:line="360" w:lineRule="auto"/>
        <w:outlineLvl w:val="9"/>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本合同范围的服务，应由</w:t>
      </w:r>
      <w:r>
        <w:rPr>
          <w:rFonts w:ascii="宋体" w:hAnsi="宋体"/>
          <w:color w:val="auto"/>
          <w:szCs w:val="21"/>
          <w:highlight w:val="none"/>
        </w:rPr>
        <w:t>乙</w:t>
      </w:r>
      <w:r>
        <w:rPr>
          <w:rFonts w:hint="eastAsia" w:ascii="宋体" w:hAnsi="宋体"/>
          <w:color w:val="auto"/>
          <w:szCs w:val="21"/>
          <w:highlight w:val="none"/>
        </w:rPr>
        <w:t>方直接供应，不得转让他人供应；</w:t>
      </w:r>
    </w:p>
    <w:p w14:paraId="6E6ED335">
      <w:pPr>
        <w:keepNext w:val="0"/>
        <w:keepLines w:val="0"/>
        <w:pageBreakBefore w:val="0"/>
        <w:kinsoku/>
        <w:wordWrap/>
        <w:overflowPunct/>
        <w:topLinePunct w:val="0"/>
        <w:autoSpaceDE/>
        <w:autoSpaceDN/>
        <w:bidi w:val="0"/>
        <w:snapToGrid w:val="0"/>
        <w:spacing w:line="360" w:lineRule="auto"/>
        <w:outlineLvl w:val="9"/>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w:t>
      </w:r>
      <w:r>
        <w:rPr>
          <w:rFonts w:ascii="宋体" w:hAnsi="宋体"/>
          <w:color w:val="auto"/>
          <w:szCs w:val="21"/>
          <w:highlight w:val="none"/>
        </w:rPr>
        <w:t>乙</w:t>
      </w:r>
      <w:r>
        <w:rPr>
          <w:rFonts w:hint="eastAsia" w:ascii="宋体" w:hAnsi="宋体"/>
          <w:color w:val="auto"/>
          <w:szCs w:val="21"/>
          <w:highlight w:val="none"/>
        </w:rPr>
        <w:t>方不得将本合同范围的服务全部或部分分包给他人供应；</w:t>
      </w:r>
    </w:p>
    <w:p w14:paraId="4FF608E6">
      <w:pPr>
        <w:keepNext w:val="0"/>
        <w:keepLines w:val="0"/>
        <w:pageBreakBefore w:val="0"/>
        <w:kinsoku/>
        <w:wordWrap/>
        <w:overflowPunct/>
        <w:topLinePunct w:val="0"/>
        <w:autoSpaceDE/>
        <w:autoSpaceDN/>
        <w:bidi w:val="0"/>
        <w:snapToGrid w:val="0"/>
        <w:spacing w:line="360" w:lineRule="auto"/>
        <w:outlineLvl w:val="9"/>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lang w:eastAsia="zh-CN"/>
        </w:rPr>
        <w:t>、</w:t>
      </w:r>
      <w:r>
        <w:rPr>
          <w:rFonts w:hint="eastAsia" w:ascii="宋体" w:hAnsi="宋体"/>
          <w:color w:val="auto"/>
          <w:szCs w:val="21"/>
          <w:highlight w:val="none"/>
        </w:rPr>
        <w:t>如有转让和分包行为，甲方有权解除合同，没收履约保证金并追究乙方的违约责任。</w:t>
      </w:r>
    </w:p>
    <w:p w14:paraId="5DD967FE">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b/>
          <w:color w:val="auto"/>
          <w:szCs w:val="21"/>
          <w:highlight w:val="none"/>
          <w:lang w:val="en-US" w:eastAsia="zh-CN"/>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四</w:t>
      </w:r>
      <w:r>
        <w:rPr>
          <w:rFonts w:hint="eastAsia" w:ascii="宋体" w:hAnsi="宋体"/>
          <w:b/>
          <w:color w:val="auto"/>
          <w:szCs w:val="21"/>
          <w:highlight w:val="none"/>
        </w:rPr>
        <w:t>条：</w:t>
      </w:r>
      <w:r>
        <w:rPr>
          <w:rFonts w:hint="eastAsia" w:ascii="宋体" w:hAnsi="宋体"/>
          <w:b/>
          <w:color w:val="auto"/>
          <w:szCs w:val="21"/>
          <w:highlight w:val="none"/>
          <w:lang w:val="en-US" w:eastAsia="zh-CN"/>
        </w:rPr>
        <w:t>工作要求</w:t>
      </w:r>
    </w:p>
    <w:p w14:paraId="76C5B078">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本项目实行固定综合单价方式进行结算，</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的中标单价一次性包干，实际服务人数按实结算，如本项目在实施过程中，合同未到期，但结算总价超过</w:t>
      </w:r>
      <w:r>
        <w:rPr>
          <w:rFonts w:hint="eastAsia" w:ascii="宋体" w:hAnsi="宋体" w:eastAsia="宋体" w:cs="宋体"/>
          <w:color w:val="auto"/>
          <w:szCs w:val="21"/>
          <w:highlight w:val="none"/>
          <w:lang w:eastAsia="zh-CN"/>
        </w:rPr>
        <w:t>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万元的，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有权终止合同。</w:t>
      </w:r>
    </w:p>
    <w:p w14:paraId="016C42C2">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的报价应为承包完成本次项目需完成全部工作所发生的所有费用（含税），并承担一切风险责任。</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应结合本项目特点，市场行情及</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自身的技术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管理水平</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竞争能力，确定最终报价。特殊时间段和夜班费及由此产生的服务风险、责任已包含在</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的报价中，不再另行增加。</w:t>
      </w:r>
    </w:p>
    <w:p w14:paraId="26815F3D">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、▲人员、车辆服务费计算方式：</w:t>
      </w:r>
    </w:p>
    <w:p w14:paraId="0ACD08E8">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.1当日服务时间小于等于4个小时的按半日计算；</w:t>
      </w:r>
    </w:p>
    <w:p w14:paraId="6A6FC5DB">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.2当日服务时间大于4个小时但小于等于8个小时的按全日计算；</w:t>
      </w:r>
    </w:p>
    <w:p w14:paraId="413BE71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.3当日服务时间（午休及午餐时间不计入服务时间）大于8小时的，每超过1小时，超出部分按全日价*12.5%计算（不足1小时按1小时计取）；</w:t>
      </w:r>
    </w:p>
    <w:p w14:paraId="0B89BF90">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.4当日提供服务时间进行累积计算（如上午、下午分别提供服务按全天计算）。</w:t>
      </w:r>
    </w:p>
    <w:p w14:paraId="296A9E24">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3.5晚上工作时间为晚上21：00—次日6：00，晚上工作时间不足5个小时按1全日计算，超过5个小时按2全日计算。</w:t>
      </w:r>
    </w:p>
    <w:p w14:paraId="15F38E9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承诺在承包服务期内，在执行事务过程中，加强消除现场风险隐患，全力确保现场安全，并做好保密工作。发生安全事故的，责任和损失由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自行承担。因</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原因导致的人员财产损失由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负责赔偿。</w:t>
      </w:r>
    </w:p>
    <w:p w14:paraId="5CB39BA8">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主要提供日常安保、拆违安保服务，具体服务内容以</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确定为准。</w:t>
      </w:r>
    </w:p>
    <w:p w14:paraId="2E1CD217">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、人员配置要求：</w:t>
      </w:r>
      <w:r>
        <w:rPr>
          <w:rFonts w:hint="eastAsia" w:ascii="宋体" w:hAnsi="宋体" w:eastAsia="宋体" w:cs="宋体"/>
          <w:color w:val="auto"/>
          <w:szCs w:val="21"/>
          <w:highlight w:val="none"/>
          <w:lang w:eastAsia="zh-CN"/>
        </w:rPr>
        <w:t>秩序维护</w:t>
      </w:r>
      <w:r>
        <w:rPr>
          <w:rFonts w:hint="eastAsia" w:ascii="宋体" w:hAnsi="宋体" w:eastAsia="宋体" w:cs="宋体"/>
          <w:color w:val="auto"/>
          <w:szCs w:val="21"/>
          <w:highlight w:val="none"/>
          <w:lang w:val="en-US" w:eastAsia="zh-CN"/>
        </w:rPr>
        <w:t>队长</w:t>
      </w:r>
      <w:r>
        <w:rPr>
          <w:rFonts w:hint="eastAsia" w:ascii="宋体" w:hAnsi="宋体" w:eastAsia="宋体" w:cs="宋体"/>
          <w:color w:val="auto"/>
          <w:szCs w:val="21"/>
          <w:highlight w:val="none"/>
        </w:rPr>
        <w:t>1名，</w:t>
      </w:r>
      <w:r>
        <w:rPr>
          <w:rFonts w:hint="eastAsia" w:ascii="宋体" w:hAnsi="宋体" w:eastAsia="宋体" w:cs="宋体"/>
          <w:color w:val="auto"/>
          <w:szCs w:val="21"/>
          <w:highlight w:val="none"/>
          <w:lang w:eastAsia="zh-CN"/>
        </w:rPr>
        <w:t>秩序维护</w:t>
      </w:r>
      <w:r>
        <w:rPr>
          <w:rFonts w:hint="eastAsia" w:ascii="宋体" w:hAnsi="宋体" w:eastAsia="宋体" w:cs="宋体"/>
          <w:color w:val="auto"/>
          <w:szCs w:val="21"/>
          <w:highlight w:val="none"/>
        </w:rPr>
        <w:t>人员常年在岗人员不少于3人，在实际执行过程中，</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须按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要求派遣人员。</w:t>
      </w:r>
      <w:r>
        <w:rPr>
          <w:rFonts w:hint="eastAsia" w:ascii="宋体" w:hAnsi="宋体" w:eastAsia="宋体" w:cs="宋体"/>
          <w:color w:val="auto"/>
          <w:szCs w:val="21"/>
          <w:highlight w:val="none"/>
          <w:lang w:eastAsia="zh-CN"/>
        </w:rPr>
        <w:t>秩序维护</w:t>
      </w:r>
      <w:r>
        <w:rPr>
          <w:rFonts w:hint="eastAsia" w:ascii="宋体" w:hAnsi="宋体" w:eastAsia="宋体" w:cs="宋体"/>
          <w:color w:val="auto"/>
          <w:szCs w:val="21"/>
          <w:highlight w:val="none"/>
          <w:lang w:val="en-US" w:eastAsia="zh-CN"/>
        </w:rPr>
        <w:t>队长</w:t>
      </w:r>
      <w:r>
        <w:rPr>
          <w:rFonts w:hint="eastAsia" w:ascii="宋体" w:hAnsi="宋体" w:eastAsia="宋体" w:cs="宋体"/>
          <w:color w:val="auto"/>
          <w:szCs w:val="21"/>
          <w:highlight w:val="none"/>
        </w:rPr>
        <w:t>未经</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同意不得随意更换。所有人员要求年龄为18周岁至60周岁之间，要求为男性。</w:t>
      </w:r>
      <w:r>
        <w:rPr>
          <w:rFonts w:hint="eastAsia" w:ascii="宋体" w:hAnsi="宋体" w:eastAsia="宋体" w:cs="宋体"/>
          <w:color w:val="auto"/>
          <w:szCs w:val="21"/>
          <w:highlight w:val="none"/>
          <w:lang w:val="en-US" w:eastAsia="zh-CN"/>
        </w:rPr>
        <w:t>由甲方决定上岗时间、工作内容，其实际在岗时间、人数不定，按实际在岗时间、人数进行结算。</w:t>
      </w:r>
    </w:p>
    <w:p w14:paraId="720A1491">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、违规处罚</w:t>
      </w:r>
    </w:p>
    <w:p w14:paraId="32D8030E">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.1如服务人员有违规行为的情况，扣除当次总服务费的50%；</w:t>
      </w:r>
    </w:p>
    <w:p w14:paraId="4594E11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.2如服务人员未穿着佩戴安全帽等相关安全保护装束，扣除违规人员当次服务费的30%；</w:t>
      </w:r>
    </w:p>
    <w:p w14:paraId="04C3A504">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.3如</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人员未穿着统一的保安制服或穿着制服衣冠不整，扣除违规人员当次服务费的30%；</w:t>
      </w:r>
    </w:p>
    <w:p w14:paraId="113AC89F">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.4如服务人员存在偷懒、消极怠工等情况，扣除违规人员当次服务费的30%；</w:t>
      </w:r>
    </w:p>
    <w:p w14:paraId="3BA6FAF5">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.5如服务人员未在指定时间到达指定地点，扣除违规人员当次服务费的50%；</w:t>
      </w:r>
    </w:p>
    <w:p w14:paraId="684AC42F">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.6如未按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要求的人数指派服务人员及车辆的，根据具体违规情况，扣除当次服务费的20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100%；</w:t>
      </w:r>
    </w:p>
    <w:p w14:paraId="26FD598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.7如出现违法违规等行动的，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有权终止合同并没收履约保证金；</w:t>
      </w:r>
    </w:p>
    <w:p w14:paraId="62927D7A">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.8如出现包括但不限于以上的行为，引起恶劣社会影响的，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有权终止合同并没收履约保证金。</w:t>
      </w:r>
    </w:p>
    <w:p w14:paraId="6D17FC0B">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7.9如乙方中标本项目，发现拟派人员为非乙方单位人员或签订合同后现场服务人员非磋商时承诺的人员，将视为弄虚作假，没收履约保证金，并解除合同。</w:t>
      </w:r>
    </w:p>
    <w:p w14:paraId="7412E2A4">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、响应时间：接到</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通知后在半小时内作出响应，并在指定时间达到指定地点。</w:t>
      </w:r>
    </w:p>
    <w:p w14:paraId="38AE341A">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、签到</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"http://www.ahsrst.cn/a/xinchouzhidu/" \t "http://www.ahsrst.cn/a/201601/_blank"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制度</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：本项目所需服务人员须在指定时间前，达到指定地点并自觉签到，不许他人代签，由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相关人员确认为准。</w:t>
      </w:r>
    </w:p>
    <w:p w14:paraId="430F297B">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乙方若中标本项目，无论投标时是否已经承诺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须配备至少1辆6座（含司机）及以上车辆。</w:t>
      </w:r>
    </w:p>
    <w:p w14:paraId="720D0DDA">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val="0"/>
          <w:color w:val="auto"/>
          <w:szCs w:val="21"/>
          <w:highlight w:val="none"/>
        </w:rPr>
      </w:pPr>
      <w:r>
        <w:rPr>
          <w:rFonts w:hint="eastAsia" w:ascii="宋体" w:hAnsi="宋体"/>
          <w:b/>
          <w:bCs w:val="0"/>
          <w:color w:val="auto"/>
          <w:szCs w:val="21"/>
          <w:highlight w:val="none"/>
          <w:lang w:val="en-US" w:eastAsia="zh-CN"/>
        </w:rPr>
        <w:t>第五条：</w:t>
      </w:r>
      <w:r>
        <w:rPr>
          <w:rFonts w:hint="eastAsia" w:ascii="宋体" w:hAnsi="宋体" w:eastAsia="宋体" w:cs="宋体"/>
          <w:b/>
          <w:bCs w:val="0"/>
          <w:color w:val="auto"/>
          <w:szCs w:val="21"/>
          <w:highlight w:val="none"/>
        </w:rPr>
        <w:t>履约保证金</w:t>
      </w:r>
    </w:p>
    <w:p w14:paraId="6D517569">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应在收到中标通知书后一周内向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交纳合同金额的1%作为履约保证金，以保证</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遵守本合同，包括担保、保函、保险等形式。</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未按规定提交履约保证金则</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有权拒签合同。</w:t>
      </w:r>
    </w:p>
    <w:p w14:paraId="0C5EE3F0">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认为</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在承包期内没有涉及违约行为，</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在服务期满后一个月内全额退还履约保证金，否则，采购方将在扣除中标方应付金额或违约金后退还保证金余额。</w:t>
      </w:r>
    </w:p>
    <w:p w14:paraId="075B8D4D">
      <w:pPr>
        <w:keepNext w:val="0"/>
        <w:keepLines w:val="0"/>
        <w:pageBreakBefore w:val="0"/>
        <w:kinsoku/>
        <w:wordWrap/>
        <w:overflowPunct/>
        <w:topLinePunct w:val="0"/>
        <w:autoSpaceDE/>
        <w:autoSpaceDN/>
        <w:bidi w:val="0"/>
        <w:snapToGrid w:val="0"/>
        <w:spacing w:line="360" w:lineRule="auto"/>
        <w:outlineLvl w:val="9"/>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第六条：付款方式</w:t>
      </w:r>
    </w:p>
    <w:p w14:paraId="7E7ECE45">
      <w:pPr>
        <w:keepNext w:val="0"/>
        <w:keepLines w:val="0"/>
        <w:pageBreakBefore w:val="0"/>
        <w:numPr>
          <w:ilvl w:val="0"/>
          <w:numId w:val="0"/>
        </w:numPr>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rPr>
        <w:t>费用核对：每月服务结束，由</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根据实际服务内容，按中标单价计算服务费用，并交由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核对。</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应于次月15日前将当月所有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确认的签到表、发票交由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，未于次月的15日前提交发票的，自动转为下月结算。</w:t>
      </w:r>
    </w:p>
    <w:p w14:paraId="1D13968A">
      <w:pPr>
        <w:keepNext w:val="0"/>
        <w:keepLines w:val="0"/>
        <w:pageBreakBefore w:val="0"/>
        <w:numPr>
          <w:ilvl w:val="0"/>
          <w:numId w:val="0"/>
        </w:numPr>
        <w:kinsoku/>
        <w:wordWrap/>
        <w:overflowPunct/>
        <w:topLinePunct w:val="0"/>
        <w:autoSpaceDE/>
        <w:autoSpaceDN/>
        <w:bidi w:val="0"/>
        <w:snapToGrid w:val="0"/>
        <w:spacing w:line="360" w:lineRule="auto"/>
        <w:outlineLvl w:val="9"/>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2、</w:t>
      </w:r>
      <w:r>
        <w:rPr>
          <w:rFonts w:hint="eastAsia" w:ascii="宋体" w:hAnsi="宋体"/>
          <w:b/>
          <w:color w:val="auto"/>
          <w:szCs w:val="21"/>
          <w:highlight w:val="none"/>
        </w:rPr>
        <w:t>付款方式</w:t>
      </w:r>
      <w:r>
        <w:rPr>
          <w:rFonts w:hint="eastAsia" w:ascii="宋体" w:hAnsi="宋体"/>
          <w:b/>
          <w:color w:val="auto"/>
          <w:szCs w:val="21"/>
          <w:highlight w:val="none"/>
          <w:lang w:eastAsia="zh-CN"/>
        </w:rPr>
        <w:t>：</w:t>
      </w:r>
    </w:p>
    <w:p w14:paraId="706D5242">
      <w:pPr>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en-US" w:eastAsia="zh-CN" w:bidi="ar"/>
        </w:rPr>
        <w:t>签订合同后，在合同生效以及具备实施条件后7个工作日内支付</w:t>
      </w:r>
      <w:r>
        <w:rPr>
          <w:rFonts w:hint="eastAsia" w:ascii="宋体" w:hAnsi="宋体" w:cs="宋体"/>
          <w:color w:val="auto"/>
          <w:sz w:val="21"/>
          <w:szCs w:val="21"/>
          <w:highlight w:val="none"/>
          <w:lang w:val="en-US" w:eastAsia="zh-CN" w:bidi="ar"/>
        </w:rPr>
        <w:t>合同第一年计划金额的 20%作为预付款</w:t>
      </w:r>
      <w:r>
        <w:rPr>
          <w:rFonts w:hint="eastAsia" w:ascii="宋体" w:hAnsi="宋体" w:eastAsia="宋体" w:cs="宋体"/>
          <w:color w:val="auto"/>
          <w:sz w:val="21"/>
          <w:szCs w:val="21"/>
          <w:highlight w:val="none"/>
          <w:lang w:val="en-US" w:eastAsia="zh-CN" w:bidi="ar"/>
        </w:rPr>
        <w:t>，服务满</w:t>
      </w:r>
      <w:r>
        <w:rPr>
          <w:rFonts w:hint="eastAsia" w:ascii="宋体" w:hAnsi="宋体" w:cs="宋体"/>
          <w:color w:val="auto"/>
          <w:sz w:val="21"/>
          <w:szCs w:val="21"/>
          <w:highlight w:val="none"/>
          <w:lang w:val="en-US" w:eastAsia="zh-CN" w:bidi="ar"/>
        </w:rPr>
        <w:t>3</w:t>
      </w:r>
      <w:r>
        <w:rPr>
          <w:rFonts w:hint="eastAsia" w:ascii="宋体" w:hAnsi="宋体" w:eastAsia="宋体" w:cs="宋体"/>
          <w:color w:val="auto"/>
          <w:sz w:val="21"/>
          <w:szCs w:val="21"/>
          <w:highlight w:val="none"/>
          <w:lang w:val="en-US" w:eastAsia="zh-CN" w:bidi="ar"/>
        </w:rPr>
        <w:t>个月后支付至合同第一年计划金额的</w:t>
      </w:r>
      <w:r>
        <w:rPr>
          <w:rFonts w:hint="eastAsia" w:ascii="宋体" w:hAnsi="宋体" w:cs="宋体"/>
          <w:color w:val="auto"/>
          <w:sz w:val="21"/>
          <w:szCs w:val="21"/>
          <w:highlight w:val="none"/>
          <w:lang w:val="en-US" w:eastAsia="zh-CN" w:bidi="ar"/>
        </w:rPr>
        <w:t>25</w:t>
      </w:r>
      <w:r>
        <w:rPr>
          <w:rFonts w:hint="eastAsia" w:ascii="宋体" w:hAnsi="宋体" w:eastAsia="宋体" w:cs="宋体"/>
          <w:color w:val="auto"/>
          <w:sz w:val="21"/>
          <w:szCs w:val="21"/>
          <w:highlight w:val="none"/>
          <w:lang w:val="en-US" w:eastAsia="zh-CN" w:bidi="ar"/>
        </w:rPr>
        <w:t>%，后续款项按</w:t>
      </w:r>
      <w:r>
        <w:rPr>
          <w:rFonts w:hint="eastAsia" w:ascii="宋体" w:hAnsi="宋体" w:cs="宋体"/>
          <w:color w:val="auto"/>
          <w:sz w:val="21"/>
          <w:szCs w:val="21"/>
          <w:highlight w:val="none"/>
          <w:lang w:val="en-US" w:eastAsia="zh-CN" w:bidi="ar"/>
        </w:rPr>
        <w:t>季度</w:t>
      </w:r>
      <w:r>
        <w:rPr>
          <w:rFonts w:hint="eastAsia" w:ascii="宋体" w:hAnsi="宋体" w:eastAsia="宋体" w:cs="宋体"/>
          <w:color w:val="auto"/>
          <w:sz w:val="21"/>
          <w:szCs w:val="21"/>
          <w:highlight w:val="none"/>
          <w:lang w:val="en-US" w:eastAsia="zh-CN" w:bidi="ar"/>
        </w:rPr>
        <w:t>结算</w:t>
      </w:r>
      <w:r>
        <w:rPr>
          <w:rFonts w:hint="eastAsia" w:ascii="宋体" w:hAnsi="宋体" w:eastAsia="宋体" w:cs="宋体"/>
          <w:color w:val="auto"/>
          <w:szCs w:val="21"/>
          <w:highlight w:val="none"/>
          <w:lang w:val="en-US" w:eastAsia="zh-CN"/>
        </w:rPr>
        <w:t>，即每季度服务结束后的次月甲方向乙方付清上季度服务费（乙方必须开具正式税务发票）</w:t>
      </w:r>
      <w:r>
        <w:rPr>
          <w:rFonts w:hint="eastAsia" w:ascii="宋体" w:hAnsi="宋体" w:eastAsia="宋体" w:cs="宋体"/>
          <w:color w:val="auto"/>
          <w:sz w:val="21"/>
          <w:szCs w:val="21"/>
          <w:highlight w:val="none"/>
          <w:lang w:val="en-US" w:eastAsia="zh-CN" w:bidi="ar"/>
        </w:rPr>
        <w:t>。</w:t>
      </w:r>
    </w:p>
    <w:p w14:paraId="5373A628">
      <w:pPr>
        <w:keepNext w:val="0"/>
        <w:keepLines w:val="0"/>
        <w:pageBreakBefore w:val="0"/>
        <w:kinsoku/>
        <w:wordWrap/>
        <w:overflowPunct/>
        <w:topLinePunct w:val="0"/>
        <w:autoSpaceDE/>
        <w:autoSpaceDN/>
        <w:bidi w:val="0"/>
        <w:adjustRightInd w:val="0"/>
        <w:snapToGrid w:val="0"/>
        <w:spacing w:line="360" w:lineRule="auto"/>
        <w:outlineLvl w:val="9"/>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bidi="ar"/>
        </w:rPr>
        <w:t>（2）服务满12个月后支付合同第二年计划金额的20%作为预付款，服务满15个月后支付至合同第二年计划金额的25%，后续款项按季度结算</w:t>
      </w:r>
      <w:r>
        <w:rPr>
          <w:rFonts w:hint="eastAsia" w:ascii="宋体" w:hAnsi="宋体" w:eastAsia="宋体" w:cs="宋体"/>
          <w:color w:val="auto"/>
          <w:szCs w:val="21"/>
          <w:highlight w:val="none"/>
          <w:lang w:val="en-US" w:eastAsia="zh-CN"/>
        </w:rPr>
        <w:t>，即每季度服务结束后的次月甲方向乙方付清上季度服务费（乙方必须开具正式税务发票）。</w:t>
      </w:r>
    </w:p>
    <w:p w14:paraId="0AB8FEAA">
      <w:pPr>
        <w:pStyle w:val="11"/>
        <w:keepNext w:val="0"/>
        <w:keepLines w:val="0"/>
        <w:pageBreakBefore w:val="0"/>
        <w:kinsoku/>
        <w:wordWrap/>
        <w:overflowPunct/>
        <w:topLinePunct w:val="0"/>
        <w:autoSpaceDE/>
        <w:autoSpaceDN/>
        <w:bidi w:val="0"/>
        <w:adjustRightInd w:val="0"/>
        <w:snapToGrid w:val="0"/>
        <w:spacing w:line="360" w:lineRule="auto"/>
        <w:outlineLvl w:val="9"/>
        <w:rPr>
          <w:rFonts w:ascii="Times New Roman" w:hAnsi="宋体"/>
          <w:b/>
          <w:color w:val="auto"/>
          <w:szCs w:val="21"/>
          <w:highlight w:val="none"/>
        </w:rPr>
      </w:pPr>
      <w:r>
        <w:rPr>
          <w:rFonts w:hint="eastAsia" w:ascii="Times New Roman" w:hAnsi="宋体"/>
          <w:b/>
          <w:color w:val="auto"/>
          <w:szCs w:val="21"/>
          <w:highlight w:val="none"/>
        </w:rPr>
        <w:t>第</w:t>
      </w:r>
      <w:r>
        <w:rPr>
          <w:rFonts w:hint="eastAsia" w:ascii="Times New Roman" w:hAnsi="宋体"/>
          <w:b/>
          <w:color w:val="auto"/>
          <w:szCs w:val="21"/>
          <w:highlight w:val="none"/>
          <w:lang w:val="en-US" w:eastAsia="zh-CN"/>
        </w:rPr>
        <w:t>七</w:t>
      </w:r>
      <w:r>
        <w:rPr>
          <w:rFonts w:hint="eastAsia" w:ascii="Times New Roman" w:hAnsi="宋体"/>
          <w:b/>
          <w:color w:val="auto"/>
          <w:szCs w:val="21"/>
          <w:highlight w:val="none"/>
        </w:rPr>
        <w:t>条：项目要求</w:t>
      </w:r>
    </w:p>
    <w:p w14:paraId="441C636E">
      <w:pPr>
        <w:keepNext w:val="0"/>
        <w:keepLines w:val="0"/>
        <w:pageBreakBefore w:val="0"/>
        <w:kinsoku/>
        <w:wordWrap/>
        <w:overflowPunct/>
        <w:topLinePunct w:val="0"/>
        <w:autoSpaceDE/>
        <w:autoSpaceDN/>
        <w:bidi w:val="0"/>
        <w:spacing w:line="360" w:lineRule="auto"/>
        <w:outlineLvl w:val="9"/>
        <w:rPr>
          <w:color w:val="auto"/>
          <w:highlight w:val="none"/>
        </w:rPr>
      </w:pPr>
      <w:r>
        <w:rPr>
          <w:rFonts w:hint="eastAsia" w:hAnsi="宋体"/>
          <w:color w:val="auto"/>
          <w:szCs w:val="21"/>
          <w:highlight w:val="none"/>
          <w:lang w:val="en-US" w:eastAsia="zh-CN"/>
        </w:rPr>
        <w:t>服务期限</w:t>
      </w:r>
      <w:r>
        <w:rPr>
          <w:rFonts w:hAnsi="宋体"/>
          <w:color w:val="auto"/>
          <w:szCs w:val="21"/>
          <w:highlight w:val="none"/>
        </w:rPr>
        <w:t>：</w:t>
      </w:r>
      <w:r>
        <w:rPr>
          <w:rFonts w:hint="eastAsia" w:ascii="宋体" w:hAnsi="宋体" w:eastAsia="宋体" w:cs="宋体"/>
          <w:color w:val="auto"/>
          <w:szCs w:val="21"/>
          <w:highlight w:val="none"/>
          <w:lang w:val="en-US" w:eastAsia="zh-CN"/>
        </w:rPr>
        <w:t>自合同签订之日起两年</w:t>
      </w:r>
      <w:r>
        <w:rPr>
          <w:rFonts w:hint="eastAsia" w:ascii="宋体" w:hAnsi="宋体" w:eastAsia="宋体" w:cs="宋体"/>
          <w:bCs/>
          <w:color w:val="auto"/>
          <w:highlight w:val="none"/>
          <w:lang w:eastAsia="zh-CN"/>
        </w:rPr>
        <w:t>，</w:t>
      </w:r>
      <w:r>
        <w:rPr>
          <w:rFonts w:hint="eastAsia" w:ascii="宋体" w:hAnsi="宋体" w:eastAsia="宋体" w:cs="宋体"/>
          <w:color w:val="auto"/>
          <w:sz w:val="21"/>
          <w:szCs w:val="21"/>
          <w:highlight w:val="none"/>
          <w:lang w:val="en-US" w:eastAsia="zh-CN"/>
        </w:rPr>
        <w:t>第二年财政预算金额未达到原合同金额或者第二年财政预算未通过的，第二年合同的约定自动失效。</w:t>
      </w:r>
    </w:p>
    <w:p w14:paraId="5D659E19">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b/>
          <w:color w:val="auto"/>
          <w:highlight w:val="none"/>
        </w:rPr>
      </w:pPr>
      <w:r>
        <w:rPr>
          <w:rFonts w:hint="eastAsia"/>
          <w:b/>
          <w:color w:val="auto"/>
          <w:highlight w:val="none"/>
        </w:rPr>
        <w:t>第</w:t>
      </w:r>
      <w:r>
        <w:rPr>
          <w:rFonts w:hint="eastAsia"/>
          <w:b/>
          <w:color w:val="auto"/>
          <w:highlight w:val="none"/>
          <w:lang w:val="en-US" w:eastAsia="zh-CN"/>
        </w:rPr>
        <w:t>八</w:t>
      </w:r>
      <w:r>
        <w:rPr>
          <w:rFonts w:hint="eastAsia"/>
          <w:b/>
          <w:color w:val="auto"/>
          <w:highlight w:val="none"/>
        </w:rPr>
        <w:t>条：</w:t>
      </w:r>
      <w:r>
        <w:rPr>
          <w:b/>
          <w:color w:val="auto"/>
          <w:highlight w:val="none"/>
        </w:rPr>
        <w:t>违约责任</w:t>
      </w:r>
    </w:p>
    <w:p w14:paraId="6DBD8B7D">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color w:val="auto"/>
          <w:highlight w:val="none"/>
        </w:rPr>
      </w:pPr>
      <w:r>
        <w:rPr>
          <w:rFonts w:hint="eastAsia"/>
          <w:color w:val="auto"/>
          <w:highlight w:val="none"/>
        </w:rPr>
        <w:t>1、</w:t>
      </w:r>
      <w:r>
        <w:rPr>
          <w:color w:val="auto"/>
          <w:highlight w:val="none"/>
        </w:rPr>
        <w:t>甲方无正当理由拒收接受服务的，甲方向乙方支付合同款项百分之五作为违约金。</w:t>
      </w:r>
    </w:p>
    <w:p w14:paraId="74C2C1D7">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color w:val="auto"/>
          <w:highlight w:val="none"/>
        </w:rPr>
      </w:pPr>
      <w:r>
        <w:rPr>
          <w:rFonts w:hint="eastAsia"/>
          <w:color w:val="auto"/>
          <w:highlight w:val="none"/>
        </w:rPr>
        <w:t>2、</w:t>
      </w:r>
      <w:r>
        <w:rPr>
          <w:color w:val="auto"/>
          <w:highlight w:val="none"/>
        </w:rPr>
        <w:t xml:space="preserve"> 甲方无故逾期验收和办理款项支付手续的，甲方应按逾期付款总额向乙方支付每日万分之五违约金。</w:t>
      </w:r>
    </w:p>
    <w:p w14:paraId="4FBE82EF">
      <w:pPr>
        <w:pStyle w:val="11"/>
        <w:keepNext w:val="0"/>
        <w:keepLines w:val="0"/>
        <w:pageBreakBefore w:val="0"/>
        <w:kinsoku/>
        <w:wordWrap/>
        <w:overflowPunct/>
        <w:topLinePunct w:val="0"/>
        <w:autoSpaceDE/>
        <w:autoSpaceDN/>
        <w:bidi w:val="0"/>
        <w:adjustRightInd w:val="0"/>
        <w:snapToGrid w:val="0"/>
        <w:spacing w:line="360" w:lineRule="auto"/>
        <w:outlineLvl w:val="9"/>
        <w:rPr>
          <w:color w:val="auto"/>
          <w:highlight w:val="none"/>
        </w:rPr>
      </w:pPr>
      <w:r>
        <w:rPr>
          <w:rFonts w:hint="eastAsia"/>
          <w:color w:val="auto"/>
          <w:highlight w:val="none"/>
        </w:rPr>
        <w:t>3、</w:t>
      </w:r>
      <w:r>
        <w:rPr>
          <w:color w:val="auto"/>
          <w:highlight w:val="none"/>
        </w:rPr>
        <w:t>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w:t>
      </w:r>
    </w:p>
    <w:p w14:paraId="3D3D10BE">
      <w:pPr>
        <w:pStyle w:val="11"/>
        <w:keepNext w:val="0"/>
        <w:keepLines w:val="0"/>
        <w:pageBreakBefore w:val="0"/>
        <w:kinsoku/>
        <w:wordWrap/>
        <w:overflowPunct/>
        <w:topLinePunct w:val="0"/>
        <w:autoSpaceDE/>
        <w:autoSpaceDN/>
        <w:bidi w:val="0"/>
        <w:adjustRightInd w:val="0"/>
        <w:snapToGrid w:val="0"/>
        <w:spacing w:line="360" w:lineRule="auto"/>
        <w:outlineLvl w:val="9"/>
        <w:rPr>
          <w:color w:val="auto"/>
          <w:highlight w:val="none"/>
        </w:rPr>
      </w:pPr>
      <w:r>
        <w:rPr>
          <w:rFonts w:hint="eastAsia"/>
          <w:color w:val="auto"/>
          <w:highlight w:val="none"/>
        </w:rPr>
        <w:t>4、若发生纠纷，由违约方赔偿守约方因纠纷所支付的费用（包括但不限于律师费、差旅费、诉讼费、保全费、鉴定费、评估费等）。</w:t>
      </w:r>
    </w:p>
    <w:p w14:paraId="412A8C90">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第</w:t>
      </w:r>
      <w:r>
        <w:rPr>
          <w:rFonts w:hint="eastAsia" w:hAnsi="宋体"/>
          <w:b/>
          <w:bCs/>
          <w:snapToGrid w:val="0"/>
          <w:color w:val="auto"/>
          <w:szCs w:val="21"/>
          <w:highlight w:val="none"/>
          <w:lang w:val="en-US" w:eastAsia="zh-CN"/>
        </w:rPr>
        <w:t>九</w:t>
      </w:r>
      <w:r>
        <w:rPr>
          <w:rFonts w:hint="eastAsia" w:hAnsi="宋体"/>
          <w:b/>
          <w:bCs/>
          <w:snapToGrid w:val="0"/>
          <w:color w:val="auto"/>
          <w:szCs w:val="21"/>
          <w:highlight w:val="none"/>
        </w:rPr>
        <w:t>条：不可抗力事件处理</w:t>
      </w:r>
    </w:p>
    <w:p w14:paraId="52E61E1C">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、在合同有效期内，任何一方因不可抗力事件导致不能履行合同，则合同履行期可延长，其延长期与不可抗力影响期相同。</w:t>
      </w:r>
    </w:p>
    <w:p w14:paraId="5618A807">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、不可抗力事件发生后，应立即通知对方，并寄送有关权威机构出具的证明。</w:t>
      </w:r>
    </w:p>
    <w:p w14:paraId="26A7514E">
      <w:pPr>
        <w:pStyle w:val="11"/>
        <w:snapToGrid w:val="0"/>
        <w:spacing w:line="360" w:lineRule="auto"/>
        <w:textAlignment w:val="baseline"/>
        <w:rPr>
          <w:rFonts w:hint="eastAsia"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、不可抗力事件延续</w:t>
      </w:r>
      <w:r>
        <w:rPr>
          <w:rFonts w:hAnsi="宋体"/>
          <w:snapToGrid w:val="0"/>
          <w:color w:val="auto"/>
          <w:szCs w:val="21"/>
          <w:highlight w:val="none"/>
        </w:rPr>
        <w:t>120</w:t>
      </w:r>
      <w:r>
        <w:rPr>
          <w:rFonts w:hint="eastAsia" w:hAnsi="宋体"/>
          <w:snapToGrid w:val="0"/>
          <w:color w:val="auto"/>
          <w:szCs w:val="21"/>
          <w:highlight w:val="none"/>
        </w:rPr>
        <w:t>天以上，双方应通过友好协商，确定是否继续履行合同。</w:t>
      </w:r>
    </w:p>
    <w:p w14:paraId="6F6F3752">
      <w:pPr>
        <w:pStyle w:val="11"/>
        <w:snapToGrid w:val="0"/>
        <w:spacing w:line="360" w:lineRule="auto"/>
        <w:textAlignment w:val="baseline"/>
        <w:rPr>
          <w:rFonts w:hAnsi="宋体"/>
          <w:snapToGrid w:val="0"/>
          <w:color w:val="auto"/>
          <w:szCs w:val="21"/>
          <w:highlight w:val="none"/>
        </w:rPr>
      </w:pPr>
      <w:r>
        <w:rPr>
          <w:rFonts w:hint="eastAsia" w:hAnsi="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49D8D115">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第十条：诉讼</w:t>
      </w:r>
    </w:p>
    <w:p w14:paraId="2314AEB0">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int="eastAsia" w:hAnsi="宋体"/>
          <w:snapToGrid w:val="0"/>
          <w:color w:val="auto"/>
          <w:szCs w:val="21"/>
          <w:highlight w:val="none"/>
          <w:lang w:val="en-US" w:eastAsia="zh-CN"/>
        </w:rPr>
        <w:t>1、</w:t>
      </w:r>
      <w:r>
        <w:rPr>
          <w:rFonts w:hint="eastAsia" w:hAnsi="宋体"/>
          <w:snapToGrid w:val="0"/>
          <w:color w:val="auto"/>
          <w:szCs w:val="21"/>
          <w:highlight w:val="none"/>
        </w:rPr>
        <w:t>双方在执行合同中所发生的一切争议，应通过协商解决。如协商不成，可向甲方所在地法院起诉。</w:t>
      </w:r>
    </w:p>
    <w:p w14:paraId="4F67FB46">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b/>
          <w:bCs/>
          <w:snapToGrid w:val="0"/>
          <w:color w:val="auto"/>
          <w:szCs w:val="21"/>
          <w:highlight w:val="none"/>
        </w:rPr>
      </w:pPr>
      <w:r>
        <w:rPr>
          <w:rFonts w:hint="eastAsia" w:hAnsi="宋体"/>
          <w:b/>
          <w:bCs/>
          <w:snapToGrid w:val="0"/>
          <w:color w:val="auto"/>
          <w:szCs w:val="21"/>
          <w:highlight w:val="none"/>
        </w:rPr>
        <w:t>第十</w:t>
      </w:r>
      <w:r>
        <w:rPr>
          <w:rFonts w:hint="eastAsia" w:hAnsi="宋体"/>
          <w:b/>
          <w:bCs/>
          <w:snapToGrid w:val="0"/>
          <w:color w:val="auto"/>
          <w:szCs w:val="21"/>
          <w:highlight w:val="none"/>
          <w:lang w:val="en-US" w:eastAsia="zh-CN"/>
        </w:rPr>
        <w:t>一</w:t>
      </w:r>
      <w:r>
        <w:rPr>
          <w:rFonts w:hint="eastAsia" w:hAnsi="宋体"/>
          <w:b/>
          <w:bCs/>
          <w:snapToGrid w:val="0"/>
          <w:color w:val="auto"/>
          <w:szCs w:val="21"/>
          <w:highlight w:val="none"/>
        </w:rPr>
        <w:t>条：合同生效及其它</w:t>
      </w:r>
    </w:p>
    <w:p w14:paraId="2AB58179">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1</w:t>
      </w:r>
      <w:r>
        <w:rPr>
          <w:rFonts w:hint="eastAsia" w:hAnsi="宋体"/>
          <w:snapToGrid w:val="0"/>
          <w:color w:val="auto"/>
          <w:szCs w:val="21"/>
          <w:highlight w:val="none"/>
        </w:rPr>
        <w:t>、合同经双方法定代表人或授权代表签字并加盖单位公章后生效。</w:t>
      </w:r>
    </w:p>
    <w:p w14:paraId="3E901D22">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2</w:t>
      </w:r>
      <w:r>
        <w:rPr>
          <w:rFonts w:hint="eastAsia" w:hAnsi="宋体"/>
          <w:snapToGrid w:val="0"/>
          <w:color w:val="auto"/>
          <w:szCs w:val="21"/>
          <w:highlight w:val="none"/>
        </w:rPr>
        <w:t>、合同执行中涉及采购资金和采购内容修改或补充的，须经财政部门审批，并签书面补充协议报政府采购监督管理部门备案，方可作为主合同不可分割的一部分。</w:t>
      </w:r>
    </w:p>
    <w:p w14:paraId="62251AC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Ansi="宋体"/>
          <w:snapToGrid w:val="0"/>
          <w:color w:val="auto"/>
          <w:szCs w:val="21"/>
          <w:highlight w:val="none"/>
        </w:rPr>
      </w:pPr>
      <w:r>
        <w:rPr>
          <w:rFonts w:hAnsi="宋体"/>
          <w:snapToGrid w:val="0"/>
          <w:color w:val="auto"/>
          <w:szCs w:val="21"/>
          <w:highlight w:val="none"/>
        </w:rPr>
        <w:t>3</w:t>
      </w:r>
      <w:r>
        <w:rPr>
          <w:rFonts w:hint="eastAsia" w:hAnsi="宋体"/>
          <w:snapToGrid w:val="0"/>
          <w:color w:val="auto"/>
          <w:szCs w:val="21"/>
          <w:highlight w:val="none"/>
        </w:rPr>
        <w:t>、本合同未尽事宜，遵照《</w:t>
      </w:r>
      <w:r>
        <w:rPr>
          <w:rFonts w:hint="eastAsia" w:hAnsi="宋体"/>
          <w:snapToGrid w:val="0"/>
          <w:color w:val="auto"/>
          <w:szCs w:val="21"/>
          <w:highlight w:val="none"/>
          <w:lang w:val="en-US" w:eastAsia="zh-CN"/>
        </w:rPr>
        <w:t>民法典</w:t>
      </w:r>
      <w:r>
        <w:rPr>
          <w:rFonts w:hint="eastAsia" w:hAnsi="宋体"/>
          <w:snapToGrid w:val="0"/>
          <w:color w:val="auto"/>
          <w:szCs w:val="21"/>
          <w:highlight w:val="none"/>
        </w:rPr>
        <w:t>》有关条文执行。</w:t>
      </w:r>
    </w:p>
    <w:p w14:paraId="4299C19B">
      <w:pPr>
        <w:keepNext w:val="0"/>
        <w:keepLines w:val="0"/>
        <w:pageBreakBefore w:val="0"/>
        <w:widowControl/>
        <w:kinsoku/>
        <w:wordWrap/>
        <w:overflowPunct/>
        <w:topLinePunct w:val="0"/>
        <w:autoSpaceDE/>
        <w:autoSpaceDN/>
        <w:bidi w:val="0"/>
        <w:spacing w:line="360" w:lineRule="auto"/>
        <w:outlineLvl w:val="9"/>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spacing w:val="-6"/>
          <w:kern w:val="0"/>
          <w:szCs w:val="21"/>
          <w:highlight w:val="none"/>
        </w:rPr>
        <w:t>、本合同壹式陆份，甲、乙双方、招标代理公司各执贰份。本项目未尽事宜以招标文件、</w:t>
      </w:r>
      <w:r>
        <w:rPr>
          <w:rFonts w:hint="eastAsia" w:ascii="宋体" w:hAnsi="宋体" w:cs="宋体"/>
          <w:color w:val="auto"/>
          <w:spacing w:val="-6"/>
          <w:kern w:val="0"/>
          <w:szCs w:val="21"/>
          <w:highlight w:val="none"/>
          <w:lang w:val="en-US" w:eastAsia="zh-CN"/>
        </w:rPr>
        <w:t>磋商响应</w:t>
      </w:r>
      <w:r>
        <w:rPr>
          <w:rFonts w:hint="eastAsia" w:ascii="宋体" w:hAnsi="宋体" w:cs="宋体"/>
          <w:color w:val="auto"/>
          <w:spacing w:val="-6"/>
          <w:kern w:val="0"/>
          <w:szCs w:val="21"/>
          <w:highlight w:val="none"/>
        </w:rPr>
        <w:t>文件及澄清文件等为准。</w:t>
      </w:r>
    </w:p>
    <w:p w14:paraId="00EEB525">
      <w:pPr>
        <w:keepNext w:val="0"/>
        <w:keepLines w:val="0"/>
        <w:pageBreakBefore w:val="0"/>
        <w:widowControl/>
        <w:kinsoku/>
        <w:wordWrap/>
        <w:overflowPunct/>
        <w:topLinePunct w:val="0"/>
        <w:autoSpaceDE/>
        <w:autoSpaceDN/>
        <w:bidi w:val="0"/>
        <w:spacing w:line="360" w:lineRule="auto"/>
        <w:outlineLvl w:val="9"/>
        <w:rPr>
          <w:rFonts w:hint="eastAsia" w:ascii="宋体" w:hAnsi="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spacing w:val="-6"/>
          <w:kern w:val="0"/>
          <w:szCs w:val="21"/>
          <w:highlight w:val="none"/>
        </w:rPr>
        <w:t>、与本合同有关标书及记录同本合同具有同等法律效果。</w:t>
      </w:r>
    </w:p>
    <w:p w14:paraId="085CC95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7367FA9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3A04DF2F">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667665C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329C338E">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5233CB6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snapToGrid w:val="0"/>
          <w:color w:val="auto"/>
          <w:szCs w:val="21"/>
          <w:highlight w:val="none"/>
        </w:rPr>
      </w:pPr>
      <w:r>
        <w:rPr>
          <w:rFonts w:hint="eastAsia" w:ascii="宋体" w:hAnsi="宋体"/>
          <w:color w:val="auto"/>
          <w:kern w:val="0"/>
          <w:szCs w:val="21"/>
          <w:highlight w:val="none"/>
        </w:rPr>
        <w:t>账    号：                                账    号：</w:t>
      </w: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2"/>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台州市路桥区横街镇人民政府</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横街镇应急处置现场维持秩序服务项目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tzya2025-lq23</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台州市路桥区横街镇人民政府</w:t>
      </w:r>
      <w:r>
        <w:rPr>
          <w:rFonts w:hint="eastAsia" w:ascii="宋体" w:hAnsi="宋体" w:eastAsia="宋体" w:cs="宋体"/>
          <w:b w:val="0"/>
          <w:bCs/>
          <w:color w:val="auto"/>
          <w:sz w:val="21"/>
          <w:szCs w:val="21"/>
          <w:highlight w:val="none"/>
          <w:u w:val="single"/>
        </w:rPr>
        <w:t>、台州永安工程咨询有限公司：</w:t>
      </w:r>
    </w:p>
    <w:p w14:paraId="57237C55">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横街镇应急处置现场维持秩序服务项目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tzya2025-lq23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2"/>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1"/>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1"/>
        <w:keepNext w:val="0"/>
        <w:keepLines w:val="0"/>
        <w:pageBreakBefore w:val="0"/>
        <w:kinsoku/>
        <w:overflowPunct/>
        <w:topLinePunct w:val="0"/>
        <w:bidi w:val="0"/>
        <w:spacing w:line="360" w:lineRule="auto"/>
        <w:jc w:val="both"/>
        <w:outlineLvl w:val="9"/>
        <w:rPr>
          <w:rFonts w:hint="eastAsia" w:ascii="宋体" w:hAnsi="宋体" w:eastAsia="宋体" w:cs="宋体"/>
          <w:b/>
          <w:color w:val="auto"/>
          <w:sz w:val="32"/>
          <w:szCs w:val="32"/>
          <w:highlight w:val="none"/>
          <w:lang w:val="en-GB"/>
        </w:rPr>
      </w:pPr>
    </w:p>
    <w:p w14:paraId="7D66CF7E">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1"/>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3"/>
        <w:ind w:left="0" w:leftChars="0" w:firstLine="0" w:firstLineChars="0"/>
        <w:rPr>
          <w:rFonts w:hint="eastAsia" w:ascii="宋体" w:hAnsi="宋体" w:eastAsia="宋体" w:cs="宋体"/>
          <w:color w:val="auto"/>
          <w:highlight w:val="none"/>
        </w:rPr>
      </w:pPr>
    </w:p>
    <w:p w14:paraId="1D5810F7">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70A42995">
      <w:pPr>
        <w:pStyle w:val="5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横街镇应急处置现场维持秩序服务项目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tzya2025-lq23</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6"/>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1"/>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pPr w:leftFromText="180" w:rightFromText="180" w:vertAnchor="text" w:horzAnchor="page" w:tblpXSpec="center" w:tblpY="322"/>
        <w:tblOverlap w:val="never"/>
        <w:tblW w:w="11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082"/>
        <w:gridCol w:w="7065"/>
        <w:gridCol w:w="663"/>
        <w:gridCol w:w="737"/>
        <w:gridCol w:w="713"/>
      </w:tblGrid>
      <w:tr w14:paraId="68816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95" w:type="dxa"/>
            <w:gridSpan w:val="2"/>
            <w:vAlign w:val="center"/>
          </w:tcPr>
          <w:p w14:paraId="6A8EE4E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65" w:type="dxa"/>
            <w:vAlign w:val="center"/>
          </w:tcPr>
          <w:p w14:paraId="30076A6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3" w:type="dxa"/>
            <w:vAlign w:val="center"/>
          </w:tcPr>
          <w:p w14:paraId="5B5ECCB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737" w:type="dxa"/>
            <w:vAlign w:val="center"/>
          </w:tcPr>
          <w:p w14:paraId="1385CC6E">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对应页码</w:t>
            </w:r>
          </w:p>
        </w:tc>
        <w:tc>
          <w:tcPr>
            <w:tcW w:w="713" w:type="dxa"/>
            <w:vAlign w:val="center"/>
          </w:tcPr>
          <w:p w14:paraId="1E0FCBA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自评分</w:t>
            </w:r>
          </w:p>
        </w:tc>
      </w:tr>
      <w:tr w14:paraId="503C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13" w:type="dxa"/>
            <w:vMerge w:val="restart"/>
            <w:vAlign w:val="center"/>
          </w:tcPr>
          <w:p w14:paraId="0861440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13分</w:t>
            </w:r>
            <w:r>
              <w:rPr>
                <w:rFonts w:hint="eastAsia" w:ascii="宋体" w:hAnsi="宋体" w:eastAsia="宋体" w:cs="宋体"/>
                <w:color w:val="auto"/>
                <w:sz w:val="21"/>
                <w:szCs w:val="21"/>
                <w:highlight w:val="none"/>
                <w:lang w:eastAsia="zh-CN"/>
              </w:rPr>
              <w:t>）</w:t>
            </w:r>
          </w:p>
        </w:tc>
        <w:tc>
          <w:tcPr>
            <w:tcW w:w="1082" w:type="dxa"/>
            <w:vAlign w:val="center"/>
          </w:tcPr>
          <w:p w14:paraId="0254BB2F">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Style w:val="57"/>
                <w:rFonts w:hint="eastAsia" w:ascii="宋体" w:hAnsi="宋体" w:eastAsia="宋体" w:cs="宋体"/>
                <w:color w:val="auto"/>
                <w:sz w:val="21"/>
                <w:szCs w:val="21"/>
                <w:highlight w:val="none"/>
                <w:lang w:val="en-US" w:eastAsia="zh-CN"/>
              </w:rPr>
              <w:t>承接经验</w:t>
            </w:r>
          </w:p>
        </w:tc>
        <w:tc>
          <w:tcPr>
            <w:tcW w:w="7065" w:type="dxa"/>
            <w:vAlign w:val="center"/>
          </w:tcPr>
          <w:p w14:paraId="4F4BDCE4">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b w:val="0"/>
                <w:bCs w:val="0"/>
                <w:color w:val="auto"/>
                <w:kern w:val="0"/>
                <w:sz w:val="21"/>
                <w:szCs w:val="21"/>
                <w:highlight w:val="none"/>
                <w:u w:val="none"/>
                <w:lang w:val="en-US"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自2022年1月1日以来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承接过类似项目的，每提供1个合同得1分，最高得2分。</w:t>
            </w:r>
          </w:p>
          <w:p w14:paraId="4AD562D3">
            <w:pPr>
              <w:keepNext w:val="0"/>
              <w:keepLines w:val="0"/>
              <w:pageBreakBefore w:val="0"/>
              <w:kinsoku/>
              <w:wordWrap/>
              <w:overflowPunct/>
              <w:topLinePunct w:val="0"/>
              <w:bidi w:val="0"/>
              <w:spacing w:beforeAutospacing="0" w:afterAutospacing="0" w:line="240" w:lineRule="auto"/>
              <w:ind w:left="0" w:leftChars="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Cs w:val="21"/>
                <w:highlight w:val="none"/>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3" w:type="dxa"/>
            <w:vAlign w:val="center"/>
          </w:tcPr>
          <w:p w14:paraId="7DAA0672">
            <w:pPr>
              <w:pStyle w:val="11"/>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737" w:type="dxa"/>
            <w:vAlign w:val="center"/>
          </w:tcPr>
          <w:p w14:paraId="387759A3">
            <w:pPr>
              <w:pStyle w:val="11"/>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13" w:type="dxa"/>
            <w:vAlign w:val="center"/>
          </w:tcPr>
          <w:p w14:paraId="61C2D52B">
            <w:pPr>
              <w:pStyle w:val="11"/>
              <w:keepLines w:val="0"/>
              <w:pageBreakBefore w:val="0"/>
              <w:kinsoku/>
              <w:wordWrap/>
              <w:overflowPunct/>
              <w:topLinePunct w:val="0"/>
              <w:bidi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18EE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vAlign w:val="center"/>
          </w:tcPr>
          <w:p w14:paraId="2B5E65D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82" w:type="dxa"/>
            <w:vAlign w:val="center"/>
          </w:tcPr>
          <w:p w14:paraId="325EFDDA">
            <w:pPr>
              <w:keepLines w:val="0"/>
              <w:pageBreakBefore w:val="0"/>
              <w:kinsoku/>
              <w:wordWrap/>
              <w:overflowPunct/>
              <w:topLinePunct w:val="0"/>
              <w:bidi w:val="0"/>
              <w:adjustRightInd w:val="0"/>
              <w:snapToGri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7065" w:type="dxa"/>
            <w:vAlign w:val="center"/>
          </w:tcPr>
          <w:p w14:paraId="7703194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投标人具有有效期内</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质量管理体系、环境管理体系、职业健康安全管理体系认证的，每</w:t>
            </w:r>
            <w:r>
              <w:rPr>
                <w:rFonts w:hint="eastAsia" w:ascii="宋体" w:hAnsi="宋体" w:eastAsia="宋体" w:cs="宋体"/>
                <w:color w:val="auto"/>
                <w:highlight w:val="none"/>
                <w:lang w:val="en-US" w:eastAsia="zh-CN"/>
              </w:rPr>
              <w:t>提供1项</w:t>
            </w:r>
            <w:r>
              <w:rPr>
                <w:rFonts w:hint="eastAsia" w:ascii="宋体" w:hAnsi="宋体" w:eastAsia="宋体" w:cs="宋体"/>
                <w:color w:val="auto"/>
                <w:highlight w:val="none"/>
              </w:rPr>
              <w:t>得1分，本项最高得3分</w:t>
            </w:r>
            <w:r>
              <w:rPr>
                <w:rFonts w:hint="eastAsia" w:ascii="宋体" w:hAnsi="宋体" w:cs="宋体"/>
                <w:color w:val="auto"/>
                <w:highlight w:val="none"/>
                <w:lang w:eastAsia="zh-CN"/>
              </w:rPr>
              <w:t>。</w:t>
            </w:r>
          </w:p>
          <w:p w14:paraId="6CDC4F8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u w:val="none"/>
                <w:lang w:val="zh-CN"/>
              </w:rPr>
              <w:t>（</w:t>
            </w:r>
            <w:r>
              <w:rPr>
                <w:rFonts w:hint="eastAsia" w:ascii="宋体" w:hAnsi="宋体" w:eastAsia="宋体" w:cs="宋体"/>
                <w:b/>
                <w:bCs/>
                <w:color w:val="auto"/>
                <w:kern w:val="0"/>
                <w:sz w:val="21"/>
                <w:szCs w:val="21"/>
                <w:highlight w:val="none"/>
                <w:u w:val="none"/>
                <w:lang w:val="en-US" w:eastAsia="zh-CN"/>
              </w:rPr>
              <w:t>须</w:t>
            </w:r>
            <w:r>
              <w:rPr>
                <w:rFonts w:hint="eastAsia" w:ascii="宋体" w:hAnsi="宋体" w:eastAsia="宋体" w:cs="宋体"/>
                <w:b/>
                <w:bCs/>
                <w:color w:val="auto"/>
                <w:kern w:val="0"/>
                <w:sz w:val="21"/>
                <w:szCs w:val="21"/>
                <w:highlight w:val="none"/>
                <w:u w:val="none"/>
                <w:lang w:val="zh-CN"/>
              </w:rPr>
              <w:t>提供证书扫描件</w:t>
            </w:r>
            <w:r>
              <w:rPr>
                <w:rFonts w:hint="eastAsia" w:ascii="宋体" w:hAnsi="宋体" w:eastAsia="宋体" w:cs="宋体"/>
                <w:b/>
                <w:bCs/>
                <w:color w:val="auto"/>
                <w:szCs w:val="21"/>
                <w:highlight w:val="none"/>
              </w:rPr>
              <w:t>并</w:t>
            </w:r>
            <w:r>
              <w:rPr>
                <w:rFonts w:hint="eastAsia" w:ascii="宋体" w:hAnsi="宋体" w:eastAsia="宋体" w:cs="宋体"/>
                <w:b/>
                <w:bCs/>
                <w:color w:val="auto"/>
                <w:kern w:val="0"/>
                <w:sz w:val="21"/>
                <w:szCs w:val="21"/>
                <w:highlight w:val="none"/>
                <w:u w:val="none"/>
                <w:lang w:val="zh-CN"/>
              </w:rPr>
              <w:t>加盖投标人公章编入投标文件中，未提供的不得分）</w:t>
            </w:r>
          </w:p>
        </w:tc>
        <w:tc>
          <w:tcPr>
            <w:tcW w:w="663" w:type="dxa"/>
            <w:vAlign w:val="center"/>
          </w:tcPr>
          <w:p w14:paraId="0C7A7D98">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37" w:type="dxa"/>
            <w:vAlign w:val="center"/>
          </w:tcPr>
          <w:p w14:paraId="3C087CF9">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c>
          <w:tcPr>
            <w:tcW w:w="713" w:type="dxa"/>
            <w:vAlign w:val="center"/>
          </w:tcPr>
          <w:p w14:paraId="156543BA">
            <w:pPr>
              <w:keepLines w:val="0"/>
              <w:pageBreakBefore w:val="0"/>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p>
        </w:tc>
      </w:tr>
      <w:tr w14:paraId="4E676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013" w:type="dxa"/>
            <w:vMerge w:val="continue"/>
            <w:vAlign w:val="center"/>
          </w:tcPr>
          <w:p w14:paraId="12BA736E">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82" w:type="dxa"/>
            <w:vMerge w:val="restart"/>
            <w:vAlign w:val="center"/>
          </w:tcPr>
          <w:p w14:paraId="673B31A6">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组成员</w:t>
            </w:r>
          </w:p>
        </w:tc>
        <w:tc>
          <w:tcPr>
            <w:tcW w:w="7065" w:type="dxa"/>
            <w:vAlign w:val="center"/>
          </w:tcPr>
          <w:p w14:paraId="281138DF">
            <w:pPr>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拟派</w:t>
            </w:r>
            <w:r>
              <w:rPr>
                <w:rFonts w:hint="eastAsia" w:ascii="宋体" w:hAnsi="宋体" w:eastAsia="宋体" w:cs="宋体"/>
                <w:color w:val="auto"/>
                <w:szCs w:val="21"/>
                <w:highlight w:val="none"/>
                <w:lang w:val="en-US" w:eastAsia="zh-CN"/>
              </w:rPr>
              <w:t>秩序维护</w:t>
            </w:r>
            <w:r>
              <w:rPr>
                <w:rFonts w:hint="eastAsia" w:ascii="宋体" w:hAnsi="宋体" w:eastAsia="宋体" w:cs="宋体"/>
                <w:color w:val="auto"/>
                <w:szCs w:val="21"/>
                <w:highlight w:val="none"/>
              </w:rPr>
              <w:t>人员（不含队长）</w:t>
            </w:r>
            <w:r>
              <w:rPr>
                <w:rFonts w:hint="eastAsia" w:ascii="宋体" w:hAnsi="宋体" w:eastAsia="宋体" w:cs="宋体"/>
                <w:color w:val="auto"/>
                <w:szCs w:val="21"/>
                <w:highlight w:val="none"/>
                <w:lang w:eastAsia="zh-CN"/>
              </w:rPr>
              <w:t>：</w:t>
            </w:r>
          </w:p>
          <w:p w14:paraId="1100C85A">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具备一级或二级保安员证的，每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31FE8C25">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具备三级或四级保安员证的，每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04EC0DD4">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具备五级保安员证的，每</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人得</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分。</w:t>
            </w:r>
          </w:p>
          <w:p w14:paraId="4F0611C1">
            <w:pPr>
              <w:adjustRightInd w:val="0"/>
              <w:snapToGrid w:val="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本项最高得5分。</w:t>
            </w:r>
          </w:p>
          <w:p w14:paraId="5CF35277">
            <w:pPr>
              <w:adjustRightInd w:val="0"/>
              <w:snapToGrid w:val="0"/>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（须提供有效的</w:t>
            </w:r>
            <w:r>
              <w:rPr>
                <w:rFonts w:hint="eastAsia" w:ascii="宋体" w:hAnsi="宋体" w:eastAsia="宋体" w:cs="宋体"/>
                <w:b/>
                <w:bCs/>
                <w:color w:val="auto"/>
                <w:szCs w:val="21"/>
                <w:highlight w:val="none"/>
                <w:lang w:val="en-US" w:eastAsia="zh-CN"/>
              </w:rPr>
              <w:t>保安员</w:t>
            </w:r>
            <w:r>
              <w:rPr>
                <w:rFonts w:hint="eastAsia" w:ascii="宋体" w:hAnsi="宋体" w:eastAsia="宋体" w:cs="宋体"/>
                <w:b/>
                <w:bCs/>
                <w:color w:val="auto"/>
                <w:szCs w:val="21"/>
                <w:highlight w:val="none"/>
              </w:rPr>
              <w:t>证书扫描件及投标截止时间前近3个月内的社保缴费证明并加盖投标人公章编入投标文件中，未提供或提供不全的不得分）</w:t>
            </w:r>
          </w:p>
        </w:tc>
        <w:tc>
          <w:tcPr>
            <w:tcW w:w="663" w:type="dxa"/>
            <w:vAlign w:val="center"/>
          </w:tcPr>
          <w:p w14:paraId="4A86C5F3">
            <w:pPr>
              <w:jc w:val="center"/>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rPr>
              <w:t>5</w:t>
            </w:r>
          </w:p>
        </w:tc>
        <w:tc>
          <w:tcPr>
            <w:tcW w:w="737" w:type="dxa"/>
            <w:vAlign w:val="center"/>
          </w:tcPr>
          <w:p w14:paraId="406AB01A">
            <w:pPr>
              <w:jc w:val="center"/>
              <w:rPr>
                <w:rFonts w:hint="eastAsia" w:ascii="宋体" w:hAnsi="宋体" w:eastAsia="宋体" w:cs="宋体"/>
                <w:color w:val="auto"/>
                <w:spacing w:val="-4"/>
                <w:szCs w:val="21"/>
                <w:highlight w:val="none"/>
              </w:rPr>
            </w:pPr>
          </w:p>
        </w:tc>
        <w:tc>
          <w:tcPr>
            <w:tcW w:w="713" w:type="dxa"/>
            <w:vAlign w:val="center"/>
          </w:tcPr>
          <w:p w14:paraId="0EE10023">
            <w:pPr>
              <w:jc w:val="center"/>
              <w:rPr>
                <w:rFonts w:hint="eastAsia" w:ascii="宋体" w:hAnsi="宋体" w:eastAsia="宋体" w:cs="宋体"/>
                <w:color w:val="auto"/>
                <w:spacing w:val="-4"/>
                <w:szCs w:val="21"/>
                <w:highlight w:val="none"/>
              </w:rPr>
            </w:pPr>
          </w:p>
        </w:tc>
      </w:tr>
      <w:tr w14:paraId="0CF5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013" w:type="dxa"/>
            <w:vMerge w:val="continue"/>
            <w:vAlign w:val="center"/>
          </w:tcPr>
          <w:p w14:paraId="0F584C55">
            <w:pPr>
              <w:keepLines w:val="0"/>
              <w:pageBreakBefore w:val="0"/>
              <w:kinsoku/>
              <w:wordWrap/>
              <w:overflowPunct/>
              <w:topLinePunct w:val="0"/>
              <w:autoSpaceDE w:val="0"/>
              <w:autoSpaceDN w:val="0"/>
              <w:bidi w:val="0"/>
              <w:adjustRightIn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tc>
        <w:tc>
          <w:tcPr>
            <w:tcW w:w="1082" w:type="dxa"/>
            <w:vMerge w:val="continue"/>
            <w:vAlign w:val="center"/>
          </w:tcPr>
          <w:p w14:paraId="38D2EBED">
            <w:pPr>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z w:val="21"/>
                <w:szCs w:val="21"/>
                <w:highlight w:val="none"/>
              </w:rPr>
            </w:pPr>
          </w:p>
        </w:tc>
        <w:tc>
          <w:tcPr>
            <w:tcW w:w="7065" w:type="dxa"/>
            <w:vAlign w:val="center"/>
          </w:tcPr>
          <w:p w14:paraId="6B0C281A">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拟派秩序维护人员</w:t>
            </w:r>
            <w:r>
              <w:rPr>
                <w:rFonts w:hint="eastAsia" w:ascii="宋体" w:hAnsi="宋体" w:eastAsia="宋体" w:cs="宋体"/>
                <w:color w:val="auto"/>
                <w:sz w:val="21"/>
                <w:szCs w:val="21"/>
                <w:highlight w:val="none"/>
              </w:rPr>
              <w:t>队长</w:t>
            </w:r>
            <w:r>
              <w:rPr>
                <w:rFonts w:hint="eastAsia" w:ascii="宋体" w:hAnsi="宋体" w:eastAsia="宋体" w:cs="宋体"/>
                <w:color w:val="auto"/>
                <w:sz w:val="21"/>
                <w:szCs w:val="21"/>
                <w:highlight w:val="none"/>
                <w:lang w:eastAsia="zh-CN"/>
              </w:rPr>
              <w:t>：</w:t>
            </w:r>
          </w:p>
          <w:p w14:paraId="49FFF728">
            <w:pPr>
              <w:keepNext w:val="0"/>
              <w:keepLines w:val="0"/>
              <w:pageBreakBefore w:val="0"/>
              <w:numPr>
                <w:ilvl w:val="0"/>
                <w:numId w:val="4"/>
              </w:numPr>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具有一级或二级保安员证</w:t>
            </w:r>
            <w:r>
              <w:rPr>
                <w:rFonts w:hint="eastAsia" w:ascii="宋体" w:hAnsi="宋体" w:eastAsia="宋体" w:cs="宋体"/>
                <w:color w:val="auto"/>
                <w:sz w:val="21"/>
                <w:szCs w:val="21"/>
                <w:highlight w:val="none"/>
                <w:lang w:val="en-US" w:eastAsia="zh-CN"/>
              </w:rPr>
              <w:t>的得2分；</w:t>
            </w:r>
          </w:p>
          <w:p w14:paraId="44868B55">
            <w:pPr>
              <w:keepNext w:val="0"/>
              <w:keepLines w:val="0"/>
              <w:pageBreakBefore w:val="0"/>
              <w:numPr>
                <w:ilvl w:val="0"/>
                <w:numId w:val="4"/>
              </w:numPr>
              <w:kinsoku/>
              <w:wordWrap/>
              <w:overflowPunct/>
              <w:topLinePunct w:val="0"/>
              <w:bidi w:val="0"/>
              <w:spacing w:line="240" w:lineRule="auto"/>
              <w:ind w:left="0" w:leftChars="0" w:right="0" w:righ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具有本科及以上学历的得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2972411">
            <w:pPr>
              <w:keepNext w:val="0"/>
              <w:keepLines w:val="0"/>
              <w:pageBreakBefore w:val="0"/>
              <w:kinsoku/>
              <w:wordWrap/>
              <w:overflowPunct/>
              <w:topLinePunct w:val="0"/>
              <w:bidi w:val="0"/>
              <w:spacing w:line="240" w:lineRule="auto"/>
              <w:ind w:left="0" w:leftChars="0" w:right="0" w:righ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本项最高得3分。</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sz w:val="21"/>
                <w:szCs w:val="21"/>
                <w:highlight w:val="none"/>
              </w:rPr>
              <w:t>提供</w:t>
            </w:r>
            <w:r>
              <w:rPr>
                <w:rFonts w:hint="eastAsia" w:ascii="宋体" w:hAnsi="宋体" w:eastAsia="宋体" w:cs="宋体"/>
                <w:b/>
                <w:bCs/>
                <w:color w:val="auto"/>
                <w:sz w:val="21"/>
                <w:szCs w:val="21"/>
                <w:highlight w:val="none"/>
                <w:lang w:val="en-US" w:eastAsia="zh-CN"/>
              </w:rPr>
              <w:t>有效的保安员</w:t>
            </w:r>
            <w:r>
              <w:rPr>
                <w:rFonts w:hint="eastAsia" w:ascii="宋体" w:hAnsi="宋体" w:eastAsia="宋体" w:cs="宋体"/>
                <w:b/>
                <w:bCs/>
                <w:color w:val="auto"/>
                <w:sz w:val="21"/>
                <w:szCs w:val="21"/>
                <w:highlight w:val="none"/>
              </w:rPr>
              <w:t>证书</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毕业证书</w:t>
            </w:r>
            <w:r>
              <w:rPr>
                <w:rFonts w:hint="eastAsia" w:ascii="宋体" w:hAnsi="宋体" w:eastAsia="宋体" w:cs="宋体"/>
                <w:b/>
                <w:bCs/>
                <w:color w:val="auto"/>
                <w:sz w:val="21"/>
                <w:szCs w:val="21"/>
                <w:highlight w:val="none"/>
              </w:rPr>
              <w:t>扫描件及投标截止时间前近</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个月内的社保缴费证明</w:t>
            </w:r>
            <w:r>
              <w:rPr>
                <w:rFonts w:hint="eastAsia" w:ascii="宋体" w:hAnsi="宋体" w:eastAsia="宋体" w:cs="宋体"/>
                <w:b/>
                <w:bCs/>
                <w:color w:val="auto"/>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未提供或提供不全的</w:t>
            </w:r>
            <w:r>
              <w:rPr>
                <w:rFonts w:hint="eastAsia" w:ascii="宋体" w:hAnsi="宋体" w:eastAsia="宋体" w:cs="宋体"/>
                <w:b/>
                <w:bCs/>
                <w:color w:val="auto"/>
                <w:sz w:val="21"/>
                <w:szCs w:val="21"/>
                <w:highlight w:val="none"/>
              </w:rPr>
              <w:t>不得分）</w:t>
            </w:r>
          </w:p>
        </w:tc>
        <w:tc>
          <w:tcPr>
            <w:tcW w:w="663" w:type="dxa"/>
            <w:vAlign w:val="center"/>
          </w:tcPr>
          <w:p w14:paraId="04239B0F">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737" w:type="dxa"/>
            <w:vAlign w:val="center"/>
          </w:tcPr>
          <w:p w14:paraId="4D6F567A">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tc>
        <w:tc>
          <w:tcPr>
            <w:tcW w:w="713" w:type="dxa"/>
            <w:vAlign w:val="center"/>
          </w:tcPr>
          <w:p w14:paraId="2A6BF871">
            <w:pPr>
              <w:keepNext w:val="0"/>
              <w:keepLines w:val="0"/>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rPr>
                <w:rFonts w:hint="eastAsia" w:ascii="宋体" w:hAnsi="宋体" w:eastAsia="宋体" w:cs="宋体"/>
                <w:color w:val="auto"/>
                <w:kern w:val="0"/>
                <w:sz w:val="21"/>
                <w:szCs w:val="21"/>
                <w:highlight w:val="none"/>
                <w:lang w:val="en-US" w:eastAsia="zh-CN" w:bidi="ar-SA"/>
              </w:rPr>
            </w:pPr>
          </w:p>
        </w:tc>
      </w:tr>
      <w:tr w14:paraId="3A73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13" w:type="dxa"/>
            <w:vMerge w:val="restart"/>
            <w:vAlign w:val="center"/>
          </w:tcPr>
          <w:p w14:paraId="6989FBD8">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7FAB6A2F">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0D37D28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5C3CAA65">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72724FE3">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62EDD27D">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3997490A">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6A722CE1">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1E68261B">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3481C71C">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5E5C88A7">
            <w:pPr>
              <w:keepLines w:val="0"/>
              <w:pageBreakBefore w:val="0"/>
              <w:kinsoku/>
              <w:wordWrap/>
              <w:overflowPunct/>
              <w:topLinePunct w:val="0"/>
              <w:bidi w:val="0"/>
              <w:adjustRightInd w:val="0"/>
              <w:snapToGrid w:val="0"/>
              <w:spacing w:beforeAutospacing="0" w:afterAutospacing="0" w:line="240" w:lineRule="auto"/>
              <w:ind w:left="0"/>
              <w:jc w:val="center"/>
              <w:textAlignment w:val="auto"/>
              <w:rPr>
                <w:rFonts w:hint="eastAsia" w:ascii="宋体" w:hAnsi="宋体" w:eastAsia="宋体" w:cs="宋体"/>
                <w:color w:val="auto"/>
                <w:sz w:val="21"/>
                <w:szCs w:val="21"/>
                <w:highlight w:val="none"/>
              </w:rPr>
            </w:pPr>
          </w:p>
          <w:p w14:paraId="5CFCA00A">
            <w:pPr>
              <w:pStyle w:val="2"/>
              <w:keepLines w:val="0"/>
              <w:pageBreakBefore w:val="0"/>
              <w:kinsoku/>
              <w:wordWrap/>
              <w:overflowPunct/>
              <w:topLinePunct w:val="0"/>
              <w:bidi w:val="0"/>
              <w:spacing w:beforeAutospacing="0" w:after="0" w:afterAutospacing="0" w:line="240" w:lineRule="auto"/>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67分</w:t>
            </w:r>
            <w:r>
              <w:rPr>
                <w:rFonts w:hint="eastAsia" w:ascii="宋体" w:hAnsi="宋体" w:eastAsia="宋体" w:cs="宋体"/>
                <w:color w:val="auto"/>
                <w:sz w:val="21"/>
                <w:szCs w:val="21"/>
                <w:highlight w:val="none"/>
                <w:lang w:eastAsia="zh-CN"/>
              </w:rPr>
              <w:t>）</w:t>
            </w:r>
          </w:p>
          <w:p w14:paraId="65159F0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1D91E53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7065" w:type="dxa"/>
            <w:vAlign w:val="center"/>
          </w:tcPr>
          <w:p w14:paraId="2449123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olor w:val="auto"/>
                <w:sz w:val="21"/>
                <w:szCs w:val="21"/>
                <w:highlight w:val="none"/>
                <w:lang w:eastAsia="zh-CN"/>
              </w:rPr>
              <w:t>横街镇应急处置现场维持秩序服务的</w:t>
            </w:r>
            <w:r>
              <w:rPr>
                <w:rFonts w:hint="eastAsia" w:ascii="宋体" w:hAnsi="宋体" w:eastAsia="宋体" w:cs="宋体"/>
                <w:b w:val="0"/>
                <w:color w:val="auto"/>
                <w:sz w:val="21"/>
                <w:szCs w:val="21"/>
                <w:highlight w:val="none"/>
                <w:lang w:val="en-US" w:eastAsia="zh-CN"/>
              </w:rPr>
              <w:t>区域特征</w:t>
            </w:r>
            <w:r>
              <w:rPr>
                <w:rFonts w:hint="eastAsia" w:ascii="宋体" w:hAnsi="宋体" w:eastAsia="宋体" w:cs="宋体"/>
                <w:b w:val="0"/>
                <w:color w:val="auto"/>
                <w:sz w:val="21"/>
                <w:szCs w:val="21"/>
                <w:highlight w:val="none"/>
              </w:rPr>
              <w:t>分析</w:t>
            </w:r>
            <w:r>
              <w:rPr>
                <w:rFonts w:hint="eastAsia" w:ascii="宋体" w:hAnsi="宋体" w:eastAsia="宋体" w:cs="宋体"/>
                <w:b w:val="0"/>
                <w:color w:val="auto"/>
                <w:sz w:val="21"/>
                <w:szCs w:val="21"/>
                <w:highlight w:val="none"/>
                <w:lang w:val="en-US" w:eastAsia="zh-CN"/>
              </w:rPr>
              <w:t>等进行打分。</w:t>
            </w:r>
          </w:p>
          <w:p w14:paraId="5006D88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调查全面，服务背景分析有针对性的得</w:t>
            </w:r>
            <w:r>
              <w:rPr>
                <w:rFonts w:hint="eastAsia" w:ascii="宋体" w:hAnsi="宋体" w:eastAsia="宋体" w:cs="宋体"/>
                <w:color w:val="auto"/>
                <w:spacing w:val="-4"/>
                <w:szCs w:val="21"/>
                <w:highlight w:val="none"/>
                <w:lang w:val="en-US" w:eastAsia="zh-CN"/>
              </w:rPr>
              <w:t>3.0-5.0分</w:t>
            </w:r>
            <w:r>
              <w:rPr>
                <w:rFonts w:hint="eastAsia" w:ascii="宋体" w:hAnsi="宋体" w:eastAsia="宋体" w:cs="宋体"/>
                <w:b w:val="0"/>
                <w:color w:val="auto"/>
                <w:sz w:val="21"/>
                <w:szCs w:val="21"/>
                <w:highlight w:val="none"/>
                <w:lang w:val="en-US" w:eastAsia="zh-CN"/>
              </w:rPr>
              <w:t>；</w:t>
            </w:r>
          </w:p>
          <w:p w14:paraId="4AFBAA4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对项目相关服务内容了解度不高，区域特征分析基本合理、简单的得</w:t>
            </w:r>
            <w:r>
              <w:rPr>
                <w:rFonts w:hint="eastAsia" w:ascii="宋体" w:hAnsi="宋体" w:eastAsia="宋体" w:cs="宋体"/>
                <w:color w:val="auto"/>
                <w:spacing w:val="-4"/>
                <w:szCs w:val="21"/>
                <w:highlight w:val="none"/>
                <w:lang w:val="en-US" w:eastAsia="zh-CN"/>
              </w:rPr>
              <w:t>0.1-2.9分</w:t>
            </w:r>
            <w:r>
              <w:rPr>
                <w:rFonts w:hint="eastAsia" w:ascii="宋体" w:hAnsi="宋体" w:eastAsia="宋体" w:cs="宋体"/>
                <w:b w:val="0"/>
                <w:color w:val="auto"/>
                <w:sz w:val="21"/>
                <w:szCs w:val="21"/>
                <w:highlight w:val="none"/>
                <w:lang w:val="en-US" w:eastAsia="zh-CN"/>
              </w:rPr>
              <w:t>；</w:t>
            </w:r>
          </w:p>
          <w:p w14:paraId="07E6567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3A5E0E4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737" w:type="dxa"/>
            <w:vAlign w:val="center"/>
          </w:tcPr>
          <w:p w14:paraId="1C8573CA">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49F4900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339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13" w:type="dxa"/>
            <w:vMerge w:val="continue"/>
            <w:vAlign w:val="center"/>
          </w:tcPr>
          <w:p w14:paraId="002E4E6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12133457">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w:t>
            </w:r>
          </w:p>
        </w:tc>
        <w:tc>
          <w:tcPr>
            <w:tcW w:w="7065" w:type="dxa"/>
            <w:vAlign w:val="center"/>
          </w:tcPr>
          <w:p w14:paraId="0A5CB97F">
            <w:pPr>
              <w:widowControl/>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实施背景、</w:t>
            </w:r>
            <w:r>
              <w:rPr>
                <w:rFonts w:hint="eastAsia" w:ascii="宋体" w:hAnsi="宋体"/>
                <w:color w:val="auto"/>
                <w:sz w:val="21"/>
                <w:szCs w:val="21"/>
                <w:highlight w:val="none"/>
                <w:lang w:eastAsia="zh-CN"/>
              </w:rPr>
              <w:t>横街镇应急处置现场维持秩序服务</w:t>
            </w:r>
            <w:r>
              <w:rPr>
                <w:rFonts w:hint="eastAsia" w:ascii="宋体" w:hAnsi="宋体" w:eastAsia="宋体" w:cs="宋体"/>
                <w:color w:val="auto"/>
                <w:sz w:val="21"/>
                <w:szCs w:val="21"/>
                <w:highlight w:val="none"/>
                <w:lang w:val="en-US" w:eastAsia="zh-CN"/>
              </w:rPr>
              <w:t>调查、存在问题和具体服务过程中可能遇到的</w:t>
            </w:r>
            <w:r>
              <w:rPr>
                <w:rFonts w:hint="eastAsia" w:ascii="宋体" w:hAnsi="宋体" w:eastAsia="宋体" w:cs="宋体"/>
                <w:color w:val="auto"/>
                <w:sz w:val="21"/>
                <w:szCs w:val="21"/>
                <w:highlight w:val="none"/>
              </w:rPr>
              <w:t>重点难点分析情况</w:t>
            </w:r>
            <w:r>
              <w:rPr>
                <w:rFonts w:hint="eastAsia" w:ascii="宋体" w:hAnsi="宋体" w:eastAsia="宋体" w:cs="宋体"/>
                <w:color w:val="auto"/>
                <w:sz w:val="21"/>
                <w:szCs w:val="21"/>
                <w:highlight w:val="none"/>
                <w:lang w:val="en-US" w:eastAsia="zh-CN"/>
              </w:rPr>
              <w:t>进行打分。</w:t>
            </w:r>
          </w:p>
          <w:p w14:paraId="6EB64D36">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调查仔细，调查资料收集完整全面，重难点分析</w:t>
            </w:r>
            <w:r>
              <w:rPr>
                <w:rFonts w:hint="eastAsia" w:ascii="宋体" w:hAnsi="宋体" w:eastAsia="宋体" w:cs="宋体"/>
                <w:color w:val="auto"/>
                <w:spacing w:val="-4"/>
                <w:szCs w:val="21"/>
                <w:highlight w:val="none"/>
                <w:lang w:val="en-US" w:eastAsia="zh-CN"/>
              </w:rPr>
              <w:t>详细且有针对性的得3.0-5.0分；</w:t>
            </w:r>
          </w:p>
          <w:p w14:paraId="5B0CBA0C">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调查资料简单，重难点分析内容片面，缺乏针对性的得0.1-2.9分；</w:t>
            </w:r>
          </w:p>
          <w:p w14:paraId="6D8D7B44">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663" w:type="dxa"/>
            <w:vAlign w:val="center"/>
          </w:tcPr>
          <w:p w14:paraId="09D790C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737" w:type="dxa"/>
            <w:vAlign w:val="center"/>
          </w:tcPr>
          <w:p w14:paraId="471D6337">
            <w:pPr>
              <w:jc w:val="center"/>
              <w:rPr>
                <w:rFonts w:hint="eastAsia" w:ascii="宋体" w:hAnsi="宋体" w:eastAsia="宋体" w:cs="宋体"/>
                <w:color w:val="auto"/>
                <w:highlight w:val="none"/>
                <w:lang w:val="en-US" w:eastAsia="zh-CN"/>
              </w:rPr>
            </w:pPr>
          </w:p>
        </w:tc>
        <w:tc>
          <w:tcPr>
            <w:tcW w:w="713" w:type="dxa"/>
            <w:vAlign w:val="center"/>
          </w:tcPr>
          <w:p w14:paraId="0F5BE9B2">
            <w:pPr>
              <w:jc w:val="center"/>
              <w:rPr>
                <w:rFonts w:hint="eastAsia" w:ascii="宋体" w:hAnsi="宋体" w:eastAsia="宋体" w:cs="宋体"/>
                <w:color w:val="auto"/>
                <w:highlight w:val="none"/>
                <w:lang w:val="en-US" w:eastAsia="zh-CN"/>
              </w:rPr>
            </w:pPr>
          </w:p>
        </w:tc>
      </w:tr>
      <w:tr w14:paraId="5002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13" w:type="dxa"/>
            <w:vMerge w:val="continue"/>
            <w:vAlign w:val="center"/>
          </w:tcPr>
          <w:p w14:paraId="6613571A">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01B8DE94">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重难点解决方案</w:t>
            </w:r>
          </w:p>
        </w:tc>
        <w:tc>
          <w:tcPr>
            <w:tcW w:w="7065" w:type="dxa"/>
            <w:vAlign w:val="center"/>
          </w:tcPr>
          <w:p w14:paraId="5F2BE1F9">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0"/>
                <w:highlight w:val="none"/>
                <w:lang w:eastAsia="zh-CN"/>
              </w:rPr>
            </w:pPr>
            <w:r>
              <w:rPr>
                <w:rFonts w:hint="eastAsia" w:ascii="宋体" w:hAnsi="宋体" w:eastAsia="宋体" w:cs="宋体"/>
                <w:b w:val="0"/>
                <w:color w:val="auto"/>
                <w:sz w:val="21"/>
                <w:szCs w:val="20"/>
                <w:highlight w:val="none"/>
              </w:rPr>
              <w:t>根据投标人对项目工作存在的</w:t>
            </w:r>
            <w:r>
              <w:rPr>
                <w:rFonts w:hint="eastAsia" w:ascii="宋体" w:hAnsi="宋体" w:eastAsia="宋体" w:cs="宋体"/>
                <w:b w:val="0"/>
                <w:color w:val="auto"/>
                <w:sz w:val="21"/>
                <w:szCs w:val="20"/>
                <w:highlight w:val="none"/>
                <w:lang w:val="en-US" w:eastAsia="zh-CN"/>
              </w:rPr>
              <w:t>重点难点问题提出的</w:t>
            </w:r>
            <w:r>
              <w:rPr>
                <w:rFonts w:hint="eastAsia" w:ascii="宋体" w:hAnsi="宋体" w:eastAsia="宋体" w:cs="宋体"/>
                <w:b w:val="0"/>
                <w:color w:val="auto"/>
                <w:sz w:val="21"/>
                <w:szCs w:val="20"/>
                <w:highlight w:val="none"/>
              </w:rPr>
              <w:t>解决措施进行打分</w:t>
            </w:r>
            <w:r>
              <w:rPr>
                <w:rFonts w:hint="eastAsia" w:ascii="宋体" w:hAnsi="宋体" w:eastAsia="宋体" w:cs="宋体"/>
                <w:b w:val="0"/>
                <w:color w:val="auto"/>
                <w:sz w:val="21"/>
                <w:szCs w:val="20"/>
                <w:highlight w:val="none"/>
                <w:lang w:eastAsia="zh-CN"/>
              </w:rPr>
              <w:t>。</w:t>
            </w:r>
          </w:p>
          <w:p w14:paraId="15B8DC22">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0"/>
                <w:highlight w:val="none"/>
              </w:rPr>
            </w:pP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方法，具有针对性、合理性、可行性</w:t>
            </w:r>
            <w:r>
              <w:rPr>
                <w:rFonts w:hint="eastAsia" w:ascii="宋体" w:hAnsi="宋体" w:eastAsia="宋体" w:cs="宋体"/>
                <w:b w:val="0"/>
                <w:color w:val="auto"/>
                <w:sz w:val="21"/>
                <w:szCs w:val="20"/>
                <w:highlight w:val="none"/>
              </w:rPr>
              <w:t>的得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color w:val="auto"/>
                <w:sz w:val="21"/>
                <w:szCs w:val="20"/>
                <w:highlight w:val="none"/>
              </w:rPr>
              <w:t>；</w:t>
            </w:r>
          </w:p>
          <w:p w14:paraId="13B2101C">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b w:val="0"/>
                <w:color w:val="auto"/>
                <w:sz w:val="21"/>
                <w:szCs w:val="20"/>
                <w:highlight w:val="none"/>
              </w:rPr>
            </w:pP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不够详尽的得</w:t>
            </w:r>
            <w:r>
              <w:rPr>
                <w:rFonts w:hint="eastAsia" w:ascii="宋体" w:hAnsi="宋体" w:eastAsia="宋体" w:cs="宋体"/>
                <w:b w:val="0"/>
                <w:color w:val="auto"/>
                <w:sz w:val="21"/>
                <w:szCs w:val="21"/>
                <w:highlight w:val="none"/>
                <w:lang w:val="en-US" w:eastAsia="zh-CN"/>
              </w:rPr>
              <w:t>0.1-2.9分</w:t>
            </w:r>
            <w:r>
              <w:rPr>
                <w:rFonts w:hint="eastAsia" w:ascii="宋体" w:hAnsi="宋体" w:eastAsia="宋体" w:cs="宋体"/>
                <w:b w:val="0"/>
                <w:color w:val="auto"/>
                <w:sz w:val="21"/>
                <w:szCs w:val="20"/>
                <w:highlight w:val="none"/>
              </w:rPr>
              <w:t>；</w:t>
            </w:r>
          </w:p>
          <w:p w14:paraId="675A6C0D">
            <w:pPr>
              <w:keepNext w:val="0"/>
              <w:keepLines w:val="0"/>
              <w:pageBreakBefore w:val="0"/>
              <w:widowControl/>
              <w:kinsoku/>
              <w:wordWrap/>
              <w:overflowPunct/>
              <w:topLinePunct w:val="0"/>
              <w:bidi w:val="0"/>
              <w:snapToGrid/>
              <w:spacing w:beforeAutospacing="0" w:afterAutospacing="0" w:line="240" w:lineRule="auto"/>
              <w:ind w:left="0" w:leftChars="0"/>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r>
              <w:rPr>
                <w:rFonts w:hint="eastAsia" w:ascii="宋体" w:hAnsi="宋体" w:eastAsia="宋体" w:cs="宋体"/>
                <w:b w:val="0"/>
                <w:color w:val="auto"/>
                <w:sz w:val="21"/>
                <w:szCs w:val="20"/>
                <w:highlight w:val="none"/>
              </w:rPr>
              <w:t>。</w:t>
            </w:r>
          </w:p>
        </w:tc>
        <w:tc>
          <w:tcPr>
            <w:tcW w:w="663" w:type="dxa"/>
            <w:vAlign w:val="center"/>
          </w:tcPr>
          <w:p w14:paraId="1D23936F">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737" w:type="dxa"/>
            <w:vAlign w:val="center"/>
          </w:tcPr>
          <w:p w14:paraId="7623C605">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1CC42ACF">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47AE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13" w:type="dxa"/>
            <w:vMerge w:val="continue"/>
            <w:vAlign w:val="center"/>
          </w:tcPr>
          <w:p w14:paraId="30008BD7">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Merge w:val="restart"/>
            <w:vAlign w:val="center"/>
          </w:tcPr>
          <w:p w14:paraId="14CEAB13">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服务方案</w:t>
            </w:r>
          </w:p>
        </w:tc>
        <w:tc>
          <w:tcPr>
            <w:tcW w:w="7065" w:type="dxa"/>
            <w:vAlign w:val="center"/>
          </w:tcPr>
          <w:p w14:paraId="38DA4FA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“管理方案和工作计划”</w:t>
            </w:r>
            <w:r>
              <w:rPr>
                <w:rFonts w:hint="eastAsia" w:ascii="宋体" w:hAnsi="宋体" w:eastAsia="宋体" w:cs="宋体"/>
                <w:b w:val="0"/>
                <w:color w:val="auto"/>
                <w:sz w:val="21"/>
                <w:szCs w:val="21"/>
                <w:highlight w:val="none"/>
                <w:lang w:val="en-US" w:eastAsia="zh-CN"/>
              </w:rPr>
              <w:t>进行打分。</w:t>
            </w:r>
          </w:p>
          <w:p w14:paraId="471E9D32">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方案阐述详细全面可行，内容贴合项目实际，工作计划安排明确，内容完整具有针对性、可操作性，符合项目需求，能有效保障项目后续服务质量的得3.0-</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lang w:val="en-US" w:eastAsia="zh-CN"/>
              </w:rPr>
              <w:t>.0分；</w:t>
            </w:r>
          </w:p>
          <w:p w14:paraId="2FF7D2A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方案合理，但内容有欠缺，相关工作计划安排不合理，无法保障项目服务质量的得0.1-2.9分；</w:t>
            </w:r>
          </w:p>
          <w:p w14:paraId="4211C3D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1E91614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737" w:type="dxa"/>
            <w:vAlign w:val="center"/>
          </w:tcPr>
          <w:p w14:paraId="68F18B8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713" w:type="dxa"/>
            <w:vAlign w:val="center"/>
          </w:tcPr>
          <w:p w14:paraId="475B60A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4739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013" w:type="dxa"/>
            <w:vMerge w:val="continue"/>
            <w:vAlign w:val="center"/>
          </w:tcPr>
          <w:p w14:paraId="2E6EB6A2">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Merge w:val="continue"/>
            <w:vAlign w:val="center"/>
          </w:tcPr>
          <w:p w14:paraId="184822BA">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65" w:type="dxa"/>
            <w:vAlign w:val="center"/>
          </w:tcPr>
          <w:p w14:paraId="4637558D">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“秩序维护人员服务方案”</w:t>
            </w:r>
            <w:r>
              <w:rPr>
                <w:rFonts w:hint="eastAsia" w:ascii="宋体" w:hAnsi="宋体" w:eastAsia="宋体" w:cs="宋体"/>
                <w:b w:val="0"/>
                <w:color w:val="auto"/>
                <w:sz w:val="21"/>
                <w:szCs w:val="21"/>
                <w:highlight w:val="none"/>
                <w:lang w:val="en-US" w:eastAsia="zh-CN"/>
              </w:rPr>
              <w:t>进行打分。</w:t>
            </w:r>
          </w:p>
          <w:p w14:paraId="0760A03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方案阐述详细全面可行，内容贴合项目实际，工作安排明确，内容完整具有针对性、可操作性，符合项目需求，能有效保障项目后续服务质量的得3.0-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4BEE606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方案合理，但内容有欠缺，相关工作安排不合理，无法保障项目服务质量的得0.1-2.9分；</w:t>
            </w:r>
          </w:p>
          <w:p w14:paraId="6A71421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5BC4E17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7" w:type="dxa"/>
            <w:vAlign w:val="center"/>
          </w:tcPr>
          <w:p w14:paraId="583A863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1FDBB6B8">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45F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013" w:type="dxa"/>
            <w:vMerge w:val="continue"/>
            <w:vAlign w:val="center"/>
          </w:tcPr>
          <w:p w14:paraId="425B6FB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77668948">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交接计划</w:t>
            </w:r>
          </w:p>
        </w:tc>
        <w:tc>
          <w:tcPr>
            <w:tcW w:w="7065" w:type="dxa"/>
            <w:vAlign w:val="center"/>
          </w:tcPr>
          <w:p w14:paraId="65B693EA">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“交接方案”</w:t>
            </w:r>
            <w:r>
              <w:rPr>
                <w:rFonts w:hint="eastAsia" w:ascii="宋体" w:hAnsi="宋体" w:eastAsia="宋体" w:cs="宋体"/>
                <w:b w:val="0"/>
                <w:color w:val="auto"/>
                <w:sz w:val="21"/>
                <w:szCs w:val="21"/>
                <w:highlight w:val="none"/>
                <w:lang w:val="en-US" w:eastAsia="zh-CN"/>
              </w:rPr>
              <w:t>进行打分。</w:t>
            </w:r>
          </w:p>
          <w:p w14:paraId="592A919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交接方案阐述完整，设备、车辆、人员等各方面均有详细交接安排，具有全面性、针对性、可操作性，能有效解决项目交接问题的得3.0-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3FF0CE3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针对设备、车辆、人员等各方面安排不明确，提出的交接方案较为空泛，对本项目交接问题的解决缺乏实质性帮助的得0.1-2.9分；</w:t>
            </w:r>
          </w:p>
          <w:p w14:paraId="62584BE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457990ED">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7" w:type="dxa"/>
            <w:vAlign w:val="center"/>
          </w:tcPr>
          <w:p w14:paraId="4042434E">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7F750BE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4A7F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013" w:type="dxa"/>
            <w:vMerge w:val="continue"/>
            <w:vAlign w:val="center"/>
          </w:tcPr>
          <w:p w14:paraId="64E583B1">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Merge w:val="restart"/>
            <w:vAlign w:val="center"/>
          </w:tcPr>
          <w:p w14:paraId="13CA4F9C">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相关制度</w:t>
            </w:r>
          </w:p>
        </w:tc>
        <w:tc>
          <w:tcPr>
            <w:tcW w:w="7065" w:type="dxa"/>
            <w:vAlign w:val="center"/>
          </w:tcPr>
          <w:p w14:paraId="49F511F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根据投标人是否具备较完备的</w:t>
            </w:r>
            <w:r>
              <w:rPr>
                <w:rFonts w:hint="eastAsia" w:ascii="宋体" w:hAnsi="宋体" w:eastAsia="宋体" w:cs="宋体"/>
                <w:b/>
                <w:bCs/>
                <w:color w:val="auto"/>
                <w:sz w:val="21"/>
                <w:szCs w:val="21"/>
                <w:highlight w:val="none"/>
                <w:lang w:val="en-US" w:eastAsia="zh-CN"/>
              </w:rPr>
              <w:t>安全教育与管理制度</w:t>
            </w:r>
            <w:r>
              <w:rPr>
                <w:rFonts w:hint="eastAsia" w:ascii="宋体" w:hAnsi="宋体" w:eastAsia="宋体" w:cs="宋体"/>
                <w:b w:val="0"/>
                <w:color w:val="auto"/>
                <w:sz w:val="21"/>
                <w:szCs w:val="21"/>
                <w:highlight w:val="none"/>
                <w:lang w:val="en-US" w:eastAsia="zh-CN"/>
              </w:rPr>
              <w:t>，包括提供的作业人员安全教育、劳动保护及安全措施等方案的科学性、合理性情况进行打分。</w:t>
            </w:r>
          </w:p>
          <w:p w14:paraId="56C09A9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秩序维护人员安全教育、劳动保护及安全措施等方案阐述完整详细，安全教育、劳动保护及安全措施贴合本项目实际，操作性强，有针对性的得3.0-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47D23DF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各项安全保护办法有提及，但安全教育、劳动保护安排不合理、安全措施方法不完善，缺乏针对性的得0.1-2.9分；</w:t>
            </w:r>
          </w:p>
          <w:p w14:paraId="1A7EA5B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344BC26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7" w:type="dxa"/>
            <w:vAlign w:val="center"/>
          </w:tcPr>
          <w:p w14:paraId="4D652F7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496D22CD">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925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013" w:type="dxa"/>
            <w:vMerge w:val="continue"/>
            <w:vAlign w:val="center"/>
          </w:tcPr>
          <w:p w14:paraId="44B970E8">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Merge w:val="continue"/>
            <w:vAlign w:val="center"/>
          </w:tcPr>
          <w:p w14:paraId="733A4F1F">
            <w:pPr>
              <w:keepNext w:val="0"/>
              <w:keepLines w:val="0"/>
              <w:pageBreakBefore w:val="0"/>
              <w:widowControl/>
              <w:kinsoku/>
              <w:wordWrap/>
              <w:overflowPunct/>
              <w:topLinePunct w:val="0"/>
              <w:bidi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p>
        </w:tc>
        <w:tc>
          <w:tcPr>
            <w:tcW w:w="7065" w:type="dxa"/>
            <w:vAlign w:val="center"/>
          </w:tcPr>
          <w:p w14:paraId="5CBC61D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根据投标人针对本项目制定的</w:t>
            </w:r>
            <w:r>
              <w:rPr>
                <w:rFonts w:hint="eastAsia" w:ascii="宋体" w:hAnsi="宋体" w:eastAsia="宋体" w:cs="宋体"/>
                <w:b/>
                <w:bCs/>
                <w:color w:val="auto"/>
                <w:sz w:val="21"/>
                <w:szCs w:val="21"/>
                <w:highlight w:val="none"/>
                <w:lang w:val="en-US" w:eastAsia="zh-CN"/>
              </w:rPr>
              <w:t>“相应的作业管理制度和内部考核办法”</w:t>
            </w:r>
            <w:r>
              <w:rPr>
                <w:rFonts w:hint="eastAsia" w:ascii="宋体" w:hAnsi="宋体" w:eastAsia="宋体" w:cs="宋体"/>
                <w:b w:val="0"/>
                <w:color w:val="auto"/>
                <w:sz w:val="21"/>
                <w:szCs w:val="21"/>
                <w:highlight w:val="none"/>
                <w:lang w:val="en-US" w:eastAsia="zh-CN"/>
              </w:rPr>
              <w:t>进行打分。</w:t>
            </w:r>
          </w:p>
          <w:p w14:paraId="5309635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本项目的作业管理制度、内部考核办法阐述完整详细，管理制度、内部考核办法贴合本项目实际，操作性强，有针对性的得3.0-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208A3BE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各项内部考核办法有提及，作业管理制度、内部考核办法安排不合理、工作方法不完善，缺乏针对性的得0.1-2.9分；</w:t>
            </w:r>
          </w:p>
          <w:p w14:paraId="2BDA22A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15625A4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w:t>
            </w:r>
          </w:p>
        </w:tc>
        <w:tc>
          <w:tcPr>
            <w:tcW w:w="737" w:type="dxa"/>
            <w:vAlign w:val="center"/>
          </w:tcPr>
          <w:p w14:paraId="510AAAF6">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51913E1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40B8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1013" w:type="dxa"/>
            <w:vMerge w:val="continue"/>
            <w:vAlign w:val="center"/>
          </w:tcPr>
          <w:p w14:paraId="54A239BF">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557D5AA9">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培训方案</w:t>
            </w:r>
          </w:p>
        </w:tc>
        <w:tc>
          <w:tcPr>
            <w:tcW w:w="7065" w:type="dxa"/>
            <w:vAlign w:val="center"/>
          </w:tcPr>
          <w:p w14:paraId="331389F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根据投</w:t>
            </w:r>
            <w:r>
              <w:rPr>
                <w:rFonts w:hint="eastAsia" w:ascii="宋体" w:hAnsi="宋体" w:eastAsia="宋体" w:cs="宋体"/>
                <w:color w:val="auto"/>
                <w:szCs w:val="21"/>
                <w:highlight w:val="none"/>
              </w:rPr>
              <w:t>标人</w:t>
            </w:r>
            <w:r>
              <w:rPr>
                <w:rFonts w:hint="eastAsia" w:ascii="宋体" w:hAnsi="宋体" w:eastAsia="宋体" w:cs="宋体"/>
                <w:color w:val="auto"/>
                <w:szCs w:val="21"/>
                <w:highlight w:val="none"/>
                <w:lang w:val="en-US" w:eastAsia="zh-CN"/>
              </w:rPr>
              <w:t>针对秩序维护人员提供的培训方案</w:t>
            </w:r>
            <w:r>
              <w:rPr>
                <w:rFonts w:hint="eastAsia" w:ascii="宋体" w:hAnsi="宋体" w:eastAsia="宋体" w:cs="宋体"/>
                <w:bCs/>
                <w:color w:val="auto"/>
                <w:szCs w:val="21"/>
                <w:highlight w:val="none"/>
                <w:lang w:val="en-US" w:eastAsia="zh-CN"/>
              </w:rPr>
              <w:t>的科学性、合理性、规范性和可操作性</w:t>
            </w:r>
            <w:r>
              <w:rPr>
                <w:rFonts w:hint="eastAsia" w:ascii="宋体" w:hAnsi="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包括培训计划、地点、组织等内容进行打分</w:t>
            </w:r>
            <w:r>
              <w:rPr>
                <w:rFonts w:hint="eastAsia" w:ascii="宋体" w:hAnsi="宋体" w:eastAsia="宋体" w:cs="宋体"/>
                <w:color w:val="auto"/>
                <w:szCs w:val="21"/>
                <w:highlight w:val="none"/>
                <w:lang w:val="en-US" w:eastAsia="zh-CN"/>
              </w:rPr>
              <w:t>。</w:t>
            </w:r>
          </w:p>
          <w:p w14:paraId="42BF8454">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培训方案全面，</w:t>
            </w:r>
            <w:r>
              <w:rPr>
                <w:rFonts w:hint="eastAsia" w:ascii="宋体" w:hAnsi="宋体" w:eastAsia="宋体" w:cs="宋体"/>
                <w:bCs/>
                <w:color w:val="auto"/>
                <w:szCs w:val="21"/>
                <w:highlight w:val="none"/>
                <w:lang w:val="en-US" w:eastAsia="zh-CN"/>
              </w:rPr>
              <w:t>培训计划安排合理，相关人员、地点等内容阐述完整，方案具有可操作性的</w:t>
            </w:r>
            <w:r>
              <w:rPr>
                <w:rFonts w:hint="eastAsia" w:ascii="宋体" w:hAnsi="宋体" w:eastAsia="宋体" w:cs="宋体"/>
                <w:bCs/>
                <w:color w:val="auto"/>
                <w:szCs w:val="21"/>
                <w:highlight w:val="none"/>
              </w:rPr>
              <w:t>得3.</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eastAsia="宋体" w:cs="宋体"/>
                <w:bCs/>
                <w:color w:val="auto"/>
                <w:szCs w:val="21"/>
                <w:highlight w:val="none"/>
              </w:rPr>
              <w:t>.0分；</w:t>
            </w:r>
          </w:p>
          <w:p w14:paraId="0D057793">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培训方案简单片面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相关培训计划、人员安排、培训地点等内容不明确</w:t>
            </w:r>
            <w:r>
              <w:rPr>
                <w:rFonts w:hint="eastAsia" w:ascii="宋体" w:hAnsi="宋体" w:eastAsia="宋体" w:cs="宋体"/>
                <w:bCs/>
                <w:color w:val="auto"/>
                <w:szCs w:val="21"/>
                <w:highlight w:val="none"/>
              </w:rPr>
              <w:t>的得0.1-</w:t>
            </w:r>
            <w:r>
              <w:rPr>
                <w:rFonts w:hint="eastAsia" w:ascii="宋体" w:hAnsi="宋体" w:eastAsia="宋体" w:cs="宋体"/>
                <w:bCs/>
                <w:color w:val="auto"/>
                <w:szCs w:val="21"/>
                <w:highlight w:val="none"/>
                <w:lang w:val="en-US" w:eastAsia="zh-CN"/>
              </w:rPr>
              <w:t>2.9</w:t>
            </w:r>
            <w:r>
              <w:rPr>
                <w:rFonts w:hint="eastAsia" w:ascii="宋体" w:hAnsi="宋体" w:eastAsia="宋体" w:cs="宋体"/>
                <w:bCs/>
                <w:color w:val="auto"/>
                <w:szCs w:val="21"/>
                <w:highlight w:val="none"/>
              </w:rPr>
              <w:t>分；</w:t>
            </w:r>
          </w:p>
          <w:p w14:paraId="72159F6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both"/>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Cs/>
                <w:color w:val="auto"/>
                <w:szCs w:val="21"/>
                <w:highlight w:val="none"/>
              </w:rPr>
              <w:t>未提及此项不得分。</w:t>
            </w:r>
          </w:p>
        </w:tc>
        <w:tc>
          <w:tcPr>
            <w:tcW w:w="663" w:type="dxa"/>
            <w:vAlign w:val="center"/>
          </w:tcPr>
          <w:p w14:paraId="32EDEE57">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6</w:t>
            </w:r>
          </w:p>
        </w:tc>
        <w:tc>
          <w:tcPr>
            <w:tcW w:w="737" w:type="dxa"/>
            <w:vAlign w:val="center"/>
          </w:tcPr>
          <w:p w14:paraId="15502728">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Cs w:val="21"/>
                <w:highlight w:val="none"/>
                <w:lang w:val="en-US" w:eastAsia="zh-CN"/>
              </w:rPr>
            </w:pPr>
          </w:p>
        </w:tc>
        <w:tc>
          <w:tcPr>
            <w:tcW w:w="713" w:type="dxa"/>
            <w:vAlign w:val="center"/>
          </w:tcPr>
          <w:p w14:paraId="7A892965">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auto"/>
                <w:szCs w:val="21"/>
                <w:highlight w:val="none"/>
                <w:lang w:val="en-US" w:eastAsia="zh-CN"/>
              </w:rPr>
            </w:pPr>
          </w:p>
        </w:tc>
      </w:tr>
      <w:tr w14:paraId="72FF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13" w:type="dxa"/>
            <w:vMerge w:val="continue"/>
            <w:vAlign w:val="center"/>
          </w:tcPr>
          <w:p w14:paraId="3C0924E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224F3A29">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服务质量管控</w:t>
            </w:r>
          </w:p>
        </w:tc>
        <w:tc>
          <w:tcPr>
            <w:tcW w:w="7065" w:type="dxa"/>
            <w:vAlign w:val="center"/>
          </w:tcPr>
          <w:p w14:paraId="0ED5802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根据投标人是否有明确的质量保证目标，质量保证措施，并具有详细的实施内容进行打分。</w:t>
            </w:r>
          </w:p>
          <w:p w14:paraId="305E998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质量保证目标、质量保证措施及实施内容阐述详系全面，且质量保证措施以及实施内容贴合本项目实际，操作性强，有针对性的得3.0-5.0分；</w:t>
            </w:r>
          </w:p>
          <w:p w14:paraId="5D7791D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阐述简单，相关内容不完整但基本能保障的得0.1-2.9分；</w:t>
            </w:r>
          </w:p>
          <w:p w14:paraId="421986FE">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196912A5">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5</w:t>
            </w:r>
          </w:p>
        </w:tc>
        <w:tc>
          <w:tcPr>
            <w:tcW w:w="737" w:type="dxa"/>
            <w:vAlign w:val="center"/>
          </w:tcPr>
          <w:p w14:paraId="0DE6F430">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70C1B51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202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vAlign w:val="center"/>
          </w:tcPr>
          <w:p w14:paraId="226B0993">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5744F161">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合理化建议</w:t>
            </w:r>
          </w:p>
        </w:tc>
        <w:tc>
          <w:tcPr>
            <w:tcW w:w="7065" w:type="dxa"/>
            <w:vAlign w:val="center"/>
          </w:tcPr>
          <w:p w14:paraId="32BDF8CB">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Cs w:val="21"/>
                <w:highlight w:val="none"/>
              </w:rPr>
              <w:t>根据投标人依据本项目服务要求、实际</w:t>
            </w:r>
            <w:r>
              <w:rPr>
                <w:rFonts w:hint="eastAsia" w:ascii="宋体" w:hAnsi="宋体" w:cs="宋体"/>
                <w:color w:val="auto"/>
                <w:szCs w:val="21"/>
                <w:highlight w:val="none"/>
                <w:lang w:val="en-US" w:eastAsia="zh-CN"/>
              </w:rPr>
              <w:t>工作</w:t>
            </w:r>
            <w:r>
              <w:rPr>
                <w:rFonts w:hint="eastAsia" w:ascii="宋体" w:hAnsi="宋体" w:eastAsia="宋体" w:cs="宋体"/>
                <w:color w:val="auto"/>
                <w:szCs w:val="21"/>
                <w:highlight w:val="none"/>
              </w:rPr>
              <w:t>需求提出的合理化建议</w:t>
            </w:r>
            <w:r>
              <w:rPr>
                <w:rFonts w:hint="eastAsia" w:ascii="宋体" w:hAnsi="宋体" w:eastAsia="宋体" w:cs="宋体"/>
                <w:b w:val="0"/>
                <w:bCs w:val="0"/>
                <w:color w:val="auto"/>
                <w:sz w:val="21"/>
                <w:szCs w:val="21"/>
                <w:highlight w:val="none"/>
                <w:lang w:val="en-US" w:eastAsia="zh-CN"/>
              </w:rPr>
              <w:t>进行打分。</w:t>
            </w:r>
          </w:p>
          <w:p w14:paraId="7A7EB6A7">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b w:val="0"/>
                <w:bCs w:val="0"/>
                <w:color w:val="auto"/>
                <w:sz w:val="21"/>
                <w:szCs w:val="21"/>
                <w:highlight w:val="none"/>
                <w:lang w:val="en-US" w:eastAsia="zh-CN"/>
              </w:rPr>
              <w:t>建议合理，可实现性强，具有改进意义</w:t>
            </w:r>
            <w:r>
              <w:rPr>
                <w:rFonts w:hint="eastAsia" w:ascii="宋体" w:hAnsi="宋体" w:eastAsia="宋体" w:cs="宋体"/>
                <w:color w:val="auto"/>
                <w:sz w:val="21"/>
                <w:szCs w:val="21"/>
                <w:highlight w:val="none"/>
                <w:lang w:val="en-US" w:eastAsia="zh-CN"/>
              </w:rPr>
              <w:t>的得3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r>
              <w:rPr>
                <w:rFonts w:hint="eastAsia" w:ascii="宋体" w:hAnsi="宋体" w:eastAsia="宋体" w:cs="宋体"/>
                <w:b w:val="0"/>
                <w:color w:val="auto"/>
                <w:sz w:val="21"/>
                <w:szCs w:val="20"/>
                <w:highlight w:val="none"/>
              </w:rPr>
              <w:t>；</w:t>
            </w:r>
          </w:p>
          <w:p w14:paraId="56D72F7A">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建议</w:t>
            </w:r>
            <w:r>
              <w:rPr>
                <w:rFonts w:hint="eastAsia" w:ascii="宋体" w:hAnsi="宋体" w:eastAsia="宋体" w:cs="宋体"/>
                <w:b w:val="0"/>
                <w:bCs w:val="0"/>
                <w:color w:val="auto"/>
                <w:sz w:val="21"/>
                <w:szCs w:val="21"/>
                <w:highlight w:val="none"/>
              </w:rPr>
              <w:t>可实现性</w:t>
            </w:r>
            <w:r>
              <w:rPr>
                <w:rFonts w:hint="eastAsia" w:ascii="宋体" w:hAnsi="宋体" w:eastAsia="宋体" w:cs="宋体"/>
                <w:b w:val="0"/>
                <w:bCs w:val="0"/>
                <w:color w:val="auto"/>
                <w:sz w:val="21"/>
                <w:szCs w:val="21"/>
                <w:highlight w:val="none"/>
                <w:lang w:val="en-US" w:eastAsia="zh-CN"/>
              </w:rPr>
              <w:t>较差，几乎没有改进意义</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color w:val="auto"/>
                <w:sz w:val="21"/>
                <w:szCs w:val="20"/>
                <w:highlight w:val="none"/>
                <w:lang w:val="en-US" w:eastAsia="zh-CN"/>
              </w:rPr>
              <w:t>得</w:t>
            </w:r>
            <w:r>
              <w:rPr>
                <w:rFonts w:hint="eastAsia" w:ascii="宋体" w:hAnsi="宋体" w:eastAsia="宋体" w:cs="宋体"/>
                <w:b w:val="0"/>
                <w:color w:val="auto"/>
                <w:sz w:val="21"/>
                <w:szCs w:val="21"/>
                <w:highlight w:val="none"/>
                <w:lang w:val="en-US" w:eastAsia="zh-CN"/>
              </w:rPr>
              <w:t>0.1-2.9分；</w:t>
            </w:r>
          </w:p>
          <w:p w14:paraId="49512BA7">
            <w:pPr>
              <w:keepNext w:val="0"/>
              <w:keepLines w:val="0"/>
              <w:pageBreakBefore w:val="0"/>
              <w:kinsoku/>
              <w:wordWrap/>
              <w:overflowPunct/>
              <w:topLinePunct w:val="0"/>
              <w:bidi w:val="0"/>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3ED873F5">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p>
        </w:tc>
        <w:tc>
          <w:tcPr>
            <w:tcW w:w="737" w:type="dxa"/>
            <w:vAlign w:val="center"/>
          </w:tcPr>
          <w:p w14:paraId="20F06306">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1AB3E9F4">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030E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Merge w:val="continue"/>
            <w:vAlign w:val="center"/>
          </w:tcPr>
          <w:p w14:paraId="36A51385">
            <w:pPr>
              <w:pStyle w:val="3"/>
              <w:keepLines w:val="0"/>
              <w:pageBreakBefore w:val="0"/>
              <w:kinsoku/>
              <w:wordWrap/>
              <w:overflowPunct/>
              <w:topLinePunct w:val="0"/>
              <w:bidi w:val="0"/>
              <w:spacing w:beforeAutospacing="0" w:after="0" w:afterAutospacing="0" w:line="240" w:lineRule="auto"/>
              <w:ind w:left="0" w:firstLine="0" w:firstLineChars="0"/>
              <w:jc w:val="center"/>
              <w:textAlignment w:val="auto"/>
              <w:rPr>
                <w:rFonts w:hint="eastAsia" w:ascii="宋体" w:hAnsi="宋体" w:eastAsia="宋体" w:cs="宋体"/>
                <w:color w:val="auto"/>
                <w:sz w:val="21"/>
                <w:szCs w:val="21"/>
                <w:highlight w:val="none"/>
              </w:rPr>
            </w:pPr>
          </w:p>
        </w:tc>
        <w:tc>
          <w:tcPr>
            <w:tcW w:w="1082" w:type="dxa"/>
            <w:vAlign w:val="center"/>
          </w:tcPr>
          <w:p w14:paraId="1987940E">
            <w:pPr>
              <w:keepNext w:val="0"/>
              <w:keepLines w:val="0"/>
              <w:pageBreakBefore w:val="0"/>
              <w:kinsoku/>
              <w:wordWrap/>
              <w:overflowPunct/>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sz w:val="21"/>
                <w:szCs w:val="21"/>
                <w:highlight w:val="none"/>
                <w:lang w:val="en-US" w:eastAsia="zh-CN"/>
              </w:rPr>
              <w:t>应急方案</w:t>
            </w:r>
          </w:p>
        </w:tc>
        <w:tc>
          <w:tcPr>
            <w:tcW w:w="7065" w:type="dxa"/>
            <w:vAlign w:val="center"/>
          </w:tcPr>
          <w:p w14:paraId="0495CC5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针对突发事件，台风、暴雨等天气影响，重大接待任务，重大节假日或活动等特殊情况制定的应急处置方案、经济调度方案及实施经验的完整性、合理性和可操作性进行打分。</w:t>
            </w:r>
          </w:p>
          <w:p w14:paraId="1AA4F166">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针对特殊情况出具详细的应急处置方案，承诺及时增加或调动人员满足要求，应急响应制度阐述完整详细，实施保障方案内容明确且具有针对性，提出的应急措施科学可行的得3.0-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.0分；</w:t>
            </w:r>
          </w:p>
          <w:p w14:paraId="5E9E61D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针对特殊情况增加或调动人员有所困难，方案简单，提出的应急措施缺乏针对性和有效性的得0.1-2.9分；</w:t>
            </w:r>
          </w:p>
          <w:p w14:paraId="7408ACE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spacing w:val="-4"/>
                <w:szCs w:val="21"/>
                <w:highlight w:val="none"/>
                <w:lang w:val="en-US" w:eastAsia="zh-CN"/>
              </w:rPr>
            </w:pPr>
            <w:r>
              <w:rPr>
                <w:rFonts w:hint="eastAsia" w:ascii="宋体" w:hAnsi="宋体" w:eastAsia="宋体" w:cs="宋体"/>
                <w:b w:val="0"/>
                <w:color w:val="auto"/>
                <w:sz w:val="21"/>
                <w:szCs w:val="21"/>
                <w:highlight w:val="none"/>
                <w:lang w:val="en-US" w:eastAsia="zh-CN"/>
              </w:rPr>
              <w:t>未提及此项不得分。</w:t>
            </w:r>
          </w:p>
        </w:tc>
        <w:tc>
          <w:tcPr>
            <w:tcW w:w="663" w:type="dxa"/>
            <w:vAlign w:val="center"/>
          </w:tcPr>
          <w:p w14:paraId="2ABFED2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color w:val="auto"/>
                <w:spacing w:val="-4"/>
                <w:szCs w:val="21"/>
                <w:highlight w:val="none"/>
                <w:lang w:val="en-US" w:eastAsia="zh-CN"/>
              </w:rPr>
            </w:pPr>
            <w:r>
              <w:rPr>
                <w:rFonts w:hint="eastAsia" w:ascii="宋体" w:hAnsi="宋体" w:eastAsia="宋体" w:cs="宋体"/>
                <w:b w:val="0"/>
                <w:bCs w:val="0"/>
                <w:color w:val="auto"/>
                <w:kern w:val="2"/>
                <w:sz w:val="21"/>
                <w:szCs w:val="21"/>
                <w:highlight w:val="none"/>
                <w:lang w:val="en-US" w:eastAsia="zh-CN" w:bidi="ar-SA"/>
              </w:rPr>
              <w:t>6</w:t>
            </w:r>
          </w:p>
        </w:tc>
        <w:tc>
          <w:tcPr>
            <w:tcW w:w="737" w:type="dxa"/>
            <w:vAlign w:val="center"/>
          </w:tcPr>
          <w:p w14:paraId="4BE03A5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713" w:type="dxa"/>
            <w:vAlign w:val="center"/>
          </w:tcPr>
          <w:p w14:paraId="7243E5C0">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bl>
    <w:p w14:paraId="780E6BC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1"/>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1"/>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1"/>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1"/>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1"/>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1"/>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1"/>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1"/>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1"/>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1"/>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2"/>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1"/>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5"/>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5"/>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5"/>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1"/>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4"/>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3F6004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6"/>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6"/>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6A0369C4">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89443C5">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6"/>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8E6EF3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、报价明细表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针对报价投标人认为其他需要说明的；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一览表</w:t>
      </w:r>
      <w:r>
        <w:rPr>
          <w:rFonts w:hint="eastAsia" w:ascii="宋体" w:hAnsi="宋体" w:eastAsia="宋体" w:cs="宋体"/>
          <w:b/>
          <w:color w:val="auto"/>
          <w:sz w:val="32"/>
          <w:szCs w:val="32"/>
          <w:highlight w:val="none"/>
        </w:rPr>
        <w:t xml:space="preserve"> </w:t>
      </w:r>
    </w:p>
    <w:p w14:paraId="660C82CD">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7"/>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w:t>
      </w:r>
      <w:r>
        <w:rPr>
          <w:rFonts w:hint="eastAsia" w:ascii="宋体" w:hAnsi="宋体" w:eastAsia="宋体" w:cs="宋体"/>
          <w:color w:val="auto"/>
          <w:kern w:val="0"/>
          <w:sz w:val="21"/>
          <w:szCs w:val="21"/>
          <w:highlight w:val="none"/>
          <w:lang w:eastAsia="zh-CN"/>
        </w:rPr>
        <w:t>价为完成本项目的所有费用，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58CEE5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37808103">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37334F15">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6</w:t>
      </w:r>
    </w:p>
    <w:p w14:paraId="53A67451">
      <w:pPr>
        <w:keepNext w:val="0"/>
        <w:keepLines w:val="0"/>
        <w:pageBreakBefore w:val="0"/>
        <w:kinsoku/>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523DA288">
      <w:pPr>
        <w:keepNext w:val="0"/>
        <w:keepLines w:val="0"/>
        <w:pageBreakBefore w:val="0"/>
        <w:kinsoku/>
        <w:overflowPunct/>
        <w:topLinePunct w:val="0"/>
        <w:bidi w:val="0"/>
        <w:spacing w:line="360" w:lineRule="auto"/>
        <w:outlineLvl w:val="9"/>
        <w:rPr>
          <w:rFonts w:hint="eastAsia" w:ascii="宋体" w:hAnsi="宋体" w:eastAsia="宋体" w:cs="宋体"/>
          <w:color w:val="auto"/>
          <w:sz w:val="24"/>
          <w:highlight w:val="none"/>
        </w:rPr>
      </w:pPr>
    </w:p>
    <w:p w14:paraId="46259EB9">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23B7DCFF">
      <w:pPr>
        <w:pStyle w:val="50"/>
        <w:keepNext w:val="0"/>
        <w:keepLines w:val="0"/>
        <w:pageBreakBefore w:val="0"/>
        <w:kinsoku/>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2"/>
        <w:tblW w:w="10492" w:type="dxa"/>
        <w:jc w:val="center"/>
        <w:tblLayout w:type="fixed"/>
        <w:tblCellMar>
          <w:top w:w="0" w:type="dxa"/>
          <w:left w:w="108" w:type="dxa"/>
          <w:bottom w:w="0" w:type="dxa"/>
          <w:right w:w="108" w:type="dxa"/>
        </w:tblCellMar>
      </w:tblPr>
      <w:tblGrid>
        <w:gridCol w:w="600"/>
        <w:gridCol w:w="2487"/>
        <w:gridCol w:w="1563"/>
        <w:gridCol w:w="1225"/>
        <w:gridCol w:w="1637"/>
        <w:gridCol w:w="1238"/>
        <w:gridCol w:w="1742"/>
      </w:tblGrid>
      <w:tr w14:paraId="66C64AD7">
        <w:tblPrEx>
          <w:tblCellMar>
            <w:top w:w="0" w:type="dxa"/>
            <w:left w:w="108" w:type="dxa"/>
            <w:bottom w:w="0" w:type="dxa"/>
            <w:right w:w="108" w:type="dxa"/>
          </w:tblCellMar>
        </w:tblPrEx>
        <w:trPr>
          <w:trHeight w:val="82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2986EB9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87" w:type="dxa"/>
            <w:tcBorders>
              <w:top w:val="single" w:color="auto" w:sz="4" w:space="0"/>
              <w:left w:val="nil"/>
              <w:bottom w:val="single" w:color="auto" w:sz="4" w:space="0"/>
              <w:right w:val="single" w:color="auto" w:sz="4" w:space="0"/>
            </w:tcBorders>
            <w:vAlign w:val="center"/>
          </w:tcPr>
          <w:p w14:paraId="3CB003B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1563" w:type="dxa"/>
            <w:tcBorders>
              <w:top w:val="single" w:color="auto" w:sz="4" w:space="0"/>
              <w:left w:val="nil"/>
              <w:bottom w:val="single" w:color="auto" w:sz="4" w:space="0"/>
              <w:right w:val="single" w:color="auto" w:sz="4" w:space="0"/>
            </w:tcBorders>
            <w:vAlign w:val="center"/>
          </w:tcPr>
          <w:p w14:paraId="0721C973">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最高单价限价</w:t>
            </w:r>
          </w:p>
        </w:tc>
        <w:tc>
          <w:tcPr>
            <w:tcW w:w="1225" w:type="dxa"/>
            <w:tcBorders>
              <w:top w:val="single" w:color="auto" w:sz="4" w:space="0"/>
              <w:left w:val="nil"/>
              <w:bottom w:val="single" w:color="auto" w:sz="4" w:space="0"/>
              <w:right w:val="single" w:color="auto" w:sz="4" w:space="0"/>
            </w:tcBorders>
            <w:vAlign w:val="center"/>
          </w:tcPr>
          <w:p w14:paraId="5ABD92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暂定数量</w:t>
            </w:r>
          </w:p>
        </w:tc>
        <w:tc>
          <w:tcPr>
            <w:tcW w:w="1637" w:type="dxa"/>
            <w:tcBorders>
              <w:top w:val="single" w:color="auto" w:sz="4" w:space="0"/>
              <w:left w:val="nil"/>
              <w:bottom w:val="single" w:color="auto" w:sz="4" w:space="0"/>
              <w:right w:val="single" w:color="auto" w:sz="4" w:space="0"/>
            </w:tcBorders>
            <w:vAlign w:val="center"/>
          </w:tcPr>
          <w:p w14:paraId="28A0478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投标单价</w:t>
            </w:r>
          </w:p>
        </w:tc>
        <w:tc>
          <w:tcPr>
            <w:tcW w:w="1238" w:type="dxa"/>
            <w:tcBorders>
              <w:top w:val="single" w:color="auto" w:sz="4" w:space="0"/>
              <w:left w:val="nil"/>
              <w:bottom w:val="single" w:color="auto" w:sz="4" w:space="0"/>
              <w:right w:val="single" w:color="auto" w:sz="4" w:space="0"/>
            </w:tcBorders>
            <w:vAlign w:val="center"/>
          </w:tcPr>
          <w:p w14:paraId="4CEDB4A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eastAsia="zh-CN"/>
              </w:rPr>
            </w:pPr>
            <w:r>
              <w:rPr>
                <w:rFonts w:hint="eastAsia" w:ascii="宋体" w:hAnsi="宋体" w:cs="宋体"/>
                <w:b/>
                <w:bCs/>
                <w:color w:val="auto"/>
                <w:kern w:val="0"/>
                <w:sz w:val="21"/>
                <w:szCs w:val="21"/>
                <w:highlight w:val="none"/>
                <w:lang w:val="en-US" w:eastAsia="zh-CN"/>
              </w:rPr>
              <w:t>小计（元）</w:t>
            </w:r>
          </w:p>
        </w:tc>
        <w:tc>
          <w:tcPr>
            <w:tcW w:w="1742" w:type="dxa"/>
            <w:tcBorders>
              <w:top w:val="single" w:color="auto" w:sz="4" w:space="0"/>
              <w:left w:val="nil"/>
              <w:bottom w:val="single" w:color="auto" w:sz="4" w:space="0"/>
              <w:right w:val="single" w:color="auto" w:sz="4" w:space="0"/>
            </w:tcBorders>
            <w:vAlign w:val="center"/>
          </w:tcPr>
          <w:p w14:paraId="678AA204">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lang w:val="en-US" w:eastAsia="zh-CN"/>
              </w:rPr>
            </w:pPr>
          </w:p>
        </w:tc>
      </w:tr>
      <w:tr w14:paraId="233C1FEA">
        <w:tblPrEx>
          <w:tblCellMar>
            <w:top w:w="0" w:type="dxa"/>
            <w:left w:w="108" w:type="dxa"/>
            <w:bottom w:w="0" w:type="dxa"/>
            <w:right w:w="108" w:type="dxa"/>
          </w:tblCellMar>
        </w:tblPrEx>
        <w:trPr>
          <w:trHeight w:val="82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131C6F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2487" w:type="dxa"/>
            <w:tcBorders>
              <w:top w:val="single" w:color="auto" w:sz="4" w:space="0"/>
              <w:left w:val="nil"/>
              <w:bottom w:val="single" w:color="auto" w:sz="4" w:space="0"/>
              <w:right w:val="single" w:color="auto" w:sz="4" w:space="0"/>
            </w:tcBorders>
            <w:vAlign w:val="center"/>
          </w:tcPr>
          <w:p w14:paraId="4BEDFF2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秩序维护人员</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全日</w:t>
            </w:r>
            <w:r>
              <w:rPr>
                <w:rFonts w:hint="eastAsia" w:ascii="宋体" w:hAnsi="宋体" w:eastAsia="宋体" w:cs="宋体"/>
                <w:color w:val="auto"/>
                <w:kern w:val="0"/>
                <w:sz w:val="21"/>
                <w:szCs w:val="21"/>
                <w:highlight w:val="none"/>
              </w:rPr>
              <w:t>/人）</w:t>
            </w:r>
          </w:p>
        </w:tc>
        <w:tc>
          <w:tcPr>
            <w:tcW w:w="1563" w:type="dxa"/>
            <w:tcBorders>
              <w:top w:val="single" w:color="auto" w:sz="4" w:space="0"/>
              <w:left w:val="nil"/>
              <w:bottom w:val="single" w:color="auto" w:sz="4" w:space="0"/>
              <w:right w:val="single" w:color="auto" w:sz="4" w:space="0"/>
            </w:tcBorders>
            <w:vAlign w:val="center"/>
          </w:tcPr>
          <w:p w14:paraId="65E5E59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0元/人/日</w:t>
            </w:r>
          </w:p>
        </w:tc>
        <w:tc>
          <w:tcPr>
            <w:tcW w:w="1225" w:type="dxa"/>
            <w:tcBorders>
              <w:top w:val="single" w:color="auto" w:sz="4" w:space="0"/>
              <w:left w:val="nil"/>
              <w:bottom w:val="single" w:color="auto" w:sz="4" w:space="0"/>
              <w:right w:val="single" w:color="auto" w:sz="4" w:space="0"/>
            </w:tcBorders>
            <w:vAlign w:val="center"/>
          </w:tcPr>
          <w:p w14:paraId="73A7E71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2408</w:t>
            </w:r>
            <w:r>
              <w:rPr>
                <w:rFonts w:hint="eastAsia" w:ascii="宋体" w:hAnsi="宋体" w:eastAsia="宋体" w:cs="宋体"/>
                <w:color w:val="auto"/>
                <w:kern w:val="0"/>
                <w:sz w:val="21"/>
                <w:szCs w:val="21"/>
                <w:highlight w:val="none"/>
              </w:rPr>
              <w:t>人次</w:t>
            </w:r>
          </w:p>
        </w:tc>
        <w:tc>
          <w:tcPr>
            <w:tcW w:w="1637" w:type="dxa"/>
            <w:tcBorders>
              <w:top w:val="single" w:color="auto" w:sz="4" w:space="0"/>
              <w:left w:val="nil"/>
              <w:bottom w:val="single" w:color="auto" w:sz="4" w:space="0"/>
              <w:right w:val="single" w:color="auto" w:sz="4" w:space="0"/>
            </w:tcBorders>
            <w:vAlign w:val="center"/>
          </w:tcPr>
          <w:p w14:paraId="778DF7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元/人/日</w:t>
            </w:r>
          </w:p>
        </w:tc>
        <w:tc>
          <w:tcPr>
            <w:tcW w:w="1238" w:type="dxa"/>
            <w:tcBorders>
              <w:top w:val="single" w:color="auto" w:sz="4" w:space="0"/>
              <w:left w:val="nil"/>
              <w:bottom w:val="single" w:color="auto" w:sz="4" w:space="0"/>
              <w:right w:val="single" w:color="auto" w:sz="4" w:space="0"/>
            </w:tcBorders>
            <w:vAlign w:val="center"/>
          </w:tcPr>
          <w:p w14:paraId="5864E0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79D1BD6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不得高于单价，1次为1日</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费用已包含餐饮费。</w:t>
            </w:r>
          </w:p>
        </w:tc>
      </w:tr>
      <w:tr w14:paraId="7ADD7D42">
        <w:tblPrEx>
          <w:tblCellMar>
            <w:top w:w="0" w:type="dxa"/>
            <w:left w:w="108" w:type="dxa"/>
            <w:bottom w:w="0" w:type="dxa"/>
            <w:right w:w="108" w:type="dxa"/>
          </w:tblCellMar>
        </w:tblPrEx>
        <w:trPr>
          <w:trHeight w:val="82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3B54882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w:t>
            </w:r>
          </w:p>
        </w:tc>
        <w:tc>
          <w:tcPr>
            <w:tcW w:w="2487" w:type="dxa"/>
            <w:tcBorders>
              <w:top w:val="single" w:color="auto" w:sz="4" w:space="0"/>
              <w:left w:val="nil"/>
              <w:bottom w:val="single" w:color="auto" w:sz="4" w:space="0"/>
              <w:right w:val="single" w:color="auto" w:sz="4" w:space="0"/>
            </w:tcBorders>
            <w:vAlign w:val="center"/>
          </w:tcPr>
          <w:p w14:paraId="5866F280">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秩序维护人员</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半</w:t>
            </w:r>
            <w:r>
              <w:rPr>
                <w:rFonts w:hint="eastAsia" w:ascii="宋体" w:hAnsi="宋体" w:cs="宋体"/>
                <w:color w:val="auto"/>
                <w:kern w:val="0"/>
                <w:sz w:val="21"/>
                <w:szCs w:val="21"/>
                <w:highlight w:val="none"/>
                <w:lang w:val="en-US" w:eastAsia="zh-CN"/>
              </w:rPr>
              <w:t>日</w:t>
            </w:r>
            <w:r>
              <w:rPr>
                <w:rFonts w:hint="eastAsia" w:ascii="宋体" w:hAnsi="宋体" w:eastAsia="宋体" w:cs="宋体"/>
                <w:color w:val="auto"/>
                <w:kern w:val="0"/>
                <w:sz w:val="21"/>
                <w:szCs w:val="21"/>
                <w:highlight w:val="none"/>
              </w:rPr>
              <w:t>/人）</w:t>
            </w:r>
          </w:p>
        </w:tc>
        <w:tc>
          <w:tcPr>
            <w:tcW w:w="1563" w:type="dxa"/>
            <w:tcBorders>
              <w:top w:val="single" w:color="auto" w:sz="4" w:space="0"/>
              <w:left w:val="nil"/>
              <w:bottom w:val="single" w:color="auto" w:sz="4" w:space="0"/>
              <w:right w:val="single" w:color="auto" w:sz="4" w:space="0"/>
            </w:tcBorders>
            <w:vAlign w:val="center"/>
          </w:tcPr>
          <w:p w14:paraId="77F50F2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160</w:t>
            </w:r>
            <w:r>
              <w:rPr>
                <w:rFonts w:hint="eastAsia" w:ascii="宋体" w:hAnsi="宋体" w:eastAsia="宋体" w:cs="宋体"/>
                <w:color w:val="auto"/>
                <w:kern w:val="0"/>
                <w:sz w:val="21"/>
                <w:szCs w:val="21"/>
                <w:highlight w:val="none"/>
              </w:rPr>
              <w:t>元/人/</w:t>
            </w:r>
            <w:r>
              <w:rPr>
                <w:rFonts w:hint="eastAsia" w:ascii="宋体" w:hAnsi="宋体" w:eastAsia="宋体" w:cs="宋体"/>
                <w:color w:val="auto"/>
                <w:kern w:val="0"/>
                <w:sz w:val="21"/>
                <w:szCs w:val="21"/>
                <w:highlight w:val="none"/>
                <w:lang w:val="en-US" w:eastAsia="zh-CN"/>
              </w:rPr>
              <w:t>半</w:t>
            </w:r>
            <w:r>
              <w:rPr>
                <w:rFonts w:hint="eastAsia" w:ascii="宋体" w:hAnsi="宋体" w:eastAsia="宋体" w:cs="宋体"/>
                <w:color w:val="auto"/>
                <w:kern w:val="0"/>
                <w:sz w:val="21"/>
                <w:szCs w:val="21"/>
                <w:highlight w:val="none"/>
              </w:rPr>
              <w:t>日</w:t>
            </w:r>
          </w:p>
        </w:tc>
        <w:tc>
          <w:tcPr>
            <w:tcW w:w="1225" w:type="dxa"/>
            <w:tcBorders>
              <w:top w:val="single" w:color="auto" w:sz="4" w:space="0"/>
              <w:left w:val="nil"/>
              <w:bottom w:val="single" w:color="auto" w:sz="4" w:space="0"/>
              <w:right w:val="single" w:color="auto" w:sz="4" w:space="0"/>
            </w:tcBorders>
            <w:vAlign w:val="center"/>
          </w:tcPr>
          <w:p w14:paraId="091FFC5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925</w:t>
            </w:r>
            <w:r>
              <w:rPr>
                <w:rFonts w:hint="eastAsia" w:ascii="宋体" w:hAnsi="宋体" w:eastAsia="宋体" w:cs="宋体"/>
                <w:color w:val="auto"/>
                <w:kern w:val="0"/>
                <w:sz w:val="21"/>
                <w:szCs w:val="21"/>
                <w:highlight w:val="none"/>
              </w:rPr>
              <w:t>人次</w:t>
            </w:r>
          </w:p>
        </w:tc>
        <w:tc>
          <w:tcPr>
            <w:tcW w:w="1637" w:type="dxa"/>
            <w:tcBorders>
              <w:top w:val="single" w:color="auto" w:sz="4" w:space="0"/>
              <w:left w:val="nil"/>
              <w:bottom w:val="single" w:color="auto" w:sz="4" w:space="0"/>
              <w:right w:val="single" w:color="auto" w:sz="4" w:space="0"/>
            </w:tcBorders>
            <w:vAlign w:val="center"/>
          </w:tcPr>
          <w:p w14:paraId="2C6F7BA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元/人/</w:t>
            </w:r>
            <w:r>
              <w:rPr>
                <w:rFonts w:hint="eastAsia" w:ascii="宋体" w:hAnsi="宋体" w:eastAsia="宋体" w:cs="宋体"/>
                <w:color w:val="auto"/>
                <w:kern w:val="0"/>
                <w:sz w:val="21"/>
                <w:szCs w:val="21"/>
                <w:highlight w:val="none"/>
                <w:lang w:val="en-US" w:eastAsia="zh-CN"/>
              </w:rPr>
              <w:t>半</w:t>
            </w:r>
            <w:r>
              <w:rPr>
                <w:rFonts w:hint="eastAsia" w:ascii="宋体" w:hAnsi="宋体" w:eastAsia="宋体" w:cs="宋体"/>
                <w:color w:val="auto"/>
                <w:kern w:val="0"/>
                <w:sz w:val="21"/>
                <w:szCs w:val="21"/>
                <w:highlight w:val="none"/>
              </w:rPr>
              <w:t>日</w:t>
            </w:r>
          </w:p>
        </w:tc>
        <w:tc>
          <w:tcPr>
            <w:tcW w:w="1238" w:type="dxa"/>
            <w:tcBorders>
              <w:top w:val="single" w:color="auto" w:sz="4" w:space="0"/>
              <w:left w:val="nil"/>
              <w:bottom w:val="single" w:color="auto" w:sz="4" w:space="0"/>
              <w:right w:val="single" w:color="auto" w:sz="4" w:space="0"/>
            </w:tcBorders>
            <w:vAlign w:val="center"/>
          </w:tcPr>
          <w:p w14:paraId="11EFF4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1B9FE4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不得高于单价，1次为</w:t>
            </w:r>
            <w:r>
              <w:rPr>
                <w:rFonts w:hint="eastAsia" w:ascii="宋体" w:hAnsi="宋体" w:eastAsia="宋体" w:cs="宋体"/>
                <w:b/>
                <w:color w:val="auto"/>
                <w:kern w:val="0"/>
                <w:sz w:val="21"/>
                <w:szCs w:val="21"/>
                <w:highlight w:val="none"/>
                <w:lang w:val="en-US" w:eastAsia="zh-CN"/>
              </w:rPr>
              <w:t>半</w:t>
            </w:r>
            <w:r>
              <w:rPr>
                <w:rFonts w:hint="eastAsia" w:ascii="宋体" w:hAnsi="宋体" w:eastAsia="宋体" w:cs="宋体"/>
                <w:b/>
                <w:color w:val="auto"/>
                <w:kern w:val="0"/>
                <w:sz w:val="21"/>
                <w:szCs w:val="21"/>
                <w:highlight w:val="none"/>
              </w:rPr>
              <w:t>日</w:t>
            </w:r>
            <w:r>
              <w:rPr>
                <w:rFonts w:hint="eastAsia" w:ascii="宋体" w:hAnsi="宋体" w:cs="宋体"/>
                <w:b/>
                <w:color w:val="auto"/>
                <w:kern w:val="0"/>
                <w:sz w:val="21"/>
                <w:szCs w:val="21"/>
                <w:highlight w:val="none"/>
                <w:lang w:eastAsia="zh-CN"/>
              </w:rPr>
              <w:t>，</w:t>
            </w:r>
            <w:r>
              <w:rPr>
                <w:rFonts w:hint="eastAsia" w:ascii="宋体" w:hAnsi="宋体" w:cs="宋体"/>
                <w:b/>
                <w:color w:val="auto"/>
                <w:kern w:val="0"/>
                <w:sz w:val="21"/>
                <w:szCs w:val="21"/>
                <w:highlight w:val="none"/>
                <w:lang w:val="en-US" w:eastAsia="zh-CN"/>
              </w:rPr>
              <w:t>费用已包含餐饮费。</w:t>
            </w:r>
          </w:p>
        </w:tc>
      </w:tr>
      <w:tr w14:paraId="4B124CFC">
        <w:tblPrEx>
          <w:tblCellMar>
            <w:top w:w="0" w:type="dxa"/>
            <w:left w:w="108" w:type="dxa"/>
            <w:bottom w:w="0" w:type="dxa"/>
            <w:right w:w="108" w:type="dxa"/>
          </w:tblCellMar>
        </w:tblPrEx>
        <w:trPr>
          <w:trHeight w:val="823"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2FE346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c>
          <w:tcPr>
            <w:tcW w:w="2487" w:type="dxa"/>
            <w:tcBorders>
              <w:top w:val="single" w:color="auto" w:sz="4" w:space="0"/>
              <w:left w:val="nil"/>
              <w:bottom w:val="single" w:color="auto" w:sz="4" w:space="0"/>
              <w:right w:val="single" w:color="auto" w:sz="4" w:space="0"/>
            </w:tcBorders>
            <w:vAlign w:val="center"/>
          </w:tcPr>
          <w:p w14:paraId="6748BE5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车辆使用费（中巴车，最多可乘坐30人）</w:t>
            </w:r>
          </w:p>
        </w:tc>
        <w:tc>
          <w:tcPr>
            <w:tcW w:w="1563" w:type="dxa"/>
            <w:tcBorders>
              <w:top w:val="single" w:color="auto" w:sz="4" w:space="0"/>
              <w:left w:val="nil"/>
              <w:bottom w:val="single" w:color="auto" w:sz="4" w:space="0"/>
              <w:right w:val="single" w:color="auto" w:sz="4" w:space="0"/>
            </w:tcBorders>
            <w:vAlign w:val="center"/>
          </w:tcPr>
          <w:p w14:paraId="060FFE3F">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600元/辆/次</w:t>
            </w:r>
          </w:p>
        </w:tc>
        <w:tc>
          <w:tcPr>
            <w:tcW w:w="1225" w:type="dxa"/>
            <w:tcBorders>
              <w:top w:val="single" w:color="auto" w:sz="4" w:space="0"/>
              <w:left w:val="nil"/>
              <w:bottom w:val="single" w:color="auto" w:sz="4" w:space="0"/>
              <w:right w:val="single" w:color="auto" w:sz="4" w:space="0"/>
            </w:tcBorders>
            <w:vAlign w:val="center"/>
          </w:tcPr>
          <w:p w14:paraId="1A09C94E">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100辆次</w:t>
            </w:r>
          </w:p>
        </w:tc>
        <w:tc>
          <w:tcPr>
            <w:tcW w:w="1637" w:type="dxa"/>
            <w:tcBorders>
              <w:top w:val="single" w:color="auto" w:sz="4" w:space="0"/>
              <w:left w:val="nil"/>
              <w:bottom w:val="single" w:color="auto" w:sz="4" w:space="0"/>
              <w:right w:val="single" w:color="auto" w:sz="4" w:space="0"/>
            </w:tcBorders>
            <w:vAlign w:val="center"/>
          </w:tcPr>
          <w:p w14:paraId="684E491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元/辆/次</w:t>
            </w:r>
          </w:p>
        </w:tc>
        <w:tc>
          <w:tcPr>
            <w:tcW w:w="1238" w:type="dxa"/>
            <w:tcBorders>
              <w:top w:val="single" w:color="auto" w:sz="4" w:space="0"/>
              <w:left w:val="nil"/>
              <w:bottom w:val="single" w:color="auto" w:sz="4" w:space="0"/>
              <w:right w:val="single" w:color="auto" w:sz="4" w:space="0"/>
            </w:tcBorders>
            <w:vAlign w:val="center"/>
          </w:tcPr>
          <w:p w14:paraId="45C59F2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742" w:type="dxa"/>
            <w:tcBorders>
              <w:top w:val="single" w:color="auto" w:sz="4" w:space="0"/>
              <w:left w:val="nil"/>
              <w:bottom w:val="single" w:color="auto" w:sz="4" w:space="0"/>
              <w:right w:val="single" w:color="auto" w:sz="4" w:space="0"/>
            </w:tcBorders>
            <w:shd w:val="clear" w:color="auto" w:fill="auto"/>
            <w:vAlign w:val="center"/>
          </w:tcPr>
          <w:p w14:paraId="4332FE4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不得高于单价，1次为1日</w:t>
            </w:r>
          </w:p>
        </w:tc>
      </w:tr>
      <w:tr w14:paraId="083669C6">
        <w:tblPrEx>
          <w:tblCellMar>
            <w:top w:w="0" w:type="dxa"/>
            <w:left w:w="108" w:type="dxa"/>
            <w:bottom w:w="0" w:type="dxa"/>
            <w:right w:w="108" w:type="dxa"/>
          </w:tblCellMar>
        </w:tblPrEx>
        <w:trPr>
          <w:trHeight w:val="85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6CC50C67">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4</w:t>
            </w:r>
          </w:p>
        </w:tc>
        <w:tc>
          <w:tcPr>
            <w:tcW w:w="2487" w:type="dxa"/>
            <w:tcBorders>
              <w:top w:val="single" w:color="auto" w:sz="4" w:space="0"/>
              <w:left w:val="nil"/>
              <w:bottom w:val="single" w:color="auto" w:sz="4" w:space="0"/>
              <w:right w:val="single" w:color="auto" w:sz="4" w:space="0"/>
            </w:tcBorders>
            <w:vAlign w:val="center"/>
          </w:tcPr>
          <w:p w14:paraId="27A531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车辆使用费（大巴车，可乘坐30人以上）</w:t>
            </w:r>
          </w:p>
        </w:tc>
        <w:tc>
          <w:tcPr>
            <w:tcW w:w="1563" w:type="dxa"/>
            <w:tcBorders>
              <w:top w:val="single" w:color="auto" w:sz="4" w:space="0"/>
              <w:left w:val="nil"/>
              <w:bottom w:val="single" w:color="auto" w:sz="4" w:space="0"/>
              <w:right w:val="single" w:color="auto" w:sz="4" w:space="0"/>
            </w:tcBorders>
            <w:vAlign w:val="center"/>
          </w:tcPr>
          <w:p w14:paraId="2FB3305C">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900元/辆/次</w:t>
            </w:r>
          </w:p>
        </w:tc>
        <w:tc>
          <w:tcPr>
            <w:tcW w:w="1225" w:type="dxa"/>
            <w:tcBorders>
              <w:top w:val="single" w:color="auto" w:sz="4" w:space="0"/>
              <w:left w:val="nil"/>
              <w:bottom w:val="single" w:color="auto" w:sz="4" w:space="0"/>
              <w:right w:val="single" w:color="auto" w:sz="4" w:space="0"/>
            </w:tcBorders>
            <w:vAlign w:val="center"/>
          </w:tcPr>
          <w:p w14:paraId="573D8DE1">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100辆次</w:t>
            </w:r>
          </w:p>
        </w:tc>
        <w:tc>
          <w:tcPr>
            <w:tcW w:w="1637" w:type="dxa"/>
            <w:tcBorders>
              <w:top w:val="single" w:color="auto" w:sz="4" w:space="0"/>
              <w:left w:val="nil"/>
              <w:bottom w:val="single" w:color="auto" w:sz="4" w:space="0"/>
              <w:right w:val="single" w:color="auto" w:sz="4" w:space="0"/>
            </w:tcBorders>
            <w:vAlign w:val="center"/>
          </w:tcPr>
          <w:p w14:paraId="22884BD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元/辆/次</w:t>
            </w:r>
          </w:p>
        </w:tc>
        <w:tc>
          <w:tcPr>
            <w:tcW w:w="1238" w:type="dxa"/>
            <w:tcBorders>
              <w:top w:val="single" w:color="auto" w:sz="4" w:space="0"/>
              <w:left w:val="nil"/>
              <w:bottom w:val="single" w:color="auto" w:sz="4" w:space="0"/>
              <w:right w:val="single" w:color="auto" w:sz="4" w:space="0"/>
            </w:tcBorders>
            <w:vAlign w:val="center"/>
          </w:tcPr>
          <w:p w14:paraId="60CB9F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rPr>
            </w:pPr>
          </w:p>
        </w:tc>
        <w:tc>
          <w:tcPr>
            <w:tcW w:w="1742" w:type="dxa"/>
            <w:tcBorders>
              <w:top w:val="single" w:color="auto" w:sz="4" w:space="0"/>
              <w:left w:val="nil"/>
              <w:right w:val="single" w:color="auto" w:sz="4" w:space="0"/>
            </w:tcBorders>
            <w:shd w:val="clear" w:color="auto" w:fill="auto"/>
            <w:vAlign w:val="center"/>
          </w:tcPr>
          <w:p w14:paraId="07DD844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kern w:val="0"/>
                <w:sz w:val="21"/>
                <w:szCs w:val="21"/>
                <w:highlight w:val="none"/>
              </w:rPr>
              <w:t>不得高于单价，1次为1日</w:t>
            </w:r>
          </w:p>
        </w:tc>
      </w:tr>
      <w:tr w14:paraId="03E72FC2">
        <w:tblPrEx>
          <w:tblCellMar>
            <w:top w:w="0" w:type="dxa"/>
            <w:left w:w="108" w:type="dxa"/>
            <w:bottom w:w="0" w:type="dxa"/>
            <w:right w:w="108" w:type="dxa"/>
          </w:tblCellMar>
        </w:tblPrEx>
        <w:trPr>
          <w:trHeight w:val="871" w:hRule="atLeast"/>
          <w:jc w:val="center"/>
        </w:trPr>
        <w:tc>
          <w:tcPr>
            <w:tcW w:w="10492" w:type="dxa"/>
            <w:gridSpan w:val="7"/>
            <w:tcBorders>
              <w:top w:val="single" w:color="auto" w:sz="4" w:space="0"/>
              <w:left w:val="single" w:color="auto" w:sz="4" w:space="0"/>
              <w:bottom w:val="single" w:color="auto" w:sz="4" w:space="0"/>
              <w:right w:val="single" w:color="auto" w:sz="4" w:space="0"/>
            </w:tcBorders>
            <w:vAlign w:val="center"/>
          </w:tcPr>
          <w:p w14:paraId="39C26E5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报价合计：</w:t>
            </w:r>
          </w:p>
          <w:p w14:paraId="6FDABE9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大写：</w:t>
            </w:r>
          </w:p>
          <w:p w14:paraId="72ECB8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小写：</w:t>
            </w:r>
          </w:p>
        </w:tc>
      </w:tr>
    </w:tbl>
    <w:p w14:paraId="7F6B047B">
      <w:pPr>
        <w:keepNext w:val="0"/>
        <w:keepLines w:val="0"/>
        <w:pageBreakBefore w:val="0"/>
        <w:kinsoku/>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6C26F5B5">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本表为《开标一览表》的报价明细表，如有缺项、漏项，视为投标报价中已包含相关费用，采购人无需另外支付任何费用。</w:t>
      </w:r>
    </w:p>
    <w:p w14:paraId="0E241B0D">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76FA9EB">
      <w:pPr>
        <w:keepNext w:val="0"/>
        <w:keepLines w:val="0"/>
        <w:pageBreakBefore w:val="0"/>
        <w:kinsoku/>
        <w:overflowPunct/>
        <w:topLinePunct w:val="0"/>
        <w:bidi w:val="0"/>
        <w:spacing w:line="360" w:lineRule="auto"/>
        <w:ind w:left="435"/>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投标报价明细表所填内容按</w:t>
      </w:r>
      <w:r>
        <w:rPr>
          <w:rFonts w:hint="eastAsia" w:ascii="宋体" w:hAnsi="宋体" w:cs="宋体"/>
          <w:color w:val="auto"/>
          <w:szCs w:val="21"/>
          <w:highlight w:val="none"/>
          <w:lang w:val="zh-CN"/>
        </w:rPr>
        <w:t>采购文件</w:t>
      </w:r>
      <w:r>
        <w:rPr>
          <w:rFonts w:hint="eastAsia" w:ascii="宋体" w:hAnsi="宋体" w:eastAsia="宋体" w:cs="宋体"/>
          <w:color w:val="auto"/>
          <w:szCs w:val="21"/>
          <w:highlight w:val="none"/>
          <w:lang w:val="zh-CN"/>
        </w:rPr>
        <w:t>采购设备清单要求为准。如有漏报的，视同已包含在投标总价内或已作优惠处理。有重大缺项的将作无效标处理。</w:t>
      </w:r>
    </w:p>
    <w:p w14:paraId="39811E4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72F227F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6DE531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09DE7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0AF6C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077931A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82598EE">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49B0C25A">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3646A6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横街镇应急处置现场维持秩序服务项目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56745"/>
    <w:multiLevelType w:val="singleLevel"/>
    <w:tmpl w:val="07956745"/>
    <w:lvl w:ilvl="0" w:tentative="0">
      <w:start w:val="1"/>
      <w:numFmt w:val="decimal"/>
      <w:suff w:val="nothing"/>
      <w:lvlText w:val="（%1）"/>
      <w:lvlJc w:val="left"/>
    </w:lvl>
  </w:abstractNum>
  <w:abstractNum w:abstractNumId="1">
    <w:nsid w:val="4576F6C4"/>
    <w:multiLevelType w:val="singleLevel"/>
    <w:tmpl w:val="4576F6C4"/>
    <w:lvl w:ilvl="0" w:tentative="0">
      <w:start w:val="1"/>
      <w:numFmt w:val="chineseCounting"/>
      <w:suff w:val="nothing"/>
      <w:lvlText w:val="%1、"/>
      <w:lvlJc w:val="left"/>
      <w:rPr>
        <w:rFonts w:hint="eastAsia"/>
      </w:rPr>
    </w:lvl>
  </w:abstractNum>
  <w:abstractNum w:abstractNumId="2">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3">
    <w:nsid w:val="49E212A2"/>
    <w:multiLevelType w:val="singleLevel"/>
    <w:tmpl w:val="49E212A2"/>
    <w:lvl w:ilvl="0" w:tentative="0">
      <w:start w:val="1"/>
      <w:numFmt w:val="decimal"/>
      <w:suff w:val="nothing"/>
      <w:lvlText w:val="%1、"/>
      <w:lvlJc w:val="left"/>
    </w:lvl>
  </w:abstractNum>
  <w:abstractNum w:abstractNumId="4">
    <w:nsid w:val="770A450F"/>
    <w:multiLevelType w:val="singleLevel"/>
    <w:tmpl w:val="770A450F"/>
    <w:lvl w:ilvl="0" w:tentative="0">
      <w:start w:val="2"/>
      <w:numFmt w:val="chineseCounting"/>
      <w:suff w:val="space"/>
      <w:lvlText w:val="（%1）"/>
      <w:lvlJc w:val="left"/>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2341BD"/>
    <w:rsid w:val="053C3F02"/>
    <w:rsid w:val="0601391E"/>
    <w:rsid w:val="067363FE"/>
    <w:rsid w:val="073967B1"/>
    <w:rsid w:val="07685A63"/>
    <w:rsid w:val="076A5AA3"/>
    <w:rsid w:val="07D22E0A"/>
    <w:rsid w:val="0836339B"/>
    <w:rsid w:val="08390248"/>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F138C"/>
    <w:rsid w:val="0EC6046D"/>
    <w:rsid w:val="0ED2632B"/>
    <w:rsid w:val="0F122F26"/>
    <w:rsid w:val="0F7E6199"/>
    <w:rsid w:val="0FE74D1C"/>
    <w:rsid w:val="0FF94B3D"/>
    <w:rsid w:val="10452B67"/>
    <w:rsid w:val="109F080C"/>
    <w:rsid w:val="11E77423"/>
    <w:rsid w:val="121665CB"/>
    <w:rsid w:val="121F1572"/>
    <w:rsid w:val="12704EB7"/>
    <w:rsid w:val="12EC03CE"/>
    <w:rsid w:val="12FA02EB"/>
    <w:rsid w:val="131C0D6C"/>
    <w:rsid w:val="13BF45A5"/>
    <w:rsid w:val="149451F4"/>
    <w:rsid w:val="15115B44"/>
    <w:rsid w:val="153703F4"/>
    <w:rsid w:val="159E68EB"/>
    <w:rsid w:val="165C24F7"/>
    <w:rsid w:val="168339D9"/>
    <w:rsid w:val="16CC3CB9"/>
    <w:rsid w:val="16D70F66"/>
    <w:rsid w:val="17047DD8"/>
    <w:rsid w:val="171D6CDD"/>
    <w:rsid w:val="17461D47"/>
    <w:rsid w:val="17B10D95"/>
    <w:rsid w:val="17B23AF1"/>
    <w:rsid w:val="17D14D06"/>
    <w:rsid w:val="17D2330C"/>
    <w:rsid w:val="191533D1"/>
    <w:rsid w:val="192A2781"/>
    <w:rsid w:val="19474367"/>
    <w:rsid w:val="19C21C4E"/>
    <w:rsid w:val="1AA22976"/>
    <w:rsid w:val="1BC0155F"/>
    <w:rsid w:val="1CBF0303"/>
    <w:rsid w:val="1CC61F19"/>
    <w:rsid w:val="1D465475"/>
    <w:rsid w:val="1E1F7201"/>
    <w:rsid w:val="1EF1268E"/>
    <w:rsid w:val="1F162724"/>
    <w:rsid w:val="1F4F69F4"/>
    <w:rsid w:val="2012057A"/>
    <w:rsid w:val="201C7B31"/>
    <w:rsid w:val="203F2146"/>
    <w:rsid w:val="20AA0083"/>
    <w:rsid w:val="20ED3C16"/>
    <w:rsid w:val="21492AD8"/>
    <w:rsid w:val="217E3C1D"/>
    <w:rsid w:val="223A2AB8"/>
    <w:rsid w:val="224700DF"/>
    <w:rsid w:val="234C750E"/>
    <w:rsid w:val="23FA686C"/>
    <w:rsid w:val="24AA5BCC"/>
    <w:rsid w:val="25593775"/>
    <w:rsid w:val="255B67E8"/>
    <w:rsid w:val="25D20519"/>
    <w:rsid w:val="26B8513F"/>
    <w:rsid w:val="277E06D7"/>
    <w:rsid w:val="27AC425F"/>
    <w:rsid w:val="28032FE3"/>
    <w:rsid w:val="285D5E3E"/>
    <w:rsid w:val="28AF41A0"/>
    <w:rsid w:val="28D80E9E"/>
    <w:rsid w:val="29320DF3"/>
    <w:rsid w:val="29E20D6F"/>
    <w:rsid w:val="29E63530"/>
    <w:rsid w:val="2A8138F9"/>
    <w:rsid w:val="2AFA5254"/>
    <w:rsid w:val="2B2C7B14"/>
    <w:rsid w:val="2D1C60BC"/>
    <w:rsid w:val="2EB30204"/>
    <w:rsid w:val="2EBE2906"/>
    <w:rsid w:val="2EEF2FD0"/>
    <w:rsid w:val="2F607C49"/>
    <w:rsid w:val="2F7B1BB4"/>
    <w:rsid w:val="2FAF0F3B"/>
    <w:rsid w:val="2FCC2EC1"/>
    <w:rsid w:val="2FD75A57"/>
    <w:rsid w:val="30150257"/>
    <w:rsid w:val="301D6CD5"/>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1B7BD3"/>
    <w:rsid w:val="362A1767"/>
    <w:rsid w:val="368B0847"/>
    <w:rsid w:val="36AD3C21"/>
    <w:rsid w:val="36D706BD"/>
    <w:rsid w:val="36DB71B3"/>
    <w:rsid w:val="36DF4838"/>
    <w:rsid w:val="38357FC3"/>
    <w:rsid w:val="397114CB"/>
    <w:rsid w:val="3A286983"/>
    <w:rsid w:val="3A316D41"/>
    <w:rsid w:val="3A791AB3"/>
    <w:rsid w:val="3A7A6F1E"/>
    <w:rsid w:val="3AE12ADB"/>
    <w:rsid w:val="3B7E607B"/>
    <w:rsid w:val="3BC82207"/>
    <w:rsid w:val="3BD804EA"/>
    <w:rsid w:val="3C016C71"/>
    <w:rsid w:val="3C1B181E"/>
    <w:rsid w:val="3C203FE1"/>
    <w:rsid w:val="3D326006"/>
    <w:rsid w:val="3D843DB4"/>
    <w:rsid w:val="3DB3569D"/>
    <w:rsid w:val="3E2B5399"/>
    <w:rsid w:val="3E4E6F02"/>
    <w:rsid w:val="3E5D59EE"/>
    <w:rsid w:val="3EA305F2"/>
    <w:rsid w:val="3F0B192B"/>
    <w:rsid w:val="3F3349E1"/>
    <w:rsid w:val="3F95513E"/>
    <w:rsid w:val="416F0E3A"/>
    <w:rsid w:val="41B04BB9"/>
    <w:rsid w:val="42394175"/>
    <w:rsid w:val="423E1A86"/>
    <w:rsid w:val="42910824"/>
    <w:rsid w:val="4412111F"/>
    <w:rsid w:val="45185FC7"/>
    <w:rsid w:val="470216C0"/>
    <w:rsid w:val="47C11F07"/>
    <w:rsid w:val="47E83667"/>
    <w:rsid w:val="4A007A95"/>
    <w:rsid w:val="4A56355D"/>
    <w:rsid w:val="4A6A77A1"/>
    <w:rsid w:val="4A802F02"/>
    <w:rsid w:val="4B137686"/>
    <w:rsid w:val="4C392F39"/>
    <w:rsid w:val="4CF72E0A"/>
    <w:rsid w:val="4CFC26F0"/>
    <w:rsid w:val="4D190A3D"/>
    <w:rsid w:val="4D996193"/>
    <w:rsid w:val="4D9B5E2B"/>
    <w:rsid w:val="4DA62A71"/>
    <w:rsid w:val="4E2813A3"/>
    <w:rsid w:val="4E3623E0"/>
    <w:rsid w:val="4E590CD0"/>
    <w:rsid w:val="4E874BF9"/>
    <w:rsid w:val="4F4966DE"/>
    <w:rsid w:val="50972888"/>
    <w:rsid w:val="513371C0"/>
    <w:rsid w:val="518E7928"/>
    <w:rsid w:val="524B29D2"/>
    <w:rsid w:val="527354B0"/>
    <w:rsid w:val="53240DE2"/>
    <w:rsid w:val="536B714E"/>
    <w:rsid w:val="53D43282"/>
    <w:rsid w:val="54CF56D2"/>
    <w:rsid w:val="551410ED"/>
    <w:rsid w:val="554479B3"/>
    <w:rsid w:val="557309A7"/>
    <w:rsid w:val="55B12017"/>
    <w:rsid w:val="55FC25AC"/>
    <w:rsid w:val="5622038C"/>
    <w:rsid w:val="578F4550"/>
    <w:rsid w:val="57977A16"/>
    <w:rsid w:val="58032CCB"/>
    <w:rsid w:val="580F411A"/>
    <w:rsid w:val="583D1B1F"/>
    <w:rsid w:val="58A27480"/>
    <w:rsid w:val="590C3210"/>
    <w:rsid w:val="5A5A375F"/>
    <w:rsid w:val="5A8457CD"/>
    <w:rsid w:val="5ACE03B2"/>
    <w:rsid w:val="5AFA0CD5"/>
    <w:rsid w:val="5BAA29AB"/>
    <w:rsid w:val="5BBC3082"/>
    <w:rsid w:val="5BF04E33"/>
    <w:rsid w:val="5C8A42C3"/>
    <w:rsid w:val="5E2814C4"/>
    <w:rsid w:val="5E2C75D3"/>
    <w:rsid w:val="5E5C1146"/>
    <w:rsid w:val="5E9C5841"/>
    <w:rsid w:val="5ECC6D02"/>
    <w:rsid w:val="5F0D2C6F"/>
    <w:rsid w:val="607D6651"/>
    <w:rsid w:val="60BD1FFE"/>
    <w:rsid w:val="61170B58"/>
    <w:rsid w:val="611A0EA3"/>
    <w:rsid w:val="61E70C8F"/>
    <w:rsid w:val="61ED4AF3"/>
    <w:rsid w:val="627C6782"/>
    <w:rsid w:val="62EA0127"/>
    <w:rsid w:val="63012C54"/>
    <w:rsid w:val="63E112D8"/>
    <w:rsid w:val="66950943"/>
    <w:rsid w:val="66FC41BD"/>
    <w:rsid w:val="672E1E7F"/>
    <w:rsid w:val="67401C19"/>
    <w:rsid w:val="682979C4"/>
    <w:rsid w:val="68877B1A"/>
    <w:rsid w:val="6A035AFF"/>
    <w:rsid w:val="6A914A15"/>
    <w:rsid w:val="6AAB5773"/>
    <w:rsid w:val="6AD81AFC"/>
    <w:rsid w:val="6B0242A5"/>
    <w:rsid w:val="6B1E4448"/>
    <w:rsid w:val="6C360A8B"/>
    <w:rsid w:val="6C830331"/>
    <w:rsid w:val="6CB57DDF"/>
    <w:rsid w:val="6D8528BD"/>
    <w:rsid w:val="6D946B00"/>
    <w:rsid w:val="6DA018A4"/>
    <w:rsid w:val="6DBF1822"/>
    <w:rsid w:val="6E0B7AA2"/>
    <w:rsid w:val="6F156B47"/>
    <w:rsid w:val="6F4126A8"/>
    <w:rsid w:val="6F52577A"/>
    <w:rsid w:val="6F5C678A"/>
    <w:rsid w:val="6F833530"/>
    <w:rsid w:val="6F8E2B60"/>
    <w:rsid w:val="6F95389D"/>
    <w:rsid w:val="701C6432"/>
    <w:rsid w:val="7195640E"/>
    <w:rsid w:val="71BB1561"/>
    <w:rsid w:val="7253624D"/>
    <w:rsid w:val="72C548FE"/>
    <w:rsid w:val="72C94904"/>
    <w:rsid w:val="72CE7DF1"/>
    <w:rsid w:val="738C49D4"/>
    <w:rsid w:val="744E387C"/>
    <w:rsid w:val="7469576C"/>
    <w:rsid w:val="748266FC"/>
    <w:rsid w:val="74B23165"/>
    <w:rsid w:val="75145452"/>
    <w:rsid w:val="75BB0C3B"/>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E539A"/>
    <w:rsid w:val="7A392143"/>
    <w:rsid w:val="7A447B8D"/>
    <w:rsid w:val="7A940E65"/>
    <w:rsid w:val="7AE07CFD"/>
    <w:rsid w:val="7B0E0BB9"/>
    <w:rsid w:val="7B376CA9"/>
    <w:rsid w:val="7B6715B3"/>
    <w:rsid w:val="7B7503BA"/>
    <w:rsid w:val="7C3E24DF"/>
    <w:rsid w:val="7C7D1BE7"/>
    <w:rsid w:val="7D8F6DE4"/>
    <w:rsid w:val="7DAA5FB8"/>
    <w:rsid w:val="7DFB0316"/>
    <w:rsid w:val="7E4E7602"/>
    <w:rsid w:val="7E723EF0"/>
    <w:rsid w:val="7EA831A1"/>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4"/>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Chars="200"/>
    </w:pPr>
  </w:style>
  <w:style w:type="paragraph" w:styleId="9">
    <w:name w:val="annotation text"/>
    <w:basedOn w:val="1"/>
    <w:qFormat/>
    <w:uiPriority w:val="0"/>
    <w:pPr>
      <w:jc w:val="left"/>
    </w:pPr>
  </w:style>
  <w:style w:type="paragraph" w:styleId="10">
    <w:name w:val="Body Text Indent"/>
    <w:basedOn w:val="1"/>
    <w:next w:val="1"/>
    <w:link w:val="35"/>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Normal]"/>
    <w:autoRedefine/>
    <w:qFormat/>
    <w:uiPriority w:val="0"/>
    <w:rPr>
      <w:rFonts w:ascii="宋体" w:hAnsi="宋体" w:eastAsia="宋体" w:cs="Times New Roman"/>
      <w:sz w:val="24"/>
      <w:szCs w:val="22"/>
      <w:lang w:val="zh-CN" w:eastAsia="zh-CN" w:bidi="ar-SA"/>
    </w:rPr>
  </w:style>
  <w:style w:type="paragraph" w:customStyle="1" w:styleId="30">
    <w:name w:val="正文首行缩进1"/>
    <w:basedOn w:val="2"/>
    <w:autoRedefine/>
    <w:qFormat/>
    <w:uiPriority w:val="0"/>
    <w:pPr>
      <w:ind w:firstLine="420" w:firstLineChars="100"/>
    </w:pPr>
  </w:style>
  <w:style w:type="paragraph" w:customStyle="1" w:styleId="31">
    <w:name w:val="正文（首行缩进2字符）"/>
    <w:basedOn w:val="1"/>
    <w:autoRedefine/>
    <w:qFormat/>
    <w:uiPriority w:val="0"/>
    <w:pPr>
      <w:ind w:firstLine="480" w:firstLineChars="200"/>
    </w:pPr>
    <w:rPr>
      <w:sz w:val="24"/>
      <w:szCs w:val="20"/>
    </w:rPr>
  </w:style>
  <w:style w:type="character" w:customStyle="1" w:styleId="32">
    <w:name w:val="页眉 Char"/>
    <w:basedOn w:val="24"/>
    <w:link w:val="15"/>
    <w:autoRedefine/>
    <w:semiHidden/>
    <w:qFormat/>
    <w:uiPriority w:val="99"/>
    <w:rPr>
      <w:sz w:val="18"/>
      <w:szCs w:val="18"/>
    </w:rPr>
  </w:style>
  <w:style w:type="character" w:customStyle="1" w:styleId="33">
    <w:name w:val="页脚 Char"/>
    <w:basedOn w:val="24"/>
    <w:link w:val="14"/>
    <w:autoRedefine/>
    <w:semiHidden/>
    <w:qFormat/>
    <w:uiPriority w:val="99"/>
    <w:rPr>
      <w:sz w:val="18"/>
      <w:szCs w:val="18"/>
    </w:rPr>
  </w:style>
  <w:style w:type="character" w:customStyle="1" w:styleId="34">
    <w:name w:val="正文文本 Char"/>
    <w:basedOn w:val="24"/>
    <w:link w:val="2"/>
    <w:autoRedefine/>
    <w:semiHidden/>
    <w:qFormat/>
    <w:uiPriority w:val="99"/>
    <w:rPr>
      <w:rFonts w:ascii="Times New Roman" w:hAnsi="Times New Roman" w:eastAsia="宋体" w:cs="Times New Roman"/>
      <w:szCs w:val="24"/>
    </w:rPr>
  </w:style>
  <w:style w:type="character" w:customStyle="1" w:styleId="35">
    <w:name w:val="正文文本缩进 Char"/>
    <w:basedOn w:val="24"/>
    <w:link w:val="10"/>
    <w:autoRedefine/>
    <w:qFormat/>
    <w:uiPriority w:val="99"/>
    <w:rPr>
      <w:rFonts w:ascii="Times New Roman" w:hAnsi="Times New Roman" w:eastAsia="宋体" w:cs="Times New Roman"/>
      <w:szCs w:val="24"/>
    </w:rPr>
  </w:style>
  <w:style w:type="character" w:customStyle="1" w:styleId="36">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2"/>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rPr>
      <w:szCs w:val="24"/>
    </w:rPr>
  </w:style>
  <w:style w:type="paragraph" w:customStyle="1" w:styleId="56">
    <w:name w:val="纯文本1"/>
    <w:basedOn w:val="53"/>
    <w:autoRedefine/>
    <w:qFormat/>
    <w:uiPriority w:val="0"/>
    <w:pPr>
      <w:widowControl/>
      <w:jc w:val="left"/>
    </w:pPr>
    <w:rPr>
      <w:rFonts w:ascii="宋体" w:hAnsi="Courier New"/>
      <w:szCs w:val="20"/>
    </w:rPr>
  </w:style>
  <w:style w:type="character" w:customStyle="1" w:styleId="57">
    <w:name w:val="NormalCharacter"/>
    <w:autoRedefine/>
    <w:semiHidden/>
    <w:qFormat/>
    <w:uiPriority w:val="0"/>
  </w:style>
  <w:style w:type="paragraph" w:customStyle="1" w:styleId="58">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30990</Words>
  <Characters>32964</Characters>
  <Lines>1</Lines>
  <Paragraphs>1</Paragraphs>
  <TotalTime>42</TotalTime>
  <ScaleCrop>false</ScaleCrop>
  <LinksUpToDate>false</LinksUpToDate>
  <CharactersWithSpaces>33933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2025-04-09T05:46:07Z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0C4C8C763FA74AAABD53482A9AAA891D_13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