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F1D8547">
      <w:pPr>
        <w:rPr>
          <w:rFonts w:hint="eastAsia" w:ascii="宋体" w:hAnsi="宋体" w:eastAsia="宋体" w:cs="宋体"/>
          <w:color w:val="auto"/>
          <w:highlight w:val="none"/>
        </w:rPr>
      </w:pPr>
      <w:bookmarkStart w:id="2" w:name="_GoBack"/>
    </w:p>
    <w:p w14:paraId="63A8C2AB">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51963311">
      <w:pPr>
        <w:pStyle w:val="7"/>
        <w:jc w:val="center"/>
        <w:rPr>
          <w:rFonts w:hint="eastAsia" w:ascii="宋体" w:hAnsi="宋体" w:eastAsia="宋体" w:cs="宋体"/>
          <w:color w:val="auto"/>
          <w:highlight w:val="none"/>
        </w:rPr>
      </w:pPr>
    </w:p>
    <w:p w14:paraId="74AF0D20">
      <w:pPr>
        <w:pStyle w:val="7"/>
        <w:jc w:val="center"/>
        <w:rPr>
          <w:rFonts w:hint="eastAsia" w:ascii="宋体" w:hAnsi="宋体" w:eastAsia="宋体" w:cs="宋体"/>
          <w:color w:val="auto"/>
          <w:highlight w:val="none"/>
        </w:rPr>
      </w:pPr>
    </w:p>
    <w:p w14:paraId="2A63D38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196E2C6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7338D28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41AFC90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33F032FA">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w:t>
      </w:r>
      <w:r>
        <w:rPr>
          <w:rFonts w:hint="eastAsia" w:ascii="宋体" w:hAnsi="宋体" w:eastAsia="宋体" w:cs="宋体"/>
          <w:b/>
          <w:bCs/>
          <w:color w:val="auto"/>
          <w:kern w:val="0"/>
          <w:sz w:val="32"/>
          <w:szCs w:val="32"/>
          <w:highlight w:val="none"/>
          <w:lang w:val="en-US" w:eastAsia="zh-CN"/>
        </w:rPr>
        <w:t>采购</w:t>
      </w:r>
      <w:r>
        <w:rPr>
          <w:rFonts w:hint="eastAsia" w:ascii="宋体" w:hAnsi="宋体" w:eastAsia="宋体" w:cs="宋体"/>
          <w:b/>
          <w:bCs/>
          <w:color w:val="auto"/>
          <w:kern w:val="0"/>
          <w:sz w:val="32"/>
          <w:szCs w:val="32"/>
          <w:highlight w:val="none"/>
        </w:rPr>
        <w:t>方式）</w:t>
      </w:r>
    </w:p>
    <w:p w14:paraId="4F988229">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tzya2025-jj04</w:t>
      </w:r>
      <w:r>
        <w:rPr>
          <w:rFonts w:hint="eastAsia" w:ascii="宋体" w:hAnsi="宋体" w:eastAsia="宋体" w:cs="宋体"/>
          <w:color w:val="auto"/>
          <w:kern w:val="0"/>
          <w:sz w:val="28"/>
          <w:szCs w:val="28"/>
          <w:highlight w:val="none"/>
          <w:u w:val="single"/>
          <w:lang w:val="en-US" w:eastAsia="zh-CN"/>
        </w:rPr>
        <w:t xml:space="preserve"> </w:t>
      </w:r>
    </w:p>
    <w:p w14:paraId="418DF983">
      <w:pPr>
        <w:pStyle w:val="7"/>
        <w:jc w:val="center"/>
        <w:rPr>
          <w:rFonts w:hint="eastAsia" w:ascii="宋体" w:hAnsi="宋体" w:eastAsia="宋体" w:cs="宋体"/>
          <w:color w:val="auto"/>
          <w:highlight w:val="none"/>
        </w:rPr>
      </w:pPr>
    </w:p>
    <w:p w14:paraId="38D558A6">
      <w:pPr>
        <w:pStyle w:val="7"/>
        <w:jc w:val="both"/>
        <w:rPr>
          <w:rFonts w:hint="eastAsia" w:ascii="宋体" w:hAnsi="宋体" w:eastAsia="宋体" w:cs="宋体"/>
          <w:color w:val="auto"/>
          <w:highlight w:val="none"/>
        </w:rPr>
      </w:pPr>
    </w:p>
    <w:p w14:paraId="46FF7DF9">
      <w:pPr>
        <w:pStyle w:val="7"/>
        <w:jc w:val="center"/>
        <w:rPr>
          <w:rFonts w:hint="eastAsia" w:ascii="宋体" w:hAnsi="宋体" w:eastAsia="宋体" w:cs="宋体"/>
          <w:color w:val="auto"/>
          <w:highlight w:val="none"/>
        </w:rPr>
      </w:pPr>
    </w:p>
    <w:p w14:paraId="29139B36">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2025年椒江区土壤重点监管单位周边监测项目</w:t>
      </w:r>
    </w:p>
    <w:p w14:paraId="0976A258">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台州市生态环境局椒江分局</w:t>
      </w:r>
    </w:p>
    <w:p w14:paraId="76636D2F">
      <w:pPr>
        <w:pStyle w:val="7"/>
        <w:rPr>
          <w:rFonts w:hint="eastAsia" w:ascii="宋体" w:hAnsi="宋体" w:eastAsia="宋体" w:cs="宋体"/>
          <w:color w:val="auto"/>
          <w:highlight w:val="none"/>
        </w:rPr>
      </w:pPr>
    </w:p>
    <w:p w14:paraId="2BD1A951">
      <w:pPr>
        <w:pStyle w:val="7"/>
        <w:rPr>
          <w:rFonts w:hint="eastAsia" w:ascii="宋体" w:hAnsi="宋体" w:eastAsia="宋体" w:cs="宋体"/>
          <w:color w:val="auto"/>
          <w:highlight w:val="none"/>
        </w:rPr>
      </w:pPr>
    </w:p>
    <w:p w14:paraId="2417173C">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D4E01BE">
      <w:pPr>
        <w:pStyle w:val="7"/>
        <w:rPr>
          <w:rFonts w:hint="eastAsia" w:ascii="宋体" w:hAnsi="宋体" w:eastAsia="宋体" w:cs="宋体"/>
          <w:color w:val="auto"/>
          <w:highlight w:val="none"/>
        </w:rPr>
      </w:pPr>
    </w:p>
    <w:p w14:paraId="2E08903D">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二○二五年四月</w:t>
      </w:r>
    </w:p>
    <w:p w14:paraId="6804D7F0">
      <w:pPr>
        <w:pStyle w:val="7"/>
        <w:jc w:val="center"/>
        <w:rPr>
          <w:rFonts w:hint="eastAsia" w:ascii="宋体" w:hAnsi="宋体" w:eastAsia="宋体" w:cs="宋体"/>
          <w:color w:val="auto"/>
          <w:kern w:val="0"/>
          <w:szCs w:val="21"/>
          <w:highlight w:val="none"/>
        </w:rPr>
      </w:pPr>
    </w:p>
    <w:p w14:paraId="7DE081C6">
      <w:pPr>
        <w:pStyle w:val="7"/>
        <w:jc w:val="both"/>
        <w:rPr>
          <w:rFonts w:hint="eastAsia" w:ascii="宋体" w:hAnsi="宋体" w:eastAsia="宋体" w:cs="宋体"/>
          <w:color w:val="auto"/>
          <w:highlight w:val="none"/>
        </w:rPr>
      </w:pPr>
    </w:p>
    <w:p w14:paraId="1C5FFA7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774D37A">
      <w:pPr>
        <w:spacing w:line="360" w:lineRule="auto"/>
        <w:rPr>
          <w:rFonts w:hint="eastAsia" w:ascii="宋体" w:hAnsi="宋体" w:eastAsia="宋体" w:cs="宋体"/>
          <w:color w:val="auto"/>
          <w:sz w:val="28"/>
          <w:szCs w:val="28"/>
          <w:highlight w:val="none"/>
        </w:rPr>
      </w:pPr>
    </w:p>
    <w:p w14:paraId="717B20A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6EF0071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26D1268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1C09846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10FDCE7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0688152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196715FD">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E5A8531">
      <w:pPr>
        <w:pStyle w:val="7"/>
        <w:jc w:val="center"/>
        <w:rPr>
          <w:rFonts w:hint="eastAsia" w:ascii="宋体" w:hAnsi="宋体" w:eastAsia="宋体" w:cs="宋体"/>
          <w:color w:val="auto"/>
          <w:highlight w:val="none"/>
        </w:rPr>
      </w:pPr>
    </w:p>
    <w:p w14:paraId="1ED55FCE">
      <w:pPr>
        <w:pStyle w:val="7"/>
        <w:jc w:val="center"/>
        <w:rPr>
          <w:rFonts w:hint="eastAsia" w:ascii="宋体" w:hAnsi="宋体" w:eastAsia="宋体" w:cs="宋体"/>
          <w:color w:val="auto"/>
          <w:highlight w:val="none"/>
        </w:rPr>
      </w:pPr>
    </w:p>
    <w:p w14:paraId="3B330FAE">
      <w:pPr>
        <w:pStyle w:val="7"/>
        <w:jc w:val="center"/>
        <w:rPr>
          <w:rFonts w:hint="eastAsia" w:ascii="宋体" w:hAnsi="宋体" w:eastAsia="宋体" w:cs="宋体"/>
          <w:color w:val="auto"/>
          <w:highlight w:val="none"/>
        </w:rPr>
      </w:pPr>
    </w:p>
    <w:p w14:paraId="467EFD75">
      <w:pPr>
        <w:pStyle w:val="7"/>
        <w:jc w:val="center"/>
        <w:rPr>
          <w:rFonts w:hint="eastAsia" w:ascii="宋体" w:hAnsi="宋体" w:eastAsia="宋体" w:cs="宋体"/>
          <w:color w:val="auto"/>
          <w:highlight w:val="none"/>
        </w:rPr>
      </w:pPr>
    </w:p>
    <w:p w14:paraId="1E22AD95">
      <w:pPr>
        <w:pStyle w:val="7"/>
        <w:jc w:val="center"/>
        <w:rPr>
          <w:rFonts w:hint="eastAsia" w:ascii="宋体" w:hAnsi="宋体" w:eastAsia="宋体" w:cs="宋体"/>
          <w:color w:val="auto"/>
          <w:highlight w:val="none"/>
        </w:rPr>
      </w:pPr>
    </w:p>
    <w:p w14:paraId="3DACF4F1">
      <w:pPr>
        <w:pStyle w:val="7"/>
        <w:jc w:val="center"/>
        <w:rPr>
          <w:rFonts w:hint="eastAsia" w:ascii="宋体" w:hAnsi="宋体" w:eastAsia="宋体" w:cs="宋体"/>
          <w:color w:val="auto"/>
          <w:highlight w:val="none"/>
        </w:rPr>
      </w:pPr>
    </w:p>
    <w:p w14:paraId="7BEDD79C">
      <w:pPr>
        <w:pStyle w:val="7"/>
        <w:jc w:val="center"/>
        <w:rPr>
          <w:rFonts w:hint="eastAsia" w:ascii="宋体" w:hAnsi="宋体" w:eastAsia="宋体" w:cs="宋体"/>
          <w:color w:val="auto"/>
          <w:highlight w:val="none"/>
        </w:rPr>
      </w:pPr>
    </w:p>
    <w:p w14:paraId="545D3DE4">
      <w:pPr>
        <w:pStyle w:val="7"/>
        <w:jc w:val="center"/>
        <w:rPr>
          <w:rFonts w:hint="eastAsia" w:ascii="宋体" w:hAnsi="宋体" w:eastAsia="宋体" w:cs="宋体"/>
          <w:color w:val="auto"/>
          <w:highlight w:val="none"/>
        </w:rPr>
      </w:pPr>
    </w:p>
    <w:p w14:paraId="5F3D3DE3">
      <w:pPr>
        <w:pStyle w:val="7"/>
        <w:jc w:val="center"/>
        <w:rPr>
          <w:rFonts w:hint="eastAsia" w:ascii="宋体" w:hAnsi="宋体" w:eastAsia="宋体" w:cs="宋体"/>
          <w:color w:val="auto"/>
          <w:highlight w:val="none"/>
        </w:rPr>
      </w:pPr>
    </w:p>
    <w:p w14:paraId="78246218">
      <w:pPr>
        <w:pStyle w:val="7"/>
        <w:jc w:val="center"/>
        <w:rPr>
          <w:rFonts w:hint="eastAsia" w:ascii="宋体" w:hAnsi="宋体" w:eastAsia="宋体" w:cs="宋体"/>
          <w:color w:val="auto"/>
          <w:highlight w:val="none"/>
        </w:rPr>
      </w:pPr>
    </w:p>
    <w:p w14:paraId="1A3BCC92">
      <w:pPr>
        <w:pStyle w:val="7"/>
        <w:jc w:val="center"/>
        <w:rPr>
          <w:rFonts w:hint="eastAsia" w:ascii="宋体" w:hAnsi="宋体" w:eastAsia="宋体" w:cs="宋体"/>
          <w:color w:val="auto"/>
          <w:highlight w:val="none"/>
        </w:rPr>
      </w:pPr>
    </w:p>
    <w:p w14:paraId="1A998D45">
      <w:pPr>
        <w:pStyle w:val="7"/>
        <w:jc w:val="center"/>
        <w:rPr>
          <w:rFonts w:hint="eastAsia" w:ascii="宋体" w:hAnsi="宋体" w:eastAsia="宋体" w:cs="宋体"/>
          <w:color w:val="auto"/>
          <w:highlight w:val="none"/>
        </w:rPr>
      </w:pPr>
    </w:p>
    <w:p w14:paraId="1AE3F757">
      <w:pPr>
        <w:pStyle w:val="8"/>
        <w:rPr>
          <w:rFonts w:hint="eastAsia" w:ascii="宋体" w:hAnsi="宋体" w:eastAsia="宋体" w:cs="宋体"/>
          <w:color w:val="auto"/>
          <w:highlight w:val="none"/>
        </w:rPr>
      </w:pPr>
    </w:p>
    <w:p w14:paraId="40126D84">
      <w:pPr>
        <w:pStyle w:val="8"/>
        <w:rPr>
          <w:rFonts w:hint="eastAsia" w:ascii="宋体" w:hAnsi="宋体" w:eastAsia="宋体" w:cs="宋体"/>
          <w:color w:val="auto"/>
          <w:highlight w:val="none"/>
        </w:rPr>
      </w:pPr>
    </w:p>
    <w:p w14:paraId="0E6D3AC6">
      <w:pPr>
        <w:pStyle w:val="7"/>
        <w:jc w:val="center"/>
        <w:rPr>
          <w:rFonts w:hint="eastAsia" w:ascii="宋体" w:hAnsi="宋体" w:eastAsia="宋体" w:cs="宋体"/>
          <w:color w:val="auto"/>
          <w:highlight w:val="none"/>
        </w:rPr>
      </w:pPr>
    </w:p>
    <w:p w14:paraId="71E4E072">
      <w:pPr>
        <w:pStyle w:val="8"/>
        <w:rPr>
          <w:rFonts w:hint="eastAsia" w:ascii="宋体" w:hAnsi="宋体" w:eastAsia="宋体" w:cs="宋体"/>
          <w:color w:val="auto"/>
          <w:highlight w:val="none"/>
        </w:rPr>
      </w:pPr>
    </w:p>
    <w:p w14:paraId="2BB95789">
      <w:pPr>
        <w:pStyle w:val="7"/>
        <w:jc w:val="center"/>
        <w:rPr>
          <w:rFonts w:hint="eastAsia" w:ascii="宋体" w:hAnsi="宋体" w:eastAsia="宋体" w:cs="宋体"/>
          <w:color w:val="auto"/>
          <w:highlight w:val="none"/>
        </w:rPr>
      </w:pPr>
    </w:p>
    <w:p w14:paraId="0127C8B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3449CA3E">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eastAsia="宋体" w:cs="宋体"/>
          <w:b/>
          <w:bCs/>
          <w:color w:val="auto"/>
          <w:sz w:val="21"/>
          <w:szCs w:val="21"/>
          <w:highlight w:val="none"/>
          <w:lang w:eastAsia="zh-CN"/>
        </w:rPr>
        <w:t>台州市生态环境局椒江分局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2025年椒江区土壤重点监管单位周边监测项目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5F90557A">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tzya2025-jj04</w:t>
      </w:r>
    </w:p>
    <w:p w14:paraId="73B7AA4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508"/>
        <w:gridCol w:w="857"/>
        <w:gridCol w:w="750"/>
        <w:gridCol w:w="1661"/>
        <w:gridCol w:w="855"/>
      </w:tblGrid>
      <w:tr w14:paraId="778C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5" w:type="dxa"/>
            <w:noWrap w:val="0"/>
            <w:vAlign w:val="center"/>
          </w:tcPr>
          <w:p w14:paraId="52FB3B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0888B1E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08" w:type="dxa"/>
            <w:noWrap w:val="0"/>
            <w:vAlign w:val="center"/>
          </w:tcPr>
          <w:p w14:paraId="67D05CD0">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57" w:type="dxa"/>
            <w:noWrap w:val="0"/>
            <w:vAlign w:val="center"/>
          </w:tcPr>
          <w:p w14:paraId="36FD4FCF">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noWrap w:val="0"/>
            <w:vAlign w:val="center"/>
          </w:tcPr>
          <w:p w14:paraId="12A44AC0">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1" w:type="dxa"/>
            <w:noWrap w:val="0"/>
            <w:vAlign w:val="center"/>
          </w:tcPr>
          <w:p w14:paraId="4F52786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1A7043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855" w:type="dxa"/>
            <w:noWrap w:val="0"/>
            <w:vAlign w:val="center"/>
          </w:tcPr>
          <w:p w14:paraId="3E81B91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6E24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59EA3381">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7BD49E72">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2025年椒江区土壤重点监管单位周边监测项目</w:t>
            </w:r>
          </w:p>
        </w:tc>
        <w:tc>
          <w:tcPr>
            <w:tcW w:w="1508" w:type="dxa"/>
            <w:noWrap w:val="0"/>
            <w:vAlign w:val="center"/>
          </w:tcPr>
          <w:p w14:paraId="667D0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57" w:type="dxa"/>
            <w:noWrap w:val="0"/>
            <w:vAlign w:val="center"/>
          </w:tcPr>
          <w:p w14:paraId="2ED1E7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noWrap w:val="0"/>
            <w:vAlign w:val="center"/>
          </w:tcPr>
          <w:p w14:paraId="6BB6204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61" w:type="dxa"/>
            <w:noWrap w:val="0"/>
            <w:vAlign w:val="center"/>
          </w:tcPr>
          <w:p w14:paraId="7928E7BA">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79.2</w:t>
            </w:r>
          </w:p>
        </w:tc>
        <w:tc>
          <w:tcPr>
            <w:tcW w:w="855" w:type="dxa"/>
            <w:noWrap w:val="0"/>
            <w:vAlign w:val="center"/>
          </w:tcPr>
          <w:p w14:paraId="565F042F">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448867C1">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C57CE8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B64B94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48CABF1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7ECAE2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本项目</w:t>
      </w:r>
      <w:r>
        <w:rPr>
          <w:rFonts w:hint="eastAsia" w:ascii="宋体" w:hAnsi="宋体" w:cs="宋体"/>
          <w:b/>
          <w:bCs w:val="0"/>
          <w:color w:val="auto"/>
          <w:sz w:val="21"/>
          <w:szCs w:val="21"/>
          <w:highlight w:val="none"/>
          <w:shd w:val="clear" w:color="auto" w:fill="auto"/>
          <w:lang w:val="en-US" w:eastAsia="zh-CN"/>
        </w:rPr>
        <w:t>不</w:t>
      </w:r>
      <w:r>
        <w:rPr>
          <w:rFonts w:hint="eastAsia" w:ascii="宋体" w:hAnsi="宋体" w:eastAsia="宋体" w:cs="宋体"/>
          <w:b/>
          <w:bCs w:val="0"/>
          <w:color w:val="auto"/>
          <w:sz w:val="21"/>
          <w:szCs w:val="21"/>
          <w:highlight w:val="none"/>
          <w:shd w:val="clear" w:color="auto" w:fill="auto"/>
        </w:rPr>
        <w:t>接受联合体投标</w:t>
      </w:r>
      <w:r>
        <w:rPr>
          <w:rFonts w:hint="eastAsia" w:ascii="宋体" w:hAnsi="宋体" w:eastAsia="宋体" w:cs="宋体"/>
          <w:b/>
          <w:bCs w:val="0"/>
          <w:color w:val="auto"/>
          <w:sz w:val="21"/>
          <w:szCs w:val="21"/>
          <w:highlight w:val="none"/>
        </w:rPr>
        <w:t>。</w:t>
      </w:r>
    </w:p>
    <w:p w14:paraId="79B1D85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3B753C4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FC36A6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FEA0ED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8B199C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方式：潜在供应商登陆</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3B2424C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5858EB2">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7640D782">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746749E0">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39005327">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37E11839">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69187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1E54656">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23BE406C">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156F860A">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整，地点：通过“政府采购云平台（www.zcygov.cn）”实行在线投标响应</w:t>
      </w:r>
    </w:p>
    <w:p w14:paraId="4ADC0992">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p>
    <w:p w14:paraId="6091F80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0DB13D30">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54030958">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1EADD231">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0E5BB6AF">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/6IMVAG0BFdiHx</w:t>
      </w:r>
    </w:p>
    <w:p w14:paraId="22D5F631">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064D0862">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6E813371">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6A16409D">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0CDCE4BF">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3A2C2FD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2D34E61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1696433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5F3219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C6EA8B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2E8AA83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0B271DA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603865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29C2A12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54ED3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55005A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0A556D8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12796BA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2A1B2F6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1601D596">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52E6410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7DA59B1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BE6DDF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林</w:t>
      </w:r>
      <w:r>
        <w:rPr>
          <w:rFonts w:hint="eastAsia" w:ascii="宋体" w:hAnsi="宋体" w:eastAsia="宋体" w:cs="宋体"/>
          <w:color w:val="auto"/>
          <w:sz w:val="21"/>
          <w:szCs w:val="21"/>
          <w:highlight w:val="none"/>
          <w:lang w:val="en-US" w:eastAsia="zh-CN"/>
        </w:rPr>
        <w:t xml:space="preserve">女士 </w:t>
      </w:r>
    </w:p>
    <w:p w14:paraId="16B8635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270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15757696186</w:t>
      </w:r>
      <w:r>
        <w:rPr>
          <w:rFonts w:hint="eastAsia" w:ascii="宋体" w:hAnsi="宋体" w:eastAsia="宋体" w:cs="宋体"/>
          <w:color w:val="auto"/>
          <w:sz w:val="21"/>
          <w:szCs w:val="21"/>
          <w:highlight w:val="none"/>
          <w:lang w:eastAsia="zh-CN"/>
        </w:rPr>
        <w:t xml:space="preserve"> </w:t>
      </w:r>
    </w:p>
    <w:p w14:paraId="7F42B9F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168D270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3F69EBB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F278A0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639F9AD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90F6C0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台州市生态环境局椒江分局</w:t>
      </w:r>
    </w:p>
    <w:p w14:paraId="25FFADF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询问联系人：蒋先生      询问联系电话：0576-88891430</w:t>
      </w:r>
    </w:p>
    <w:p w14:paraId="2BDA384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质疑联系人：罗先生      质疑联系电话：0576-88898099</w:t>
      </w:r>
    </w:p>
    <w:p w14:paraId="265BBF1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浙江省台州市椒江区建设路7号</w:t>
      </w:r>
    </w:p>
    <w:p w14:paraId="03C140F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472527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同级政府采购监督管理部门名称：台州市椒江区财政局政府采购监管科</w:t>
      </w:r>
    </w:p>
    <w:p w14:paraId="0926085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联系人：王</w:t>
      </w:r>
      <w:r>
        <w:rPr>
          <w:rFonts w:hint="eastAsia" w:ascii="宋体" w:hAnsi="宋体" w:eastAsia="宋体" w:cs="宋体"/>
          <w:color w:val="auto"/>
          <w:sz w:val="21"/>
          <w:szCs w:val="21"/>
          <w:highlight w:val="none"/>
          <w:lang w:val="en-US" w:eastAsia="zh-CN"/>
        </w:rPr>
        <w:t>女士</w:t>
      </w:r>
    </w:p>
    <w:p w14:paraId="32FFD72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监督投诉电话：0576-89069293</w:t>
      </w:r>
    </w:p>
    <w:p w14:paraId="4CF6BE0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地址：台州市椒江区建设路6号</w:t>
      </w:r>
    </w:p>
    <w:p w14:paraId="62CC8FB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5B96C74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C1501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E43CAF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107250C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2CE7408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FBDD2F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595BAE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7AAF4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07027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73E404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876FE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490F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793DA3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5BC84B4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21462B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68EFF2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FF10E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B8DBD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2C40F2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257DC1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470A39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0488DC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2003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25B50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CE2A9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5A4577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3687B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C7153E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126E3F8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B87CB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B307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33DB9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E23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3A15A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47D42E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64A65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4164B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16003A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24871D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FCE84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9ADFC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06318A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8579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1B616D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D7F17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C368F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0745D5E1">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87"/>
        <w:gridCol w:w="1600"/>
      </w:tblGrid>
      <w:tr w14:paraId="774C24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46D54F5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E6E27C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444B939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6573E55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E3477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E701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1AB1C0E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4BB453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6FAE1E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4B6F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EB6CB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29145F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FF83E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5DA0D5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51E43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27A6B6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21027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5DAD9A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F3C51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DA6C26D">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（3）中标供应商</w:t>
      </w:r>
      <w:r>
        <w:rPr>
          <w:rFonts w:hint="eastAsia" w:ascii="宋体" w:hAnsi="宋体" w:eastAsia="宋体" w:cs="宋体"/>
          <w:color w:val="auto"/>
          <w:szCs w:val="21"/>
          <w:highlight w:val="none"/>
        </w:rPr>
        <w:t>如有融资需求，可使用以下银行的政采贷服务。</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334"/>
        <w:gridCol w:w="1688"/>
        <w:gridCol w:w="2131"/>
      </w:tblGrid>
      <w:tr w14:paraId="49B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E11C7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3D656E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CDC7B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257E3FA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248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C51694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437861F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E69979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140EE77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2C24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7E4B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0E97560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AF7D31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554ABB4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7A89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B7DA8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F13979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57288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0456CFF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09277F9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EE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46E9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57C4516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07E2246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C43B6A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6A1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E6D5A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249BCA0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AAC9C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4F0FA5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6B03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F519C2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21332A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1C68A7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083054A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3DDE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755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4C745B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1BC68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716A2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E9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B5044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3D1EB8A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386CB6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62C70C5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4299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92FF7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31D46DE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84A39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472DDC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6258D33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012A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1F6520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0FB5FF0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809D44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28D392F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19A7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684F48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2337ED9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E61894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0F2998D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6B2F9B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6B03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9FB89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30711C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28714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56C999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3597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C342A7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61CDB3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8E9D55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5741D59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037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31F664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29C1EB7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2ECBF06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5724C9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7FF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9B1797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0441109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60634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4BD962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5229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B3FA20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F33983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09A03C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712D9B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42F6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0AF758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0ABA11F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E394E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2C33BA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7DA7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0DE7B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9712B6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4B66D8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066302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A8F215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2B5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A42E0D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333CDE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419093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48B20A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2B19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16D2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373E09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10A283F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24B035D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16FC94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55392DF">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6514EC10">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426BC7DB">
      <w:pPr>
        <w:spacing w:line="240" w:lineRule="auto"/>
        <w:ind w:firstLine="420" w:firstLineChars="200"/>
        <w:jc w:val="left"/>
        <w:rPr>
          <w:rFonts w:hint="eastAsia" w:ascii="宋体" w:hAnsi="宋体" w:eastAsia="宋体" w:cs="宋体"/>
          <w:color w:val="auto"/>
          <w:sz w:val="21"/>
          <w:szCs w:val="21"/>
          <w:highlight w:val="none"/>
        </w:rPr>
      </w:pPr>
    </w:p>
    <w:p w14:paraId="5BD1CC0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6370596D">
      <w:pPr>
        <w:pStyle w:val="7"/>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二○二五年四月</w:t>
      </w:r>
    </w:p>
    <w:p w14:paraId="527CCD8E">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1F9FAB5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03B3BE">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70"/>
        <w:gridCol w:w="6704"/>
      </w:tblGrid>
      <w:tr w14:paraId="0DF7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36347FF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70" w:type="dxa"/>
            <w:vAlign w:val="center"/>
          </w:tcPr>
          <w:p w14:paraId="3A72CB8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04" w:type="dxa"/>
            <w:vAlign w:val="center"/>
          </w:tcPr>
          <w:p w14:paraId="558ACDB8">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1038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0124FFF5">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70" w:type="dxa"/>
            <w:vAlign w:val="center"/>
          </w:tcPr>
          <w:p w14:paraId="684B277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04" w:type="dxa"/>
            <w:vAlign w:val="center"/>
          </w:tcPr>
          <w:p w14:paraId="67EA64E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37AAB4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1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41DE7E0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70" w:type="dxa"/>
            <w:vAlign w:val="center"/>
          </w:tcPr>
          <w:p w14:paraId="677C490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04" w:type="dxa"/>
            <w:vAlign w:val="center"/>
          </w:tcPr>
          <w:p w14:paraId="215D880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0CE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5A015AE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70" w:type="dxa"/>
            <w:vAlign w:val="center"/>
          </w:tcPr>
          <w:p w14:paraId="69FAF9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04" w:type="dxa"/>
            <w:vAlign w:val="center"/>
          </w:tcPr>
          <w:p w14:paraId="1E7BDAC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5792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9131BE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70" w:type="dxa"/>
            <w:vAlign w:val="center"/>
          </w:tcPr>
          <w:p w14:paraId="236C189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04" w:type="dxa"/>
            <w:vAlign w:val="center"/>
          </w:tcPr>
          <w:p w14:paraId="1D62AA9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4DBB5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227361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F091CB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67CD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43E96CA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70" w:type="dxa"/>
            <w:vAlign w:val="center"/>
          </w:tcPr>
          <w:p w14:paraId="362B56E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04" w:type="dxa"/>
            <w:vAlign w:val="center"/>
          </w:tcPr>
          <w:p w14:paraId="3094298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3253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583D0B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70" w:type="dxa"/>
            <w:vAlign w:val="center"/>
          </w:tcPr>
          <w:p w14:paraId="021A600C">
            <w:pPr>
              <w:pStyle w:val="7"/>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04" w:type="dxa"/>
            <w:vAlign w:val="center"/>
          </w:tcPr>
          <w:p w14:paraId="38A52ADE">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p w14:paraId="0236F37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3D97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5FEA6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70" w:type="dxa"/>
            <w:vAlign w:val="center"/>
          </w:tcPr>
          <w:p w14:paraId="365B9DE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04" w:type="dxa"/>
            <w:vAlign w:val="center"/>
          </w:tcPr>
          <w:p w14:paraId="08999000">
            <w:pPr>
              <w:pStyle w:val="56"/>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07CF4D8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tc>
      </w:tr>
      <w:tr w14:paraId="066C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4AA98A3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70" w:type="dxa"/>
            <w:vAlign w:val="center"/>
          </w:tcPr>
          <w:p w14:paraId="07E629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04" w:type="dxa"/>
            <w:vAlign w:val="center"/>
          </w:tcPr>
          <w:p w14:paraId="198671A5">
            <w:pPr>
              <w:pStyle w:val="20"/>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785474A7">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569A410">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74E8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4427A06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70" w:type="dxa"/>
            <w:vAlign w:val="center"/>
          </w:tcPr>
          <w:p w14:paraId="2861DE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04" w:type="dxa"/>
            <w:vAlign w:val="center"/>
          </w:tcPr>
          <w:p w14:paraId="15FB216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14:30</w:t>
            </w:r>
            <w:r>
              <w:rPr>
                <w:rFonts w:hint="eastAsia" w:ascii="宋体" w:hAnsi="宋体" w:eastAsia="宋体" w:cs="宋体"/>
                <w:color w:val="auto"/>
                <w:sz w:val="21"/>
                <w:szCs w:val="21"/>
                <w:highlight w:val="none"/>
              </w:rPr>
              <w:t>（北京时间）</w:t>
            </w:r>
          </w:p>
          <w:p w14:paraId="2F15EC03">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E26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423A0BC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70" w:type="dxa"/>
            <w:vAlign w:val="center"/>
          </w:tcPr>
          <w:p w14:paraId="4406FF4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04" w:type="dxa"/>
            <w:vAlign w:val="center"/>
          </w:tcPr>
          <w:p w14:paraId="3F7EC06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399A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50A766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70" w:type="dxa"/>
            <w:vAlign w:val="center"/>
          </w:tcPr>
          <w:p w14:paraId="076057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04" w:type="dxa"/>
            <w:vAlign w:val="center"/>
          </w:tcPr>
          <w:p w14:paraId="03231C97">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1477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1CD1F13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70" w:type="dxa"/>
            <w:vAlign w:val="center"/>
          </w:tcPr>
          <w:p w14:paraId="02101B4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04" w:type="dxa"/>
            <w:vAlign w:val="center"/>
          </w:tcPr>
          <w:p w14:paraId="08E496C5">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5B35AD76">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2F25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A80FAF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70" w:type="dxa"/>
            <w:shd w:val="clear" w:color="auto" w:fill="auto"/>
            <w:vAlign w:val="center"/>
          </w:tcPr>
          <w:p w14:paraId="4E27053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04" w:type="dxa"/>
            <w:shd w:val="clear" w:color="auto" w:fill="auto"/>
            <w:vAlign w:val="center"/>
          </w:tcPr>
          <w:p w14:paraId="07CFE6D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D6F777B">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7BBB65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21EB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66FF452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70" w:type="dxa"/>
            <w:vAlign w:val="center"/>
          </w:tcPr>
          <w:p w14:paraId="7A89B5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04" w:type="dxa"/>
            <w:vAlign w:val="center"/>
          </w:tcPr>
          <w:p w14:paraId="076195E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57A6A9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049C016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6E84363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44BBCC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2D5FE1CE">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0F254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0B4B8C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E9C62A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174EDE2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FAB761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62BA85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65D7C3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31A997B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20A23FA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259F59D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7B8688A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0415E41">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5B9E3E">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78F01251">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051B419">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7DBA853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1E48634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4A32339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9、本项目不允许转包、分包。</w:t>
      </w:r>
    </w:p>
    <w:p w14:paraId="24E37EB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4AD4D2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5D0CFC6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7A7CEDF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4B7BE2C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358770F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A4368B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5F9D2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6E5092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w:t>
      </w:r>
    </w:p>
    <w:p w14:paraId="168403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76E04B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7FFB2C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88AAE6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26BEC0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60DF9B0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（5）符合参与政府采购活动的资格条件、具备良好的商业信誉和健全的财务会计制度并且没有税收缴纳、社会保障等方面的失信记录的承诺函；</w:t>
      </w:r>
    </w:p>
    <w:p w14:paraId="602154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具备履行合同所必需的设备和专业技术能力的承诺函；</w:t>
      </w:r>
    </w:p>
    <w:p w14:paraId="57CB1B0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eastAsia="宋体" w:cs="宋体"/>
          <w:color w:val="auto"/>
          <w:kern w:val="0"/>
          <w:szCs w:val="21"/>
          <w:highlight w:val="none"/>
        </w:rPr>
        <w:t>。</w:t>
      </w:r>
    </w:p>
    <w:p w14:paraId="2C0DC6C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68C117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998AB6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3C2F3A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45C0429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2A0B74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D5D13C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49165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324CA04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29A09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5D91B1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3645730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0FA5D1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175645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06BAA5D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4DD446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5EF370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05464F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1374399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5E9246F1">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32B2B6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1CF2E2B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062A3F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5C840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E5C37E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58A62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0C7508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72D993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20F450E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DD3A7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669DC2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6A3FA75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35663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362367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5D865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0385E767">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61C2F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462222A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77E940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758EEB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1B47D2A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2E8B8A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0F81A1C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4324D6B">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A97A7A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15CABFDE">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5E300D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E5B657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0C873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2F93B4F1">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A134098">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7908A503">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0FD79DC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09C4DC4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40722BC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0EE2402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D3821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5E62CDA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69AD551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5D3E8BE">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1E4C816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66308FF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7C923FF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7A9DB2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189AB4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8DE33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B815CA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5DB1E76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7A89CD3C">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5B01C00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293BBC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1DA3696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532E2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9D8DE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3D1E22A">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87C27A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0D25CD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473FC6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1FA867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72146E1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5069457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0AE1267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2EBA453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3C25C7B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4EF8D0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2B46C62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3E21C9FA">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052B2321">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1183AAD4">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66871F5F">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4F358F">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4A649A6">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1A937EA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0DF0C5C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24BC6AB2">
      <w:pPr>
        <w:pStyle w:val="20"/>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F1E28CE">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70DD2B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0AAC9CD4">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BFB9AE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13395C03">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A2E908C">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78DE465A">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7A16F318">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79E6772E">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406057A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3852B01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2939D4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5DA7FC2C">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217A76C">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418BE5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16F0E59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0954D35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不同供应商的投标（响应）文件的内容存在3处（含）以上错误一致的；</w:t>
      </w:r>
    </w:p>
    <w:p w14:paraId="1522A0E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不同供应商联系人为同一人或不同联系人的联系电话一致的。</w:t>
      </w:r>
    </w:p>
    <w:p w14:paraId="38CA7832">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highlight w:val="none"/>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70810E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1CD008C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7725B0F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7CD0696B">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0E3AE8F0">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2F076AF2">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1F6EE7D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7292E2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C6323D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2BE7F71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916B2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243ECE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03796B4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1D636AB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6963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5FFC9E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347538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3B14450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6F028D6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0831BD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7CBAF8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91CA4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13444A1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0305A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按下附表收费标准的</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lang w:val="en-US" w:eastAsia="zh-CN"/>
        </w:rPr>
        <w:t>，采用差额累进算法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983BBF">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4892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7D3EF2BA">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08F92CA7">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0CE7615D">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1FD3472A">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3CF11829">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14:paraId="07D3E19D">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14:paraId="02CE91F9">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14:paraId="2D0A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BA5850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7E644E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6E62DF9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0E99C0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55CF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068FD2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02229B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14:paraId="150A5B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29FDC8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09CB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83BF2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279B941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7172CE7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14:paraId="18320C1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2DB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90CDD9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3E412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14:paraId="34EEAC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45E2A2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5EFE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4B3B15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65D0B42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143731E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14:paraId="41F2A3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3540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3731B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0E0BA9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79E34DA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747A19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AEB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190DBE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B1DF4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7368800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684AC1A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55A8F1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424B7AB2">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28B63947">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48258F4">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34E5E0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6B4BB7C1">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6924B63">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F290246">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954847B">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CDB3384">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084264C8">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p>
    <w:p w14:paraId="01B5E0F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18F2B0FC">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57EC60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773849B1">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45A90964">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14358A6">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3312D196">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2ADD4A83">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 。</w:t>
      </w:r>
    </w:p>
    <w:p w14:paraId="0B0E01E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1EE0C39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B24F2DA">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51EADBA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99C6974">
      <w:pPr>
        <w:autoSpaceDE w:val="0"/>
        <w:autoSpaceDN w:val="0"/>
        <w:adjustRightInd w:val="0"/>
        <w:spacing w:line="360" w:lineRule="auto"/>
        <w:ind w:right="85"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70933F1D">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、本次评分具体分值细化条款如下表：</w:t>
      </w:r>
    </w:p>
    <w:p w14:paraId="27EEA8A8">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7"/>
        <w:gridCol w:w="6889"/>
        <w:gridCol w:w="686"/>
      </w:tblGrid>
      <w:tr w14:paraId="510F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76" w:type="dxa"/>
            <w:gridSpan w:val="2"/>
            <w:vAlign w:val="center"/>
          </w:tcPr>
          <w:p w14:paraId="4C18A1EB">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评分项目</w:t>
            </w:r>
          </w:p>
        </w:tc>
        <w:tc>
          <w:tcPr>
            <w:tcW w:w="6889" w:type="dxa"/>
            <w:vAlign w:val="center"/>
          </w:tcPr>
          <w:p w14:paraId="4BF87D6C">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评分内容</w:t>
            </w:r>
          </w:p>
        </w:tc>
        <w:tc>
          <w:tcPr>
            <w:tcW w:w="686" w:type="dxa"/>
            <w:vAlign w:val="center"/>
          </w:tcPr>
          <w:p w14:paraId="69B7903E">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r>
      <w:tr w14:paraId="3544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restart"/>
            <w:vAlign w:val="center"/>
          </w:tcPr>
          <w:p w14:paraId="01732D6E">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商务分</w:t>
            </w:r>
          </w:p>
          <w:p w14:paraId="1F9CE082">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25</w:t>
            </w:r>
            <w:r>
              <w:rPr>
                <w:rFonts w:hint="eastAsia" w:asciiTheme="minorEastAsia" w:hAnsiTheme="minorEastAsia" w:eastAsiaTheme="minorEastAsia" w:cstheme="minorEastAsia"/>
                <w:color w:val="auto"/>
                <w:kern w:val="0"/>
                <w:highlight w:val="none"/>
              </w:rPr>
              <w:t>分）</w:t>
            </w:r>
          </w:p>
        </w:tc>
        <w:tc>
          <w:tcPr>
            <w:tcW w:w="1187" w:type="dxa"/>
            <w:vMerge w:val="restart"/>
            <w:vAlign w:val="center"/>
          </w:tcPr>
          <w:p w14:paraId="6510D644">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企业实力</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top"/>
          </w:tcPr>
          <w:p w14:paraId="16BA7EBE">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供应商具有</w:t>
            </w:r>
            <w:r>
              <w:rPr>
                <w:rFonts w:hint="eastAsia" w:ascii="宋体" w:hAnsi="宋体" w:cs="宋体"/>
                <w:color w:val="auto"/>
                <w:szCs w:val="21"/>
                <w:highlight w:val="none"/>
              </w:rPr>
              <w:t>国家认证认可监督管理委员会批准认可的认证机构颁发的</w:t>
            </w:r>
            <w:r>
              <w:rPr>
                <w:rFonts w:hint="eastAsia" w:ascii="宋体" w:hAnsi="宋体" w:cs="宋体"/>
                <w:color w:val="auto"/>
                <w:szCs w:val="21"/>
                <w:highlight w:val="none"/>
              </w:rPr>
              <w:t>，且在有效期内的</w:t>
            </w:r>
            <w:r>
              <w:rPr>
                <w:rFonts w:hint="eastAsia" w:ascii="宋体" w:hAnsi="宋体" w:eastAsia="宋体" w:cs="宋体"/>
                <w:color w:val="auto"/>
                <w:szCs w:val="21"/>
                <w:highlight w:val="none"/>
              </w:rPr>
              <w:t>质量管理体系认证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环境管理体系认证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、职业健康安全管理体系认证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每提供1个得1分，本项最高得3分。</w:t>
            </w:r>
          </w:p>
          <w:p w14:paraId="710D8541">
            <w:pPr>
              <w:keepNext w:val="0"/>
              <w:keepLines w:val="0"/>
              <w:pageBreakBefore w:val="0"/>
              <w:widowControl/>
              <w:kinsoku/>
              <w:wordWrap/>
              <w:overflowPunct/>
              <w:topLinePunct w:val="0"/>
              <w:autoSpaceDE/>
              <w:autoSpaceDN/>
              <w:bidi w:val="0"/>
              <w:adjustRightInd/>
              <w:snapToGrid/>
              <w:jc w:val="left"/>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szCs w:val="21"/>
                <w:highlight w:val="none"/>
              </w:rPr>
              <w:t>相关证书</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②</w:t>
            </w:r>
            <w:r>
              <w:rPr>
                <w:rFonts w:hint="eastAsia" w:asciiTheme="minorEastAsia" w:hAnsiTheme="minorEastAsia" w:eastAsiaTheme="minorEastAsia" w:cstheme="minorEastAsia"/>
                <w:b/>
                <w:bCs/>
                <w:color w:val="auto"/>
                <w:szCs w:val="21"/>
                <w:highlight w:val="none"/>
              </w:rPr>
              <w:fldChar w:fldCharType="begin"/>
            </w:r>
            <w:r>
              <w:rPr>
                <w:rFonts w:hint="eastAsia" w:asciiTheme="minorEastAsia" w:hAnsiTheme="minorEastAsia" w:eastAsiaTheme="minorEastAsia" w:cstheme="minorEastAsia"/>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Theme="minorEastAsia" w:hAnsiTheme="minorEastAsia" w:eastAsiaTheme="minorEastAsia" w:cstheme="minorEastAsia"/>
                <w:b/>
                <w:bCs/>
                <w:color w:val="auto"/>
                <w:szCs w:val="21"/>
                <w:highlight w:val="none"/>
              </w:rPr>
              <w:fldChar w:fldCharType="separate"/>
            </w:r>
            <w:r>
              <w:rPr>
                <w:rFonts w:hint="eastAsia" w:asciiTheme="minorEastAsia" w:hAnsiTheme="minorEastAsia" w:eastAsiaTheme="minorEastAsia" w:cstheme="minorEastAsia"/>
                <w:b/>
                <w:bCs/>
                <w:color w:val="auto"/>
                <w:szCs w:val="21"/>
                <w:highlight w:val="none"/>
              </w:rPr>
              <w:t>全国认证认可信息公共服务平台</w:t>
            </w:r>
            <w:r>
              <w:rPr>
                <w:rFonts w:hint="eastAsia" w:asciiTheme="minorEastAsia" w:hAnsiTheme="minorEastAsia" w:eastAsiaTheme="minorEastAsia" w:cstheme="minorEastAsia"/>
                <w:b/>
                <w:bCs/>
                <w:color w:val="auto"/>
                <w:szCs w:val="21"/>
                <w:highlight w:val="none"/>
              </w:rPr>
              <w:fldChar w:fldCharType="end"/>
            </w:r>
            <w:r>
              <w:rPr>
                <w:rFonts w:hint="eastAsia" w:asciiTheme="minorEastAsia" w:hAnsiTheme="minorEastAsia" w:eastAsiaTheme="minorEastAsia" w:cstheme="minorEastAsia"/>
                <w:b/>
                <w:bCs/>
                <w:color w:val="auto"/>
                <w:szCs w:val="21"/>
                <w:highlight w:val="none"/>
              </w:rPr>
              <w:t>网站截图</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w:t>
            </w:r>
            <w:r>
              <w:rPr>
                <w:rFonts w:hint="eastAsia" w:asciiTheme="minorEastAsia" w:hAnsiTheme="minorEastAsia" w:eastAsiaTheme="minorEastAsia" w:cstheme="minorEastAsia"/>
                <w:b/>
                <w:bCs/>
                <w:color w:val="auto"/>
                <w:szCs w:val="21"/>
                <w:highlight w:val="none"/>
              </w:rPr>
              <w:t>未提供</w:t>
            </w:r>
            <w:r>
              <w:rPr>
                <w:rFonts w:hint="eastAsia" w:asciiTheme="minorEastAsia" w:hAnsiTheme="minorEastAsia" w:eastAsiaTheme="minorEastAsia" w:cstheme="minorEastAsia"/>
                <w:b/>
                <w:bCs/>
                <w:color w:val="auto"/>
                <w:szCs w:val="21"/>
                <w:highlight w:val="none"/>
                <w:lang w:val="en-US" w:eastAsia="zh-CN"/>
              </w:rPr>
              <w:t>或提供不全</w:t>
            </w:r>
            <w:r>
              <w:rPr>
                <w:rFonts w:hint="eastAsia" w:asciiTheme="minorEastAsia" w:hAnsiTheme="minorEastAsia" w:eastAsiaTheme="minorEastAsia" w:cstheme="minorEastAsia"/>
                <w:b/>
                <w:bCs/>
                <w:color w:val="auto"/>
                <w:szCs w:val="21"/>
                <w:highlight w:val="none"/>
              </w:rPr>
              <w:t>的</w:t>
            </w:r>
            <w:r>
              <w:rPr>
                <w:rFonts w:hint="eastAsia" w:asciiTheme="minorEastAsia" w:hAnsiTheme="minorEastAsia" w:eastAsiaTheme="minorEastAsia" w:cstheme="minorEastAsia"/>
                <w:b/>
                <w:bCs/>
                <w:color w:val="auto"/>
                <w:szCs w:val="21"/>
                <w:highlight w:val="none"/>
              </w:rPr>
              <w:t>不得分）</w:t>
            </w:r>
          </w:p>
        </w:tc>
        <w:tc>
          <w:tcPr>
            <w:tcW w:w="686" w:type="dxa"/>
            <w:vAlign w:val="center"/>
          </w:tcPr>
          <w:p w14:paraId="3FC5355B">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r>
      <w:tr w14:paraId="092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continue"/>
            <w:vAlign w:val="center"/>
          </w:tcPr>
          <w:p w14:paraId="4EBB7E38">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Merge w:val="continue"/>
            <w:vAlign w:val="center"/>
          </w:tcPr>
          <w:p w14:paraId="2E187773">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6889" w:type="dxa"/>
            <w:vAlign w:val="top"/>
          </w:tcPr>
          <w:p w14:paraId="5C939EF2">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宋体" w:hAnsi="宋体" w:cs="宋体"/>
                <w:b w:val="0"/>
                <w:bCs w:val="0"/>
                <w:color w:val="auto"/>
                <w:szCs w:val="21"/>
                <w:highlight w:val="none"/>
              </w:rPr>
              <w:t>供应商</w:t>
            </w:r>
            <w:r>
              <w:rPr>
                <w:rFonts w:hint="eastAsia" w:asciiTheme="minorEastAsia" w:hAnsiTheme="minorEastAsia" w:eastAsiaTheme="minorEastAsia" w:cstheme="minorEastAsia"/>
                <w:b w:val="0"/>
                <w:bCs w:val="0"/>
                <w:color w:val="auto"/>
                <w:szCs w:val="21"/>
                <w:highlight w:val="none"/>
              </w:rPr>
              <w:t>具有环境保护相关计算机软件著作权证书的</w:t>
            </w:r>
            <w:r>
              <w:rPr>
                <w:rFonts w:hint="eastAsia" w:asciiTheme="minorEastAsia" w:hAnsiTheme="minorEastAsia" w:eastAsiaTheme="minorEastAsia" w:cstheme="minorEastAsia"/>
                <w:b w:val="0"/>
                <w:bCs w:val="0"/>
                <w:color w:val="auto"/>
                <w:szCs w:val="21"/>
                <w:highlight w:val="none"/>
                <w:lang w:val="en-US" w:eastAsia="zh-CN"/>
              </w:rPr>
              <w:t>得1分。</w:t>
            </w:r>
          </w:p>
          <w:p w14:paraId="5D638ACF">
            <w:pPr>
              <w:keepNext w:val="0"/>
              <w:keepLines w:val="0"/>
              <w:pageBreakBefore w:val="0"/>
              <w:widowControl/>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（须提供相关证书</w:t>
            </w:r>
            <w:r>
              <w:rPr>
                <w:rFonts w:hint="eastAsia" w:asciiTheme="minorEastAsia" w:hAnsiTheme="minorEastAsia" w:eastAsiaTheme="minorEastAsia" w:cstheme="minorEastAsia"/>
                <w:b/>
                <w:bCs/>
                <w:color w:val="auto"/>
                <w:highlight w:val="none"/>
                <w:lang w:val="en-US" w:eastAsia="zh-CN"/>
              </w:rPr>
              <w:t>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公章编入投标文件中，未提供的不得分）</w:t>
            </w:r>
          </w:p>
        </w:tc>
        <w:tc>
          <w:tcPr>
            <w:tcW w:w="686" w:type="dxa"/>
            <w:vAlign w:val="center"/>
          </w:tcPr>
          <w:p w14:paraId="644F011C">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color w:val="auto"/>
                <w:highlight w:val="none"/>
                <w:lang w:val="en-US" w:eastAsia="zh-CN"/>
              </w:rPr>
              <w:t>1</w:t>
            </w:r>
          </w:p>
        </w:tc>
      </w:tr>
      <w:tr w14:paraId="2924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continue"/>
            <w:vAlign w:val="center"/>
          </w:tcPr>
          <w:p w14:paraId="314F6812">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Merge w:val="continue"/>
            <w:vAlign w:val="center"/>
          </w:tcPr>
          <w:p w14:paraId="3E70B204">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6889" w:type="dxa"/>
            <w:vAlign w:val="top"/>
          </w:tcPr>
          <w:p w14:paraId="34B6C9EB">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b w:val="0"/>
                <w:bCs w:val="0"/>
                <w:color w:val="auto"/>
                <w:szCs w:val="21"/>
                <w:highlight w:val="none"/>
              </w:rPr>
            </w:pPr>
            <w:r>
              <w:rPr>
                <w:rFonts w:hint="eastAsia" w:ascii="宋体" w:hAnsi="宋体" w:cs="宋体"/>
                <w:b w:val="0"/>
                <w:bCs w:val="0"/>
                <w:color w:val="auto"/>
                <w:szCs w:val="21"/>
                <w:highlight w:val="none"/>
              </w:rPr>
              <w:t>供应商</w:t>
            </w:r>
            <w:r>
              <w:rPr>
                <w:rFonts w:hint="default" w:ascii="宋体" w:hAnsi="宋体" w:cs="宋体"/>
                <w:b w:val="0"/>
                <w:bCs w:val="0"/>
                <w:color w:val="auto"/>
                <w:szCs w:val="21"/>
                <w:highlight w:val="none"/>
              </w:rPr>
              <w:t>自2020年1月1日（以颁发时间为准）</w:t>
            </w:r>
            <w:r>
              <w:rPr>
                <w:rFonts w:hint="default" w:ascii="宋体" w:hAnsi="宋体" w:cs="宋体"/>
                <w:b w:val="0"/>
                <w:bCs w:val="0"/>
                <w:color w:val="auto"/>
                <w:szCs w:val="21"/>
                <w:highlight w:val="none"/>
                <w:lang w:val="en-US" w:eastAsia="zh-CN"/>
              </w:rPr>
              <w:t>以来</w:t>
            </w:r>
            <w:r>
              <w:rPr>
                <w:rFonts w:hint="default" w:ascii="宋体" w:hAnsi="宋体" w:cs="宋体"/>
                <w:b w:val="0"/>
                <w:bCs w:val="0"/>
                <w:color w:val="auto"/>
                <w:szCs w:val="21"/>
                <w:highlight w:val="none"/>
                <w:lang w:eastAsia="zh-CN"/>
              </w:rPr>
              <w:t>，</w:t>
            </w:r>
            <w:r>
              <w:rPr>
                <w:rFonts w:hint="default" w:ascii="宋体" w:hAnsi="宋体" w:cs="宋体"/>
                <w:b w:val="0"/>
                <w:bCs w:val="0"/>
                <w:color w:val="auto"/>
                <w:szCs w:val="21"/>
                <w:highlight w:val="none"/>
              </w:rPr>
              <w:t>获得过政府及政府行政部门颁发的生态、环保类奖项的，国家级得</w:t>
            </w:r>
            <w:r>
              <w:rPr>
                <w:rFonts w:hint="eastAsia" w:ascii="宋体" w:hAnsi="宋体" w:cs="宋体"/>
                <w:b w:val="0"/>
                <w:bCs w:val="0"/>
                <w:color w:val="auto"/>
                <w:szCs w:val="21"/>
                <w:highlight w:val="none"/>
                <w:lang w:val="en-US" w:eastAsia="zh-CN"/>
              </w:rPr>
              <w:t>3</w:t>
            </w:r>
            <w:r>
              <w:rPr>
                <w:rFonts w:hint="default" w:ascii="宋体" w:hAnsi="宋体" w:cs="宋体"/>
                <w:b w:val="0"/>
                <w:bCs w:val="0"/>
                <w:color w:val="auto"/>
                <w:szCs w:val="21"/>
                <w:highlight w:val="none"/>
              </w:rPr>
              <w:t>分，</w:t>
            </w:r>
            <w:r>
              <w:rPr>
                <w:rFonts w:hint="default" w:ascii="宋体" w:hAnsi="宋体" w:cs="宋体"/>
                <w:b w:val="0"/>
                <w:bCs w:val="0"/>
                <w:color w:val="auto"/>
                <w:szCs w:val="21"/>
                <w:highlight w:val="none"/>
                <w:lang w:val="en-US" w:eastAsia="zh-CN"/>
              </w:rPr>
              <w:t>省部级</w:t>
            </w:r>
            <w:r>
              <w:rPr>
                <w:rFonts w:hint="default"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1</w:t>
            </w:r>
            <w:r>
              <w:rPr>
                <w:rFonts w:hint="default" w:ascii="宋体" w:hAnsi="宋体" w:cs="宋体"/>
                <w:b w:val="0"/>
                <w:bCs w:val="0"/>
                <w:color w:val="auto"/>
                <w:szCs w:val="21"/>
                <w:highlight w:val="none"/>
              </w:rPr>
              <w:t>分，</w:t>
            </w:r>
            <w:r>
              <w:rPr>
                <w:rFonts w:hint="default" w:ascii="宋体" w:hAnsi="宋体" w:cs="宋体"/>
                <w:b w:val="0"/>
                <w:bCs w:val="0"/>
                <w:color w:val="auto"/>
                <w:szCs w:val="21"/>
                <w:highlight w:val="none"/>
                <w:lang w:val="en-US" w:eastAsia="zh-CN"/>
              </w:rPr>
              <w:t>市厅级</w:t>
            </w:r>
            <w:r>
              <w:rPr>
                <w:rFonts w:hint="default"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0.5</w:t>
            </w:r>
            <w:r>
              <w:rPr>
                <w:rFonts w:hint="default" w:ascii="宋体" w:hAnsi="宋体" w:cs="宋体"/>
                <w:b w:val="0"/>
                <w:bCs w:val="0"/>
                <w:color w:val="auto"/>
                <w:szCs w:val="21"/>
                <w:highlight w:val="none"/>
                <w:lang w:val="en-US" w:eastAsia="zh-CN"/>
              </w:rPr>
              <w:t>分</w:t>
            </w:r>
            <w:r>
              <w:rPr>
                <w:rFonts w:hint="default" w:ascii="宋体" w:hAnsi="宋体" w:cs="宋体"/>
                <w:b w:val="0"/>
                <w:bCs w:val="0"/>
                <w:color w:val="auto"/>
                <w:szCs w:val="21"/>
                <w:highlight w:val="none"/>
              </w:rPr>
              <w:t>。</w:t>
            </w:r>
          </w:p>
          <w:p w14:paraId="3363BC58">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b w:val="0"/>
                <w:bCs w:val="0"/>
                <w:color w:val="auto"/>
                <w:szCs w:val="21"/>
                <w:highlight w:val="none"/>
              </w:rPr>
            </w:pPr>
            <w:r>
              <w:rPr>
                <w:rFonts w:hint="default" w:ascii="宋体" w:hAnsi="宋体" w:cs="宋体"/>
                <w:b/>
                <w:bCs/>
                <w:color w:val="auto"/>
                <w:szCs w:val="21"/>
                <w:highlight w:val="none"/>
              </w:rPr>
              <w:t>注：</w:t>
            </w:r>
            <w:r>
              <w:rPr>
                <w:rFonts w:hint="default" w:ascii="宋体" w:hAnsi="宋体" w:cs="宋体"/>
                <w:b w:val="0"/>
                <w:bCs w:val="0"/>
                <w:color w:val="auto"/>
                <w:szCs w:val="21"/>
                <w:highlight w:val="none"/>
              </w:rPr>
              <w:t>只记最高项，不累计得分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行业协会奖项不予认可</w:t>
            </w:r>
            <w:r>
              <w:rPr>
                <w:rFonts w:hint="default" w:ascii="宋体" w:hAnsi="宋体" w:cs="宋体"/>
                <w:b w:val="0"/>
                <w:bCs w:val="0"/>
                <w:color w:val="auto"/>
                <w:szCs w:val="21"/>
                <w:highlight w:val="none"/>
              </w:rPr>
              <w:t>。</w:t>
            </w:r>
          </w:p>
          <w:p w14:paraId="0E3AF062">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（须提供相关</w:t>
            </w:r>
            <w:r>
              <w:rPr>
                <w:rFonts w:hint="eastAsia" w:asciiTheme="minorEastAsia" w:hAnsiTheme="minorEastAsia" w:eastAsiaTheme="minorEastAsia" w:cstheme="minorEastAsia"/>
                <w:b/>
                <w:bCs/>
                <w:color w:val="auto"/>
                <w:szCs w:val="21"/>
                <w:highlight w:val="none"/>
                <w:lang w:val="en-US" w:eastAsia="zh-CN"/>
              </w:rPr>
              <w:t>奖项</w:t>
            </w:r>
            <w:r>
              <w:rPr>
                <w:rFonts w:hint="eastAsia" w:asciiTheme="minorEastAsia" w:hAnsiTheme="minorEastAsia" w:eastAsiaTheme="minorEastAsia" w:cstheme="minorEastAsia"/>
                <w:b/>
                <w:bCs/>
                <w:color w:val="auto"/>
                <w:szCs w:val="21"/>
                <w:highlight w:val="none"/>
              </w:rPr>
              <w:t>证书</w:t>
            </w:r>
            <w:r>
              <w:rPr>
                <w:rFonts w:hint="eastAsia" w:asciiTheme="minorEastAsia" w:hAnsiTheme="minorEastAsia" w:eastAsiaTheme="minorEastAsia" w:cstheme="minorEastAsia"/>
                <w:b/>
                <w:bCs/>
                <w:color w:val="auto"/>
                <w:szCs w:val="21"/>
                <w:highlight w:val="none"/>
                <w:lang w:val="en-US" w:eastAsia="zh-CN"/>
              </w:rPr>
              <w:t>或证明文件</w:t>
            </w:r>
            <w:r>
              <w:rPr>
                <w:rFonts w:hint="eastAsia" w:asciiTheme="minorEastAsia" w:hAnsiTheme="minorEastAsia" w:eastAsiaTheme="minorEastAsia" w:cstheme="minorEastAsia"/>
                <w:b/>
                <w:bCs/>
                <w:color w:val="auto"/>
                <w:highlight w:val="none"/>
                <w:lang w:val="en-US" w:eastAsia="zh-CN"/>
              </w:rPr>
              <w:t>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公章编入投标文件中，未提供的不得分）</w:t>
            </w:r>
          </w:p>
        </w:tc>
        <w:tc>
          <w:tcPr>
            <w:tcW w:w="686" w:type="dxa"/>
            <w:vAlign w:val="center"/>
          </w:tcPr>
          <w:p w14:paraId="3F29C6A3">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r>
      <w:tr w14:paraId="753F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05CB3446">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4A3E369D">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rPr>
              <w:t>承接经验</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center"/>
          </w:tcPr>
          <w:p w14:paraId="20C697E6">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1"/>
                <w:szCs w:val="21"/>
                <w:highlight w:val="none"/>
                <w:lang w:val="en-US" w:eastAsia="zh-CN" w:bidi="ar-SA"/>
              </w:rPr>
              <w:t>供应商</w:t>
            </w:r>
            <w:r>
              <w:rPr>
                <w:rFonts w:hint="eastAsia" w:asciiTheme="minorEastAsia" w:hAnsiTheme="minorEastAsia" w:eastAsiaTheme="minorEastAsia" w:cstheme="minorEastAsia"/>
                <w:color w:val="auto"/>
                <w:highlight w:val="none"/>
              </w:rPr>
              <w:t>自20</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月1日（以合同签订时间为准）以来，开展过同类</w:t>
            </w:r>
            <w:r>
              <w:rPr>
                <w:rFonts w:hint="eastAsia" w:asciiTheme="minorEastAsia" w:hAnsiTheme="minorEastAsia" w:eastAsiaTheme="minorEastAsia" w:cstheme="minorEastAsia"/>
                <w:color w:val="auto"/>
                <w:highlight w:val="none"/>
                <w:lang w:val="en-US" w:eastAsia="zh-CN"/>
              </w:rPr>
              <w:t>监测</w:t>
            </w:r>
            <w:r>
              <w:rPr>
                <w:rFonts w:hint="eastAsia" w:asciiTheme="minorEastAsia" w:hAnsiTheme="minorEastAsia" w:eastAsiaTheme="minorEastAsia" w:cstheme="minorEastAsia"/>
                <w:color w:val="auto"/>
                <w:highlight w:val="none"/>
              </w:rPr>
              <w:t>项目的，每提供</w:t>
            </w:r>
            <w:r>
              <w:rPr>
                <w:rFonts w:hint="eastAsia" w:asciiTheme="minorEastAsia" w:hAnsiTheme="minorEastAsia" w:eastAsiaTheme="minorEastAsia" w:cstheme="minorEastAsia"/>
                <w:color w:val="auto"/>
                <w:highlight w:val="none"/>
                <w:lang w:val="en-US" w:eastAsia="zh-CN"/>
              </w:rPr>
              <w:t>1个</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highlight w:val="none"/>
                <w:lang w:val="en-US" w:eastAsia="zh-CN"/>
              </w:rPr>
              <w:t>0.5</w:t>
            </w:r>
            <w:r>
              <w:rPr>
                <w:rFonts w:hint="eastAsia" w:asciiTheme="minorEastAsia" w:hAnsiTheme="minorEastAsia" w:eastAsiaTheme="minorEastAsia" w:cstheme="minorEastAsia"/>
                <w:color w:val="auto"/>
                <w:highlight w:val="none"/>
              </w:rPr>
              <w:t>分，本项最高得1分。</w:t>
            </w:r>
          </w:p>
          <w:p w14:paraId="14540132">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highlight w:val="none"/>
              </w:rPr>
              <w:t>（须提供</w:t>
            </w:r>
            <w:r>
              <w:rPr>
                <w:rFonts w:hint="eastAsia" w:asciiTheme="minorEastAsia" w:hAnsiTheme="minorEastAsia" w:eastAsiaTheme="minorEastAsia" w:cstheme="minorEastAsia"/>
                <w:b/>
                <w:bCs/>
                <w:color w:val="auto"/>
                <w:highlight w:val="none"/>
                <w:lang w:val="en-US" w:eastAsia="zh-CN"/>
              </w:rPr>
              <w:t>相应</w:t>
            </w:r>
            <w:r>
              <w:rPr>
                <w:rFonts w:hint="eastAsia" w:asciiTheme="minorEastAsia" w:hAnsiTheme="minorEastAsia" w:eastAsiaTheme="minorEastAsia" w:cstheme="minorEastAsia"/>
                <w:b/>
                <w:bCs/>
                <w:color w:val="auto"/>
                <w:highlight w:val="none"/>
              </w:rPr>
              <w:t>合同扫描件并加盖</w:t>
            </w:r>
            <w:r>
              <w:rPr>
                <w:rFonts w:hint="eastAsia" w:ascii="宋体" w:hAnsi="宋体" w:cs="宋体"/>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w:t>
            </w:r>
            <w:r>
              <w:rPr>
                <w:rFonts w:hint="eastAsia"/>
                <w:b/>
                <w:bCs/>
                <w:color w:val="auto"/>
                <w:highlight w:val="none"/>
              </w:rPr>
              <w:t>编入投标文件中</w:t>
            </w:r>
            <w:r>
              <w:rPr>
                <w:rFonts w:hint="eastAsia" w:asciiTheme="minorEastAsia" w:hAnsiTheme="minorEastAsia" w:eastAsiaTheme="minorEastAsia" w:cstheme="minorEastAsia"/>
                <w:b/>
                <w:bCs/>
                <w:color w:val="auto"/>
                <w:highlight w:val="none"/>
              </w:rPr>
              <w:t>，未提供的不得分）</w:t>
            </w:r>
          </w:p>
        </w:tc>
        <w:tc>
          <w:tcPr>
            <w:tcW w:w="686" w:type="dxa"/>
            <w:vAlign w:val="center"/>
          </w:tcPr>
          <w:p w14:paraId="0CD44031">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1</w:t>
            </w:r>
          </w:p>
        </w:tc>
      </w:tr>
      <w:tr w14:paraId="7219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19836436">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4747D080">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项目负责人</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center"/>
          </w:tcPr>
          <w:p w14:paraId="68B89ADF">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拟投入本项目的项目负责人：</w:t>
            </w:r>
          </w:p>
          <w:p w14:paraId="2191BC5E">
            <w:pPr>
              <w:pStyle w:val="10"/>
              <w:keepNext w:val="0"/>
              <w:keepLines w:val="0"/>
              <w:pageBreakBefore w:val="0"/>
              <w:widowControl/>
              <w:kinsoku/>
              <w:wordWrap/>
              <w:overflowPunct/>
              <w:topLinePunct w:val="0"/>
              <w:bidi w:val="0"/>
              <w:spacing w:line="240" w:lineRule="auto"/>
              <w:ind w:left="0" w:firstLine="0" w:firstLineChars="0"/>
              <w:jc w:val="both"/>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（1）具有生态、环保类相关专业高级及以上工程师职称证书得3分，生态、环保类相关专业中级工程师职称证书的得1分，其他不得分；</w:t>
            </w:r>
          </w:p>
          <w:p w14:paraId="5341BF86">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（2）具有注册环保工程师资格证书的得2分；</w:t>
            </w:r>
          </w:p>
          <w:p w14:paraId="5E0AEB54">
            <w:pPr>
              <w:pStyle w:val="10"/>
              <w:keepNext w:val="0"/>
              <w:keepLines w:val="0"/>
              <w:pageBreakBefore w:val="0"/>
              <w:widowControl/>
              <w:kinsoku/>
              <w:wordWrap/>
              <w:overflowPunct/>
              <w:topLinePunct w:val="0"/>
              <w:bidi w:val="0"/>
              <w:spacing w:line="240" w:lineRule="auto"/>
              <w:ind w:left="0" w:firstLine="0" w:firstLineChars="0"/>
              <w:jc w:val="both"/>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（3）入选</w:t>
            </w:r>
            <w:r>
              <w:rPr>
                <w:rFonts w:hint="eastAsia" w:asciiTheme="minorEastAsia" w:hAnsiTheme="minorEastAsia" w:eastAsiaTheme="minorEastAsia" w:cstheme="minorEastAsia"/>
                <w:color w:val="auto"/>
                <w:kern w:val="0"/>
                <w:sz w:val="21"/>
                <w:szCs w:val="21"/>
                <w:highlight w:val="none"/>
                <w:lang w:val="en-US" w:eastAsia="zh-CN" w:bidi="ar-SA"/>
              </w:rPr>
              <w:t>生态环境行政主管部门组织的</w:t>
            </w:r>
            <w:r>
              <w:rPr>
                <w:rFonts w:hint="eastAsia" w:asciiTheme="minorEastAsia" w:hAnsiTheme="minorEastAsia" w:eastAsiaTheme="minorEastAsia" w:cstheme="minorEastAsia"/>
                <w:color w:val="auto"/>
                <w:kern w:val="0"/>
                <w:sz w:val="21"/>
                <w:szCs w:val="21"/>
                <w:highlight w:val="none"/>
                <w:lang w:val="en-US" w:eastAsia="zh-CN" w:bidi="ar-SA"/>
              </w:rPr>
              <w:t>省级及以上土壤和地下水污染防治相关专家库的得2分</w:t>
            </w:r>
            <w:r>
              <w:rPr>
                <w:rFonts w:hint="eastAsia" w:asciiTheme="minorEastAsia" w:hAnsiTheme="minorEastAsia" w:eastAsiaTheme="minorEastAsia" w:cstheme="minorEastAsia"/>
                <w:color w:val="auto"/>
                <w:kern w:val="0"/>
                <w:sz w:val="21"/>
                <w:szCs w:val="21"/>
                <w:highlight w:val="none"/>
                <w:lang w:val="en-US" w:eastAsia="zh-CN" w:bidi="ar-SA"/>
              </w:rPr>
              <w:t>，其他不得分。</w:t>
            </w:r>
          </w:p>
          <w:p w14:paraId="6CC56675">
            <w:pPr>
              <w:pStyle w:val="10"/>
              <w:keepNext w:val="0"/>
              <w:keepLines w:val="0"/>
              <w:pageBreakBefore w:val="0"/>
              <w:widowControl/>
              <w:kinsoku/>
              <w:wordWrap/>
              <w:overflowPunct/>
              <w:topLinePunct w:val="0"/>
              <w:bidi w:val="0"/>
              <w:spacing w:line="240" w:lineRule="auto"/>
              <w:ind w:left="0" w:leftChars="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有效的证书或证明材料；②社保部门出具的响应截止日期前近3个月在响应供应商的社会保险费用缴纳证明，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3269949A">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1"/>
                <w:szCs w:val="21"/>
                <w:highlight w:val="none"/>
                <w:lang w:val="en-US" w:eastAsia="zh-CN"/>
              </w:rPr>
              <w:t>7</w:t>
            </w:r>
          </w:p>
        </w:tc>
      </w:tr>
      <w:tr w14:paraId="26AC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48F2DB9A">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21C51C3E">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项目组成员</w:t>
            </w:r>
            <w:r>
              <w:rPr>
                <w:rFonts w:hint="eastAsia" w:asciiTheme="minorEastAsia" w:hAnsiTheme="minorEastAsia" w:eastAsiaTheme="minorEastAsia" w:cstheme="minorEastAsia"/>
                <w:color w:val="auto"/>
                <w:kern w:val="0"/>
                <w:sz w:val="21"/>
                <w:szCs w:val="21"/>
                <w:highlight w:val="none"/>
                <w:lang w:val="en-US" w:eastAsia="zh-CN" w:bidi="ar-SA"/>
              </w:rPr>
              <w:t>（项目负责人除外）</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center"/>
          </w:tcPr>
          <w:p w14:paraId="5D0A7C34">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拟投入本项目的</w:t>
            </w:r>
            <w:r>
              <w:rPr>
                <w:rFonts w:hint="default" w:asciiTheme="minorEastAsia" w:hAnsiTheme="minorEastAsia" w:eastAsiaTheme="minorEastAsia" w:cstheme="minorEastAsia"/>
                <w:color w:val="auto"/>
                <w:kern w:val="0"/>
                <w:sz w:val="21"/>
                <w:szCs w:val="21"/>
                <w:highlight w:val="none"/>
                <w:lang w:val="en-US" w:eastAsia="zh-CN" w:bidi="ar-SA"/>
              </w:rPr>
              <w:t>项目组成员</w:t>
            </w:r>
            <w:r>
              <w:rPr>
                <w:rFonts w:hint="eastAsia" w:asciiTheme="minorEastAsia" w:hAnsiTheme="minorEastAsia" w:eastAsiaTheme="minorEastAsia" w:cstheme="minorEastAsia"/>
                <w:color w:val="auto"/>
                <w:kern w:val="0"/>
                <w:sz w:val="21"/>
                <w:szCs w:val="21"/>
                <w:highlight w:val="none"/>
                <w:lang w:val="en-US" w:eastAsia="zh-CN" w:bidi="ar-SA"/>
              </w:rPr>
              <w:t>（项目负责人除外）：</w:t>
            </w:r>
          </w:p>
          <w:p w14:paraId="590BA8F8">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（1）具有注册环保工程师资格证书的，每人得1分，最高得5分。</w:t>
            </w:r>
          </w:p>
          <w:p w14:paraId="52C1365F">
            <w:pPr>
              <w:pStyle w:val="10"/>
              <w:keepNext w:val="0"/>
              <w:keepLines w:val="0"/>
              <w:pageBreakBefore w:val="0"/>
              <w:widowControl/>
              <w:kinsoku/>
              <w:wordWrap/>
              <w:overflowPunct/>
              <w:topLinePunct w:val="0"/>
              <w:bidi w:val="0"/>
              <w:spacing w:line="240" w:lineRule="auto"/>
              <w:ind w:left="0" w:firstLine="0" w:firstLineChars="0"/>
              <w:jc w:val="both"/>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（2）入选</w:t>
            </w:r>
            <w:r>
              <w:rPr>
                <w:rFonts w:hint="eastAsia" w:asciiTheme="minorEastAsia" w:hAnsiTheme="minorEastAsia" w:eastAsiaTheme="minorEastAsia" w:cstheme="minorEastAsia"/>
                <w:color w:val="auto"/>
                <w:kern w:val="0"/>
                <w:sz w:val="21"/>
                <w:szCs w:val="21"/>
                <w:highlight w:val="none"/>
                <w:lang w:val="en-US" w:eastAsia="zh-CN" w:bidi="ar-SA"/>
              </w:rPr>
              <w:t>生态环境行政主管部门组织的</w:t>
            </w:r>
            <w:r>
              <w:rPr>
                <w:rFonts w:hint="eastAsia" w:asciiTheme="minorEastAsia" w:hAnsiTheme="minorEastAsia" w:eastAsiaTheme="minorEastAsia" w:cstheme="minorEastAsia"/>
                <w:color w:val="auto"/>
                <w:kern w:val="0"/>
                <w:sz w:val="21"/>
                <w:szCs w:val="21"/>
                <w:highlight w:val="none"/>
                <w:lang w:val="en-US" w:eastAsia="zh-CN" w:bidi="ar-SA"/>
              </w:rPr>
              <w:t>省级</w:t>
            </w:r>
            <w:r>
              <w:rPr>
                <w:rFonts w:hint="eastAsia" w:asciiTheme="minorEastAsia" w:hAnsiTheme="minorEastAsia" w:eastAsiaTheme="minorEastAsia" w:cstheme="minorEastAsia"/>
                <w:color w:val="auto"/>
                <w:kern w:val="0"/>
                <w:sz w:val="21"/>
                <w:szCs w:val="21"/>
                <w:highlight w:val="none"/>
                <w:lang w:val="en-US" w:eastAsia="zh-CN" w:bidi="ar-SA"/>
              </w:rPr>
              <w:t>及以上</w:t>
            </w:r>
            <w:r>
              <w:rPr>
                <w:rFonts w:hint="eastAsia" w:asciiTheme="minorEastAsia" w:hAnsiTheme="minorEastAsia" w:eastAsiaTheme="minorEastAsia" w:cstheme="minorEastAsia"/>
                <w:color w:val="auto"/>
                <w:kern w:val="0"/>
                <w:sz w:val="21"/>
                <w:szCs w:val="21"/>
                <w:highlight w:val="none"/>
                <w:lang w:val="en-US" w:eastAsia="zh-CN" w:bidi="ar-SA"/>
              </w:rPr>
              <w:t>土壤</w:t>
            </w:r>
            <w:r>
              <w:rPr>
                <w:rFonts w:hint="eastAsia" w:asciiTheme="minorEastAsia" w:hAnsiTheme="minorEastAsia" w:eastAsiaTheme="minorEastAsia" w:cstheme="minorEastAsia"/>
                <w:color w:val="auto"/>
                <w:kern w:val="0"/>
                <w:sz w:val="21"/>
                <w:szCs w:val="21"/>
                <w:highlight w:val="none"/>
                <w:lang w:val="en-US" w:eastAsia="zh-CN" w:bidi="ar-SA"/>
              </w:rPr>
              <w:t>和地下水</w:t>
            </w:r>
            <w:r>
              <w:rPr>
                <w:rFonts w:hint="eastAsia" w:asciiTheme="minorEastAsia" w:hAnsiTheme="minorEastAsia" w:eastAsiaTheme="minorEastAsia" w:cstheme="minorEastAsia"/>
                <w:color w:val="auto"/>
                <w:kern w:val="0"/>
                <w:sz w:val="21"/>
                <w:szCs w:val="21"/>
                <w:highlight w:val="none"/>
                <w:lang w:val="en-US" w:eastAsia="zh-CN" w:bidi="ar-SA"/>
              </w:rPr>
              <w:t>污染防治专家库的，每入选1人得为1分，</w:t>
            </w:r>
            <w:r>
              <w:rPr>
                <w:rFonts w:hint="eastAsia" w:asciiTheme="minorEastAsia" w:hAnsiTheme="minorEastAsia" w:eastAsiaTheme="minorEastAsia" w:cstheme="minorEastAsia"/>
                <w:color w:val="auto"/>
                <w:kern w:val="0"/>
                <w:sz w:val="21"/>
                <w:szCs w:val="21"/>
                <w:highlight w:val="none"/>
                <w:lang w:val="en-US" w:eastAsia="zh-CN" w:bidi="ar-SA"/>
              </w:rPr>
              <w:t>其他不得分，</w:t>
            </w:r>
            <w:r>
              <w:rPr>
                <w:rFonts w:hint="eastAsia" w:asciiTheme="minorEastAsia" w:hAnsiTheme="minorEastAsia" w:eastAsiaTheme="minorEastAsia" w:cstheme="minorEastAsia"/>
                <w:color w:val="auto"/>
                <w:kern w:val="0"/>
                <w:sz w:val="21"/>
                <w:szCs w:val="21"/>
                <w:highlight w:val="none"/>
                <w:lang w:val="en-US" w:eastAsia="zh-CN" w:bidi="ar-SA"/>
              </w:rPr>
              <w:t>本项最高得2分。</w:t>
            </w:r>
          </w:p>
          <w:p w14:paraId="2C21BC30">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（3）具有生态、环保类相关专业高级</w:t>
            </w:r>
            <w:r>
              <w:rPr>
                <w:rFonts w:hint="eastAsia" w:asciiTheme="minorEastAsia" w:hAnsiTheme="minorEastAsia" w:eastAsiaTheme="minorEastAsia" w:cstheme="minorEastAsia"/>
                <w:color w:val="auto"/>
                <w:kern w:val="0"/>
                <w:sz w:val="21"/>
                <w:szCs w:val="21"/>
                <w:highlight w:val="none"/>
                <w:lang w:val="en-US" w:eastAsia="zh-CN" w:bidi="ar-SA"/>
              </w:rPr>
              <w:t>及以上</w:t>
            </w:r>
            <w:r>
              <w:rPr>
                <w:rFonts w:hint="eastAsia" w:asciiTheme="minorEastAsia" w:hAnsiTheme="minorEastAsia" w:eastAsiaTheme="minorEastAsia" w:cstheme="minorEastAsia"/>
                <w:color w:val="auto"/>
                <w:kern w:val="0"/>
                <w:sz w:val="21"/>
                <w:szCs w:val="21"/>
                <w:highlight w:val="none"/>
                <w:lang w:val="en-US" w:eastAsia="zh-CN" w:bidi="ar-SA"/>
              </w:rPr>
              <w:t>工程师职称证书的每人得1分，中级职称证书的每人得0.5分，</w:t>
            </w:r>
            <w:r>
              <w:rPr>
                <w:rFonts w:hint="eastAsia" w:asciiTheme="minorEastAsia" w:hAnsiTheme="minorEastAsia" w:eastAsiaTheme="minorEastAsia" w:cstheme="minorEastAsia"/>
                <w:color w:val="auto"/>
                <w:kern w:val="0"/>
                <w:sz w:val="21"/>
                <w:szCs w:val="21"/>
                <w:highlight w:val="none"/>
                <w:lang w:val="en-US" w:eastAsia="zh-CN" w:bidi="ar-SA"/>
              </w:rPr>
              <w:t>其他不得分，</w:t>
            </w:r>
            <w:r>
              <w:rPr>
                <w:rFonts w:hint="eastAsia" w:asciiTheme="minorEastAsia" w:hAnsiTheme="minorEastAsia" w:eastAsiaTheme="minorEastAsia" w:cstheme="minorEastAsia"/>
                <w:color w:val="auto"/>
                <w:kern w:val="0"/>
                <w:sz w:val="21"/>
                <w:szCs w:val="21"/>
                <w:highlight w:val="none"/>
                <w:lang w:val="en-US" w:eastAsia="zh-CN" w:bidi="ar-SA"/>
              </w:rPr>
              <w:t>本项最高得3分。</w:t>
            </w:r>
          </w:p>
          <w:p w14:paraId="4A5CD30A">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注：</w:t>
            </w:r>
            <w:r>
              <w:rPr>
                <w:rFonts w:hint="eastAsia" w:asciiTheme="minorEastAsia" w:hAnsiTheme="minorEastAsia" w:eastAsiaTheme="minorEastAsia" w:cstheme="minorEastAsia"/>
                <w:b/>
                <w:bCs/>
                <w:color w:val="auto"/>
                <w:kern w:val="0"/>
                <w:sz w:val="21"/>
                <w:szCs w:val="21"/>
                <w:highlight w:val="none"/>
                <w:lang w:val="en-US" w:eastAsia="zh-CN" w:bidi="ar-SA"/>
              </w:rPr>
              <w:t>有多个职称的就高不重复计分。</w:t>
            </w:r>
            <w:r>
              <w:rPr>
                <w:rFonts w:hint="eastAsia" w:asciiTheme="minorEastAsia" w:hAnsiTheme="minorEastAsia" w:eastAsiaTheme="minorEastAsia" w:cstheme="minorEastAsia"/>
                <w:b/>
                <w:bCs/>
                <w:color w:val="auto"/>
                <w:kern w:val="0"/>
                <w:sz w:val="21"/>
                <w:szCs w:val="21"/>
                <w:highlight w:val="none"/>
                <w:lang w:val="en-US" w:eastAsia="zh-CN" w:bidi="ar-SA"/>
              </w:rPr>
              <w:t>同一人满足（1）和（3）证书要求的，不重复计分。</w:t>
            </w:r>
          </w:p>
          <w:p w14:paraId="003E1D2F">
            <w:pPr>
              <w:pStyle w:val="10"/>
              <w:keepNext w:val="0"/>
              <w:keepLines w:val="0"/>
              <w:pageBreakBefore w:val="0"/>
              <w:widowControl/>
              <w:kinsoku/>
              <w:wordWrap/>
              <w:overflowPunct/>
              <w:topLinePunct w:val="0"/>
              <w:bidi w:val="0"/>
              <w:spacing w:line="240" w:lineRule="auto"/>
              <w:ind w:left="0" w:leftChars="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对应人员</w:t>
            </w: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有效的证书或证明材料；②社保部门出具的响应截止日期前近3个月在响应供应商的社会保险费用缴纳证明，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14D3288A">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1"/>
                <w:szCs w:val="21"/>
                <w:highlight w:val="none"/>
                <w:lang w:val="en-US" w:eastAsia="zh-CN"/>
              </w:rPr>
              <w:t>10</w:t>
            </w:r>
          </w:p>
        </w:tc>
      </w:tr>
      <w:tr w14:paraId="29C8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89" w:type="dxa"/>
            <w:vMerge w:val="restart"/>
            <w:vAlign w:val="center"/>
          </w:tcPr>
          <w:p w14:paraId="1049D153">
            <w:pPr>
              <w:pStyle w:val="61"/>
              <w:keepNext w:val="0"/>
              <w:keepLines w:val="0"/>
              <w:pageBreakBefore w:val="0"/>
              <w:widowControl/>
              <w:kinsoku/>
              <w:wordWrap/>
              <w:overflowPunct/>
              <w:topLinePunct w:val="0"/>
              <w:autoSpaceDE/>
              <w:autoSpaceDN/>
              <w:bidi w:val="0"/>
              <w:adjustRightInd/>
              <w:snapToGrid/>
              <w:spacing w:after="0"/>
              <w:jc w:val="center"/>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技术分</w:t>
            </w:r>
          </w:p>
          <w:p w14:paraId="1F6106C8">
            <w:pPr>
              <w:pStyle w:val="61"/>
              <w:keepNext w:val="0"/>
              <w:keepLines w:val="0"/>
              <w:pageBreakBefore w:val="0"/>
              <w:widowControl/>
              <w:kinsoku/>
              <w:wordWrap/>
              <w:overflowPunct/>
              <w:topLinePunct w:val="0"/>
              <w:autoSpaceDE/>
              <w:autoSpaceDN/>
              <w:bidi w:val="0"/>
              <w:adjustRightInd/>
              <w:snapToGrid/>
              <w:spacing w:after="0"/>
              <w:jc w:val="center"/>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60</w:t>
            </w:r>
            <w:r>
              <w:rPr>
                <w:rFonts w:hint="eastAsia" w:asciiTheme="minorEastAsia" w:hAnsiTheme="minorEastAsia" w:eastAsiaTheme="minorEastAsia" w:cstheme="minorEastAsia"/>
                <w:color w:val="auto"/>
                <w:kern w:val="0"/>
                <w:highlight w:val="none"/>
              </w:rPr>
              <w:t>分）</w:t>
            </w:r>
          </w:p>
        </w:tc>
        <w:tc>
          <w:tcPr>
            <w:tcW w:w="1187" w:type="dxa"/>
            <w:vAlign w:val="center"/>
          </w:tcPr>
          <w:p w14:paraId="2AEA216F">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rPr>
              <w:t>项目理解</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04EED196">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的认识了解，以及开展工作的必要性、工作任务的理解等情况进行打分。</w:t>
            </w:r>
          </w:p>
          <w:p w14:paraId="3F7D9EAA">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rPr>
              <w:t>理解深刻、工作任务明确的得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0F9B74A0">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rPr>
              <w:t>理解</w:t>
            </w:r>
            <w:r>
              <w:rPr>
                <w:rFonts w:hint="eastAsia" w:ascii="宋体" w:hAnsi="宋体" w:eastAsia="宋体" w:cs="宋体"/>
                <w:color w:val="auto"/>
                <w:sz w:val="21"/>
                <w:szCs w:val="21"/>
                <w:highlight w:val="none"/>
                <w:lang w:val="en-US"/>
              </w:rPr>
              <w:t>准确</w:t>
            </w:r>
            <w:r>
              <w:rPr>
                <w:rFonts w:hint="eastAsia" w:ascii="宋体" w:hAnsi="宋体" w:eastAsia="宋体" w:cs="宋体"/>
                <w:color w:val="auto"/>
                <w:sz w:val="21"/>
                <w:szCs w:val="21"/>
                <w:highlight w:val="none"/>
              </w:rPr>
              <w:t>、工作任务部分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明确的得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845D4D5">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rPr>
              <w:t>理解程度简单、工作任务</w:t>
            </w:r>
            <w:r>
              <w:rPr>
                <w:rFonts w:hint="eastAsia" w:ascii="宋体" w:hAnsi="宋体" w:eastAsia="宋体" w:cs="宋体"/>
                <w:color w:val="auto"/>
                <w:sz w:val="21"/>
                <w:szCs w:val="21"/>
                <w:highlight w:val="none"/>
                <w:lang w:val="en-US" w:eastAsia="zh-CN"/>
              </w:rPr>
              <w:t>认识片面</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F5CF0BA">
            <w:pPr>
              <w:pStyle w:val="5"/>
              <w:keepNext w:val="0"/>
              <w:keepLines w:val="0"/>
              <w:pageBreakBefore w:val="0"/>
              <w:widowControl/>
              <w:kinsoku/>
              <w:wordWrap/>
              <w:overflowPunct/>
              <w:topLinePunct w:val="0"/>
              <w:bidi w:val="0"/>
              <w:spacing w:line="24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对项目理解有待加强，内容仅简单提及的得1分；</w:t>
            </w:r>
          </w:p>
          <w:p w14:paraId="3F392B7B">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6198431A">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lang w:val="en-US" w:eastAsia="zh-CN"/>
              </w:rPr>
              <w:t>7</w:t>
            </w:r>
          </w:p>
        </w:tc>
      </w:tr>
      <w:tr w14:paraId="1397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4EC8C048">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2BBEBFA6">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重点问题识别</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08E6A372">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根据供应商对24家重点监管单位的基本情况的了解程度，污染问题的识别以及水文地质条件的了解程度等进行打分。</w:t>
            </w:r>
          </w:p>
          <w:p w14:paraId="6F8EF858">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基本情况、水文地质条件掌握、问题识别全面的得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3887CAF5">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基本情况、水文地质条件部分了解、问题识别基本合理的得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0240E0E">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基本情况、水文地质条件不够了解、问题识别简单片面的得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30D23F3">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对基本情况、水文地质条件理解有待加强，内容仅简单提及的得1分；</w:t>
            </w:r>
          </w:p>
          <w:p w14:paraId="53AB83B1">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4299F57E">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kern w:val="0"/>
                <w:highlight w:val="none"/>
                <w:lang w:val="en-US" w:eastAsia="zh-CN"/>
              </w:rPr>
            </w:pPr>
            <w:r>
              <w:rPr>
                <w:rFonts w:hint="eastAsia" w:hAnsi="宋体" w:eastAsia="宋体" w:cs="宋体"/>
                <w:color w:val="auto"/>
                <w:sz w:val="21"/>
                <w:szCs w:val="21"/>
                <w:highlight w:val="none"/>
                <w:lang w:val="en-US" w:eastAsia="zh-CN"/>
              </w:rPr>
              <w:t>8</w:t>
            </w:r>
          </w:p>
        </w:tc>
      </w:tr>
      <w:tr w14:paraId="671C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650DB8E2">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578360A1">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工作思路</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6BEC677B">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bCs/>
                <w:color w:val="auto"/>
                <w:sz w:val="21"/>
                <w:szCs w:val="21"/>
                <w:highlight w:val="none"/>
              </w:rPr>
              <w:t>项目的工作原则、工作</w:t>
            </w:r>
            <w:r>
              <w:rPr>
                <w:rFonts w:hint="eastAsia" w:ascii="宋体" w:hAnsi="宋体" w:eastAsia="宋体" w:cs="宋体"/>
                <w:bCs/>
                <w:color w:val="auto"/>
                <w:sz w:val="21"/>
                <w:szCs w:val="21"/>
                <w:highlight w:val="none"/>
                <w:lang w:val="en-US" w:eastAsia="zh-CN"/>
              </w:rPr>
              <w:t>思路及工作部署</w:t>
            </w:r>
            <w:r>
              <w:rPr>
                <w:rFonts w:hint="eastAsia" w:ascii="宋体" w:hAnsi="宋体" w:eastAsia="宋体" w:cs="宋体"/>
                <w:bCs/>
                <w:color w:val="auto"/>
                <w:sz w:val="21"/>
                <w:szCs w:val="21"/>
                <w:highlight w:val="none"/>
              </w:rPr>
              <w:t>等</w:t>
            </w:r>
            <w:r>
              <w:rPr>
                <w:rFonts w:hint="eastAsia" w:ascii="宋体" w:hAnsi="宋体" w:eastAsia="宋体" w:cs="宋体"/>
                <w:bCs/>
                <w:color w:val="auto"/>
                <w:sz w:val="21"/>
                <w:szCs w:val="21"/>
                <w:highlight w:val="none"/>
                <w:lang w:val="en-US" w:eastAsia="zh-CN"/>
              </w:rPr>
              <w:t>情况</w:t>
            </w:r>
            <w:r>
              <w:rPr>
                <w:rFonts w:hint="eastAsia" w:ascii="宋体" w:hAnsi="宋体" w:eastAsia="宋体" w:cs="宋体"/>
                <w:bCs/>
                <w:color w:val="auto"/>
                <w:sz w:val="21"/>
                <w:szCs w:val="21"/>
                <w:highlight w:val="none"/>
              </w:rPr>
              <w:t>进行打分。</w:t>
            </w:r>
          </w:p>
          <w:p w14:paraId="1108B494">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w:t>
            </w:r>
            <w:r>
              <w:rPr>
                <w:rFonts w:hint="eastAsia" w:ascii="宋体" w:hAnsi="宋体" w:eastAsia="宋体" w:cs="宋体"/>
                <w:bCs/>
                <w:color w:val="auto"/>
                <w:sz w:val="21"/>
                <w:szCs w:val="21"/>
                <w:highlight w:val="none"/>
              </w:rPr>
              <w:t>思路</w:t>
            </w:r>
            <w:r>
              <w:rPr>
                <w:rFonts w:hint="eastAsia" w:ascii="宋体" w:hAnsi="宋体" w:eastAsia="宋体" w:cs="宋体"/>
                <w:bCs/>
                <w:color w:val="auto"/>
                <w:sz w:val="21"/>
                <w:szCs w:val="21"/>
                <w:highlight w:val="none"/>
                <w:lang w:val="en-US" w:eastAsia="zh-CN"/>
              </w:rPr>
              <w:t>清晰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工作部署明确合理</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auto"/>
                <w:sz w:val="21"/>
                <w:szCs w:val="21"/>
                <w:highlight w:val="none"/>
              </w:rPr>
              <w:t>分；</w:t>
            </w:r>
          </w:p>
          <w:p w14:paraId="436D205E">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w:t>
            </w:r>
            <w:r>
              <w:rPr>
                <w:rFonts w:hint="eastAsia" w:ascii="宋体" w:hAnsi="宋体" w:eastAsia="宋体" w:cs="宋体"/>
                <w:bCs/>
                <w:color w:val="auto"/>
                <w:sz w:val="21"/>
                <w:szCs w:val="21"/>
                <w:highlight w:val="none"/>
              </w:rPr>
              <w:t>思路</w:t>
            </w:r>
            <w:r>
              <w:rPr>
                <w:rFonts w:hint="eastAsia" w:ascii="宋体" w:hAnsi="宋体" w:eastAsia="宋体" w:cs="宋体"/>
                <w:bCs/>
                <w:color w:val="auto"/>
                <w:sz w:val="21"/>
                <w:szCs w:val="21"/>
                <w:highlight w:val="none"/>
                <w:lang w:val="en-US" w:eastAsia="zh-CN"/>
              </w:rPr>
              <w:t>较清晰，工作部署较合理</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527D8D7F">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w:t>
            </w:r>
            <w:r>
              <w:rPr>
                <w:rFonts w:hint="eastAsia" w:ascii="宋体" w:hAnsi="宋体" w:eastAsia="宋体" w:cs="宋体"/>
                <w:bCs/>
                <w:color w:val="auto"/>
                <w:sz w:val="21"/>
                <w:szCs w:val="21"/>
                <w:highlight w:val="none"/>
              </w:rPr>
              <w:t>思路</w:t>
            </w:r>
            <w:r>
              <w:rPr>
                <w:rFonts w:hint="eastAsia" w:ascii="宋体" w:hAnsi="宋体" w:eastAsia="宋体" w:cs="宋体"/>
                <w:bCs/>
                <w:color w:val="auto"/>
                <w:sz w:val="21"/>
                <w:szCs w:val="21"/>
                <w:highlight w:val="none"/>
                <w:lang w:val="en-US" w:eastAsia="zh-CN"/>
              </w:rPr>
              <w:t>清晰</w:t>
            </w:r>
            <w:r>
              <w:rPr>
                <w:rFonts w:hint="eastAsia" w:ascii="宋体" w:hAnsi="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en-US" w:eastAsia="zh-CN"/>
              </w:rPr>
              <w:t>，工作部署</w:t>
            </w:r>
            <w:r>
              <w:rPr>
                <w:rFonts w:hint="eastAsia" w:ascii="宋体" w:hAnsi="宋体" w:cs="宋体"/>
                <w:bCs/>
                <w:color w:val="auto"/>
                <w:sz w:val="21"/>
                <w:szCs w:val="21"/>
                <w:highlight w:val="none"/>
                <w:lang w:val="en-US" w:eastAsia="zh-CN"/>
              </w:rPr>
              <w:t>合理性一般</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7CC8D215">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工作思路</w:t>
            </w:r>
            <w:r>
              <w:rPr>
                <w:rFonts w:hint="eastAsia" w:ascii="宋体" w:hAnsi="宋体" w:eastAsia="宋体" w:cs="宋体"/>
                <w:bCs/>
                <w:color w:val="auto"/>
                <w:sz w:val="21"/>
                <w:szCs w:val="21"/>
                <w:highlight w:val="none"/>
              </w:rPr>
              <w:t>简单、缺乏严谨性，</w:t>
            </w:r>
            <w:r>
              <w:rPr>
                <w:rFonts w:hint="eastAsia" w:ascii="宋体" w:hAnsi="宋体" w:eastAsia="宋体" w:cs="宋体"/>
                <w:bCs/>
                <w:color w:val="auto"/>
                <w:sz w:val="21"/>
                <w:szCs w:val="21"/>
                <w:highlight w:val="none"/>
                <w:lang w:val="en-US" w:eastAsia="zh-CN"/>
              </w:rPr>
              <w:t>工作部署</w:t>
            </w:r>
            <w:r>
              <w:rPr>
                <w:rFonts w:hint="eastAsia" w:ascii="宋体" w:hAnsi="宋体" w:eastAsia="宋体" w:cs="宋体"/>
                <w:bCs/>
                <w:color w:val="auto"/>
                <w:sz w:val="21"/>
                <w:szCs w:val="21"/>
                <w:highlight w:val="none"/>
              </w:rPr>
              <w:t>片面的得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03314D26">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未提及此项不得分。</w:t>
            </w:r>
          </w:p>
        </w:tc>
        <w:tc>
          <w:tcPr>
            <w:tcW w:w="686" w:type="dxa"/>
            <w:vAlign w:val="center"/>
          </w:tcPr>
          <w:p w14:paraId="6F90CCD2">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r>
      <w:tr w14:paraId="40CA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46043D90">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515E5E10">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布点方案</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1E8C5A61">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对本项目监管单位周边监测布点方案工作的要求理解程度进行打分</w:t>
            </w:r>
            <w:r>
              <w:rPr>
                <w:rFonts w:hint="eastAsia" w:ascii="宋体" w:hAnsi="宋体" w:eastAsia="宋体" w:cs="宋体"/>
                <w:bCs/>
                <w:color w:val="auto"/>
                <w:sz w:val="21"/>
                <w:szCs w:val="21"/>
                <w:highlight w:val="none"/>
              </w:rPr>
              <w:t>。</w:t>
            </w:r>
          </w:p>
          <w:p w14:paraId="6F8DA352">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布点工作认识到位、明确的，符合项目工作要求的</w:t>
            </w:r>
            <w:r>
              <w:rPr>
                <w:rFonts w:hint="eastAsia" w:ascii="宋体" w:hAnsi="宋体" w:eastAsia="宋体" w:cs="宋体"/>
                <w:bCs/>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auto"/>
                <w:sz w:val="21"/>
                <w:szCs w:val="21"/>
                <w:highlight w:val="none"/>
              </w:rPr>
              <w:t>分；</w:t>
            </w:r>
          </w:p>
          <w:p w14:paraId="6B09C214">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布点工作认识基本到位、明确，基本符合项目工作要求的</w:t>
            </w:r>
            <w:r>
              <w:rPr>
                <w:rFonts w:hint="eastAsia" w:ascii="宋体" w:hAnsi="宋体" w:eastAsia="宋体" w:cs="宋体"/>
                <w:bCs/>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6A63FC8D">
            <w:pPr>
              <w:pStyle w:val="5"/>
              <w:keepNext w:val="0"/>
              <w:keepLines w:val="0"/>
              <w:pageBreakBefore w:val="0"/>
              <w:widowControl/>
              <w:kinsoku/>
              <w:wordWrap/>
              <w:overflowPunct/>
              <w:topLinePunct w:val="0"/>
              <w:bidi w:val="0"/>
              <w:spacing w:line="240" w:lineRule="auto"/>
              <w:ind w:left="0" w:firstLine="0" w:firstLineChars="0"/>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布点工作认识</w:t>
            </w:r>
            <w:r>
              <w:rPr>
                <w:rFonts w:hint="eastAsia" w:ascii="宋体" w:hAnsi="宋体" w:cs="宋体"/>
                <w:bCs/>
                <w:color w:val="auto"/>
                <w:sz w:val="21"/>
                <w:szCs w:val="21"/>
                <w:highlight w:val="none"/>
                <w:lang w:val="en-US" w:eastAsia="zh-CN"/>
              </w:rPr>
              <w:t>一般，距离项目工作要求存在差距的得</w:t>
            </w:r>
            <w:r>
              <w:rPr>
                <w:rFonts w:hint="eastAsia" w:ascii="宋体" w:hAnsi="宋体" w:eastAsia="宋体" w:cs="宋体"/>
                <w:color w:val="auto"/>
                <w:sz w:val="21"/>
                <w:szCs w:val="21"/>
                <w:highlight w:val="none"/>
                <w:lang w:val="en-US" w:eastAsia="zh-CN"/>
              </w:rPr>
              <w:t>3</w:t>
            </w:r>
            <w:r>
              <w:rPr>
                <w:rFonts w:hint="eastAsia" w:ascii="宋体" w:hAnsi="宋体" w:cs="宋体"/>
                <w:bCs/>
                <w:color w:val="auto"/>
                <w:sz w:val="21"/>
                <w:szCs w:val="21"/>
                <w:highlight w:val="none"/>
                <w:lang w:val="en-US" w:eastAsia="zh-CN"/>
              </w:rPr>
              <w:t>分；</w:t>
            </w:r>
          </w:p>
          <w:p w14:paraId="55470E6F">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布点工作认识欠到位、不明确的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4DDA7EE">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未提及此项不得分。</w:t>
            </w:r>
          </w:p>
        </w:tc>
        <w:tc>
          <w:tcPr>
            <w:tcW w:w="686" w:type="dxa"/>
            <w:vAlign w:val="center"/>
          </w:tcPr>
          <w:p w14:paraId="6AA9D49B">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r>
      <w:tr w14:paraId="0DF8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59B78721">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6BBD5CB1">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现场及质控</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75C8A3E1">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开展现场工作的能力水平及质控内容要求进行打分。</w:t>
            </w:r>
          </w:p>
          <w:p w14:paraId="5B4E0CCC">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质控内容分析准确，质控方案条理清晰、操作性强、确保项目质量的得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p>
          <w:p w14:paraId="27825990">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质控内容分析基本准确，质控方案条理基本清晰，有一定操作性、基本能确保项目质量的得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2B503392">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w:t>
            </w:r>
            <w:r>
              <w:rPr>
                <w:rFonts w:hint="eastAsia" w:ascii="宋体" w:hAnsi="宋体" w:cs="宋体"/>
                <w:bCs/>
                <w:color w:val="auto"/>
                <w:sz w:val="21"/>
                <w:szCs w:val="21"/>
                <w:highlight w:val="none"/>
                <w:lang w:val="en-US" w:eastAsia="zh-CN"/>
              </w:rPr>
              <w:t>一般，操作性有待加强，项目质量有待保障的得</w:t>
            </w:r>
            <w:r>
              <w:rPr>
                <w:rFonts w:hint="eastAsia" w:ascii="宋体" w:hAnsi="宋体" w:eastAsia="宋体" w:cs="宋体"/>
                <w:color w:val="auto"/>
                <w:sz w:val="21"/>
                <w:szCs w:val="21"/>
                <w:highlight w:val="none"/>
                <w:lang w:val="en-US" w:eastAsia="zh-CN"/>
              </w:rPr>
              <w:t>3</w:t>
            </w:r>
            <w:r>
              <w:rPr>
                <w:rFonts w:hint="eastAsia" w:ascii="宋体" w:hAnsi="宋体" w:cs="宋体"/>
                <w:bCs/>
                <w:color w:val="auto"/>
                <w:sz w:val="21"/>
                <w:szCs w:val="21"/>
                <w:highlight w:val="none"/>
                <w:lang w:val="en-US" w:eastAsia="zh-CN"/>
              </w:rPr>
              <w:t>分；</w:t>
            </w:r>
          </w:p>
          <w:p w14:paraId="6358BDD9">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质控内容分析不准确，质控方案条理混乱，项目质量</w:t>
            </w:r>
            <w:r>
              <w:rPr>
                <w:rFonts w:hint="eastAsia" w:ascii="宋体" w:hAnsi="宋体" w:eastAsia="宋体" w:cs="宋体"/>
                <w:bCs/>
                <w:color w:val="auto"/>
                <w:sz w:val="21"/>
                <w:szCs w:val="21"/>
                <w:highlight w:val="none"/>
                <w:lang w:val="en-US" w:eastAsia="zh-CN"/>
              </w:rPr>
              <w:t>缺乏保障性</w:t>
            </w:r>
            <w:r>
              <w:rPr>
                <w:rFonts w:hint="eastAsia" w:ascii="宋体" w:hAnsi="宋体" w:eastAsia="宋体" w:cs="宋体"/>
                <w:bCs/>
                <w:color w:val="auto"/>
                <w:sz w:val="21"/>
                <w:szCs w:val="21"/>
                <w:highlight w:val="none"/>
                <w:lang w:val="en-US" w:eastAsia="zh-CN"/>
              </w:rPr>
              <w:t>的得1分；</w:t>
            </w:r>
          </w:p>
          <w:p w14:paraId="4E51812F">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未提及此项不得分。</w:t>
            </w:r>
          </w:p>
        </w:tc>
        <w:tc>
          <w:tcPr>
            <w:tcW w:w="686" w:type="dxa"/>
            <w:vAlign w:val="center"/>
          </w:tcPr>
          <w:p w14:paraId="7463E025">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r>
      <w:tr w14:paraId="7E9B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15F954C5">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2D0CB630">
            <w:pPr>
              <w:keepNext w:val="0"/>
              <w:keepLines w:val="0"/>
              <w:pageBreakBefore w:val="0"/>
              <w:widowControl/>
              <w:tabs>
                <w:tab w:val="left" w:pos="2061"/>
              </w:tabs>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重难点分析</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49B21317">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对本项目的重点难点分析情况进行打分。</w:t>
            </w:r>
          </w:p>
          <w:p w14:paraId="22187DA8">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能够阐述项目实施过程中将会遇到的问题，包括工作要点、关键点作分级分析，层级清晰，分析深刻透彻，有针对性的得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572BDD17">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分析基本合理、内容简单的得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22C06C2">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8B60769">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分析片面，缺乏针对性的得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分；</w:t>
            </w:r>
          </w:p>
          <w:p w14:paraId="3DB45F44">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vAlign w:val="center"/>
          </w:tcPr>
          <w:p w14:paraId="08268899">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r>
      <w:tr w14:paraId="010D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89" w:type="dxa"/>
            <w:vMerge w:val="continue"/>
            <w:vAlign w:val="center"/>
          </w:tcPr>
          <w:p w14:paraId="41CF32E1">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0D5E38EB">
            <w:pPr>
              <w:keepNext w:val="0"/>
              <w:keepLines w:val="0"/>
              <w:pageBreakBefore w:val="0"/>
              <w:widowControl/>
              <w:tabs>
                <w:tab w:val="left" w:pos="2061"/>
              </w:tabs>
              <w:kinsoku/>
              <w:wordWrap/>
              <w:overflowPunct/>
              <w:topLinePunct w:val="0"/>
              <w:bidi w:val="0"/>
              <w:spacing w:line="240" w:lineRule="auto"/>
              <w:ind w:left="0" w:leftChars="0" w:firstLine="0" w:firstLineChars="0"/>
              <w:jc w:val="center"/>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rPr>
              <w:t>重难点解决方案</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3CFECC7E">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对本项目工作重难点问题的的解决方案及采取的对应措施进行打分。</w:t>
            </w:r>
          </w:p>
          <w:p w14:paraId="6BE22074">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有清晰详尽处理方法的得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0D72021">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处理方法较为清晰详尽，基本保障重难点问题的解决的得5分；</w:t>
            </w:r>
          </w:p>
          <w:p w14:paraId="417C9BD6">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有处理方法但阐述不够详尽的得得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5AEC16B">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处理方法缺乏针对性的得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分；</w:t>
            </w:r>
          </w:p>
          <w:p w14:paraId="102E4996">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vAlign w:val="center"/>
          </w:tcPr>
          <w:p w14:paraId="07B42335">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strike/>
                <w:dstrike w:val="0"/>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4F95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32E00DD7">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46B579B3">
            <w:pPr>
              <w:keepNext w:val="0"/>
              <w:keepLines w:val="0"/>
              <w:pageBreakBefore w:val="0"/>
              <w:widowControl/>
              <w:tabs>
                <w:tab w:val="left" w:pos="2061"/>
              </w:tabs>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质量管控</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4774713C">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对本项目工作中的</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质量管控方案（包括</w:t>
            </w:r>
            <w:r>
              <w:rPr>
                <w:rFonts w:hint="eastAsia" w:ascii="宋体" w:hAnsi="宋体" w:eastAsia="宋体" w:cs="宋体"/>
                <w:color w:val="auto"/>
                <w:sz w:val="21"/>
                <w:szCs w:val="21"/>
                <w:highlight w:val="none"/>
              </w:rPr>
              <w:t>管理规范、内控制度、质量管控措施</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进行打分。</w:t>
            </w:r>
          </w:p>
          <w:p w14:paraId="0A9E4945">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质量管控方案全面、合理的得5分；</w:t>
            </w:r>
          </w:p>
          <w:p w14:paraId="3E6FF1CA">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质量管控方案基本全面、合理的得3分；</w:t>
            </w:r>
          </w:p>
          <w:p w14:paraId="75D56FB8">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质量管控方案欠全面、合理的得1分</w:t>
            </w:r>
          </w:p>
          <w:p w14:paraId="664A12A7">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86" w:type="dxa"/>
            <w:vAlign w:val="center"/>
          </w:tcPr>
          <w:p w14:paraId="752C23F3">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14:paraId="3D8F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89" w:type="dxa"/>
            <w:vMerge w:val="continue"/>
            <w:vAlign w:val="center"/>
          </w:tcPr>
          <w:p w14:paraId="4DD85272">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60C36D3C">
            <w:pPr>
              <w:keepNext w:val="0"/>
              <w:keepLines w:val="0"/>
              <w:pageBreakBefore w:val="0"/>
              <w:widowControl/>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695FAFE4">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承诺提供的</w:t>
            </w:r>
            <w:r>
              <w:rPr>
                <w:rFonts w:hint="eastAsia" w:ascii="宋体" w:hAnsi="宋体" w:eastAsia="宋体" w:cs="宋体"/>
                <w:color w:val="auto"/>
                <w:sz w:val="21"/>
                <w:szCs w:val="21"/>
                <w:highlight w:val="none"/>
                <w:lang w:val="en-US" w:eastAsia="zh-CN"/>
              </w:rPr>
              <w:t>后续</w:t>
            </w:r>
            <w:r>
              <w:rPr>
                <w:rFonts w:hint="eastAsia" w:ascii="宋体" w:hAnsi="宋体" w:eastAsia="宋体" w:cs="宋体"/>
                <w:color w:val="auto"/>
                <w:sz w:val="21"/>
                <w:szCs w:val="21"/>
                <w:highlight w:val="none"/>
              </w:rPr>
              <w:t>服务方案（服务能力、服务措施、服务承诺等方面）</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视其</w:t>
            </w:r>
            <w:r>
              <w:rPr>
                <w:rFonts w:hint="eastAsia" w:ascii="宋体" w:hAnsi="宋体" w:eastAsia="宋体" w:cs="宋体"/>
                <w:color w:val="auto"/>
                <w:sz w:val="21"/>
                <w:szCs w:val="21"/>
                <w:highlight w:val="none"/>
              </w:rPr>
              <w:t>服务承诺可行性、完整性以及后续的技术实施保障措施</w:t>
            </w:r>
            <w:r>
              <w:rPr>
                <w:rFonts w:hint="eastAsia" w:ascii="宋体" w:hAnsi="宋体" w:eastAsia="宋体" w:cs="宋体"/>
                <w:color w:val="auto"/>
                <w:sz w:val="21"/>
                <w:szCs w:val="21"/>
                <w:highlight w:val="none"/>
                <w:lang w:val="en-US" w:eastAsia="zh-CN"/>
              </w:rPr>
              <w:t>是否有效、得力等进行给分。</w:t>
            </w:r>
          </w:p>
          <w:p w14:paraId="1ADE0B4C">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后续服务方案可行，有针对性、可行性的得5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311EDF6">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后续服务方案基本可行，有一定针对性、可行性的得3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A7C7180">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后续服务方案欠可行，缺少针对性、可行性的得1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DBAC3D5">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vAlign w:val="center"/>
          </w:tcPr>
          <w:p w14:paraId="5B9C671B">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7AC9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76" w:type="dxa"/>
            <w:gridSpan w:val="2"/>
            <w:vAlign w:val="center"/>
          </w:tcPr>
          <w:p w14:paraId="5FB1C7C7">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Cs w:val="21"/>
                <w:highlight w:val="none"/>
              </w:rPr>
            </w:pPr>
            <w:r>
              <w:rPr>
                <w:rStyle w:val="59"/>
                <w:rFonts w:hint="eastAsia" w:ascii="宋体" w:hAnsi="宋体" w:eastAsia="宋体" w:cs="宋体"/>
                <w:color w:val="auto"/>
                <w:kern w:val="0"/>
                <w:szCs w:val="21"/>
                <w:highlight w:val="none"/>
              </w:rPr>
              <w:t>价格</w:t>
            </w:r>
          </w:p>
          <w:p w14:paraId="6D0D5E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color w:val="auto"/>
                <w:szCs w:val="21"/>
                <w:highlight w:val="none"/>
              </w:rPr>
            </w:pPr>
            <w:r>
              <w:rPr>
                <w:rStyle w:val="59"/>
                <w:rFonts w:hint="eastAsia" w:ascii="宋体" w:hAnsi="宋体" w:eastAsia="宋体" w:cs="宋体"/>
                <w:color w:val="auto"/>
                <w:kern w:val="0"/>
                <w:szCs w:val="21"/>
                <w:highlight w:val="none"/>
              </w:rPr>
              <w:t>（</w:t>
            </w:r>
            <w:r>
              <w:rPr>
                <w:rStyle w:val="59"/>
                <w:rFonts w:hint="eastAsia" w:ascii="宋体" w:hAnsi="宋体" w:cs="宋体"/>
                <w:color w:val="auto"/>
                <w:kern w:val="0"/>
                <w:szCs w:val="21"/>
                <w:highlight w:val="none"/>
                <w:lang w:val="en-US" w:eastAsia="zh-CN"/>
              </w:rPr>
              <w:t>15</w:t>
            </w:r>
            <w:r>
              <w:rPr>
                <w:rStyle w:val="59"/>
                <w:rFonts w:hint="eastAsia" w:ascii="宋体" w:hAnsi="宋体" w:eastAsia="宋体" w:cs="宋体"/>
                <w:color w:val="auto"/>
                <w:kern w:val="0"/>
                <w:szCs w:val="21"/>
                <w:highlight w:val="none"/>
              </w:rPr>
              <w:t>分）</w:t>
            </w:r>
          </w:p>
        </w:tc>
        <w:tc>
          <w:tcPr>
            <w:tcW w:w="6889" w:type="dxa"/>
            <w:vAlign w:val="center"/>
          </w:tcPr>
          <w:p w14:paraId="3D38D7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取投标合格供应商的投标最终报价</w:t>
            </w:r>
            <w:r>
              <w:rPr>
                <w:rFonts w:hint="eastAsia" w:ascii="宋体" w:hAnsi="宋体" w:cs="宋体"/>
                <w:color w:val="auto"/>
                <w:szCs w:val="21"/>
                <w:highlight w:val="none"/>
                <w:lang w:val="en-US" w:eastAsia="zh-CN"/>
              </w:rPr>
              <w:t>中的</w:t>
            </w:r>
            <w:r>
              <w:rPr>
                <w:rFonts w:hint="eastAsia" w:ascii="宋体" w:hAnsi="宋体" w:eastAsia="宋体" w:cs="宋体"/>
                <w:color w:val="auto"/>
                <w:szCs w:val="21"/>
                <w:highlight w:val="none"/>
              </w:rPr>
              <w:t>最低价</w:t>
            </w:r>
            <w:r>
              <w:rPr>
                <w:rFonts w:hint="eastAsia" w:ascii="宋体" w:hAnsi="宋体" w:eastAsia="宋体" w:cs="宋体"/>
                <w:color w:val="auto"/>
                <w:szCs w:val="21"/>
                <w:highlight w:val="none"/>
                <w:lang w:val="zh-CN"/>
              </w:rPr>
              <w:t>为评标基准价，</w:t>
            </w:r>
            <w:r>
              <w:rPr>
                <w:rFonts w:hint="eastAsia" w:ascii="宋体" w:hAnsi="宋体" w:eastAsia="宋体" w:cs="宋体"/>
                <w:color w:val="auto"/>
                <w:szCs w:val="21"/>
                <w:highlight w:val="none"/>
              </w:rPr>
              <w:t>基准价为</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w:t>
            </w:r>
          </w:p>
          <w:p w14:paraId="1805E86D">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b/>
                <w:bCs/>
                <w:color w:val="auto"/>
                <w:szCs w:val="21"/>
                <w:highlight w:val="none"/>
              </w:rPr>
            </w:pPr>
            <w:r>
              <w:rPr>
                <w:rFonts w:hint="eastAsia" w:ascii="宋体" w:hAnsi="宋体" w:eastAsia="宋体" w:cs="宋体"/>
                <w:color w:val="auto"/>
                <w:szCs w:val="21"/>
                <w:highlight w:val="none"/>
                <w:lang w:val="zh-CN"/>
              </w:rPr>
              <w:t>投标报价得分=(评标基准价／投标报价)×</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zh-CN"/>
              </w:rPr>
              <w:t>%×100 。（</w:t>
            </w:r>
            <w:r>
              <w:rPr>
                <w:rFonts w:hint="eastAsia" w:ascii="宋体" w:hAnsi="宋体" w:eastAsia="宋体" w:cs="宋体"/>
                <w:color w:val="auto"/>
                <w:szCs w:val="21"/>
                <w:highlight w:val="none"/>
              </w:rPr>
              <w:t>小数点后保留2位小数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lang w:val="zh-CN"/>
              </w:rPr>
              <w:t>）。</w:t>
            </w:r>
          </w:p>
        </w:tc>
        <w:tc>
          <w:tcPr>
            <w:tcW w:w="686" w:type="dxa"/>
            <w:vAlign w:val="center"/>
          </w:tcPr>
          <w:p w14:paraId="32CB7A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lang w:val="en-US" w:eastAsia="zh-CN"/>
              </w:rPr>
              <w:t>15</w:t>
            </w:r>
          </w:p>
        </w:tc>
      </w:tr>
    </w:tbl>
    <w:p w14:paraId="089E5EE9">
      <w:pPr>
        <w:pStyle w:val="8"/>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p>
    <w:p w14:paraId="797B8BFD">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507CCF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14:paraId="7A00D5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生态环境部《“十四五”生态环境监测规划》（环监测〔2021〕117号）、《浙江省土壤和地下水环境质量监测网络建设方案》的要求，结合台州市生态环境局工作部署，“十四五”期间须对全区土壤重点监管单位完成一轮周边监测并形成监测结果分析报告。</w:t>
      </w:r>
      <w:r>
        <w:rPr>
          <w:rFonts w:hint="eastAsia" w:ascii="宋体" w:hAnsi="宋体" w:eastAsia="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025年12月底前，椒江区要完成</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24家土壤重点监管单位周边监测</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并编制</w:t>
      </w:r>
      <w:r>
        <w:rPr>
          <w:rFonts w:hint="eastAsia" w:ascii="宋体" w:hAnsi="宋体" w:eastAsia="宋体" w:cs="宋体"/>
          <w:b/>
          <w:bCs/>
          <w:color w:val="auto"/>
          <w:sz w:val="21"/>
          <w:szCs w:val="21"/>
          <w:highlight w:val="none"/>
          <w:lang w:val="en-US" w:eastAsia="zh-CN"/>
        </w:rPr>
        <w:t>周边土壤环境</w:t>
      </w:r>
      <w:r>
        <w:rPr>
          <w:rFonts w:hint="eastAsia" w:ascii="宋体" w:hAnsi="宋体" w:eastAsia="宋体" w:cs="宋体"/>
          <w:b/>
          <w:bCs/>
          <w:color w:val="auto"/>
          <w:sz w:val="21"/>
          <w:szCs w:val="21"/>
          <w:highlight w:val="none"/>
          <w:lang w:val="en-US" w:eastAsia="zh-CN"/>
        </w:rPr>
        <w:t>监测报告</w:t>
      </w:r>
      <w:r>
        <w:rPr>
          <w:rFonts w:hint="eastAsia" w:ascii="宋体" w:hAnsi="宋体" w:cs="宋体"/>
          <w:b/>
          <w:bCs/>
          <w:color w:val="auto"/>
          <w:sz w:val="21"/>
          <w:szCs w:val="21"/>
          <w:highlight w:val="none"/>
          <w:lang w:val="en-US" w:eastAsia="zh-CN"/>
        </w:rPr>
        <w:t>；（2）补充</w:t>
      </w:r>
      <w:r>
        <w:rPr>
          <w:rFonts w:hint="eastAsia" w:ascii="宋体" w:hAnsi="宋体" w:cs="宋体"/>
          <w:b/>
          <w:bCs/>
          <w:color w:val="auto"/>
          <w:sz w:val="21"/>
          <w:szCs w:val="21"/>
          <w:highlight w:val="none"/>
          <w:lang w:val="en-US" w:eastAsia="zh-CN"/>
        </w:rPr>
        <w:t>一轮</w:t>
      </w:r>
      <w:r>
        <w:rPr>
          <w:rFonts w:hint="eastAsia" w:ascii="宋体" w:hAnsi="宋体" w:cs="宋体"/>
          <w:b/>
          <w:bCs/>
          <w:color w:val="auto"/>
          <w:sz w:val="21"/>
          <w:szCs w:val="21"/>
          <w:highlight w:val="none"/>
          <w:lang w:val="en-US" w:eastAsia="zh-CN"/>
        </w:rPr>
        <w:t>5家土壤重点监管单位周边地下水</w:t>
      </w:r>
      <w:r>
        <w:rPr>
          <w:rFonts w:hint="eastAsia" w:ascii="宋体" w:hAnsi="宋体" w:cs="宋体"/>
          <w:b/>
          <w:bCs/>
          <w:color w:val="auto"/>
          <w:sz w:val="21"/>
          <w:szCs w:val="21"/>
          <w:highlight w:val="none"/>
          <w:lang w:val="en-US" w:eastAsia="zh-CN"/>
        </w:rPr>
        <w:t>监测</w:t>
      </w:r>
      <w:r>
        <w:rPr>
          <w:rFonts w:hint="eastAsia" w:ascii="宋体" w:hAnsi="宋体" w:cs="宋体"/>
          <w:b/>
          <w:bCs/>
          <w:color w:val="auto"/>
          <w:sz w:val="21"/>
          <w:szCs w:val="21"/>
          <w:highlight w:val="none"/>
          <w:lang w:val="en-US" w:eastAsia="zh-CN"/>
        </w:rPr>
        <w:t>，并</w:t>
      </w:r>
      <w:r>
        <w:rPr>
          <w:rFonts w:hint="eastAsia" w:ascii="宋体" w:hAnsi="宋体" w:cs="宋体"/>
          <w:b/>
          <w:bCs/>
          <w:color w:val="auto"/>
          <w:sz w:val="21"/>
          <w:szCs w:val="21"/>
          <w:highlight w:val="none"/>
          <w:lang w:val="en-US" w:eastAsia="zh-CN"/>
        </w:rPr>
        <w:t>更新</w:t>
      </w:r>
      <w:r>
        <w:rPr>
          <w:rFonts w:hint="default" w:ascii="宋体" w:hAnsi="宋体" w:cs="宋体"/>
          <w:b/>
          <w:bCs/>
          <w:color w:val="auto"/>
          <w:sz w:val="21"/>
          <w:szCs w:val="21"/>
          <w:highlight w:val="none"/>
          <w:lang w:eastAsia="zh-CN"/>
          <w:woUserID w:val="1"/>
        </w:rPr>
        <w:t>分析报告</w:t>
      </w:r>
      <w:r>
        <w:rPr>
          <w:rFonts w:hint="eastAsia" w:ascii="宋体" w:hAnsi="宋体" w:cs="宋体"/>
          <w:b/>
          <w:bCs/>
          <w:color w:val="auto"/>
          <w:sz w:val="21"/>
          <w:szCs w:val="21"/>
          <w:highlight w:val="none"/>
          <w:lang w:val="en-US" w:eastAsia="zh-CN"/>
        </w:rPr>
        <w:t>。</w:t>
      </w:r>
    </w:p>
    <w:p w14:paraId="2037E409">
      <w:pPr>
        <w:keepNext w:val="0"/>
        <w:keepLines w:val="0"/>
        <w:pageBreakBefore w:val="0"/>
        <w:widowControl w:val="0"/>
        <w:kinsoku/>
        <w:wordWrap/>
        <w:overflowPunct/>
        <w:topLinePunct w:val="0"/>
        <w:autoSpaceDE/>
        <w:autoSpaceDN/>
        <w:bidi w:val="0"/>
        <w:adjustRightInd/>
        <w:snapToGrid/>
        <w:spacing w:line="360" w:lineRule="auto"/>
        <w:ind w:firstLine="321" w:firstLineChars="200"/>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16"/>
          <w:szCs w:val="16"/>
          <w:highlight w:val="none"/>
          <w:lang w:val="en-US" w:eastAsia="zh-CN"/>
        </w:rPr>
        <w:t>表1</w:t>
      </w:r>
    </w:p>
    <w:tbl>
      <w:tblPr>
        <w:tblStyle w:val="23"/>
        <w:tblW w:w="6859" w:type="dxa"/>
        <w:jc w:val="center"/>
        <w:tblLayout w:type="fixed"/>
        <w:tblCellMar>
          <w:top w:w="0" w:type="dxa"/>
          <w:left w:w="108" w:type="dxa"/>
          <w:bottom w:w="0" w:type="dxa"/>
          <w:right w:w="108" w:type="dxa"/>
        </w:tblCellMar>
      </w:tblPr>
      <w:tblGrid>
        <w:gridCol w:w="1147"/>
        <w:gridCol w:w="5712"/>
      </w:tblGrid>
      <w:tr w14:paraId="29A0239C">
        <w:tblPrEx>
          <w:tblCellMar>
            <w:top w:w="0" w:type="dxa"/>
            <w:left w:w="108" w:type="dxa"/>
            <w:bottom w:w="0" w:type="dxa"/>
            <w:right w:w="108" w:type="dxa"/>
          </w:tblCellMar>
        </w:tblPrEx>
        <w:trPr>
          <w:trHeight w:val="329" w:hRule="atLeast"/>
          <w:tblHeader/>
          <w:jc w:val="center"/>
        </w:trPr>
        <w:tc>
          <w:tcPr>
            <w:tcW w:w="1147" w:type="dxa"/>
            <w:tcBorders>
              <w:top w:val="single" w:color="000000" w:sz="4" w:space="0"/>
              <w:left w:val="single" w:color="000000" w:sz="4" w:space="0"/>
              <w:bottom w:val="single" w:color="000000" w:sz="4" w:space="0"/>
              <w:right w:val="single" w:color="000000" w:sz="4" w:space="0"/>
              <w:tl2br w:val="nil"/>
            </w:tcBorders>
            <w:noWrap/>
            <w:vAlign w:val="center"/>
          </w:tcPr>
          <w:p w14:paraId="51B0D707">
            <w:pPr>
              <w:spacing w:line="240" w:lineRule="auto"/>
              <w:ind w:firstLine="0" w:firstLineChars="0"/>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7F2BED00">
            <w:pPr>
              <w:spacing w:line="240" w:lineRule="auto"/>
              <w:ind w:firstLine="0" w:firstLineChars="0"/>
              <w:jc w:val="center"/>
              <w:textAlignment w:val="center"/>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24家</w:t>
            </w:r>
            <w:r>
              <w:rPr>
                <w:rFonts w:hint="eastAsia" w:ascii="宋体" w:hAnsi="宋体" w:cs="宋体"/>
                <w:b/>
                <w:bCs/>
                <w:color w:val="auto"/>
                <w:highlight w:val="none"/>
                <w:lang w:eastAsia="zh-CN"/>
              </w:rPr>
              <w:t>周边监测</w:t>
            </w:r>
            <w:r>
              <w:rPr>
                <w:rFonts w:hint="eastAsia" w:ascii="宋体" w:hAnsi="宋体" w:eastAsia="宋体" w:cs="宋体"/>
                <w:b/>
                <w:bCs/>
                <w:color w:val="auto"/>
                <w:highlight w:val="none"/>
              </w:rPr>
              <w:t>企业名称</w:t>
            </w:r>
          </w:p>
        </w:tc>
      </w:tr>
      <w:tr w14:paraId="4B3AFDAA">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l2br w:val="nil"/>
            </w:tcBorders>
            <w:noWrap/>
            <w:vAlign w:val="center"/>
          </w:tcPr>
          <w:p w14:paraId="41A78978">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745B9B92">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乐普制药科技有限公司</w:t>
            </w:r>
          </w:p>
        </w:tc>
      </w:tr>
      <w:tr w14:paraId="0F9384E8">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6733B455">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07A8ACF5">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顺毅股份有限公司</w:t>
            </w:r>
          </w:p>
        </w:tc>
      </w:tr>
      <w:tr w14:paraId="365D46AE">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6858D49F">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650F9081">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台州道致科技股份有限公司</w:t>
            </w:r>
          </w:p>
        </w:tc>
      </w:tr>
      <w:tr w14:paraId="1272BE66">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359BCECF">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4CC0057C">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台州金沣医药化工有限公司</w:t>
            </w:r>
          </w:p>
        </w:tc>
      </w:tr>
      <w:tr w14:paraId="1E1396AC">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094A3260">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57736635">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台州市东风化工有限公司</w:t>
            </w:r>
          </w:p>
        </w:tc>
      </w:tr>
      <w:tr w14:paraId="600D7629">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0A363E2E">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2DA55E29">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台州市星明药业有限公司</w:t>
            </w:r>
          </w:p>
        </w:tc>
      </w:tr>
      <w:tr w14:paraId="3D513FD0">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652D0FED">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610F6495">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台州市宇江化工有限公司</w:t>
            </w:r>
          </w:p>
        </w:tc>
      </w:tr>
      <w:tr w14:paraId="3AC91AF4">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32C60502">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7FC10786">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台州新农科技有限公司</w:t>
            </w:r>
          </w:p>
        </w:tc>
      </w:tr>
      <w:tr w14:paraId="7ABDEEF8">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3EB3A4C8">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3264BD8A">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雅赛利（台州）制药有限公司</w:t>
            </w:r>
          </w:p>
        </w:tc>
      </w:tr>
      <w:tr w14:paraId="2B18E430">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7529055A">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3797AC40">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浙江海翔药业股份有限公司</w:t>
            </w:r>
          </w:p>
        </w:tc>
      </w:tr>
      <w:tr w14:paraId="1E71282F">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13EB839D">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65F0195E">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浙江海正药业股份有限公司</w:t>
            </w:r>
          </w:p>
        </w:tc>
      </w:tr>
      <w:tr w14:paraId="79C6973F">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79FBF568">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7C4DB47C">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浙江海正药业股份有限公司（外沙厂区）</w:t>
            </w:r>
          </w:p>
        </w:tc>
      </w:tr>
      <w:tr w14:paraId="6BB984C6">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439BCC4E">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12AB81AB">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浙江花蝶染料化工有限公司</w:t>
            </w:r>
          </w:p>
        </w:tc>
      </w:tr>
      <w:tr w14:paraId="6812994C">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407B0FDC">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29E28204">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浙江九洲药业股份有限公司椒江外沙分公司</w:t>
            </w:r>
          </w:p>
        </w:tc>
      </w:tr>
      <w:tr w14:paraId="7795D00F">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09C9CF11">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1EE8B167">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浙江九洲药业股份有限公司椒江岩头分公司</w:t>
            </w:r>
          </w:p>
        </w:tc>
      </w:tr>
      <w:tr w14:paraId="4BD7ABCB">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6861FAEF">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6B6FF711">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浙江乐普药业股份有限公司</w:t>
            </w:r>
          </w:p>
        </w:tc>
      </w:tr>
      <w:tr w14:paraId="73306FB4">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4CB6DF28">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67290C85">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浙江丽晶化学有限公司</w:t>
            </w:r>
          </w:p>
        </w:tc>
      </w:tr>
      <w:tr w14:paraId="5CFEB6EA">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0A75DD6C">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6992A777">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浙江厦光涂料有限公司</w:t>
            </w:r>
          </w:p>
        </w:tc>
      </w:tr>
      <w:tr w14:paraId="4145AABB">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6665AE77">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0D743F53">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浙江中贝化工有限公司</w:t>
            </w:r>
          </w:p>
        </w:tc>
      </w:tr>
      <w:tr w14:paraId="102C39F4">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3AB2957D">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7B215ECB">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浙江九洲药业股份有限公司</w:t>
            </w:r>
          </w:p>
        </w:tc>
      </w:tr>
      <w:tr w14:paraId="7C04468E">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l2br w:val="nil"/>
            </w:tcBorders>
            <w:noWrap/>
            <w:vAlign w:val="center"/>
          </w:tcPr>
          <w:p w14:paraId="34B27CF8">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37650FDC">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浙江山峪集团股份有限公司</w:t>
            </w:r>
          </w:p>
        </w:tc>
      </w:tr>
      <w:tr w14:paraId="71506E41">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750DCB0A">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3A918674">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浙江中凯实业有限公司</w:t>
            </w:r>
          </w:p>
        </w:tc>
      </w:tr>
      <w:tr w14:paraId="539BB085">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0D230821">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74302ACD">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台州恒固胶业有限公司</w:t>
            </w:r>
          </w:p>
        </w:tc>
      </w:tr>
      <w:tr w14:paraId="23F7793D">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2D9FE28F">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17677100">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浙江台州染整总厂</w:t>
            </w:r>
          </w:p>
        </w:tc>
      </w:tr>
    </w:tbl>
    <w:p w14:paraId="1C85B590">
      <w:pPr>
        <w:keepNext w:val="0"/>
        <w:keepLines w:val="0"/>
        <w:pageBreakBefore w:val="0"/>
        <w:widowControl w:val="0"/>
        <w:kinsoku/>
        <w:wordWrap/>
        <w:overflowPunct/>
        <w:topLinePunct w:val="0"/>
        <w:autoSpaceDE/>
        <w:autoSpaceDN/>
        <w:bidi w:val="0"/>
        <w:adjustRightInd/>
        <w:snapToGrid/>
        <w:spacing w:line="360" w:lineRule="auto"/>
        <w:ind w:firstLine="321" w:firstLineChars="20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16"/>
          <w:szCs w:val="16"/>
          <w:highlight w:val="none"/>
          <w:lang w:val="en-US" w:eastAsia="zh-CN"/>
        </w:rPr>
        <w:t>表2</w:t>
      </w:r>
    </w:p>
    <w:tbl>
      <w:tblPr>
        <w:tblStyle w:val="23"/>
        <w:tblW w:w="6859" w:type="dxa"/>
        <w:jc w:val="center"/>
        <w:tblLayout w:type="fixed"/>
        <w:tblCellMar>
          <w:top w:w="0" w:type="dxa"/>
          <w:left w:w="108" w:type="dxa"/>
          <w:bottom w:w="0" w:type="dxa"/>
          <w:right w:w="108" w:type="dxa"/>
        </w:tblCellMar>
      </w:tblPr>
      <w:tblGrid>
        <w:gridCol w:w="1147"/>
        <w:gridCol w:w="5712"/>
      </w:tblGrid>
      <w:tr w14:paraId="394376C5">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4A4B1AFA">
            <w:pPr>
              <w:spacing w:line="240" w:lineRule="auto"/>
              <w:ind w:firstLine="0" w:firstLine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572F27B8">
            <w:pPr>
              <w:spacing w:line="240" w:lineRule="auto"/>
              <w:ind w:firstLine="0" w:firstLine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5家地下水监测企业名称</w:t>
            </w:r>
          </w:p>
        </w:tc>
      </w:tr>
      <w:tr w14:paraId="53484104">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00D1FCBF">
            <w:pPr>
              <w:spacing w:line="240" w:lineRule="auto"/>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22138CCE">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台州市前进化工有限公司</w:t>
            </w:r>
          </w:p>
        </w:tc>
      </w:tr>
      <w:tr w14:paraId="2047397B">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712491B0">
            <w:pPr>
              <w:spacing w:line="240" w:lineRule="auto"/>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529AA90F">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台州市振港染料化工有限公司</w:t>
            </w:r>
          </w:p>
        </w:tc>
      </w:tr>
      <w:tr w14:paraId="29EFCBD1">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668299EE">
            <w:pPr>
              <w:spacing w:line="240" w:lineRule="auto"/>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030748AB">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浙江海正药业股份有限公司（岩头厂区）</w:t>
            </w:r>
          </w:p>
        </w:tc>
      </w:tr>
      <w:tr w14:paraId="531525F2">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152681BC">
            <w:pPr>
              <w:spacing w:line="240" w:lineRule="auto"/>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18F77CBB">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浙江江北药业有限公司</w:t>
            </w:r>
          </w:p>
        </w:tc>
      </w:tr>
      <w:tr w14:paraId="20CE487E">
        <w:tblPrEx>
          <w:tblCellMar>
            <w:top w:w="0" w:type="dxa"/>
            <w:left w:w="108" w:type="dxa"/>
            <w:bottom w:w="0" w:type="dxa"/>
            <w:right w:w="108" w:type="dxa"/>
          </w:tblCellMar>
        </w:tblPrEx>
        <w:trPr>
          <w:trHeight w:val="329" w:hRule="atLeast"/>
          <w:jc w:val="center"/>
        </w:trPr>
        <w:tc>
          <w:tcPr>
            <w:tcW w:w="1147" w:type="dxa"/>
            <w:tcBorders>
              <w:top w:val="single" w:color="000000" w:sz="4" w:space="0"/>
              <w:left w:val="single" w:color="000000" w:sz="4" w:space="0"/>
              <w:bottom w:val="single" w:color="000000" w:sz="4" w:space="0"/>
              <w:right w:val="single" w:color="000000" w:sz="4" w:space="0"/>
            </w:tcBorders>
            <w:noWrap/>
            <w:vAlign w:val="center"/>
          </w:tcPr>
          <w:p w14:paraId="23786EE8">
            <w:pPr>
              <w:spacing w:line="240" w:lineRule="auto"/>
              <w:ind w:firstLine="0" w:firstLineChars="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712" w:type="dxa"/>
            <w:tcBorders>
              <w:top w:val="single" w:color="000000" w:sz="4" w:space="0"/>
              <w:left w:val="single" w:color="000000" w:sz="4" w:space="0"/>
              <w:bottom w:val="single" w:color="000000" w:sz="4" w:space="0"/>
              <w:right w:val="single" w:color="000000" w:sz="4" w:space="0"/>
            </w:tcBorders>
            <w:noWrap/>
            <w:vAlign w:val="center"/>
          </w:tcPr>
          <w:p w14:paraId="55DEC7B3">
            <w:pPr>
              <w:pStyle w:val="20"/>
              <w:widowControl/>
              <w:spacing w:line="255" w:lineRule="atLeast"/>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浙江华洲药业有限公司</w:t>
            </w:r>
          </w:p>
        </w:tc>
      </w:tr>
    </w:tbl>
    <w:p w14:paraId="0A083B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二、项目内容</w:t>
      </w:r>
    </w:p>
    <w:p w14:paraId="589F6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参照《关于印发〈工业企业周边土壤和地下水监测技术指南（试行）〉的通知》（总站土字〔2024〕73号）《浙江省土壤污染重点监管单位周边土壤环境监测工作方案》（浙环函〔2022〕197号）等文件要求，</w:t>
      </w:r>
      <w:r>
        <w:rPr>
          <w:rFonts w:hint="eastAsia" w:ascii="宋体" w:hAnsi="宋体" w:eastAsia="宋体" w:cs="宋体"/>
          <w:b/>
          <w:bCs/>
          <w:color w:val="auto"/>
          <w:sz w:val="21"/>
          <w:szCs w:val="21"/>
          <w:highlight w:val="none"/>
          <w:lang w:val="en-US" w:eastAsia="zh-CN"/>
        </w:rPr>
        <w:t>依据周边监测工作方案开展点位现场核实、样品采集分析及质控、监测报告编制等工作。对椒江区24家</w:t>
      </w:r>
      <w:r>
        <w:rPr>
          <w:rFonts w:hint="eastAsia" w:ascii="宋体" w:hAnsi="宋体" w:eastAsia="宋体" w:cs="宋体"/>
          <w:b/>
          <w:bCs/>
          <w:color w:val="auto"/>
          <w:sz w:val="21"/>
          <w:szCs w:val="21"/>
          <w:highlight w:val="none"/>
          <w:lang w:val="en-US" w:eastAsia="zh-CN"/>
        </w:rPr>
        <w:t>土壤重点监管</w:t>
      </w:r>
      <w:r>
        <w:rPr>
          <w:rFonts w:hint="eastAsia" w:ascii="宋体" w:hAnsi="宋体" w:eastAsia="宋体" w:cs="宋体"/>
          <w:b/>
          <w:bCs/>
          <w:color w:val="auto"/>
          <w:sz w:val="21"/>
          <w:szCs w:val="21"/>
          <w:highlight w:val="none"/>
          <w:lang w:val="en-US" w:eastAsia="zh-CN"/>
        </w:rPr>
        <w:t>单位形成周边土壤环境监测报告</w:t>
      </w:r>
      <w:r>
        <w:rPr>
          <w:rFonts w:hint="eastAsia" w:ascii="宋体" w:hAnsi="宋体" w:cs="宋体"/>
          <w:b/>
          <w:bCs/>
          <w:color w:val="auto"/>
          <w:sz w:val="21"/>
          <w:szCs w:val="21"/>
          <w:highlight w:val="none"/>
          <w:lang w:val="en-US" w:eastAsia="zh-CN"/>
        </w:rPr>
        <w:t>，以及补充一轮5家土壤重点监管单位周边地下水监测，并更新</w:t>
      </w:r>
      <w:r>
        <w:rPr>
          <w:rFonts w:hint="eastAsia" w:ascii="宋体" w:hAnsi="宋体" w:cs="宋体"/>
          <w:b/>
          <w:bCs/>
          <w:color w:val="auto"/>
          <w:sz w:val="21"/>
          <w:szCs w:val="21"/>
          <w:highlight w:val="none"/>
          <w:lang w:val="en-US" w:eastAsia="zh-CN"/>
        </w:rPr>
        <w:t>分析</w:t>
      </w:r>
      <w:r>
        <w:rPr>
          <w:rFonts w:hint="eastAsia" w:ascii="宋体" w:hAnsi="宋体" w:cs="宋体"/>
          <w:b/>
          <w:bCs/>
          <w:color w:val="auto"/>
          <w:sz w:val="21"/>
          <w:szCs w:val="21"/>
          <w:highlight w:val="none"/>
          <w:lang w:val="en-US" w:eastAsia="zh-CN"/>
        </w:rPr>
        <w:t>报告。</w:t>
      </w:r>
    </w:p>
    <w:p w14:paraId="21E1FB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三、技术要求</w:t>
      </w:r>
    </w:p>
    <w:p w14:paraId="07690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土壤污染重点监管单位周边监测点筛选工作根据《关于印发〈工业企业周边土壤和地下水监测技术指南（试行）〉的通知》（总站土字〔2024〕73号）《浙江省土壤污染重点监管单位周边土壤环境监测工作方案》（浙环函〔2022〕197号）等文件要求开展。</w:t>
      </w:r>
    </w:p>
    <w:p w14:paraId="06A092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主要工作内容包括点位现场核实、样品采集分析及质控、监测报告编制等。要求土壤监测点位不少于9个，每个点位进土6m采4个样品，地下水监测点位不少于</w:t>
      </w:r>
      <w:r>
        <w:rPr>
          <w:rFonts w:hint="default" w:ascii="宋体" w:hAnsi="宋体" w:cs="宋体"/>
          <w:color w:val="auto"/>
          <w:sz w:val="21"/>
          <w:szCs w:val="21"/>
          <w:highlight w:val="none"/>
          <w:lang w:eastAsia="zh-CN"/>
          <w:woUserID w:val="1"/>
        </w:rPr>
        <w:t>3</w:t>
      </w:r>
      <w:r>
        <w:rPr>
          <w:rFonts w:hint="default" w:ascii="宋体" w:hAnsi="宋体" w:cs="宋体"/>
          <w:color w:val="auto"/>
          <w:sz w:val="21"/>
          <w:szCs w:val="21"/>
          <w:highlight w:val="none"/>
          <w:lang w:eastAsia="zh-CN"/>
          <w:woUserID w:val="2"/>
        </w:rPr>
        <w:t>8</w:t>
      </w:r>
      <w:r>
        <w:rPr>
          <w:rFonts w:hint="eastAsia" w:ascii="宋体" w:hAnsi="宋体" w:eastAsia="宋体" w:cs="宋体"/>
          <w:color w:val="auto"/>
          <w:sz w:val="21"/>
          <w:szCs w:val="21"/>
          <w:highlight w:val="none"/>
          <w:lang w:val="en-US" w:eastAsia="zh-CN"/>
        </w:rPr>
        <w:t>个，于丰水期及枯水期各开展1次监测。</w:t>
      </w:r>
    </w:p>
    <w:p w14:paraId="685230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注：实际实施过程中可能存在个别变动，以采购人要求为准。总价一次性包死，不再作调整。</w:t>
      </w:r>
    </w:p>
    <w:p w14:paraId="2088F3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四、项目成果</w:t>
      </w:r>
    </w:p>
    <w:p w14:paraId="4067F9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24家土壤重点监管单位的周边土壤环境监测报告（共24份）</w:t>
      </w:r>
      <w:r>
        <w:rPr>
          <w:rFonts w:hint="eastAsia" w:ascii="宋体" w:hAnsi="宋体" w:cs="宋体"/>
          <w:b/>
          <w:bCs/>
          <w:color w:val="auto"/>
          <w:sz w:val="21"/>
          <w:szCs w:val="21"/>
          <w:highlight w:val="none"/>
          <w:lang w:val="en-US" w:eastAsia="zh-CN"/>
        </w:rPr>
        <w:t>；</w:t>
      </w:r>
    </w:p>
    <w:p w14:paraId="19A8AD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（2）5家</w:t>
      </w:r>
      <w:r>
        <w:rPr>
          <w:rFonts w:hint="eastAsia" w:ascii="宋体" w:hAnsi="宋体" w:cs="宋体"/>
          <w:b/>
          <w:bCs/>
          <w:color w:val="auto"/>
          <w:sz w:val="21"/>
          <w:szCs w:val="21"/>
          <w:highlight w:val="none"/>
          <w:lang w:val="en-US" w:eastAsia="zh-CN"/>
        </w:rPr>
        <w:t>土壤重点监管单位</w:t>
      </w:r>
      <w:r>
        <w:rPr>
          <w:rFonts w:hint="eastAsia" w:ascii="宋体" w:hAnsi="宋体" w:cs="宋体"/>
          <w:b/>
          <w:bCs/>
          <w:color w:val="auto"/>
          <w:sz w:val="21"/>
          <w:szCs w:val="21"/>
          <w:highlight w:val="none"/>
          <w:lang w:val="en-US" w:eastAsia="zh-CN"/>
        </w:rPr>
        <w:t>地下水补充监测</w:t>
      </w:r>
      <w:r>
        <w:rPr>
          <w:rFonts w:hint="eastAsia" w:ascii="宋体" w:hAnsi="宋体" w:cs="宋体"/>
          <w:b/>
          <w:bCs/>
          <w:color w:val="auto"/>
          <w:sz w:val="21"/>
          <w:szCs w:val="21"/>
          <w:highlight w:val="none"/>
          <w:lang w:val="en-US" w:eastAsia="zh-CN"/>
        </w:rPr>
        <w:t>分析</w:t>
      </w:r>
      <w:r>
        <w:rPr>
          <w:rFonts w:hint="eastAsia" w:ascii="宋体" w:hAnsi="宋体" w:cs="宋体"/>
          <w:b/>
          <w:bCs/>
          <w:color w:val="auto"/>
          <w:sz w:val="21"/>
          <w:szCs w:val="21"/>
          <w:highlight w:val="none"/>
          <w:lang w:val="en-US" w:eastAsia="zh-CN"/>
        </w:rPr>
        <w:t>报告。</w:t>
      </w:r>
    </w:p>
    <w:p w14:paraId="138A02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编制并提交</w:t>
      </w:r>
      <w:r>
        <w:rPr>
          <w:rFonts w:hint="eastAsia" w:ascii="宋体" w:hAnsi="宋体" w:cs="宋体"/>
          <w:b/>
          <w:bCs/>
          <w:color w:val="auto"/>
          <w:sz w:val="21"/>
          <w:szCs w:val="21"/>
          <w:highlight w:val="none"/>
          <w:lang w:val="en-US" w:eastAsia="zh-CN"/>
        </w:rPr>
        <w:t>上述报告</w:t>
      </w:r>
      <w:r>
        <w:rPr>
          <w:rFonts w:hint="eastAsia" w:ascii="宋体" w:hAnsi="宋体" w:eastAsia="宋体" w:cs="宋体"/>
          <w:b/>
          <w:bCs/>
          <w:color w:val="auto"/>
          <w:sz w:val="21"/>
          <w:szCs w:val="21"/>
          <w:highlight w:val="none"/>
          <w:lang w:val="en-US" w:eastAsia="zh-CN"/>
        </w:rPr>
        <w:t>及相关附件，并通过专家审核。</w:t>
      </w:r>
    </w:p>
    <w:p w14:paraId="008B50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五、服务期</w:t>
      </w:r>
    </w:p>
    <w:p w14:paraId="6079B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自合同签订之日起</w:t>
      </w:r>
      <w:r>
        <w:rPr>
          <w:rFonts w:hint="eastAsia" w:ascii="宋体" w:hAnsi="宋体" w:cs="宋体"/>
          <w:b w:val="0"/>
          <w:bCs w:val="0"/>
          <w:color w:val="auto"/>
          <w:kern w:val="2"/>
          <w:sz w:val="21"/>
          <w:szCs w:val="21"/>
          <w:highlight w:val="none"/>
          <w:lang w:val="en-US" w:eastAsia="zh-CN"/>
        </w:rPr>
        <w:t>一年</w:t>
      </w:r>
      <w:r>
        <w:rPr>
          <w:rFonts w:hint="eastAsia" w:ascii="宋体" w:hAnsi="宋体" w:eastAsia="宋体" w:cs="宋体"/>
          <w:b w:val="0"/>
          <w:bCs w:val="0"/>
          <w:color w:val="auto"/>
          <w:kern w:val="2"/>
          <w:sz w:val="21"/>
          <w:szCs w:val="21"/>
          <w:highlight w:val="none"/>
          <w:lang w:val="en-US" w:eastAsia="zh-CN"/>
        </w:rPr>
        <w:t>。</w:t>
      </w:r>
    </w:p>
    <w:p w14:paraId="59D8D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六、</w:t>
      </w:r>
      <w:r>
        <w:rPr>
          <w:rFonts w:hint="eastAsia" w:ascii="宋体" w:hAnsi="宋体" w:eastAsia="宋体" w:cs="宋体"/>
          <w:b/>
          <w:bCs/>
          <w:color w:val="auto"/>
          <w:sz w:val="21"/>
          <w:szCs w:val="21"/>
          <w:highlight w:val="none"/>
          <w:lang w:val="en-US" w:eastAsia="zh-CN"/>
        </w:rPr>
        <w:t>付款方式</w:t>
      </w:r>
    </w:p>
    <w:p w14:paraId="48DC05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合同签订</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合同生效以及具备实施条件后7个工作日内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支付合同金额的40%作为预付款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服务期满后项目成果通过专家审核且经采购人确认后，采购人支付剩余合同款项。</w:t>
      </w:r>
    </w:p>
    <w:p w14:paraId="08C163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color w:val="auto"/>
          <w:sz w:val="36"/>
          <w:szCs w:val="36"/>
          <w:highlight w:val="none"/>
          <w:lang w:val="en-US" w:eastAsia="zh-CN"/>
        </w:rPr>
      </w:pPr>
      <w:r>
        <w:rPr>
          <w:rFonts w:hint="eastAsia" w:ascii="宋体" w:hAnsi="宋体" w:cs="宋体"/>
          <w:color w:val="auto"/>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lang w:val="en-US" w:eastAsia="zh-CN" w:bidi="ar-SA"/>
        </w:rPr>
        <w:t>采购人每次付款前，供应商应开具等额的符合要求的发票，否则采购人有权延迟付款，且不视为采购人违约。</w:t>
      </w:r>
    </w:p>
    <w:p w14:paraId="31436DE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AC2693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37C4E43C">
      <w:pPr>
        <w:pStyle w:val="55"/>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AB01002">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台州市生态环境局椒江分局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476EA55">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7A2B128C">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4740324">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E2475F9">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台州市生态环境局椒江分局</w:t>
      </w:r>
      <w:r>
        <w:rPr>
          <w:rFonts w:hint="eastAsia" w:hAnsi="宋体" w:cs="宋体"/>
          <w:color w:val="auto"/>
          <w:sz w:val="21"/>
          <w:szCs w:val="21"/>
          <w:highlight w:val="none"/>
          <w:u w:val="single"/>
          <w:lang w:eastAsia="zh-CN"/>
        </w:rPr>
        <w:t>2025年椒江区土壤重点监管单位周边监测项目</w:t>
      </w:r>
      <w:r>
        <w:rPr>
          <w:rFonts w:hint="eastAsia" w:ascii="宋体" w:hAnsi="宋体" w:eastAsia="宋体" w:cs="宋体"/>
          <w:color w:val="auto"/>
          <w:sz w:val="21"/>
          <w:szCs w:val="21"/>
          <w:highlight w:val="none"/>
          <w:u w:val="single"/>
          <w:lang w:eastAsia="zh-CN"/>
        </w:rPr>
        <w:t>竞争性磋商</w:t>
      </w:r>
      <w:r>
        <w:rPr>
          <w:rFonts w:hint="eastAsia" w:ascii="宋体" w:hAnsi="宋体" w:eastAsia="宋体" w:cs="宋体"/>
          <w:color w:val="auto"/>
          <w:sz w:val="21"/>
          <w:szCs w:val="21"/>
          <w:highlight w:val="none"/>
        </w:rPr>
        <w:t>的结果，签署本合同。</w:t>
      </w:r>
    </w:p>
    <w:p w14:paraId="2112392E">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29B5522D">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详见本项目</w:t>
      </w:r>
      <w:r>
        <w:rPr>
          <w:rFonts w:hint="eastAsia" w:hAnsi="宋体" w:cs="宋体"/>
          <w:color w:val="auto"/>
          <w:sz w:val="21"/>
          <w:szCs w:val="21"/>
          <w:highlight w:val="none"/>
          <w:lang w:eastAsia="zh-CN"/>
        </w:rPr>
        <w:t>采购文件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01187B1B">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7241BBA4">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3285146E">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507E6F83">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73A3A0A9">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C55EE7">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66F4B1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1、乙方应保证提供服务过程中不会侵犯任何第三方的知识产权和其他权利。</w:t>
      </w:r>
    </w:p>
    <w:p w14:paraId="14296F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2、本项目所有成果以及采集的数据的知识产权和其他权利属甲方所有，乙方不得以任何形式向第三方提供，否则，按国家法律和有关规定追究乙方的一切责任，并要求乙方承担甲方因此造成的损失。</w:t>
      </w:r>
    </w:p>
    <w:p w14:paraId="40721E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3、本项目作业过程中提供的或涉及的所有数据属甲方拥有，乙方无权在技术要求规定之外自行处置数据，不得自行删除、复制、调整完善、转移数据，不得以任何形式</w:t>
      </w:r>
      <w:r>
        <w:rPr>
          <w:rFonts w:hint="eastAsia" w:ascii="宋体" w:hAnsi="宋体" w:eastAsia="宋体" w:cs="宋体"/>
          <w:color w:val="auto"/>
          <w:szCs w:val="21"/>
          <w:highlight w:val="none"/>
        </w:rPr>
        <w:t>擅自使用或</w:t>
      </w:r>
      <w:r>
        <w:rPr>
          <w:rFonts w:hint="eastAsia" w:ascii="宋体" w:hAnsi="宋体" w:eastAsia="宋体" w:cs="宋体"/>
          <w:color w:val="auto"/>
          <w:szCs w:val="21"/>
          <w:highlight w:val="none"/>
          <w:lang w:val="en-US" w:eastAsia="zh-CN"/>
        </w:rPr>
        <w:t>向第三方提供。</w:t>
      </w:r>
    </w:p>
    <w:p w14:paraId="5FBAD5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4、若侵犯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除承担本协议中的违约责任外，还应</w:t>
      </w:r>
      <w:r>
        <w:rPr>
          <w:rFonts w:hint="eastAsia" w:ascii="宋体" w:hAnsi="宋体" w:eastAsia="宋体" w:cs="宋体"/>
          <w:color w:val="auto"/>
          <w:szCs w:val="21"/>
          <w:highlight w:val="none"/>
          <w:lang w:val="en-US" w:eastAsia="zh-CN"/>
        </w:rPr>
        <w:t>由乙方赔偿甲方因此遭受的损失（包括但不限于应对及追偿过程中所支付的律师费、差旅费、诉讼费、保全费、鉴定费、评估费等）。</w:t>
      </w:r>
    </w:p>
    <w:p w14:paraId="45270DC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17CE74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1、本合同范围的服务，应由乙方直接供应，不得转让他人供应</w:t>
      </w:r>
      <w:r>
        <w:rPr>
          <w:rFonts w:hint="eastAsia" w:ascii="宋体" w:hAnsi="宋体" w:cs="宋体"/>
          <w:color w:val="auto"/>
          <w:szCs w:val="21"/>
          <w:highlight w:val="none"/>
          <w:lang w:eastAsia="zh-CN"/>
        </w:rPr>
        <w:t>。</w:t>
      </w:r>
    </w:p>
    <w:p w14:paraId="3A7F8C7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2、乙方不得将本合同范围的服务全部或部分分包给他人供应</w:t>
      </w:r>
      <w:r>
        <w:rPr>
          <w:rFonts w:hint="eastAsia" w:ascii="宋体" w:hAnsi="宋体" w:cs="宋体"/>
          <w:color w:val="auto"/>
          <w:szCs w:val="21"/>
          <w:highlight w:val="none"/>
          <w:lang w:eastAsia="zh-CN"/>
        </w:rPr>
        <w:t>。</w:t>
      </w:r>
    </w:p>
    <w:p w14:paraId="54C7BA8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3、如有转包和分包行为，乙方应向甲方支付转包金额或分包项目金额的10%作为违约金，且甲方有权解除合同。</w:t>
      </w:r>
    </w:p>
    <w:p w14:paraId="4914EBA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bCs w:val="0"/>
          <w:color w:val="auto"/>
          <w:sz w:val="21"/>
          <w:szCs w:val="21"/>
          <w:highlight w:val="none"/>
        </w:rPr>
        <w:t>项目成果</w:t>
      </w:r>
    </w:p>
    <w:p w14:paraId="789EEE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24家土壤重点监管单位的周边土壤环境监测报告（共24份）</w:t>
      </w:r>
      <w:r>
        <w:rPr>
          <w:rFonts w:hint="eastAsia" w:ascii="宋体" w:hAnsi="宋体" w:cs="宋体"/>
          <w:b/>
          <w:bCs/>
          <w:color w:val="auto"/>
          <w:sz w:val="21"/>
          <w:szCs w:val="21"/>
          <w:highlight w:val="none"/>
          <w:lang w:val="en-US" w:eastAsia="zh-CN"/>
        </w:rPr>
        <w:t>；</w:t>
      </w:r>
    </w:p>
    <w:p w14:paraId="4C1E7C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（2）5家</w:t>
      </w:r>
      <w:r>
        <w:rPr>
          <w:rFonts w:hint="eastAsia" w:ascii="宋体" w:hAnsi="宋体" w:cs="宋体"/>
          <w:b/>
          <w:bCs/>
          <w:color w:val="auto"/>
          <w:sz w:val="21"/>
          <w:szCs w:val="21"/>
          <w:highlight w:val="none"/>
          <w:lang w:val="en-US" w:eastAsia="zh-CN"/>
        </w:rPr>
        <w:t>土壤重点监管单位</w:t>
      </w:r>
      <w:r>
        <w:rPr>
          <w:rFonts w:hint="eastAsia" w:ascii="宋体" w:hAnsi="宋体" w:cs="宋体"/>
          <w:b/>
          <w:bCs/>
          <w:color w:val="auto"/>
          <w:sz w:val="21"/>
          <w:szCs w:val="21"/>
          <w:highlight w:val="none"/>
          <w:lang w:val="en-US" w:eastAsia="zh-CN"/>
        </w:rPr>
        <w:t>地下水补充监测</w:t>
      </w:r>
      <w:r>
        <w:rPr>
          <w:rFonts w:hint="eastAsia" w:ascii="宋体" w:hAnsi="宋体" w:cs="宋体"/>
          <w:b/>
          <w:bCs/>
          <w:color w:val="auto"/>
          <w:sz w:val="21"/>
          <w:szCs w:val="21"/>
          <w:highlight w:val="none"/>
          <w:lang w:val="en-US" w:eastAsia="zh-CN"/>
        </w:rPr>
        <w:t>分析</w:t>
      </w:r>
      <w:r>
        <w:rPr>
          <w:rFonts w:hint="eastAsia" w:ascii="宋体" w:hAnsi="宋体" w:cs="宋体"/>
          <w:b/>
          <w:bCs/>
          <w:color w:val="auto"/>
          <w:sz w:val="21"/>
          <w:szCs w:val="21"/>
          <w:highlight w:val="none"/>
          <w:lang w:val="en-US" w:eastAsia="zh-CN"/>
        </w:rPr>
        <w:t>报告。</w:t>
      </w:r>
    </w:p>
    <w:p w14:paraId="024670E2">
      <w:pPr>
        <w:pStyle w:val="3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宋体" w:hAnsi="宋体" w:eastAsia="宋体" w:cs="宋体"/>
          <w:b/>
          <w:bCs/>
          <w:color w:val="auto"/>
          <w:sz w:val="21"/>
          <w:szCs w:val="21"/>
          <w:highlight w:val="none"/>
          <w:lang w:val="en-US" w:eastAsia="zh-CN"/>
        </w:rPr>
        <w:t>编制并提交</w:t>
      </w:r>
      <w:r>
        <w:rPr>
          <w:rFonts w:hint="eastAsia" w:ascii="宋体" w:hAnsi="宋体" w:cs="宋体"/>
          <w:b/>
          <w:bCs/>
          <w:color w:val="auto"/>
          <w:sz w:val="21"/>
          <w:szCs w:val="21"/>
          <w:highlight w:val="none"/>
          <w:lang w:val="en-US" w:eastAsia="zh-CN"/>
        </w:rPr>
        <w:t>上述报告</w:t>
      </w:r>
      <w:r>
        <w:rPr>
          <w:rFonts w:hint="eastAsia" w:ascii="宋体" w:hAnsi="宋体" w:eastAsia="宋体" w:cs="宋体"/>
          <w:b/>
          <w:bCs/>
          <w:color w:val="auto"/>
          <w:sz w:val="21"/>
          <w:szCs w:val="21"/>
          <w:highlight w:val="none"/>
          <w:lang w:val="en-US" w:eastAsia="zh-CN"/>
        </w:rPr>
        <w:t>及相关附件，并通过专家审核。</w:t>
      </w:r>
    </w:p>
    <w:p w14:paraId="750727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w:t>
      </w:r>
      <w:r>
        <w:rPr>
          <w:rFonts w:hint="eastAsia" w:ascii="宋体" w:hAnsi="宋体" w:eastAsia="宋体" w:cs="宋体"/>
          <w:b/>
          <w:bCs/>
          <w:color w:val="auto"/>
          <w:kern w:val="2"/>
          <w:sz w:val="21"/>
          <w:szCs w:val="21"/>
          <w:highlight w:val="none"/>
          <w:lang w:val="en-US" w:eastAsia="zh-CN"/>
        </w:rPr>
        <w:t>服务期</w:t>
      </w:r>
    </w:p>
    <w:p w14:paraId="3B9402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宋体" w:hAnsi="宋体" w:eastAsia="宋体" w:cs="宋体"/>
          <w:bCs/>
          <w:color w:val="auto"/>
          <w:szCs w:val="21"/>
          <w:highlight w:val="none"/>
        </w:rPr>
      </w:pPr>
      <w:r>
        <w:rPr>
          <w:rFonts w:hint="eastAsia" w:ascii="宋体" w:hAnsi="宋体" w:eastAsia="宋体" w:cs="宋体"/>
          <w:b w:val="0"/>
          <w:bCs w:val="0"/>
          <w:color w:val="auto"/>
          <w:kern w:val="2"/>
          <w:sz w:val="21"/>
          <w:szCs w:val="21"/>
          <w:highlight w:val="none"/>
          <w:lang w:val="en-US" w:eastAsia="zh-CN"/>
        </w:rPr>
        <w:t>自合同签订之日起</w:t>
      </w:r>
      <w:r>
        <w:rPr>
          <w:rFonts w:hint="eastAsia" w:ascii="宋体" w:hAnsi="宋体" w:cs="宋体"/>
          <w:b w:val="0"/>
          <w:bCs w:val="0"/>
          <w:color w:val="auto"/>
          <w:kern w:val="2"/>
          <w:sz w:val="21"/>
          <w:szCs w:val="21"/>
          <w:highlight w:val="none"/>
          <w:lang w:val="en-US" w:eastAsia="zh-CN"/>
        </w:rPr>
        <w:t>一年</w:t>
      </w:r>
      <w:r>
        <w:rPr>
          <w:rFonts w:hint="eastAsia" w:ascii="宋体" w:hAnsi="宋体" w:eastAsia="宋体" w:cs="宋体"/>
          <w:b w:val="0"/>
          <w:bCs w:val="0"/>
          <w:color w:val="auto"/>
          <w:kern w:val="2"/>
          <w:sz w:val="21"/>
          <w:szCs w:val="21"/>
          <w:highlight w:val="none"/>
          <w:lang w:val="en-US" w:eastAsia="zh-CN"/>
        </w:rPr>
        <w:t>。</w:t>
      </w:r>
    </w:p>
    <w:p w14:paraId="55543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w:t>
      </w:r>
      <w:r>
        <w:rPr>
          <w:rFonts w:hint="eastAsia" w:ascii="宋体" w:hAnsi="宋体" w:eastAsia="宋体" w:cs="宋体"/>
          <w:b/>
          <w:bCs/>
          <w:color w:val="auto"/>
          <w:sz w:val="21"/>
          <w:szCs w:val="21"/>
          <w:highlight w:val="none"/>
          <w:lang w:val="en-US" w:eastAsia="zh-CN"/>
        </w:rPr>
        <w:t>付款方式</w:t>
      </w:r>
    </w:p>
    <w:p w14:paraId="77098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合同签订</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合同生效以及具备实施条件后7个工作日内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支付合同金额的40%作为预付款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服务期满后项目成果通过专家审核且经采购人确认后，采购人支付剩余合同款项。</w:t>
      </w:r>
    </w:p>
    <w:p w14:paraId="0C357C1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lang w:val="en-US" w:eastAsia="zh-CN" w:bidi="ar-SA"/>
        </w:rPr>
        <w:t>甲方每次付款前，乙方应开具等额的符合要求的发票，否则甲方有权延迟付款，且不视为甲方违约。</w:t>
      </w:r>
    </w:p>
    <w:p w14:paraId="4058AC2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、税费</w:t>
      </w:r>
    </w:p>
    <w:p w14:paraId="11100089">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45E22FA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违</w:t>
      </w:r>
      <w:r>
        <w:rPr>
          <w:rFonts w:hint="eastAsia" w:ascii="宋体" w:hAnsi="宋体" w:eastAsia="宋体" w:cs="宋体"/>
          <w:b/>
          <w:color w:val="auto"/>
          <w:highlight w:val="none"/>
        </w:rPr>
        <w:t>约责任</w:t>
      </w:r>
    </w:p>
    <w:p w14:paraId="4713890F">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1、甲方无正当理由拒收接受服务的，甲方向乙方支付合同款项百分之五作为违约金。</w:t>
      </w:r>
    </w:p>
    <w:p w14:paraId="1EFB2AF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2、甲方无故逾期验收和办理款项支付手续的，甲方应按逾期付款总额向乙方支付每日万分之五</w:t>
      </w:r>
      <w:r>
        <w:rPr>
          <w:rFonts w:hint="eastAsia" w:ascii="宋体" w:hAnsi="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eastAsia="zh-CN" w:bidi="ar-SA"/>
        </w:rPr>
        <w:t>违约金。</w:t>
      </w:r>
    </w:p>
    <w:p w14:paraId="701C8CE5">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乙方逾期提供服务的，乙方应按逾期天数向甲方支付</w:t>
      </w:r>
      <w:r>
        <w:rPr>
          <w:rFonts w:hint="eastAsia" w:hAnsi="宋体" w:cs="宋体"/>
          <w:color w:val="auto"/>
          <w:highlight w:val="none"/>
          <w:lang w:val="en-US" w:eastAsia="zh-CN"/>
        </w:rPr>
        <w:t>合同款项</w:t>
      </w:r>
      <w:r>
        <w:rPr>
          <w:rFonts w:hint="eastAsia" w:ascii="宋体" w:hAnsi="宋体" w:eastAsia="宋体" w:cs="宋体"/>
          <w:color w:val="auto"/>
          <w:highlight w:val="none"/>
        </w:rPr>
        <w:t xml:space="preserve">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BCCD265">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4、若发生纠纷，由违约方赔偿守约方因纠纷所支付的费用（包括但不限于律师费、差旅费、诉讼费、保全费、鉴定费、评估费等）。</w:t>
      </w:r>
    </w:p>
    <w:p w14:paraId="6DE6938C">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hAnsi="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lang w:val="en-US" w:eastAsia="zh-CN"/>
        </w:rPr>
        <w:t>、</w:t>
      </w:r>
      <w:r>
        <w:rPr>
          <w:rFonts w:hint="eastAsia" w:ascii="宋体" w:hAnsi="宋体" w:eastAsia="宋体" w:cs="宋体"/>
          <w:b/>
          <w:bCs/>
          <w:snapToGrid w:val="0"/>
          <w:color w:val="auto"/>
          <w:sz w:val="21"/>
          <w:szCs w:val="21"/>
          <w:highlight w:val="none"/>
        </w:rPr>
        <w:t>不可抗力事件处理</w:t>
      </w:r>
    </w:p>
    <w:p w14:paraId="704BAEF6">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6B8B850C">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59B00D8C">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1264A686">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w:t>
      </w:r>
      <w:r>
        <w:rPr>
          <w:rFonts w:hint="eastAsia" w:ascii="宋体" w:hAnsi="宋体" w:eastAsia="宋体" w:cs="宋体"/>
          <w:snapToGrid w:val="0"/>
          <w:color w:val="auto"/>
          <w:sz w:val="21"/>
          <w:szCs w:val="21"/>
          <w:highlight w:val="none"/>
        </w:rPr>
        <w:t>不可抗力</w:t>
      </w:r>
      <w:r>
        <w:rPr>
          <w:rFonts w:hint="eastAsia" w:ascii="宋体" w:hAnsi="宋体" w:eastAsia="宋体" w:cs="宋体"/>
          <w:snapToGrid w:val="0"/>
          <w:color w:val="auto"/>
          <w:szCs w:val="21"/>
          <w:highlight w:val="none"/>
        </w:rPr>
        <w:t>原因需要延迟相关活动或解除合同的，由双方进行协商；合同解除后，双方根据乙方的实际履行支付情况及凭证（发票）进行结算。</w:t>
      </w:r>
    </w:p>
    <w:p w14:paraId="7BBE5802">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、诉讼</w:t>
      </w:r>
    </w:p>
    <w:p w14:paraId="0D11092F">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4EDD17BB">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、合同生效及其它</w:t>
      </w:r>
    </w:p>
    <w:p w14:paraId="7E8541F2">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36884875">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5C57B53">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69E9DA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w:t>
      </w:r>
      <w:r>
        <w:rPr>
          <w:rFonts w:hint="eastAsia" w:ascii="宋体" w:hAnsi="宋体" w:cs="宋体"/>
          <w:color w:val="auto"/>
          <w:spacing w:val="-6"/>
          <w:kern w:val="0"/>
          <w:sz w:val="21"/>
          <w:szCs w:val="21"/>
          <w:highlight w:val="none"/>
          <w:lang w:eastAsia="zh-CN"/>
        </w:rPr>
        <w:t>采购文件</w:t>
      </w:r>
      <w:r>
        <w:rPr>
          <w:rFonts w:hint="eastAsia" w:ascii="宋体" w:hAnsi="宋体" w:eastAsia="宋体" w:cs="宋体"/>
          <w:color w:val="auto"/>
          <w:spacing w:val="-6"/>
          <w:kern w:val="0"/>
          <w:sz w:val="21"/>
          <w:szCs w:val="21"/>
          <w:highlight w:val="none"/>
        </w:rPr>
        <w:t>、投标文件及澄清文件等为准。</w:t>
      </w:r>
    </w:p>
    <w:p w14:paraId="3EC8F0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4503D13A">
      <w:pPr>
        <w:widowControl/>
        <w:spacing w:line="360" w:lineRule="auto"/>
        <w:rPr>
          <w:rFonts w:hint="eastAsia" w:ascii="宋体" w:hAnsi="宋体" w:eastAsia="宋体" w:cs="宋体"/>
          <w:color w:val="auto"/>
          <w:kern w:val="0"/>
          <w:sz w:val="21"/>
          <w:szCs w:val="21"/>
          <w:highlight w:val="none"/>
        </w:rPr>
      </w:pPr>
    </w:p>
    <w:p w14:paraId="15E7BF8F">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262D5CD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58A88AF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567EBFC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3C209651">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2D7DA2C9">
      <w:pPr>
        <w:spacing w:line="360" w:lineRule="auto"/>
        <w:jc w:val="center"/>
        <w:outlineLvl w:val="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0584DCBC">
      <w:pPr>
        <w:spacing w:line="360" w:lineRule="auto"/>
        <w:jc w:val="center"/>
        <w:outlineLvl w:val="0"/>
        <w:rPr>
          <w:rFonts w:hint="eastAsia" w:ascii="宋体" w:hAnsi="宋体" w:eastAsia="宋体" w:cs="宋体"/>
          <w:snapToGrid w:val="0"/>
          <w:color w:val="auto"/>
          <w:sz w:val="21"/>
          <w:szCs w:val="21"/>
          <w:highlight w:val="none"/>
        </w:rPr>
      </w:pPr>
    </w:p>
    <w:p w14:paraId="79878A96">
      <w:pPr>
        <w:spacing w:line="360" w:lineRule="auto"/>
        <w:jc w:val="center"/>
        <w:outlineLvl w:val="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见证方</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39358D28">
      <w:pPr>
        <w:spacing w:line="360" w:lineRule="auto"/>
        <w:jc w:val="both"/>
        <w:outlineLvl w:val="0"/>
        <w:rPr>
          <w:rFonts w:hint="eastAsia" w:ascii="宋体" w:hAnsi="宋体" w:eastAsia="宋体" w:cs="宋体"/>
          <w:b/>
          <w:color w:val="auto"/>
          <w:sz w:val="36"/>
          <w:szCs w:val="36"/>
          <w:highlight w:val="none"/>
        </w:rPr>
      </w:pPr>
    </w:p>
    <w:p w14:paraId="11985CE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9A4C1C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528DF7A8">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5F98A76">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0E0EF5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00158E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A24737A">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3E8A3C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06DB7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CD6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13F940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7334A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257462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ADAC60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6BD540">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03EA4C0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B8B66F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FF68B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0720C1D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24D057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E578C9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13E0B0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554D88F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5、符合参与政府采购活动的资格条件、具备良好的商业信誉和健全的财务会计制度并且没有税收缴纳、社会保障等方面的失信记录的承诺函</w:t>
      </w:r>
      <w:r>
        <w:rPr>
          <w:rFonts w:hint="eastAsia" w:ascii="宋体" w:hAnsi="宋体" w:cs="宋体"/>
          <w:bCs/>
          <w:color w:val="auto"/>
          <w:sz w:val="24"/>
          <w:highlight w:val="none"/>
          <w:lang w:val="en-US" w:eastAsia="zh-CN"/>
        </w:rPr>
        <w:t>；</w:t>
      </w:r>
    </w:p>
    <w:p w14:paraId="024FABB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6、具备履行合同所必需的设备和专业技术能力的承诺函；</w:t>
      </w:r>
    </w:p>
    <w:p w14:paraId="66BE0A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、供应商认为需要说明的其他材料。</w:t>
      </w:r>
    </w:p>
    <w:p w14:paraId="722AB9A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013E8C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31424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1AE47D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3D5020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29787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2C97F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31CD93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224C7A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94AC25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05D8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D279C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2EBBF0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9036ED6">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784C72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0F9C6DDA">
      <w:pPr>
        <w:keepNext w:val="0"/>
        <w:keepLines w:val="0"/>
        <w:pageBreakBefore w:val="0"/>
        <w:widowControl w:val="0"/>
        <w:kinsoku/>
        <w:wordWrap/>
        <w:overflowPunct/>
        <w:topLinePunct w:val="0"/>
        <w:autoSpaceDE/>
        <w:autoSpaceDN/>
        <w:bidi w:val="0"/>
        <w:snapToGrid w:val="0"/>
        <w:spacing w:before="156" w:beforeLines="50" w:after="50" w:line="360" w:lineRule="exact"/>
        <w:ind w:firstLine="643" w:firstLineChars="200"/>
        <w:jc w:val="center"/>
        <w:textAlignment w:val="auto"/>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61B27C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台州市生态环境局椒江分局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4EE0F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3D4A0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2025年椒江区土壤重点监管单位周边监测项目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tzya2025-jj04</w:t>
      </w:r>
      <w:r>
        <w:rPr>
          <w:rFonts w:hint="eastAsia" w:ascii="宋体" w:hAnsi="宋体" w:eastAsia="宋体" w:cs="宋体"/>
          <w:color w:val="auto"/>
          <w:kern w:val="0"/>
          <w:sz w:val="21"/>
          <w:szCs w:val="21"/>
          <w:highlight w:val="none"/>
        </w:rPr>
        <w:t>）的磋商，为此，我公司就本次磋商有关事项郑重声明如下：</w:t>
      </w:r>
    </w:p>
    <w:p w14:paraId="68DD7A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4E50D4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38C017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6B6D35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751B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66CAC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5666D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9E29FEB">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outlineLvl w:val="9"/>
        <w:rPr>
          <w:rFonts w:hint="eastAsia" w:ascii="宋体" w:hAnsi="宋体" w:eastAsia="宋体" w:cs="宋体"/>
          <w:color w:val="auto"/>
          <w:kern w:val="0"/>
          <w:sz w:val="21"/>
          <w:szCs w:val="21"/>
          <w:highlight w:val="none"/>
        </w:rPr>
      </w:pPr>
    </w:p>
    <w:p w14:paraId="45BB59C8">
      <w:pPr>
        <w:keepNext w:val="0"/>
        <w:keepLines w:val="0"/>
        <w:pageBreakBefore w:val="0"/>
        <w:widowControl w:val="0"/>
        <w:kinsoku/>
        <w:wordWrap/>
        <w:overflowPunct/>
        <w:topLinePunct w:val="0"/>
        <w:autoSpaceDE/>
        <w:autoSpaceDN/>
        <w:bidi w:val="0"/>
        <w:adjustRightInd w:val="0"/>
        <w:snapToGrid w:val="0"/>
        <w:spacing w:line="360" w:lineRule="exact"/>
        <w:ind w:firstLine="4095" w:firstLineChars="195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46EBCAC3">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0888CDBA">
      <w:pPr>
        <w:keepNext w:val="0"/>
        <w:keepLines w:val="0"/>
        <w:pageBreakBefore w:val="0"/>
        <w:widowControl w:val="0"/>
        <w:kinsoku/>
        <w:wordWrap/>
        <w:overflowPunct/>
        <w:topLinePunct w:val="0"/>
        <w:autoSpaceDE/>
        <w:autoSpaceDN/>
        <w:bidi w:val="0"/>
        <w:adjustRightInd w:val="0"/>
        <w:snapToGrid w:val="0"/>
        <w:spacing w:line="360" w:lineRule="exact"/>
        <w:ind w:right="48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75BA08A0">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5C781686">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29AED2F9">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E0BB6FB">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u w:val="single"/>
          <w:lang w:eastAsia="zh-CN"/>
        </w:rPr>
        <w:t>台州市生态环境局椒江分局</w:t>
      </w:r>
      <w:r>
        <w:rPr>
          <w:rFonts w:hint="eastAsia" w:ascii="宋体" w:hAnsi="宋体" w:eastAsia="宋体" w:cs="宋体"/>
          <w:b w:val="0"/>
          <w:bCs/>
          <w:color w:val="auto"/>
          <w:sz w:val="21"/>
          <w:szCs w:val="21"/>
          <w:highlight w:val="none"/>
          <w:u w:val="single"/>
        </w:rPr>
        <w:t>、台州永安工程咨询有限公司：</w:t>
      </w:r>
    </w:p>
    <w:p w14:paraId="3DDD4975">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2025年椒江区土壤重点监管单位周边监测项目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tzya2025-jj04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6CD16BDC">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70B64CFE">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48255A5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50C3F6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34643AB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0AB2DFB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BF6E1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62D72ED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12D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552CB3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50DBB1D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4D30AE5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364874C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34CFAF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8746C2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A62EE8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72A9D21">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91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ADE3C87">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17511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00AD7BF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34A655A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7C32721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3CB8B6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71731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643128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5C94B932">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14D29A3E">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p>
    <w:p w14:paraId="1E3A3738">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5BDAA0E9">
      <w:pPr>
        <w:pStyle w:val="7"/>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4316554A">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4FABA58A">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4DCB8B55">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15EAF2">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A355022">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8B8B9B1">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172733F">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29B28853">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4D83EB1">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3F32D186">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C0FA027">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64E9D162">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C6C5030">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619234E">
      <w:pPr>
        <w:pStyle w:val="10"/>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0E1E0C62">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74D1FB1">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A0F97C0">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2E59908A">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2CA6193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BB9119F">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A9C465">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0E41EBB2">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26A48BA">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23A9AF4">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8B875B0">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9E73D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EB801B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339DFC4">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29504BA">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9BBA8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1049743">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9BD0D4">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53E3083">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6FF68F">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98C9B7F">
      <w:pPr>
        <w:pStyle w:val="7"/>
        <w:rPr>
          <w:rFonts w:hint="eastAsia" w:ascii="宋体" w:hAnsi="宋体" w:eastAsia="宋体" w:cs="宋体"/>
          <w:b/>
          <w:color w:val="auto"/>
          <w:sz w:val="28"/>
          <w:highlight w:val="none"/>
        </w:rPr>
      </w:pPr>
    </w:p>
    <w:p w14:paraId="14786319">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89176CB">
      <w:pPr>
        <w:pStyle w:val="58"/>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FE12867">
      <w:pPr>
        <w:pStyle w:val="58"/>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2025年椒江区土壤重点监管单位周边监测项目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tzya2025-jj04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AEC13D6">
      <w:pPr>
        <w:pStyle w:val="55"/>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269F8C6">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BB3ECDC">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1A5140E">
      <w:pPr>
        <w:pStyle w:val="55"/>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E22BBA">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2F948F6B">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BA9F0ED">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E436F86">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E35CDD0">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B3A27D3">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4A8987E">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E4EB3D7">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337A8D4">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F46D03A">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ED8E7F5">
      <w:pPr>
        <w:pStyle w:val="55"/>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0D7A2EB6">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76FB0BF8">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p>
    <w:p w14:paraId="6D57488C">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6A524B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15781B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3660E5D">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3F05D0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C487FF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6D040D6">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003B6A">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AF63E7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E143526">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34A6E92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52D4FD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FB3854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E4725B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2F41F2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1179EF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67BB55E">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2B7D3FC9">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6B3493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24F815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1EEAE17C">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7696922">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60284427">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3177515E">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21C17E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23739F43">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B2B118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24A55DE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F4CE47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7C9EC1C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55728D0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6C45D07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3EB05AB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12AB9C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552258FE">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6F0CC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72D37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0ED6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FC26F9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4A859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E1A6C7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40931C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C683C6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7D0788">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4FF72D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B64370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531C94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467F166B">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1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7"/>
        <w:gridCol w:w="6889"/>
        <w:gridCol w:w="686"/>
        <w:gridCol w:w="686"/>
        <w:gridCol w:w="686"/>
      </w:tblGrid>
      <w:tr w14:paraId="5042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76" w:type="dxa"/>
            <w:gridSpan w:val="2"/>
            <w:vAlign w:val="center"/>
          </w:tcPr>
          <w:p w14:paraId="7BEF6034">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评分项目</w:t>
            </w:r>
          </w:p>
        </w:tc>
        <w:tc>
          <w:tcPr>
            <w:tcW w:w="6889" w:type="dxa"/>
            <w:vAlign w:val="center"/>
          </w:tcPr>
          <w:p w14:paraId="2508B028">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评分内容</w:t>
            </w:r>
          </w:p>
        </w:tc>
        <w:tc>
          <w:tcPr>
            <w:tcW w:w="686" w:type="dxa"/>
            <w:vAlign w:val="center"/>
          </w:tcPr>
          <w:p w14:paraId="7F1CA133">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c>
          <w:tcPr>
            <w:tcW w:w="686" w:type="dxa"/>
            <w:vAlign w:val="center"/>
          </w:tcPr>
          <w:p w14:paraId="1AED16EF">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对应页码</w:t>
            </w:r>
          </w:p>
        </w:tc>
        <w:tc>
          <w:tcPr>
            <w:tcW w:w="686" w:type="dxa"/>
            <w:vAlign w:val="center"/>
          </w:tcPr>
          <w:p w14:paraId="146F4C67">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自评分</w:t>
            </w:r>
          </w:p>
        </w:tc>
      </w:tr>
      <w:tr w14:paraId="4F1A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restart"/>
            <w:vAlign w:val="center"/>
          </w:tcPr>
          <w:p w14:paraId="06BDE502">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商务分</w:t>
            </w:r>
          </w:p>
          <w:p w14:paraId="722A7295">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25</w:t>
            </w:r>
            <w:r>
              <w:rPr>
                <w:rFonts w:hint="eastAsia" w:asciiTheme="minorEastAsia" w:hAnsiTheme="minorEastAsia" w:eastAsiaTheme="minorEastAsia" w:cstheme="minorEastAsia"/>
                <w:color w:val="auto"/>
                <w:kern w:val="0"/>
                <w:highlight w:val="none"/>
              </w:rPr>
              <w:t>分）</w:t>
            </w:r>
          </w:p>
        </w:tc>
        <w:tc>
          <w:tcPr>
            <w:tcW w:w="1187" w:type="dxa"/>
            <w:vMerge w:val="restart"/>
            <w:vAlign w:val="center"/>
          </w:tcPr>
          <w:p w14:paraId="4CBF52F6">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企业实力</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top"/>
          </w:tcPr>
          <w:p w14:paraId="5A51C9F8">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供应商具有</w:t>
            </w:r>
            <w:r>
              <w:rPr>
                <w:rFonts w:hint="eastAsia" w:ascii="宋体" w:hAnsi="宋体" w:cs="宋体"/>
                <w:color w:val="auto"/>
                <w:szCs w:val="21"/>
                <w:highlight w:val="none"/>
              </w:rPr>
              <w:t>国家认证认可监督管理委员会批准认可的认证机构颁发的</w:t>
            </w:r>
            <w:r>
              <w:rPr>
                <w:rFonts w:hint="eastAsia" w:ascii="宋体" w:hAnsi="宋体" w:cs="宋体"/>
                <w:color w:val="auto"/>
                <w:szCs w:val="21"/>
                <w:highlight w:val="none"/>
              </w:rPr>
              <w:t>，且在有效期内的</w:t>
            </w:r>
            <w:r>
              <w:rPr>
                <w:rFonts w:hint="eastAsia" w:ascii="宋体" w:hAnsi="宋体" w:eastAsia="宋体" w:cs="宋体"/>
                <w:color w:val="auto"/>
                <w:szCs w:val="21"/>
                <w:highlight w:val="none"/>
              </w:rPr>
              <w:t>质量管理体系认证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环境管理体系认证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、职业健康安全管理体系认证</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每提供1个得1分，本项最高得3分。</w:t>
            </w:r>
          </w:p>
          <w:p w14:paraId="154218CE">
            <w:pPr>
              <w:keepNext w:val="0"/>
              <w:keepLines w:val="0"/>
              <w:pageBreakBefore w:val="0"/>
              <w:widowControl/>
              <w:kinsoku/>
              <w:wordWrap/>
              <w:overflowPunct/>
              <w:topLinePunct w:val="0"/>
              <w:autoSpaceDE/>
              <w:autoSpaceDN/>
              <w:bidi w:val="0"/>
              <w:adjustRightInd/>
              <w:snapToGrid/>
              <w:jc w:val="left"/>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szCs w:val="21"/>
                <w:highlight w:val="none"/>
              </w:rPr>
              <w:t>相关证书</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②</w:t>
            </w:r>
            <w:r>
              <w:rPr>
                <w:rFonts w:hint="eastAsia" w:asciiTheme="minorEastAsia" w:hAnsiTheme="minorEastAsia" w:eastAsiaTheme="minorEastAsia" w:cstheme="minorEastAsia"/>
                <w:b/>
                <w:bCs/>
                <w:color w:val="auto"/>
                <w:szCs w:val="21"/>
                <w:highlight w:val="none"/>
              </w:rPr>
              <w:fldChar w:fldCharType="begin"/>
            </w:r>
            <w:r>
              <w:rPr>
                <w:rFonts w:hint="eastAsia" w:asciiTheme="minorEastAsia" w:hAnsiTheme="minorEastAsia" w:eastAsiaTheme="minorEastAsia" w:cstheme="minorEastAsia"/>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Theme="minorEastAsia" w:hAnsiTheme="minorEastAsia" w:eastAsiaTheme="minorEastAsia" w:cstheme="minorEastAsia"/>
                <w:b/>
                <w:bCs/>
                <w:color w:val="auto"/>
                <w:szCs w:val="21"/>
                <w:highlight w:val="none"/>
              </w:rPr>
              <w:fldChar w:fldCharType="separate"/>
            </w:r>
            <w:r>
              <w:rPr>
                <w:rFonts w:hint="eastAsia" w:asciiTheme="minorEastAsia" w:hAnsiTheme="minorEastAsia" w:eastAsiaTheme="minorEastAsia" w:cstheme="minorEastAsia"/>
                <w:b/>
                <w:bCs/>
                <w:color w:val="auto"/>
                <w:szCs w:val="21"/>
                <w:highlight w:val="none"/>
              </w:rPr>
              <w:t>全国认证认可信息公共服务平台</w:t>
            </w:r>
            <w:r>
              <w:rPr>
                <w:rFonts w:hint="eastAsia" w:asciiTheme="minorEastAsia" w:hAnsiTheme="minorEastAsia" w:eastAsiaTheme="minorEastAsia" w:cstheme="minorEastAsia"/>
                <w:b/>
                <w:bCs/>
                <w:color w:val="auto"/>
                <w:szCs w:val="21"/>
                <w:highlight w:val="none"/>
              </w:rPr>
              <w:fldChar w:fldCharType="end"/>
            </w:r>
            <w:r>
              <w:rPr>
                <w:rFonts w:hint="eastAsia" w:asciiTheme="minorEastAsia" w:hAnsiTheme="minorEastAsia" w:eastAsiaTheme="minorEastAsia" w:cstheme="minorEastAsia"/>
                <w:b/>
                <w:bCs/>
                <w:color w:val="auto"/>
                <w:szCs w:val="21"/>
                <w:highlight w:val="none"/>
              </w:rPr>
              <w:t>网站截图</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w:t>
            </w:r>
            <w:r>
              <w:rPr>
                <w:rFonts w:hint="eastAsia" w:asciiTheme="minorEastAsia" w:hAnsiTheme="minorEastAsia" w:eastAsiaTheme="minorEastAsia" w:cstheme="minorEastAsia"/>
                <w:b/>
                <w:bCs/>
                <w:color w:val="auto"/>
                <w:szCs w:val="21"/>
                <w:highlight w:val="none"/>
              </w:rPr>
              <w:t>未提供</w:t>
            </w:r>
            <w:r>
              <w:rPr>
                <w:rFonts w:hint="eastAsia" w:asciiTheme="minorEastAsia" w:hAnsiTheme="minorEastAsia" w:eastAsiaTheme="minorEastAsia" w:cstheme="minorEastAsia"/>
                <w:b/>
                <w:bCs/>
                <w:color w:val="auto"/>
                <w:szCs w:val="21"/>
                <w:highlight w:val="none"/>
                <w:lang w:val="en-US" w:eastAsia="zh-CN"/>
              </w:rPr>
              <w:t>或提供不全</w:t>
            </w:r>
            <w:r>
              <w:rPr>
                <w:rFonts w:hint="eastAsia" w:asciiTheme="minorEastAsia" w:hAnsiTheme="minorEastAsia" w:eastAsiaTheme="minorEastAsia" w:cstheme="minorEastAsia"/>
                <w:b/>
                <w:bCs/>
                <w:color w:val="auto"/>
                <w:szCs w:val="21"/>
                <w:highlight w:val="none"/>
              </w:rPr>
              <w:t>的</w:t>
            </w:r>
            <w:r>
              <w:rPr>
                <w:rFonts w:hint="eastAsia" w:asciiTheme="minorEastAsia" w:hAnsiTheme="minorEastAsia" w:eastAsiaTheme="minorEastAsia" w:cstheme="minorEastAsia"/>
                <w:b/>
                <w:bCs/>
                <w:color w:val="auto"/>
                <w:szCs w:val="21"/>
                <w:highlight w:val="none"/>
              </w:rPr>
              <w:t>不得分）</w:t>
            </w:r>
          </w:p>
        </w:tc>
        <w:tc>
          <w:tcPr>
            <w:tcW w:w="686" w:type="dxa"/>
            <w:vAlign w:val="center"/>
          </w:tcPr>
          <w:p w14:paraId="5677DE80">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686" w:type="dxa"/>
            <w:vAlign w:val="center"/>
          </w:tcPr>
          <w:p w14:paraId="372D6830">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c>
          <w:tcPr>
            <w:tcW w:w="686" w:type="dxa"/>
            <w:vAlign w:val="center"/>
          </w:tcPr>
          <w:p w14:paraId="39705B1B">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r>
      <w:tr w14:paraId="4BCD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continue"/>
            <w:vAlign w:val="center"/>
          </w:tcPr>
          <w:p w14:paraId="1E343098">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Merge w:val="continue"/>
            <w:vAlign w:val="center"/>
          </w:tcPr>
          <w:p w14:paraId="60C9EDC6">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6889" w:type="dxa"/>
            <w:vAlign w:val="top"/>
          </w:tcPr>
          <w:p w14:paraId="364E5E9F">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宋体" w:hAnsi="宋体" w:cs="宋体"/>
                <w:b w:val="0"/>
                <w:bCs w:val="0"/>
                <w:color w:val="auto"/>
                <w:szCs w:val="21"/>
                <w:highlight w:val="none"/>
              </w:rPr>
              <w:t>供应商</w:t>
            </w:r>
            <w:r>
              <w:rPr>
                <w:rFonts w:hint="eastAsia" w:asciiTheme="minorEastAsia" w:hAnsiTheme="minorEastAsia" w:eastAsiaTheme="minorEastAsia" w:cstheme="minorEastAsia"/>
                <w:b w:val="0"/>
                <w:bCs w:val="0"/>
                <w:color w:val="auto"/>
                <w:szCs w:val="21"/>
                <w:highlight w:val="none"/>
              </w:rPr>
              <w:t>具有环境保护相关计算机软件著作权证书的</w:t>
            </w:r>
            <w:r>
              <w:rPr>
                <w:rFonts w:hint="eastAsia" w:asciiTheme="minorEastAsia" w:hAnsiTheme="minorEastAsia" w:eastAsiaTheme="minorEastAsia" w:cstheme="minorEastAsia"/>
                <w:b w:val="0"/>
                <w:bCs w:val="0"/>
                <w:color w:val="auto"/>
                <w:szCs w:val="21"/>
                <w:highlight w:val="none"/>
                <w:lang w:val="en-US" w:eastAsia="zh-CN"/>
              </w:rPr>
              <w:t>得1分。</w:t>
            </w:r>
          </w:p>
          <w:p w14:paraId="57D8D8AE">
            <w:pPr>
              <w:keepNext w:val="0"/>
              <w:keepLines w:val="0"/>
              <w:pageBreakBefore w:val="0"/>
              <w:widowControl/>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（须提供相关证书</w:t>
            </w:r>
            <w:r>
              <w:rPr>
                <w:rFonts w:hint="eastAsia" w:asciiTheme="minorEastAsia" w:hAnsiTheme="minorEastAsia" w:eastAsiaTheme="minorEastAsia" w:cstheme="minorEastAsia"/>
                <w:b/>
                <w:bCs/>
                <w:color w:val="auto"/>
                <w:highlight w:val="none"/>
                <w:lang w:val="en-US" w:eastAsia="zh-CN"/>
              </w:rPr>
              <w:t>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公章编入投标文件中，未提供的不得分）</w:t>
            </w:r>
          </w:p>
        </w:tc>
        <w:tc>
          <w:tcPr>
            <w:tcW w:w="686" w:type="dxa"/>
            <w:vAlign w:val="center"/>
          </w:tcPr>
          <w:p w14:paraId="207419E8">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686" w:type="dxa"/>
            <w:vAlign w:val="center"/>
          </w:tcPr>
          <w:p w14:paraId="4B3B5338">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c>
          <w:tcPr>
            <w:tcW w:w="686" w:type="dxa"/>
            <w:vAlign w:val="center"/>
          </w:tcPr>
          <w:p w14:paraId="02DF1479">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r>
      <w:tr w14:paraId="0F97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9" w:type="dxa"/>
            <w:vMerge w:val="continue"/>
            <w:vAlign w:val="center"/>
          </w:tcPr>
          <w:p w14:paraId="05C351E9">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1187" w:type="dxa"/>
            <w:vMerge w:val="continue"/>
            <w:vAlign w:val="center"/>
          </w:tcPr>
          <w:p w14:paraId="05573B75">
            <w:pPr>
              <w:keepNext w:val="0"/>
              <w:keepLines w:val="0"/>
              <w:pageBreakBefore w:val="0"/>
              <w:widowControl/>
              <w:kinsoku/>
              <w:wordWrap/>
              <w:overflowPunct/>
              <w:topLinePunct w:val="0"/>
              <w:autoSpaceDE/>
              <w:autoSpaceDN/>
              <w:bidi w:val="0"/>
              <w:adjustRightInd/>
              <w:snapToGrid/>
              <w:jc w:val="left"/>
              <w:textAlignment w:val="auto"/>
              <w:rPr>
                <w:color w:val="auto"/>
                <w:highlight w:val="none"/>
              </w:rPr>
            </w:pPr>
          </w:p>
        </w:tc>
        <w:tc>
          <w:tcPr>
            <w:tcW w:w="6889" w:type="dxa"/>
            <w:vAlign w:val="top"/>
          </w:tcPr>
          <w:p w14:paraId="30847EEB">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b w:val="0"/>
                <w:bCs w:val="0"/>
                <w:color w:val="auto"/>
                <w:szCs w:val="21"/>
                <w:highlight w:val="none"/>
              </w:rPr>
            </w:pPr>
            <w:r>
              <w:rPr>
                <w:rFonts w:hint="eastAsia" w:ascii="宋体" w:hAnsi="宋体" w:cs="宋体"/>
                <w:b w:val="0"/>
                <w:bCs w:val="0"/>
                <w:color w:val="auto"/>
                <w:szCs w:val="21"/>
                <w:highlight w:val="none"/>
              </w:rPr>
              <w:t>供应商</w:t>
            </w:r>
            <w:r>
              <w:rPr>
                <w:rFonts w:hint="default" w:ascii="宋体" w:hAnsi="宋体" w:cs="宋体"/>
                <w:b w:val="0"/>
                <w:bCs w:val="0"/>
                <w:color w:val="auto"/>
                <w:szCs w:val="21"/>
                <w:highlight w:val="none"/>
              </w:rPr>
              <w:t>自2020年1月1日（以颁发时间为准）</w:t>
            </w:r>
            <w:r>
              <w:rPr>
                <w:rFonts w:hint="default" w:ascii="宋体" w:hAnsi="宋体" w:cs="宋体"/>
                <w:b w:val="0"/>
                <w:bCs w:val="0"/>
                <w:color w:val="auto"/>
                <w:szCs w:val="21"/>
                <w:highlight w:val="none"/>
                <w:lang w:val="en-US" w:eastAsia="zh-CN"/>
              </w:rPr>
              <w:t>以来</w:t>
            </w:r>
            <w:r>
              <w:rPr>
                <w:rFonts w:hint="default" w:ascii="宋体" w:hAnsi="宋体" w:cs="宋体"/>
                <w:b w:val="0"/>
                <w:bCs w:val="0"/>
                <w:color w:val="auto"/>
                <w:szCs w:val="21"/>
                <w:highlight w:val="none"/>
                <w:lang w:eastAsia="zh-CN"/>
              </w:rPr>
              <w:t>，</w:t>
            </w:r>
            <w:r>
              <w:rPr>
                <w:rFonts w:hint="default" w:ascii="宋体" w:hAnsi="宋体" w:cs="宋体"/>
                <w:b w:val="0"/>
                <w:bCs w:val="0"/>
                <w:color w:val="auto"/>
                <w:szCs w:val="21"/>
                <w:highlight w:val="none"/>
              </w:rPr>
              <w:t>获得过政府及政府行政部门颁发的生态、环保类奖项的，国家级得</w:t>
            </w:r>
            <w:r>
              <w:rPr>
                <w:rFonts w:hint="eastAsia" w:ascii="宋体" w:hAnsi="宋体" w:cs="宋体"/>
                <w:b w:val="0"/>
                <w:bCs w:val="0"/>
                <w:color w:val="auto"/>
                <w:szCs w:val="21"/>
                <w:highlight w:val="none"/>
                <w:lang w:val="en-US" w:eastAsia="zh-CN"/>
              </w:rPr>
              <w:t>3</w:t>
            </w:r>
            <w:r>
              <w:rPr>
                <w:rFonts w:hint="default" w:ascii="宋体" w:hAnsi="宋体" w:cs="宋体"/>
                <w:b w:val="0"/>
                <w:bCs w:val="0"/>
                <w:color w:val="auto"/>
                <w:szCs w:val="21"/>
                <w:highlight w:val="none"/>
              </w:rPr>
              <w:t>分，</w:t>
            </w:r>
            <w:r>
              <w:rPr>
                <w:rFonts w:hint="default" w:ascii="宋体" w:hAnsi="宋体" w:cs="宋体"/>
                <w:b w:val="0"/>
                <w:bCs w:val="0"/>
                <w:color w:val="auto"/>
                <w:szCs w:val="21"/>
                <w:highlight w:val="none"/>
                <w:lang w:val="en-US" w:eastAsia="zh-CN"/>
              </w:rPr>
              <w:t>省部级</w:t>
            </w:r>
            <w:r>
              <w:rPr>
                <w:rFonts w:hint="default"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1</w:t>
            </w:r>
            <w:r>
              <w:rPr>
                <w:rFonts w:hint="default" w:ascii="宋体" w:hAnsi="宋体" w:cs="宋体"/>
                <w:b w:val="0"/>
                <w:bCs w:val="0"/>
                <w:color w:val="auto"/>
                <w:szCs w:val="21"/>
                <w:highlight w:val="none"/>
              </w:rPr>
              <w:t>分，</w:t>
            </w:r>
            <w:r>
              <w:rPr>
                <w:rFonts w:hint="default" w:ascii="宋体" w:hAnsi="宋体" w:cs="宋体"/>
                <w:b w:val="0"/>
                <w:bCs w:val="0"/>
                <w:color w:val="auto"/>
                <w:szCs w:val="21"/>
                <w:highlight w:val="none"/>
                <w:lang w:val="en-US" w:eastAsia="zh-CN"/>
              </w:rPr>
              <w:t>市厅级</w:t>
            </w:r>
            <w:r>
              <w:rPr>
                <w:rFonts w:hint="default"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0.5</w:t>
            </w:r>
            <w:r>
              <w:rPr>
                <w:rFonts w:hint="default" w:ascii="宋体" w:hAnsi="宋体" w:cs="宋体"/>
                <w:b w:val="0"/>
                <w:bCs w:val="0"/>
                <w:color w:val="auto"/>
                <w:szCs w:val="21"/>
                <w:highlight w:val="none"/>
                <w:lang w:val="en-US" w:eastAsia="zh-CN"/>
              </w:rPr>
              <w:t>分</w:t>
            </w:r>
            <w:r>
              <w:rPr>
                <w:rFonts w:hint="default" w:ascii="宋体" w:hAnsi="宋体" w:cs="宋体"/>
                <w:b w:val="0"/>
                <w:bCs w:val="0"/>
                <w:color w:val="auto"/>
                <w:szCs w:val="21"/>
                <w:highlight w:val="none"/>
              </w:rPr>
              <w:t>。</w:t>
            </w:r>
          </w:p>
          <w:p w14:paraId="4996E5D9">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b w:val="0"/>
                <w:bCs w:val="0"/>
                <w:color w:val="auto"/>
                <w:szCs w:val="21"/>
                <w:highlight w:val="none"/>
              </w:rPr>
            </w:pPr>
            <w:r>
              <w:rPr>
                <w:rFonts w:hint="default" w:ascii="宋体" w:hAnsi="宋体" w:cs="宋体"/>
                <w:b/>
                <w:bCs/>
                <w:color w:val="auto"/>
                <w:szCs w:val="21"/>
                <w:highlight w:val="none"/>
              </w:rPr>
              <w:t>注：</w:t>
            </w:r>
            <w:r>
              <w:rPr>
                <w:rFonts w:hint="default" w:ascii="宋体" w:hAnsi="宋体" w:cs="宋体"/>
                <w:b w:val="0"/>
                <w:bCs w:val="0"/>
                <w:color w:val="auto"/>
                <w:szCs w:val="21"/>
                <w:highlight w:val="none"/>
              </w:rPr>
              <w:t>只记最高项，不累计得分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行业协会奖项不予认可</w:t>
            </w:r>
            <w:r>
              <w:rPr>
                <w:rFonts w:hint="default" w:ascii="宋体" w:hAnsi="宋体" w:cs="宋体"/>
                <w:b w:val="0"/>
                <w:bCs w:val="0"/>
                <w:color w:val="auto"/>
                <w:szCs w:val="21"/>
                <w:highlight w:val="none"/>
              </w:rPr>
              <w:t>。</w:t>
            </w:r>
          </w:p>
          <w:p w14:paraId="2137DBD4">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（须提供相关</w:t>
            </w:r>
            <w:r>
              <w:rPr>
                <w:rFonts w:hint="eastAsia" w:asciiTheme="minorEastAsia" w:hAnsiTheme="minorEastAsia" w:eastAsiaTheme="minorEastAsia" w:cstheme="minorEastAsia"/>
                <w:b/>
                <w:bCs/>
                <w:color w:val="auto"/>
                <w:szCs w:val="21"/>
                <w:highlight w:val="none"/>
                <w:lang w:val="en-US" w:eastAsia="zh-CN"/>
              </w:rPr>
              <w:t>奖项</w:t>
            </w:r>
            <w:r>
              <w:rPr>
                <w:rFonts w:hint="eastAsia" w:asciiTheme="minorEastAsia" w:hAnsiTheme="minorEastAsia" w:eastAsiaTheme="minorEastAsia" w:cstheme="minorEastAsia"/>
                <w:b/>
                <w:bCs/>
                <w:color w:val="auto"/>
                <w:szCs w:val="21"/>
                <w:highlight w:val="none"/>
              </w:rPr>
              <w:t>证书</w:t>
            </w:r>
            <w:r>
              <w:rPr>
                <w:rFonts w:hint="eastAsia" w:asciiTheme="minorEastAsia" w:hAnsiTheme="minorEastAsia" w:eastAsiaTheme="minorEastAsia" w:cstheme="minorEastAsia"/>
                <w:b/>
                <w:bCs/>
                <w:color w:val="auto"/>
                <w:szCs w:val="21"/>
                <w:highlight w:val="none"/>
                <w:lang w:val="en-US" w:eastAsia="zh-CN"/>
              </w:rPr>
              <w:t>或证明文件</w:t>
            </w:r>
            <w:r>
              <w:rPr>
                <w:rFonts w:hint="eastAsia" w:asciiTheme="minorEastAsia" w:hAnsiTheme="minorEastAsia" w:eastAsiaTheme="minorEastAsia" w:cstheme="minorEastAsia"/>
                <w:b/>
                <w:bCs/>
                <w:color w:val="auto"/>
                <w:highlight w:val="none"/>
                <w:lang w:val="en-US" w:eastAsia="zh-CN"/>
              </w:rPr>
              <w:t>扫描件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公章编入投标文件中，未提供的不得分）</w:t>
            </w:r>
          </w:p>
        </w:tc>
        <w:tc>
          <w:tcPr>
            <w:tcW w:w="686" w:type="dxa"/>
            <w:vAlign w:val="center"/>
          </w:tcPr>
          <w:p w14:paraId="6B5D23DC">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686" w:type="dxa"/>
            <w:vAlign w:val="center"/>
          </w:tcPr>
          <w:p w14:paraId="5DF30237">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c>
          <w:tcPr>
            <w:tcW w:w="686" w:type="dxa"/>
            <w:vAlign w:val="center"/>
          </w:tcPr>
          <w:p w14:paraId="09761BA6">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r>
      <w:tr w14:paraId="1BC6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390B9445">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62BEA47A">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rPr>
              <w:t>承接经验</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center"/>
          </w:tcPr>
          <w:p w14:paraId="5D6B605D">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1"/>
                <w:szCs w:val="21"/>
                <w:highlight w:val="none"/>
                <w:lang w:val="en-US" w:eastAsia="zh-CN" w:bidi="ar-SA"/>
              </w:rPr>
              <w:t>供应商</w:t>
            </w:r>
            <w:r>
              <w:rPr>
                <w:rFonts w:hint="eastAsia" w:asciiTheme="minorEastAsia" w:hAnsiTheme="minorEastAsia" w:eastAsiaTheme="minorEastAsia" w:cstheme="minorEastAsia"/>
                <w:color w:val="auto"/>
                <w:highlight w:val="none"/>
              </w:rPr>
              <w:t>自20</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月1日（以合同签订时间为准）以来，开展过同类</w:t>
            </w:r>
            <w:r>
              <w:rPr>
                <w:rFonts w:hint="eastAsia" w:asciiTheme="minorEastAsia" w:hAnsiTheme="minorEastAsia" w:eastAsiaTheme="minorEastAsia" w:cstheme="minorEastAsia"/>
                <w:color w:val="auto"/>
                <w:highlight w:val="none"/>
                <w:lang w:val="en-US" w:eastAsia="zh-CN"/>
              </w:rPr>
              <w:t>监测</w:t>
            </w:r>
            <w:r>
              <w:rPr>
                <w:rFonts w:hint="eastAsia" w:asciiTheme="minorEastAsia" w:hAnsiTheme="minorEastAsia" w:eastAsiaTheme="minorEastAsia" w:cstheme="minorEastAsia"/>
                <w:color w:val="auto"/>
                <w:highlight w:val="none"/>
              </w:rPr>
              <w:t>项目的，每提供</w:t>
            </w:r>
            <w:r>
              <w:rPr>
                <w:rFonts w:hint="eastAsia" w:asciiTheme="minorEastAsia" w:hAnsiTheme="minorEastAsia" w:eastAsiaTheme="minorEastAsia" w:cstheme="minorEastAsia"/>
                <w:color w:val="auto"/>
                <w:highlight w:val="none"/>
                <w:lang w:val="en-US" w:eastAsia="zh-CN"/>
              </w:rPr>
              <w:t>1个</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highlight w:val="none"/>
                <w:lang w:val="en-US" w:eastAsia="zh-CN"/>
              </w:rPr>
              <w:t>0.5</w:t>
            </w:r>
            <w:r>
              <w:rPr>
                <w:rFonts w:hint="eastAsia" w:asciiTheme="minorEastAsia" w:hAnsiTheme="minorEastAsia" w:eastAsiaTheme="minorEastAsia" w:cstheme="minorEastAsia"/>
                <w:color w:val="auto"/>
                <w:highlight w:val="none"/>
              </w:rPr>
              <w:t>分，本项最高得1分。</w:t>
            </w:r>
          </w:p>
          <w:p w14:paraId="3928BA70">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highlight w:val="none"/>
              </w:rPr>
              <w:t>（须提供</w:t>
            </w:r>
            <w:r>
              <w:rPr>
                <w:rFonts w:hint="eastAsia" w:asciiTheme="minorEastAsia" w:hAnsiTheme="minorEastAsia" w:eastAsiaTheme="minorEastAsia" w:cstheme="minorEastAsia"/>
                <w:b/>
                <w:bCs/>
                <w:color w:val="auto"/>
                <w:highlight w:val="none"/>
                <w:lang w:val="en-US" w:eastAsia="zh-CN"/>
              </w:rPr>
              <w:t>相应</w:t>
            </w:r>
            <w:r>
              <w:rPr>
                <w:rFonts w:hint="eastAsia" w:asciiTheme="minorEastAsia" w:hAnsiTheme="minorEastAsia" w:eastAsiaTheme="minorEastAsia" w:cstheme="minorEastAsia"/>
                <w:b/>
                <w:bCs/>
                <w:color w:val="auto"/>
                <w:highlight w:val="none"/>
              </w:rPr>
              <w:t>合同扫描件并加盖</w:t>
            </w:r>
            <w:r>
              <w:rPr>
                <w:rFonts w:hint="eastAsia" w:ascii="宋体" w:hAnsi="宋体" w:cs="宋体"/>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w:t>
            </w:r>
            <w:r>
              <w:rPr>
                <w:rFonts w:hint="eastAsia"/>
                <w:b/>
                <w:bCs/>
                <w:color w:val="auto"/>
                <w:highlight w:val="none"/>
              </w:rPr>
              <w:t>编入投标文件中</w:t>
            </w:r>
            <w:r>
              <w:rPr>
                <w:rFonts w:hint="eastAsia" w:asciiTheme="minorEastAsia" w:hAnsiTheme="minorEastAsia" w:eastAsiaTheme="minorEastAsia" w:cstheme="minorEastAsia"/>
                <w:b/>
                <w:bCs/>
                <w:color w:val="auto"/>
                <w:highlight w:val="none"/>
              </w:rPr>
              <w:t>，未提供的不得分）</w:t>
            </w:r>
          </w:p>
        </w:tc>
        <w:tc>
          <w:tcPr>
            <w:tcW w:w="686" w:type="dxa"/>
            <w:vAlign w:val="center"/>
          </w:tcPr>
          <w:p w14:paraId="6CBFD9F8">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1</w:t>
            </w:r>
          </w:p>
        </w:tc>
        <w:tc>
          <w:tcPr>
            <w:tcW w:w="686" w:type="dxa"/>
            <w:vAlign w:val="center"/>
          </w:tcPr>
          <w:p w14:paraId="2F4FE3BE">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rPr>
            </w:pPr>
          </w:p>
        </w:tc>
        <w:tc>
          <w:tcPr>
            <w:tcW w:w="686" w:type="dxa"/>
            <w:vAlign w:val="center"/>
          </w:tcPr>
          <w:p w14:paraId="5D02203E">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rPr>
            </w:pPr>
          </w:p>
        </w:tc>
      </w:tr>
      <w:tr w14:paraId="7FD8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67F8224B">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03EDB5B6">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项目负责人</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center"/>
          </w:tcPr>
          <w:p w14:paraId="1D65A502">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拟投入本项目的项目负责人：</w:t>
            </w:r>
          </w:p>
          <w:p w14:paraId="702CD593">
            <w:pPr>
              <w:pStyle w:val="10"/>
              <w:keepNext w:val="0"/>
              <w:keepLines w:val="0"/>
              <w:pageBreakBefore w:val="0"/>
              <w:widowControl/>
              <w:kinsoku/>
              <w:wordWrap/>
              <w:overflowPunct/>
              <w:topLinePunct w:val="0"/>
              <w:bidi w:val="0"/>
              <w:spacing w:line="240" w:lineRule="auto"/>
              <w:ind w:left="0" w:firstLine="0" w:firstLineChars="0"/>
              <w:jc w:val="both"/>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（1）具有生态、环保类相关专业高级及以上工程师职称证书得3分，生态、环保类相关专业中级工程师职称证书的得1分，其他不得分；</w:t>
            </w:r>
          </w:p>
          <w:p w14:paraId="739EC3BD">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（2）具有注册环保工程师资格证书的得2分，</w:t>
            </w:r>
          </w:p>
          <w:p w14:paraId="7334335B">
            <w:pPr>
              <w:pStyle w:val="10"/>
              <w:keepNext w:val="0"/>
              <w:keepLines w:val="0"/>
              <w:pageBreakBefore w:val="0"/>
              <w:widowControl/>
              <w:kinsoku/>
              <w:wordWrap/>
              <w:overflowPunct/>
              <w:topLinePunct w:val="0"/>
              <w:bidi w:val="0"/>
              <w:spacing w:line="240" w:lineRule="auto"/>
              <w:ind w:left="0" w:firstLine="0" w:firstLineChars="0"/>
              <w:jc w:val="both"/>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（3）入选</w:t>
            </w:r>
            <w:r>
              <w:rPr>
                <w:rFonts w:hint="eastAsia" w:asciiTheme="minorEastAsia" w:hAnsiTheme="minorEastAsia" w:eastAsiaTheme="minorEastAsia" w:cstheme="minorEastAsia"/>
                <w:color w:val="auto"/>
                <w:kern w:val="0"/>
                <w:sz w:val="21"/>
                <w:szCs w:val="21"/>
                <w:highlight w:val="none"/>
                <w:lang w:val="en-US" w:eastAsia="zh-CN" w:bidi="ar-SA"/>
              </w:rPr>
              <w:t>生态环境行政主管部门组织的</w:t>
            </w:r>
            <w:r>
              <w:rPr>
                <w:rFonts w:hint="eastAsia" w:asciiTheme="minorEastAsia" w:hAnsiTheme="minorEastAsia" w:eastAsiaTheme="minorEastAsia" w:cstheme="minorEastAsia"/>
                <w:color w:val="auto"/>
                <w:kern w:val="0"/>
                <w:sz w:val="21"/>
                <w:szCs w:val="21"/>
                <w:highlight w:val="none"/>
                <w:lang w:val="en-US" w:eastAsia="zh-CN" w:bidi="ar-SA"/>
              </w:rPr>
              <w:t>省级及以上土壤和地下水污染防治相关专家库的得2分</w:t>
            </w:r>
            <w:r>
              <w:rPr>
                <w:rFonts w:hint="eastAsia" w:asciiTheme="minorEastAsia" w:hAnsiTheme="minorEastAsia" w:eastAsiaTheme="minorEastAsia" w:cstheme="minorEastAsia"/>
                <w:color w:val="auto"/>
                <w:kern w:val="0"/>
                <w:sz w:val="21"/>
                <w:szCs w:val="21"/>
                <w:highlight w:val="none"/>
                <w:lang w:val="en-US" w:eastAsia="zh-CN" w:bidi="ar-SA"/>
              </w:rPr>
              <w:t>，其他不得分。</w:t>
            </w:r>
          </w:p>
          <w:p w14:paraId="0F844466">
            <w:pPr>
              <w:pStyle w:val="10"/>
              <w:keepNext w:val="0"/>
              <w:keepLines w:val="0"/>
              <w:pageBreakBefore w:val="0"/>
              <w:widowControl/>
              <w:kinsoku/>
              <w:wordWrap/>
              <w:overflowPunct/>
              <w:topLinePunct w:val="0"/>
              <w:bidi w:val="0"/>
              <w:spacing w:line="240" w:lineRule="auto"/>
              <w:ind w:left="0" w:leftChars="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有效的证书或证明材料；②社保部门出具的响应截止日期前近3个月在响应供应商的社会保险费用缴纳证明，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33F4DF14">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1"/>
                <w:szCs w:val="21"/>
                <w:highlight w:val="none"/>
                <w:lang w:val="en-US" w:eastAsia="zh-CN"/>
              </w:rPr>
              <w:t>7</w:t>
            </w:r>
          </w:p>
        </w:tc>
        <w:tc>
          <w:tcPr>
            <w:tcW w:w="686" w:type="dxa"/>
            <w:vAlign w:val="center"/>
          </w:tcPr>
          <w:p w14:paraId="1C339E28">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c>
          <w:tcPr>
            <w:tcW w:w="686" w:type="dxa"/>
            <w:vAlign w:val="center"/>
          </w:tcPr>
          <w:p w14:paraId="6BD0BCFD">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r>
      <w:tr w14:paraId="57F4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71F7B9C2">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p>
        </w:tc>
        <w:tc>
          <w:tcPr>
            <w:tcW w:w="1187" w:type="dxa"/>
            <w:vAlign w:val="center"/>
          </w:tcPr>
          <w:p w14:paraId="317D6E00">
            <w:pPr>
              <w:keepNext w:val="0"/>
              <w:keepLines w:val="0"/>
              <w:pageBreakBefore w:val="0"/>
              <w:widowControl/>
              <w:kinsoku/>
              <w:wordWrap/>
              <w:overflowPunct/>
              <w:topLinePunct w:val="0"/>
              <w:autoSpaceDE w:val="0"/>
              <w:autoSpaceDN w:val="0"/>
              <w:bidi w:val="0"/>
              <w:adjustRightInd w:val="0"/>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项目组成员</w:t>
            </w:r>
            <w:r>
              <w:rPr>
                <w:rFonts w:hint="eastAsia" w:asciiTheme="minorEastAsia" w:hAnsiTheme="minorEastAsia" w:eastAsiaTheme="minorEastAsia" w:cstheme="minorEastAsia"/>
                <w:color w:val="auto"/>
                <w:kern w:val="0"/>
                <w:sz w:val="21"/>
                <w:szCs w:val="21"/>
                <w:highlight w:val="none"/>
                <w:lang w:val="en-US" w:eastAsia="zh-CN" w:bidi="ar-SA"/>
              </w:rPr>
              <w:t>（项目负责人除外）</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89" w:type="dxa"/>
            <w:vAlign w:val="center"/>
          </w:tcPr>
          <w:p w14:paraId="76AA8EE9">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拟投入本项目的</w:t>
            </w:r>
            <w:r>
              <w:rPr>
                <w:rFonts w:hint="default" w:asciiTheme="minorEastAsia" w:hAnsiTheme="minorEastAsia" w:eastAsiaTheme="minorEastAsia" w:cstheme="minorEastAsia"/>
                <w:color w:val="auto"/>
                <w:kern w:val="0"/>
                <w:sz w:val="21"/>
                <w:szCs w:val="21"/>
                <w:highlight w:val="none"/>
                <w:lang w:val="en-US" w:eastAsia="zh-CN" w:bidi="ar-SA"/>
              </w:rPr>
              <w:t>项目组成员</w:t>
            </w:r>
            <w:r>
              <w:rPr>
                <w:rFonts w:hint="eastAsia" w:asciiTheme="minorEastAsia" w:hAnsiTheme="minorEastAsia" w:eastAsiaTheme="minorEastAsia" w:cstheme="minorEastAsia"/>
                <w:color w:val="auto"/>
                <w:kern w:val="0"/>
                <w:sz w:val="21"/>
                <w:szCs w:val="21"/>
                <w:highlight w:val="none"/>
                <w:lang w:val="en-US" w:eastAsia="zh-CN" w:bidi="ar-SA"/>
              </w:rPr>
              <w:t>（项目负责人除外）：</w:t>
            </w:r>
          </w:p>
          <w:p w14:paraId="6222802E">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（1）具有注册环保工程师资格证书的，每人得1分，最高得5分。</w:t>
            </w:r>
          </w:p>
          <w:p w14:paraId="7797D224">
            <w:pPr>
              <w:pStyle w:val="10"/>
              <w:keepNext w:val="0"/>
              <w:keepLines w:val="0"/>
              <w:pageBreakBefore w:val="0"/>
              <w:widowControl/>
              <w:kinsoku/>
              <w:wordWrap/>
              <w:overflowPunct/>
              <w:topLinePunct w:val="0"/>
              <w:bidi w:val="0"/>
              <w:spacing w:line="240" w:lineRule="auto"/>
              <w:ind w:left="0" w:firstLine="0" w:firstLineChars="0"/>
              <w:jc w:val="both"/>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（2）入选</w:t>
            </w:r>
            <w:r>
              <w:rPr>
                <w:rFonts w:hint="eastAsia" w:asciiTheme="minorEastAsia" w:hAnsiTheme="minorEastAsia" w:eastAsiaTheme="minorEastAsia" w:cstheme="minorEastAsia"/>
                <w:color w:val="auto"/>
                <w:kern w:val="0"/>
                <w:sz w:val="21"/>
                <w:szCs w:val="21"/>
                <w:highlight w:val="none"/>
                <w:lang w:val="en-US" w:eastAsia="zh-CN" w:bidi="ar-SA"/>
              </w:rPr>
              <w:t>生态环境行政主管部门组织的</w:t>
            </w:r>
            <w:r>
              <w:rPr>
                <w:rFonts w:hint="eastAsia" w:asciiTheme="minorEastAsia" w:hAnsiTheme="minorEastAsia" w:eastAsiaTheme="minorEastAsia" w:cstheme="minorEastAsia"/>
                <w:color w:val="auto"/>
                <w:kern w:val="0"/>
                <w:sz w:val="21"/>
                <w:szCs w:val="21"/>
                <w:highlight w:val="none"/>
                <w:lang w:val="en-US" w:eastAsia="zh-CN" w:bidi="ar-SA"/>
              </w:rPr>
              <w:t>省级</w:t>
            </w:r>
            <w:r>
              <w:rPr>
                <w:rFonts w:hint="eastAsia" w:asciiTheme="minorEastAsia" w:hAnsiTheme="minorEastAsia" w:eastAsiaTheme="minorEastAsia" w:cstheme="minorEastAsia"/>
                <w:color w:val="auto"/>
                <w:kern w:val="0"/>
                <w:sz w:val="21"/>
                <w:szCs w:val="21"/>
                <w:highlight w:val="none"/>
                <w:lang w:val="en-US" w:eastAsia="zh-CN" w:bidi="ar-SA"/>
              </w:rPr>
              <w:t>及以上</w:t>
            </w:r>
            <w:r>
              <w:rPr>
                <w:rFonts w:hint="eastAsia" w:asciiTheme="minorEastAsia" w:hAnsiTheme="minorEastAsia" w:eastAsiaTheme="minorEastAsia" w:cstheme="minorEastAsia"/>
                <w:color w:val="auto"/>
                <w:kern w:val="0"/>
                <w:sz w:val="21"/>
                <w:szCs w:val="21"/>
                <w:highlight w:val="none"/>
                <w:lang w:val="en-US" w:eastAsia="zh-CN" w:bidi="ar-SA"/>
              </w:rPr>
              <w:t>土壤</w:t>
            </w:r>
            <w:r>
              <w:rPr>
                <w:rFonts w:hint="eastAsia" w:asciiTheme="minorEastAsia" w:hAnsiTheme="minorEastAsia" w:eastAsiaTheme="minorEastAsia" w:cstheme="minorEastAsia"/>
                <w:color w:val="auto"/>
                <w:kern w:val="0"/>
                <w:sz w:val="21"/>
                <w:szCs w:val="21"/>
                <w:highlight w:val="none"/>
                <w:lang w:val="en-US" w:eastAsia="zh-CN" w:bidi="ar-SA"/>
              </w:rPr>
              <w:t>和地下水</w:t>
            </w:r>
            <w:r>
              <w:rPr>
                <w:rFonts w:hint="eastAsia" w:asciiTheme="minorEastAsia" w:hAnsiTheme="minorEastAsia" w:eastAsiaTheme="minorEastAsia" w:cstheme="minorEastAsia"/>
                <w:color w:val="auto"/>
                <w:kern w:val="0"/>
                <w:sz w:val="21"/>
                <w:szCs w:val="21"/>
                <w:highlight w:val="none"/>
                <w:lang w:val="en-US" w:eastAsia="zh-CN" w:bidi="ar-SA"/>
              </w:rPr>
              <w:t>污染防治专家库的，每入选1人得为1分，</w:t>
            </w:r>
            <w:r>
              <w:rPr>
                <w:rFonts w:hint="eastAsia" w:asciiTheme="minorEastAsia" w:hAnsiTheme="minorEastAsia" w:eastAsiaTheme="minorEastAsia" w:cstheme="minorEastAsia"/>
                <w:color w:val="auto"/>
                <w:kern w:val="0"/>
                <w:sz w:val="21"/>
                <w:szCs w:val="21"/>
                <w:highlight w:val="none"/>
                <w:lang w:val="en-US" w:eastAsia="zh-CN" w:bidi="ar-SA"/>
              </w:rPr>
              <w:t>其他不得分，</w:t>
            </w:r>
            <w:r>
              <w:rPr>
                <w:rFonts w:hint="eastAsia" w:asciiTheme="minorEastAsia" w:hAnsiTheme="minorEastAsia" w:eastAsiaTheme="minorEastAsia" w:cstheme="minorEastAsia"/>
                <w:color w:val="auto"/>
                <w:kern w:val="0"/>
                <w:sz w:val="21"/>
                <w:szCs w:val="21"/>
                <w:highlight w:val="none"/>
                <w:lang w:val="en-US" w:eastAsia="zh-CN" w:bidi="ar-SA"/>
              </w:rPr>
              <w:t>本项最高得2分。</w:t>
            </w:r>
          </w:p>
          <w:p w14:paraId="296EBF49">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（3）具有生态、环保类相关专业高级</w:t>
            </w:r>
            <w:r>
              <w:rPr>
                <w:rFonts w:hint="eastAsia" w:asciiTheme="minorEastAsia" w:hAnsiTheme="minorEastAsia" w:eastAsiaTheme="minorEastAsia" w:cstheme="minorEastAsia"/>
                <w:color w:val="auto"/>
                <w:kern w:val="0"/>
                <w:sz w:val="21"/>
                <w:szCs w:val="21"/>
                <w:highlight w:val="none"/>
                <w:lang w:val="en-US" w:eastAsia="zh-CN" w:bidi="ar-SA"/>
              </w:rPr>
              <w:t>及以上</w:t>
            </w:r>
            <w:r>
              <w:rPr>
                <w:rFonts w:hint="eastAsia" w:asciiTheme="minorEastAsia" w:hAnsiTheme="minorEastAsia" w:eastAsiaTheme="minorEastAsia" w:cstheme="minorEastAsia"/>
                <w:color w:val="auto"/>
                <w:kern w:val="0"/>
                <w:sz w:val="21"/>
                <w:szCs w:val="21"/>
                <w:highlight w:val="none"/>
                <w:lang w:val="en-US" w:eastAsia="zh-CN" w:bidi="ar-SA"/>
              </w:rPr>
              <w:t>工程师职称证书的每人得1分，中级职称证书的每人得0.5分，</w:t>
            </w:r>
            <w:r>
              <w:rPr>
                <w:rFonts w:hint="eastAsia" w:asciiTheme="minorEastAsia" w:hAnsiTheme="minorEastAsia" w:eastAsiaTheme="minorEastAsia" w:cstheme="minorEastAsia"/>
                <w:color w:val="auto"/>
                <w:kern w:val="0"/>
                <w:sz w:val="21"/>
                <w:szCs w:val="21"/>
                <w:highlight w:val="none"/>
                <w:lang w:val="en-US" w:eastAsia="zh-CN" w:bidi="ar-SA"/>
              </w:rPr>
              <w:t>其他不得分，</w:t>
            </w:r>
            <w:r>
              <w:rPr>
                <w:rFonts w:hint="eastAsia" w:asciiTheme="minorEastAsia" w:hAnsiTheme="minorEastAsia" w:eastAsiaTheme="minorEastAsia" w:cstheme="minorEastAsia"/>
                <w:color w:val="auto"/>
                <w:kern w:val="0"/>
                <w:sz w:val="21"/>
                <w:szCs w:val="21"/>
                <w:highlight w:val="none"/>
                <w:lang w:val="en-US" w:eastAsia="zh-CN" w:bidi="ar-SA"/>
              </w:rPr>
              <w:t>本项最高得3分。</w:t>
            </w:r>
          </w:p>
          <w:p w14:paraId="73B0AF14">
            <w:pPr>
              <w:pStyle w:val="10"/>
              <w:keepNext w:val="0"/>
              <w:keepLines w:val="0"/>
              <w:pageBreakBefore w:val="0"/>
              <w:widowControl/>
              <w:kinsoku/>
              <w:wordWrap/>
              <w:overflowPunct/>
              <w:topLinePunct w:val="0"/>
              <w:bidi w:val="0"/>
              <w:spacing w:line="240" w:lineRule="auto"/>
              <w:ind w:lef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注：</w:t>
            </w:r>
            <w:r>
              <w:rPr>
                <w:rFonts w:hint="eastAsia" w:asciiTheme="minorEastAsia" w:hAnsiTheme="minorEastAsia" w:eastAsiaTheme="minorEastAsia" w:cstheme="minorEastAsia"/>
                <w:b/>
                <w:bCs/>
                <w:color w:val="auto"/>
                <w:kern w:val="0"/>
                <w:sz w:val="21"/>
                <w:szCs w:val="21"/>
                <w:highlight w:val="none"/>
                <w:lang w:val="en-US" w:eastAsia="zh-CN" w:bidi="ar-SA"/>
              </w:rPr>
              <w:t>有多个职称的就高不重复计分。</w:t>
            </w:r>
            <w:r>
              <w:rPr>
                <w:rFonts w:hint="eastAsia" w:asciiTheme="minorEastAsia" w:hAnsiTheme="minorEastAsia" w:eastAsiaTheme="minorEastAsia" w:cstheme="minorEastAsia"/>
                <w:b/>
                <w:bCs/>
                <w:color w:val="auto"/>
                <w:kern w:val="0"/>
                <w:sz w:val="21"/>
                <w:szCs w:val="21"/>
                <w:highlight w:val="none"/>
                <w:lang w:val="en-US" w:eastAsia="zh-CN" w:bidi="ar-SA"/>
              </w:rPr>
              <w:t>同一人满足（1）和（3）证书要求的，不重复计分。</w:t>
            </w:r>
          </w:p>
          <w:p w14:paraId="65385D6D">
            <w:pPr>
              <w:pStyle w:val="10"/>
              <w:keepNext w:val="0"/>
              <w:keepLines w:val="0"/>
              <w:pageBreakBefore w:val="0"/>
              <w:widowControl/>
              <w:kinsoku/>
              <w:wordWrap/>
              <w:overflowPunct/>
              <w:topLinePunct w:val="0"/>
              <w:bidi w:val="0"/>
              <w:spacing w:line="240" w:lineRule="auto"/>
              <w:ind w:left="0" w:leftChars="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对应人员</w:t>
            </w:r>
            <w:r>
              <w:rPr>
                <w:rFonts w:hint="eastAsia" w:asciiTheme="minorEastAsia" w:hAnsiTheme="minorEastAsia" w:eastAsiaTheme="minorEastAsia" w:cstheme="minorEastAsia"/>
                <w:b/>
                <w:bCs/>
                <w:color w:val="auto"/>
                <w:kern w:val="0"/>
                <w:sz w:val="21"/>
                <w:szCs w:val="21"/>
                <w:highlight w:val="none"/>
                <w:lang w:val="en-US" w:eastAsia="zh-CN" w:bidi="ar-SA"/>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kern w:val="0"/>
                <w:sz w:val="21"/>
                <w:szCs w:val="21"/>
                <w:highlight w:val="none"/>
                <w:lang w:val="en-US" w:eastAsia="zh-CN" w:bidi="ar-SA"/>
              </w:rPr>
              <w:t>有效的证书或证明材料；②社保部门出具的响应截止日期前近3个月在响应供应商的社会保险费用缴纳证明，</w:t>
            </w:r>
            <w:r>
              <w:rPr>
                <w:rFonts w:hint="eastAsia" w:asciiTheme="minorEastAsia" w:hAnsiTheme="minorEastAsia" w:eastAsiaTheme="minorEastAsia" w:cstheme="minorEastAsia"/>
                <w:b/>
                <w:bCs/>
                <w:color w:val="auto"/>
                <w:highlight w:val="none"/>
                <w:lang w:val="en-US" w:eastAsia="zh-CN"/>
              </w:rPr>
              <w:t>上述资料扫描件</w:t>
            </w:r>
            <w:r>
              <w:rPr>
                <w:rFonts w:hint="eastAsia" w:asciiTheme="minorEastAsia" w:hAnsiTheme="minorEastAsia" w:eastAsiaTheme="minorEastAsia" w:cstheme="minorEastAsia"/>
                <w:b/>
                <w:bCs/>
                <w:color w:val="auto"/>
                <w:highlight w:val="none"/>
              </w:rPr>
              <w:t>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highlight w:val="none"/>
              </w:rPr>
              <w:t>公章编入投标文件中，未提供</w:t>
            </w:r>
            <w:r>
              <w:rPr>
                <w:rFonts w:hint="eastAsia" w:asciiTheme="minorEastAsia" w:hAnsiTheme="minorEastAsia" w:eastAsiaTheme="minorEastAsia" w:cstheme="minorEastAsia"/>
                <w:b/>
                <w:bCs/>
                <w:color w:val="auto"/>
                <w:highlight w:val="none"/>
                <w:lang w:val="en-US" w:eastAsia="zh-CN"/>
              </w:rPr>
              <w:t>或提供不全</w:t>
            </w:r>
            <w:r>
              <w:rPr>
                <w:rFonts w:hint="eastAsia" w:asciiTheme="minorEastAsia" w:hAnsiTheme="minorEastAsia" w:eastAsiaTheme="minorEastAsia" w:cstheme="minorEastAsia"/>
                <w:b/>
                <w:bCs/>
                <w:color w:val="auto"/>
                <w:highlight w:val="none"/>
              </w:rPr>
              <w:t>的不得分</w:t>
            </w:r>
            <w:r>
              <w:rPr>
                <w:rFonts w:hint="eastAsia" w:asciiTheme="minorEastAsia" w:hAnsiTheme="minorEastAsia" w:eastAsiaTheme="minorEastAsia" w:cstheme="minorEastAsia"/>
                <w:b/>
                <w:bCs w:val="0"/>
                <w:color w:val="auto"/>
                <w:szCs w:val="21"/>
                <w:highlight w:val="none"/>
                <w:lang w:eastAsia="zh-CN"/>
              </w:rPr>
              <w:t>）</w:t>
            </w:r>
          </w:p>
        </w:tc>
        <w:tc>
          <w:tcPr>
            <w:tcW w:w="686" w:type="dxa"/>
            <w:vAlign w:val="center"/>
          </w:tcPr>
          <w:p w14:paraId="7E339BAC">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1"/>
                <w:szCs w:val="21"/>
                <w:highlight w:val="none"/>
                <w:lang w:val="en-US" w:eastAsia="zh-CN"/>
              </w:rPr>
              <w:t>10</w:t>
            </w:r>
          </w:p>
        </w:tc>
        <w:tc>
          <w:tcPr>
            <w:tcW w:w="686" w:type="dxa"/>
            <w:vAlign w:val="center"/>
          </w:tcPr>
          <w:p w14:paraId="3F901992">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c>
          <w:tcPr>
            <w:tcW w:w="686" w:type="dxa"/>
            <w:vAlign w:val="center"/>
          </w:tcPr>
          <w:p w14:paraId="27873798">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r>
      <w:tr w14:paraId="0D9A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89" w:type="dxa"/>
            <w:vMerge w:val="restart"/>
            <w:vAlign w:val="center"/>
          </w:tcPr>
          <w:p w14:paraId="399A448F">
            <w:pPr>
              <w:pStyle w:val="61"/>
              <w:keepNext w:val="0"/>
              <w:keepLines w:val="0"/>
              <w:pageBreakBefore w:val="0"/>
              <w:widowControl/>
              <w:kinsoku/>
              <w:wordWrap/>
              <w:overflowPunct/>
              <w:topLinePunct w:val="0"/>
              <w:autoSpaceDE/>
              <w:autoSpaceDN/>
              <w:bidi w:val="0"/>
              <w:adjustRightInd/>
              <w:snapToGrid/>
              <w:spacing w:after="0"/>
              <w:jc w:val="center"/>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技术分</w:t>
            </w:r>
          </w:p>
          <w:p w14:paraId="6C3081E4">
            <w:pPr>
              <w:pStyle w:val="61"/>
              <w:keepNext w:val="0"/>
              <w:keepLines w:val="0"/>
              <w:pageBreakBefore w:val="0"/>
              <w:widowControl/>
              <w:kinsoku/>
              <w:wordWrap/>
              <w:overflowPunct/>
              <w:topLinePunct w:val="0"/>
              <w:autoSpaceDE/>
              <w:autoSpaceDN/>
              <w:bidi w:val="0"/>
              <w:adjustRightInd/>
              <w:snapToGrid/>
              <w:spacing w:after="0"/>
              <w:jc w:val="center"/>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60</w:t>
            </w:r>
            <w:r>
              <w:rPr>
                <w:rFonts w:hint="eastAsia" w:asciiTheme="minorEastAsia" w:hAnsiTheme="minorEastAsia" w:eastAsiaTheme="minorEastAsia" w:cstheme="minorEastAsia"/>
                <w:color w:val="auto"/>
                <w:kern w:val="0"/>
                <w:highlight w:val="none"/>
              </w:rPr>
              <w:t>分）</w:t>
            </w:r>
          </w:p>
        </w:tc>
        <w:tc>
          <w:tcPr>
            <w:tcW w:w="1187" w:type="dxa"/>
            <w:vAlign w:val="center"/>
          </w:tcPr>
          <w:p w14:paraId="44EB70F7">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rPr>
              <w:t>项目理解</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1182CED6">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的认识了解，以及开展工作的必要性、工作任务的理解等情况进行打分。</w:t>
            </w:r>
          </w:p>
          <w:p w14:paraId="4FDECA03">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rPr>
              <w:t>理解深刻、工作任务明确的得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6793177">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rPr>
              <w:t>理解</w:t>
            </w:r>
            <w:r>
              <w:rPr>
                <w:rFonts w:hint="eastAsia" w:ascii="宋体" w:hAnsi="宋体" w:eastAsia="宋体" w:cs="宋体"/>
                <w:color w:val="auto"/>
                <w:sz w:val="21"/>
                <w:szCs w:val="21"/>
                <w:highlight w:val="none"/>
                <w:lang w:val="en-US"/>
              </w:rPr>
              <w:t>准确</w:t>
            </w:r>
            <w:r>
              <w:rPr>
                <w:rFonts w:hint="eastAsia" w:ascii="宋体" w:hAnsi="宋体" w:eastAsia="宋体" w:cs="宋体"/>
                <w:color w:val="auto"/>
                <w:sz w:val="21"/>
                <w:szCs w:val="21"/>
                <w:highlight w:val="none"/>
              </w:rPr>
              <w:t>、工作任务部分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明确的得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CF00806">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rPr>
              <w:t>理解程度简单、工作任务</w:t>
            </w:r>
            <w:r>
              <w:rPr>
                <w:rFonts w:hint="eastAsia" w:ascii="宋体" w:hAnsi="宋体" w:eastAsia="宋体" w:cs="宋体"/>
                <w:color w:val="auto"/>
                <w:sz w:val="21"/>
                <w:szCs w:val="21"/>
                <w:highlight w:val="none"/>
                <w:lang w:val="en-US" w:eastAsia="zh-CN"/>
              </w:rPr>
              <w:t>认识片面</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09AC230">
            <w:pPr>
              <w:pStyle w:val="5"/>
              <w:keepNext w:val="0"/>
              <w:keepLines w:val="0"/>
              <w:pageBreakBefore w:val="0"/>
              <w:widowControl/>
              <w:kinsoku/>
              <w:wordWrap/>
              <w:overflowPunct/>
              <w:topLinePunct w:val="0"/>
              <w:bidi w:val="0"/>
              <w:spacing w:line="24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对项目理解有待加强，内容仅简单提及的得1分；</w:t>
            </w:r>
          </w:p>
          <w:p w14:paraId="476757E0">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641B9C34">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lang w:val="en-US" w:eastAsia="zh-CN"/>
              </w:rPr>
              <w:t>7</w:t>
            </w:r>
          </w:p>
        </w:tc>
        <w:tc>
          <w:tcPr>
            <w:tcW w:w="686" w:type="dxa"/>
            <w:vAlign w:val="center"/>
          </w:tcPr>
          <w:p w14:paraId="006B2689">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c>
          <w:tcPr>
            <w:tcW w:w="686" w:type="dxa"/>
            <w:vAlign w:val="center"/>
          </w:tcPr>
          <w:p w14:paraId="0444186A">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r>
      <w:tr w14:paraId="2A3C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7583A353">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16856F99">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重点问题识别</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02D9634B">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根据供应商对24家重点监管单位的基本情况的了解程度，污染问题的识别以及水文地质条件的了解程度等进行打分。</w:t>
            </w:r>
          </w:p>
          <w:p w14:paraId="7BF45CD5">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基本情况、水文地质条件掌握、问题识别全面的得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455DBCFC">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基本情况、水文地质条件部分了解、问题识别基本合理的得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70AC809">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基本情况、水文地质条件不够了解、问题识别简单片面的得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2B8AB28">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对基本情况、水文地质条件理解有待加强，内容仅简单提及的得1分；</w:t>
            </w:r>
          </w:p>
          <w:p w14:paraId="1AC4869E">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78478C46">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kern w:val="0"/>
                <w:highlight w:val="none"/>
                <w:lang w:val="en-US" w:eastAsia="zh-CN"/>
              </w:rPr>
            </w:pPr>
            <w:r>
              <w:rPr>
                <w:rFonts w:hint="eastAsia" w:hAnsi="宋体" w:eastAsia="宋体" w:cs="宋体"/>
                <w:color w:val="auto"/>
                <w:sz w:val="21"/>
                <w:szCs w:val="21"/>
                <w:highlight w:val="none"/>
                <w:lang w:val="en-US" w:eastAsia="zh-CN"/>
              </w:rPr>
              <w:t>8</w:t>
            </w:r>
          </w:p>
        </w:tc>
        <w:tc>
          <w:tcPr>
            <w:tcW w:w="686" w:type="dxa"/>
            <w:vAlign w:val="center"/>
          </w:tcPr>
          <w:p w14:paraId="6270C335">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c>
          <w:tcPr>
            <w:tcW w:w="686" w:type="dxa"/>
            <w:vAlign w:val="center"/>
          </w:tcPr>
          <w:p w14:paraId="40B1CE29">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r>
      <w:tr w14:paraId="0A8A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61B6BB69">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057DB211">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工作思路</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03427D36">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bCs/>
                <w:color w:val="auto"/>
                <w:sz w:val="21"/>
                <w:szCs w:val="21"/>
                <w:highlight w:val="none"/>
              </w:rPr>
              <w:t>项目的工作原则、工作</w:t>
            </w:r>
            <w:r>
              <w:rPr>
                <w:rFonts w:hint="eastAsia" w:ascii="宋体" w:hAnsi="宋体" w:eastAsia="宋体" w:cs="宋体"/>
                <w:bCs/>
                <w:color w:val="auto"/>
                <w:sz w:val="21"/>
                <w:szCs w:val="21"/>
                <w:highlight w:val="none"/>
                <w:lang w:val="en-US" w:eastAsia="zh-CN"/>
              </w:rPr>
              <w:t>思路及工作部署</w:t>
            </w:r>
            <w:r>
              <w:rPr>
                <w:rFonts w:hint="eastAsia" w:ascii="宋体" w:hAnsi="宋体" w:eastAsia="宋体" w:cs="宋体"/>
                <w:bCs/>
                <w:color w:val="auto"/>
                <w:sz w:val="21"/>
                <w:szCs w:val="21"/>
                <w:highlight w:val="none"/>
              </w:rPr>
              <w:t>等</w:t>
            </w:r>
            <w:r>
              <w:rPr>
                <w:rFonts w:hint="eastAsia" w:ascii="宋体" w:hAnsi="宋体" w:eastAsia="宋体" w:cs="宋体"/>
                <w:bCs/>
                <w:color w:val="auto"/>
                <w:sz w:val="21"/>
                <w:szCs w:val="21"/>
                <w:highlight w:val="none"/>
                <w:lang w:val="en-US" w:eastAsia="zh-CN"/>
              </w:rPr>
              <w:t>情况</w:t>
            </w:r>
            <w:r>
              <w:rPr>
                <w:rFonts w:hint="eastAsia" w:ascii="宋体" w:hAnsi="宋体" w:eastAsia="宋体" w:cs="宋体"/>
                <w:bCs/>
                <w:color w:val="auto"/>
                <w:sz w:val="21"/>
                <w:szCs w:val="21"/>
                <w:highlight w:val="none"/>
              </w:rPr>
              <w:t>进行打分。</w:t>
            </w:r>
          </w:p>
          <w:p w14:paraId="4499D107">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w:t>
            </w:r>
            <w:r>
              <w:rPr>
                <w:rFonts w:hint="eastAsia" w:ascii="宋体" w:hAnsi="宋体" w:eastAsia="宋体" w:cs="宋体"/>
                <w:bCs/>
                <w:color w:val="auto"/>
                <w:sz w:val="21"/>
                <w:szCs w:val="21"/>
                <w:highlight w:val="none"/>
              </w:rPr>
              <w:t>思路</w:t>
            </w:r>
            <w:r>
              <w:rPr>
                <w:rFonts w:hint="eastAsia" w:ascii="宋体" w:hAnsi="宋体" w:eastAsia="宋体" w:cs="宋体"/>
                <w:bCs/>
                <w:color w:val="auto"/>
                <w:sz w:val="21"/>
                <w:szCs w:val="21"/>
                <w:highlight w:val="none"/>
                <w:lang w:val="en-US" w:eastAsia="zh-CN"/>
              </w:rPr>
              <w:t>清晰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工作部署明确合理</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auto"/>
                <w:sz w:val="21"/>
                <w:szCs w:val="21"/>
                <w:highlight w:val="none"/>
              </w:rPr>
              <w:t>分；</w:t>
            </w:r>
          </w:p>
          <w:p w14:paraId="381DA9A4">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w:t>
            </w:r>
            <w:r>
              <w:rPr>
                <w:rFonts w:hint="eastAsia" w:ascii="宋体" w:hAnsi="宋体" w:eastAsia="宋体" w:cs="宋体"/>
                <w:bCs/>
                <w:color w:val="auto"/>
                <w:sz w:val="21"/>
                <w:szCs w:val="21"/>
                <w:highlight w:val="none"/>
              </w:rPr>
              <w:t>思路</w:t>
            </w:r>
            <w:r>
              <w:rPr>
                <w:rFonts w:hint="eastAsia" w:ascii="宋体" w:hAnsi="宋体" w:eastAsia="宋体" w:cs="宋体"/>
                <w:bCs/>
                <w:color w:val="auto"/>
                <w:sz w:val="21"/>
                <w:szCs w:val="21"/>
                <w:highlight w:val="none"/>
                <w:lang w:val="en-US" w:eastAsia="zh-CN"/>
              </w:rPr>
              <w:t>较清晰，工作部署较合理</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1F71CCF3">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w:t>
            </w:r>
            <w:r>
              <w:rPr>
                <w:rFonts w:hint="eastAsia" w:ascii="宋体" w:hAnsi="宋体" w:eastAsia="宋体" w:cs="宋体"/>
                <w:bCs/>
                <w:color w:val="auto"/>
                <w:sz w:val="21"/>
                <w:szCs w:val="21"/>
                <w:highlight w:val="none"/>
              </w:rPr>
              <w:t>思路</w:t>
            </w:r>
            <w:r>
              <w:rPr>
                <w:rFonts w:hint="eastAsia" w:ascii="宋体" w:hAnsi="宋体" w:eastAsia="宋体" w:cs="宋体"/>
                <w:bCs/>
                <w:color w:val="auto"/>
                <w:sz w:val="21"/>
                <w:szCs w:val="21"/>
                <w:highlight w:val="none"/>
                <w:lang w:val="en-US" w:eastAsia="zh-CN"/>
              </w:rPr>
              <w:t>清晰</w:t>
            </w:r>
            <w:r>
              <w:rPr>
                <w:rFonts w:hint="eastAsia" w:ascii="宋体" w:hAnsi="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en-US" w:eastAsia="zh-CN"/>
              </w:rPr>
              <w:t>，工作部署</w:t>
            </w:r>
            <w:r>
              <w:rPr>
                <w:rFonts w:hint="eastAsia" w:ascii="宋体" w:hAnsi="宋体" w:cs="宋体"/>
                <w:bCs/>
                <w:color w:val="auto"/>
                <w:sz w:val="21"/>
                <w:szCs w:val="21"/>
                <w:highlight w:val="none"/>
                <w:lang w:val="en-US" w:eastAsia="zh-CN"/>
              </w:rPr>
              <w:t>合理性一般</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25266E16">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工作思路</w:t>
            </w:r>
            <w:r>
              <w:rPr>
                <w:rFonts w:hint="eastAsia" w:ascii="宋体" w:hAnsi="宋体" w:eastAsia="宋体" w:cs="宋体"/>
                <w:bCs/>
                <w:color w:val="auto"/>
                <w:sz w:val="21"/>
                <w:szCs w:val="21"/>
                <w:highlight w:val="none"/>
              </w:rPr>
              <w:t>简单、缺乏严谨性，</w:t>
            </w:r>
            <w:r>
              <w:rPr>
                <w:rFonts w:hint="eastAsia" w:ascii="宋体" w:hAnsi="宋体" w:eastAsia="宋体" w:cs="宋体"/>
                <w:bCs/>
                <w:color w:val="auto"/>
                <w:sz w:val="21"/>
                <w:szCs w:val="21"/>
                <w:highlight w:val="none"/>
                <w:lang w:val="en-US" w:eastAsia="zh-CN"/>
              </w:rPr>
              <w:t>工作部署</w:t>
            </w:r>
            <w:r>
              <w:rPr>
                <w:rFonts w:hint="eastAsia" w:ascii="宋体" w:hAnsi="宋体" w:eastAsia="宋体" w:cs="宋体"/>
                <w:bCs/>
                <w:color w:val="auto"/>
                <w:sz w:val="21"/>
                <w:szCs w:val="21"/>
                <w:highlight w:val="none"/>
              </w:rPr>
              <w:t>片面的得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7477BAE0">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未提及此项不得分。</w:t>
            </w:r>
          </w:p>
        </w:tc>
        <w:tc>
          <w:tcPr>
            <w:tcW w:w="686" w:type="dxa"/>
            <w:vAlign w:val="center"/>
          </w:tcPr>
          <w:p w14:paraId="5399A17D">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c>
          <w:tcPr>
            <w:tcW w:w="686" w:type="dxa"/>
            <w:vAlign w:val="center"/>
          </w:tcPr>
          <w:p w14:paraId="364ADFF1">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c>
          <w:tcPr>
            <w:tcW w:w="686" w:type="dxa"/>
            <w:vAlign w:val="center"/>
          </w:tcPr>
          <w:p w14:paraId="53A58AE3">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r>
      <w:tr w14:paraId="1AB9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36565949">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554C9F34">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布点方案</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5A60592D">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对本项目监管单位周边监测布点方案工作的要求理解程度进行打分</w:t>
            </w:r>
            <w:r>
              <w:rPr>
                <w:rFonts w:hint="eastAsia" w:ascii="宋体" w:hAnsi="宋体" w:eastAsia="宋体" w:cs="宋体"/>
                <w:bCs/>
                <w:color w:val="auto"/>
                <w:sz w:val="21"/>
                <w:szCs w:val="21"/>
                <w:highlight w:val="none"/>
              </w:rPr>
              <w:t>。</w:t>
            </w:r>
          </w:p>
          <w:p w14:paraId="68E084BA">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布点工作认识到位、明确的，符合项目工作要求的</w:t>
            </w:r>
            <w:r>
              <w:rPr>
                <w:rFonts w:hint="eastAsia" w:ascii="宋体" w:hAnsi="宋体" w:eastAsia="宋体" w:cs="宋体"/>
                <w:bCs/>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auto"/>
                <w:sz w:val="21"/>
                <w:szCs w:val="21"/>
                <w:highlight w:val="none"/>
              </w:rPr>
              <w:t>分；</w:t>
            </w:r>
          </w:p>
          <w:p w14:paraId="62196288">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布点工作认识基本到位、明确，基本符合项目工作要求的</w:t>
            </w:r>
            <w:r>
              <w:rPr>
                <w:rFonts w:hint="eastAsia" w:ascii="宋体" w:hAnsi="宋体" w:eastAsia="宋体" w:cs="宋体"/>
                <w:bCs/>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2DF95C38">
            <w:pPr>
              <w:pStyle w:val="5"/>
              <w:keepNext w:val="0"/>
              <w:keepLines w:val="0"/>
              <w:pageBreakBefore w:val="0"/>
              <w:widowControl/>
              <w:kinsoku/>
              <w:wordWrap/>
              <w:overflowPunct/>
              <w:topLinePunct w:val="0"/>
              <w:bidi w:val="0"/>
              <w:spacing w:line="240" w:lineRule="auto"/>
              <w:ind w:left="0" w:firstLine="0" w:firstLineChars="0"/>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布点工作认识</w:t>
            </w:r>
            <w:r>
              <w:rPr>
                <w:rFonts w:hint="eastAsia" w:ascii="宋体" w:hAnsi="宋体" w:cs="宋体"/>
                <w:bCs/>
                <w:color w:val="auto"/>
                <w:sz w:val="21"/>
                <w:szCs w:val="21"/>
                <w:highlight w:val="none"/>
                <w:lang w:val="en-US" w:eastAsia="zh-CN"/>
              </w:rPr>
              <w:t>一般，距离项目工作要求存在差距的得</w:t>
            </w:r>
            <w:r>
              <w:rPr>
                <w:rFonts w:hint="eastAsia" w:ascii="宋体" w:hAnsi="宋体" w:eastAsia="宋体" w:cs="宋体"/>
                <w:color w:val="auto"/>
                <w:sz w:val="21"/>
                <w:szCs w:val="21"/>
                <w:highlight w:val="none"/>
                <w:lang w:val="en-US" w:eastAsia="zh-CN"/>
              </w:rPr>
              <w:t>3</w:t>
            </w:r>
            <w:r>
              <w:rPr>
                <w:rFonts w:hint="eastAsia" w:ascii="宋体" w:hAnsi="宋体" w:cs="宋体"/>
                <w:bCs/>
                <w:color w:val="auto"/>
                <w:sz w:val="21"/>
                <w:szCs w:val="21"/>
                <w:highlight w:val="none"/>
                <w:lang w:val="en-US" w:eastAsia="zh-CN"/>
              </w:rPr>
              <w:t>分；</w:t>
            </w:r>
          </w:p>
          <w:p w14:paraId="174F2FC0">
            <w:pPr>
              <w:pStyle w:val="5"/>
              <w:keepNext w:val="0"/>
              <w:keepLines w:val="0"/>
              <w:pageBreakBefore w:val="0"/>
              <w:widowControl/>
              <w:kinsoku/>
              <w:wordWrap/>
              <w:overflowPunct/>
              <w:topLinePunct w:val="0"/>
              <w:bidi w:val="0"/>
              <w:spacing w:line="240" w:lineRule="auto"/>
              <w:ind w:left="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布点工作认识欠到位、不明确的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4A6E286D">
            <w:pPr>
              <w:pStyle w:val="5"/>
              <w:keepNext w:val="0"/>
              <w:keepLines w:val="0"/>
              <w:pageBreakBefore w:val="0"/>
              <w:widowControl/>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未提及此项不得分。</w:t>
            </w:r>
          </w:p>
        </w:tc>
        <w:tc>
          <w:tcPr>
            <w:tcW w:w="686" w:type="dxa"/>
            <w:vAlign w:val="center"/>
          </w:tcPr>
          <w:p w14:paraId="2160A6EB">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c>
          <w:tcPr>
            <w:tcW w:w="686" w:type="dxa"/>
            <w:vAlign w:val="center"/>
          </w:tcPr>
          <w:p w14:paraId="6F481144">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c>
          <w:tcPr>
            <w:tcW w:w="686" w:type="dxa"/>
            <w:vAlign w:val="center"/>
          </w:tcPr>
          <w:p w14:paraId="34EF7189">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r>
      <w:tr w14:paraId="2852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2454F234">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62371235">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现场及质控</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20C858A6">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开展现场工作的能力水平及质控内容要求进行打分。</w:t>
            </w:r>
          </w:p>
          <w:p w14:paraId="24CFB6B4">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质控内容分析准确，质控方案条理清晰、操作性强、确保项目质量的得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p>
          <w:p w14:paraId="31BFCE51">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质控内容分析基本准确，质控方案条理基本清晰，有一定操作性、基本能确保项目质量的得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58550925">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w:t>
            </w:r>
            <w:r>
              <w:rPr>
                <w:rFonts w:hint="eastAsia" w:ascii="宋体" w:hAnsi="宋体" w:cs="宋体"/>
                <w:bCs/>
                <w:color w:val="auto"/>
                <w:sz w:val="21"/>
                <w:szCs w:val="21"/>
                <w:highlight w:val="none"/>
                <w:lang w:val="en-US" w:eastAsia="zh-CN"/>
              </w:rPr>
              <w:t>一般，操作性有待加强，项目质量有待保障的得</w:t>
            </w:r>
            <w:r>
              <w:rPr>
                <w:rFonts w:hint="eastAsia" w:ascii="宋体" w:hAnsi="宋体" w:eastAsia="宋体" w:cs="宋体"/>
                <w:color w:val="auto"/>
                <w:sz w:val="21"/>
                <w:szCs w:val="21"/>
                <w:highlight w:val="none"/>
                <w:lang w:val="en-US" w:eastAsia="zh-CN"/>
              </w:rPr>
              <w:t>3</w:t>
            </w:r>
            <w:r>
              <w:rPr>
                <w:rFonts w:hint="eastAsia" w:ascii="宋体" w:hAnsi="宋体" w:cs="宋体"/>
                <w:bCs/>
                <w:color w:val="auto"/>
                <w:sz w:val="21"/>
                <w:szCs w:val="21"/>
                <w:highlight w:val="none"/>
                <w:lang w:val="en-US" w:eastAsia="zh-CN"/>
              </w:rPr>
              <w:t>分；</w:t>
            </w:r>
          </w:p>
          <w:p w14:paraId="46FBD9E9">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质控内容分析不准确，质控方案条理混乱，项目质量</w:t>
            </w:r>
            <w:r>
              <w:rPr>
                <w:rFonts w:hint="eastAsia" w:ascii="宋体" w:hAnsi="宋体" w:eastAsia="宋体" w:cs="宋体"/>
                <w:bCs/>
                <w:color w:val="auto"/>
                <w:sz w:val="21"/>
                <w:szCs w:val="21"/>
                <w:highlight w:val="none"/>
                <w:lang w:val="en-US" w:eastAsia="zh-CN"/>
              </w:rPr>
              <w:t>缺乏保障性</w:t>
            </w:r>
            <w:r>
              <w:rPr>
                <w:rFonts w:hint="eastAsia" w:ascii="宋体" w:hAnsi="宋体" w:eastAsia="宋体" w:cs="宋体"/>
                <w:bCs/>
                <w:color w:val="auto"/>
                <w:sz w:val="21"/>
                <w:szCs w:val="21"/>
                <w:highlight w:val="none"/>
                <w:lang w:val="en-US" w:eastAsia="zh-CN"/>
              </w:rPr>
              <w:t>的得1分；</w:t>
            </w:r>
          </w:p>
          <w:p w14:paraId="0461D5D1">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未提及此项不得分。</w:t>
            </w:r>
          </w:p>
        </w:tc>
        <w:tc>
          <w:tcPr>
            <w:tcW w:w="686" w:type="dxa"/>
            <w:vAlign w:val="center"/>
          </w:tcPr>
          <w:p w14:paraId="7AAF7EA0">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c>
          <w:tcPr>
            <w:tcW w:w="686" w:type="dxa"/>
            <w:vAlign w:val="center"/>
          </w:tcPr>
          <w:p w14:paraId="38D4CEA4">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c>
          <w:tcPr>
            <w:tcW w:w="686" w:type="dxa"/>
            <w:vAlign w:val="center"/>
          </w:tcPr>
          <w:p w14:paraId="37C632C6">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r>
      <w:tr w14:paraId="006B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697CC1A3">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7C85215E">
            <w:pPr>
              <w:keepNext w:val="0"/>
              <w:keepLines w:val="0"/>
              <w:pageBreakBefore w:val="0"/>
              <w:widowControl/>
              <w:tabs>
                <w:tab w:val="left" w:pos="2061"/>
              </w:tabs>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重难点分析</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5B89B6D7">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对本项目的重点难点分析情况进行打分。</w:t>
            </w:r>
          </w:p>
          <w:p w14:paraId="55408796">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能够阐述项目实施过程中将会遇到的问题，包括工作要点、关键点作分级分析，层级清晰，分析深刻透彻，有针对性的得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845332B">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分析基本合理、内容简单的得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4E66328">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C7849A6">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分析片面，缺乏针对性的得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分；</w:t>
            </w:r>
          </w:p>
          <w:p w14:paraId="14D7A43C">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vAlign w:val="center"/>
          </w:tcPr>
          <w:p w14:paraId="1CE4CE10">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c>
          <w:tcPr>
            <w:tcW w:w="686" w:type="dxa"/>
            <w:vAlign w:val="center"/>
          </w:tcPr>
          <w:p w14:paraId="06459433">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c>
          <w:tcPr>
            <w:tcW w:w="686" w:type="dxa"/>
            <w:vAlign w:val="center"/>
          </w:tcPr>
          <w:p w14:paraId="030638B2">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r>
      <w:tr w14:paraId="23A8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89" w:type="dxa"/>
            <w:vMerge w:val="continue"/>
            <w:vAlign w:val="center"/>
          </w:tcPr>
          <w:p w14:paraId="11389EC4">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024AF937">
            <w:pPr>
              <w:keepNext w:val="0"/>
              <w:keepLines w:val="0"/>
              <w:pageBreakBefore w:val="0"/>
              <w:widowControl/>
              <w:tabs>
                <w:tab w:val="left" w:pos="2061"/>
              </w:tabs>
              <w:kinsoku/>
              <w:wordWrap/>
              <w:overflowPunct/>
              <w:topLinePunct w:val="0"/>
              <w:bidi w:val="0"/>
              <w:spacing w:line="240" w:lineRule="auto"/>
              <w:ind w:left="0" w:leftChars="0" w:firstLine="0" w:firstLineChars="0"/>
              <w:jc w:val="center"/>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rPr>
              <w:t>重难点解决方案</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19C42D70">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对本项目工作重难点问题的的解决方案及采取的对应措施进行打分。</w:t>
            </w:r>
          </w:p>
          <w:p w14:paraId="39DC56AF">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有清晰详尽处理方法的得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0EA4A235">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处理方法较为清晰详尽，基本保障重难点问题的解决的得5分；</w:t>
            </w:r>
          </w:p>
          <w:p w14:paraId="7943FA55">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有处理方法但阐述不够详尽的得得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6937FA6">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处理方法缺乏针对性的得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分；</w:t>
            </w:r>
          </w:p>
          <w:p w14:paraId="46A1589D">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vAlign w:val="center"/>
          </w:tcPr>
          <w:p w14:paraId="735B334A">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strike/>
                <w:dstrike w:val="0"/>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86" w:type="dxa"/>
            <w:vAlign w:val="center"/>
          </w:tcPr>
          <w:p w14:paraId="17ECC6A6">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686" w:type="dxa"/>
            <w:vAlign w:val="center"/>
          </w:tcPr>
          <w:p w14:paraId="5337B6BD">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cs="宋体"/>
                <w:color w:val="auto"/>
                <w:sz w:val="21"/>
                <w:szCs w:val="21"/>
                <w:highlight w:val="none"/>
                <w:lang w:val="en-US" w:eastAsia="zh-CN"/>
              </w:rPr>
            </w:pPr>
          </w:p>
        </w:tc>
      </w:tr>
      <w:tr w14:paraId="001D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3B2D76DD">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52225301">
            <w:pPr>
              <w:keepNext w:val="0"/>
              <w:keepLines w:val="0"/>
              <w:pageBreakBefore w:val="0"/>
              <w:widowControl/>
              <w:tabs>
                <w:tab w:val="left" w:pos="2061"/>
              </w:tabs>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质量管控</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130C37B8">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对本项目工作中的</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质量管控方案（包括</w:t>
            </w:r>
            <w:r>
              <w:rPr>
                <w:rFonts w:hint="eastAsia" w:ascii="宋体" w:hAnsi="宋体" w:eastAsia="宋体" w:cs="宋体"/>
                <w:color w:val="auto"/>
                <w:sz w:val="21"/>
                <w:szCs w:val="21"/>
                <w:highlight w:val="none"/>
              </w:rPr>
              <w:t>管理规范、内控制度、质量管控措施</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进行打分。</w:t>
            </w:r>
          </w:p>
          <w:p w14:paraId="5682AAAA">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质量管控方案全面、合理的得5分；</w:t>
            </w:r>
          </w:p>
          <w:p w14:paraId="7A6C4C0E">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质量管控方案基本全面、合理的得3分；</w:t>
            </w:r>
          </w:p>
          <w:p w14:paraId="151C0267">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质量管控方案欠全面、合理的得1分</w:t>
            </w:r>
          </w:p>
          <w:p w14:paraId="70330307">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86" w:type="dxa"/>
            <w:vAlign w:val="center"/>
          </w:tcPr>
          <w:p w14:paraId="2C66B4D1">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c>
          <w:tcPr>
            <w:tcW w:w="686" w:type="dxa"/>
            <w:vAlign w:val="center"/>
          </w:tcPr>
          <w:p w14:paraId="20CA289C">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c>
          <w:tcPr>
            <w:tcW w:w="686" w:type="dxa"/>
            <w:vAlign w:val="center"/>
          </w:tcPr>
          <w:p w14:paraId="4CF2FB49">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hAnsi="宋体" w:eastAsia="宋体" w:cs="宋体"/>
                <w:color w:val="auto"/>
                <w:sz w:val="21"/>
                <w:szCs w:val="21"/>
                <w:highlight w:val="none"/>
                <w:lang w:val="en-US" w:eastAsia="zh-CN"/>
              </w:rPr>
            </w:pPr>
          </w:p>
        </w:tc>
      </w:tr>
      <w:tr w14:paraId="63B5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89" w:type="dxa"/>
            <w:vMerge w:val="continue"/>
            <w:vAlign w:val="center"/>
          </w:tcPr>
          <w:p w14:paraId="08238F7B">
            <w:pPr>
              <w:pStyle w:val="61"/>
              <w:keepNext w:val="0"/>
              <w:keepLines w:val="0"/>
              <w:pageBreakBefore w:val="0"/>
              <w:widowControl/>
              <w:kinsoku/>
              <w:wordWrap/>
              <w:overflowPunct/>
              <w:topLinePunct w:val="0"/>
              <w:autoSpaceDE/>
              <w:autoSpaceDN/>
              <w:bidi w:val="0"/>
              <w:adjustRightInd/>
              <w:snapToGrid/>
              <w:spacing w:before="0" w:after="0"/>
              <w:jc w:val="center"/>
              <w:textAlignment w:val="auto"/>
              <w:rPr>
                <w:color w:val="auto"/>
                <w:highlight w:val="none"/>
              </w:rPr>
            </w:pPr>
          </w:p>
        </w:tc>
        <w:tc>
          <w:tcPr>
            <w:tcW w:w="1187" w:type="dxa"/>
            <w:vAlign w:val="center"/>
          </w:tcPr>
          <w:p w14:paraId="1661061E">
            <w:pPr>
              <w:keepNext w:val="0"/>
              <w:keepLines w:val="0"/>
              <w:pageBreakBefore w:val="0"/>
              <w:widowControl/>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主观分</w:t>
            </w:r>
            <w:r>
              <w:rPr>
                <w:rFonts w:hint="eastAsia" w:hAnsi="宋体" w:eastAsia="宋体" w:cs="宋体"/>
                <w:color w:val="auto"/>
                <w:sz w:val="21"/>
                <w:szCs w:val="21"/>
                <w:highlight w:val="none"/>
                <w:lang w:eastAsia="zh-CN"/>
              </w:rPr>
              <w:t>）</w:t>
            </w:r>
          </w:p>
        </w:tc>
        <w:tc>
          <w:tcPr>
            <w:tcW w:w="6889" w:type="dxa"/>
            <w:vAlign w:val="center"/>
          </w:tcPr>
          <w:p w14:paraId="04A3CDC2">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承诺提供的</w:t>
            </w:r>
            <w:r>
              <w:rPr>
                <w:rFonts w:hint="eastAsia" w:ascii="宋体" w:hAnsi="宋体" w:eastAsia="宋体" w:cs="宋体"/>
                <w:color w:val="auto"/>
                <w:sz w:val="21"/>
                <w:szCs w:val="21"/>
                <w:highlight w:val="none"/>
                <w:lang w:val="en-US" w:eastAsia="zh-CN"/>
              </w:rPr>
              <w:t>后续</w:t>
            </w:r>
            <w:r>
              <w:rPr>
                <w:rFonts w:hint="eastAsia" w:ascii="宋体" w:hAnsi="宋体" w:eastAsia="宋体" w:cs="宋体"/>
                <w:color w:val="auto"/>
                <w:sz w:val="21"/>
                <w:szCs w:val="21"/>
                <w:highlight w:val="none"/>
              </w:rPr>
              <w:t>服务方案（服务能力、服务措施、服务承诺等方面）</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视其</w:t>
            </w:r>
            <w:r>
              <w:rPr>
                <w:rFonts w:hint="eastAsia" w:ascii="宋体" w:hAnsi="宋体" w:eastAsia="宋体" w:cs="宋体"/>
                <w:color w:val="auto"/>
                <w:sz w:val="21"/>
                <w:szCs w:val="21"/>
                <w:highlight w:val="none"/>
              </w:rPr>
              <w:t>服务承诺可行性、完整性以及后续的技术实施保障措施</w:t>
            </w:r>
            <w:r>
              <w:rPr>
                <w:rFonts w:hint="eastAsia" w:ascii="宋体" w:hAnsi="宋体" w:eastAsia="宋体" w:cs="宋体"/>
                <w:color w:val="auto"/>
                <w:sz w:val="21"/>
                <w:szCs w:val="21"/>
                <w:highlight w:val="none"/>
                <w:lang w:val="en-US" w:eastAsia="zh-CN"/>
              </w:rPr>
              <w:t>是否有效、得力等进行给分。</w:t>
            </w:r>
          </w:p>
          <w:p w14:paraId="49A88BE0">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后续服务方案可行，有针对性、可行性的得5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82C42C7">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后续服务方案基本可行，有一定针对性、可行性的得3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C49BB5">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后续服务方案欠可行，缺少针对性、可行性的得1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85D7A05">
            <w:pPr>
              <w:keepNext w:val="0"/>
              <w:keepLines w:val="0"/>
              <w:pageBreakBefore w:val="0"/>
              <w:widowControl/>
              <w:tabs>
                <w:tab w:val="left" w:pos="2061"/>
              </w:tabs>
              <w:kinsoku/>
              <w:wordWrap/>
              <w:overflowPunct/>
              <w:topLinePunct w:val="0"/>
              <w:bidi w:val="0"/>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vAlign w:val="center"/>
          </w:tcPr>
          <w:p w14:paraId="23435096">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86" w:type="dxa"/>
            <w:vAlign w:val="center"/>
          </w:tcPr>
          <w:p w14:paraId="20339A75">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c>
          <w:tcPr>
            <w:tcW w:w="686" w:type="dxa"/>
            <w:vAlign w:val="center"/>
          </w:tcPr>
          <w:p w14:paraId="1CDD341C">
            <w:pPr>
              <w:pStyle w:val="10"/>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r>
    </w:tbl>
    <w:p w14:paraId="20C71246">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68D830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4C004D9">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3CBB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1944A78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064C9A0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36E2C6E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5539679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887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457DAE2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A57EC2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BE548E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28A7352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B35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457BF97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7F5F26E5">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1B9592D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41B2335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D59020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47B6C17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4F08341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F44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29208C9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FFB3B4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4FF00B2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41589FC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B22F97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0687DFD">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4B4ED5F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2E5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2FC3A9B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29AB841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4A79A78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5A562B2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6F04FA9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4B37932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FFE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74B6F98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2612723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C8AAB6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2047C6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B8B56A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717EDC1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525B6FA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35A95A3">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52E7389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5BA08D0">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07F04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29A7678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1C941C6A">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659302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853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9BF6002">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AA2920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361A953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1C603FE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15CE30D2">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22B11BF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03D22F5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5F92077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605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0C181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E8F7BC9">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270DC4DC">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640CF24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50605A1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17FD5CC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6D55984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4FBB33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4D76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3B52F32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F568A89">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6C07A95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2F37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4F68294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5D87FA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0B4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3CC18BB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B1D013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7F6446C5">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075FE229">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6696C0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7703C3F4">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3D601947">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633EEAC">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EDE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720D5C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5A8F5A4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38D4161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2AEEBF4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07FFFBF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4F8E54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A9E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5031DC7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4B38304">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7A1EAE4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2CE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352B060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0F411A5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4987F08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3F2D555">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082BF64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2C34904">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1DAB5695">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547D4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6C475EC">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58039B8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A5FE3D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26F768E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04744A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6B331310">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E23B4A">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BA3700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382D7912">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9930AE7">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2485614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6A7950">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15FD81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7D189823">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96" w:type="dxa"/>
        <w:tblInd w:w="-4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9"/>
        <w:gridCol w:w="859"/>
        <w:gridCol w:w="879"/>
        <w:gridCol w:w="964"/>
        <w:gridCol w:w="1553"/>
        <w:gridCol w:w="1308"/>
        <w:gridCol w:w="1382"/>
        <w:gridCol w:w="1492"/>
      </w:tblGrid>
      <w:tr w14:paraId="3028A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vAlign w:val="center"/>
          </w:tcPr>
          <w:p w14:paraId="34DD09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tcBorders>
              <w:top w:val="single" w:color="auto" w:sz="4" w:space="0"/>
              <w:left w:val="single" w:color="auto" w:sz="4" w:space="0"/>
              <w:bottom w:val="single" w:color="auto" w:sz="4" w:space="0"/>
              <w:right w:val="single" w:color="auto" w:sz="4" w:space="0"/>
            </w:tcBorders>
            <w:vAlign w:val="center"/>
          </w:tcPr>
          <w:p w14:paraId="24BB7DA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79" w:type="dxa"/>
            <w:tcBorders>
              <w:top w:val="single" w:color="auto" w:sz="4" w:space="0"/>
              <w:left w:val="single" w:color="auto" w:sz="4" w:space="0"/>
              <w:bottom w:val="single" w:color="auto" w:sz="4" w:space="0"/>
              <w:right w:val="single" w:color="auto" w:sz="4" w:space="0"/>
            </w:tcBorders>
            <w:vAlign w:val="center"/>
          </w:tcPr>
          <w:p w14:paraId="65B8D5F9">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64" w:type="dxa"/>
            <w:tcBorders>
              <w:top w:val="single" w:color="auto" w:sz="4" w:space="0"/>
              <w:left w:val="single" w:color="auto" w:sz="4" w:space="0"/>
              <w:bottom w:val="single" w:color="auto" w:sz="4" w:space="0"/>
              <w:right w:val="single" w:color="auto" w:sz="4" w:space="0"/>
            </w:tcBorders>
            <w:vAlign w:val="center"/>
          </w:tcPr>
          <w:p w14:paraId="064853F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53" w:type="dxa"/>
            <w:tcBorders>
              <w:top w:val="single" w:color="auto" w:sz="4" w:space="0"/>
              <w:left w:val="single" w:color="auto" w:sz="4" w:space="0"/>
              <w:bottom w:val="single" w:color="auto" w:sz="4" w:space="0"/>
              <w:right w:val="single" w:color="auto" w:sz="4" w:space="0"/>
            </w:tcBorders>
            <w:vAlign w:val="center"/>
          </w:tcPr>
          <w:p w14:paraId="153E61E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08" w:type="dxa"/>
            <w:tcBorders>
              <w:top w:val="single" w:color="auto" w:sz="4" w:space="0"/>
              <w:left w:val="single" w:color="auto" w:sz="4" w:space="0"/>
              <w:bottom w:val="single" w:color="auto" w:sz="4" w:space="0"/>
              <w:right w:val="single" w:color="auto" w:sz="4" w:space="0"/>
            </w:tcBorders>
            <w:vAlign w:val="center"/>
          </w:tcPr>
          <w:p w14:paraId="3ECAE769">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7A3BDBC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492" w:type="dxa"/>
            <w:tcBorders>
              <w:top w:val="single" w:color="auto" w:sz="4" w:space="0"/>
              <w:left w:val="single" w:color="auto" w:sz="4" w:space="0"/>
              <w:bottom w:val="single" w:color="auto" w:sz="4" w:space="0"/>
            </w:tcBorders>
            <w:vAlign w:val="center"/>
          </w:tcPr>
          <w:p w14:paraId="1E424CC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15DE2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130E514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55F0C7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2A706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150431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561D6F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2621E0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2DA081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2216A45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9524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4972DC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45B6F0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5685BB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6D198D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6C3B06F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152EA4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717EE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3F3955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B197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2F8F773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6BE874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D1F12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3F28CD25">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0260A6CD">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53FE0E5D">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77F8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492" w:type="dxa"/>
            <w:tcBorders>
              <w:top w:val="single" w:color="auto" w:sz="4" w:space="0"/>
              <w:left w:val="single" w:color="auto" w:sz="4" w:space="0"/>
              <w:bottom w:val="single" w:color="auto" w:sz="4" w:space="0"/>
            </w:tcBorders>
          </w:tcPr>
          <w:p w14:paraId="052528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0BCC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04DB06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5E9BA5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E43E5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624A90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7D95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3222C0A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C2356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2FEDB81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5935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35E242E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0804BF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A04716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7F7511C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5E128A0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02ACE07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2877009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73EAC6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677B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41937E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3318EC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DF0E1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438BB88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61BBF69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111508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ECD8BA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19825A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756D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1933896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6FD6382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176D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591617B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6A943B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5FD397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9A2BBF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19CC3EA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1699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215D119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76BC04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4A122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6A9519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6721811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035CBF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03A4B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4EEF960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55F9B5C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40ECA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47B3500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20A45A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37C976E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23AB51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4A72C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845AB5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56646A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1BFAC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6CB317E">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79F24F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AE41AC2">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66ABC996">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0929A7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49A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717792D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291B30B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6E73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E33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74D092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255B16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39423CD">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78D92A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78FF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7E4F29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EE110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349CD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17E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E4634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74B43EC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E72FC7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76C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6D2FB1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1AFFA6A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7C07D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F66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E8BB27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BCAECB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2DA07C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96B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9F0D3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6D0D68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9248B2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68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6DB671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5E58564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0A9060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85F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049B7A0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936BC9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DE2C166">
      <w:pPr>
        <w:spacing w:line="360" w:lineRule="auto"/>
        <w:ind w:left="420"/>
        <w:rPr>
          <w:rFonts w:hint="eastAsia" w:ascii="宋体" w:hAnsi="宋体" w:eastAsia="宋体" w:cs="宋体"/>
          <w:color w:val="auto"/>
          <w:sz w:val="21"/>
          <w:szCs w:val="21"/>
          <w:highlight w:val="none"/>
        </w:rPr>
      </w:pPr>
    </w:p>
    <w:p w14:paraId="4A4F34C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9BA9D9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07663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BAD21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01A8F6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F1D151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B31D63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4B729397">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099759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0138B8B8">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379F59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CA73ED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41E35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7127F5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EC181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7038A7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46B10665">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3879014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F6BF4F">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80F088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4BB5C2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FFA87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C26227">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10ABFEF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E3C45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B03803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E74B3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49A58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7680F7D">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3344A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F153A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BC437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A68F39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44D57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4E92DF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2F02FD0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220FB1">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B1CB7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726254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75A58C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86AE0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4260652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B357C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20923F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1F87B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E4E78F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394BFBAF">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0B1B72E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EDFB21">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28A64C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F9786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14FFF0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BAC8DF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096319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1DE45E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32595B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94F5C1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407D11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A92BF6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3945BD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2C4A3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E75C60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76FB96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91F0A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E916E0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367F94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DB09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48A9F4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4E6C51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0704EB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4E6C6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CFE954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0A952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61F352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28374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F9FC9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15F8A4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9C529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24A43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24D5B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615725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D34D68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A5534E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F5CED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CDBC0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81D2E6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A36DA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F12F68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66856F5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2B32B1D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3482A6DD">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6EA5C3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EF4ABA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337653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EFF03BD">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4F7C669">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BC3CADE">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68C20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7C7DCA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05B817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0F7E62C">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7E3D0A2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73529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0F645D">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082B61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7B6A14D0">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7E8096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214371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92FAB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632795D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5AD5711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6F04E4E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A513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EC7DFC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6C15AE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E5FC7E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B01563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456A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6C7E72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72870D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2BD4F6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964D59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70BB2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14E6F1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DB9B81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9567F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D6F11D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37658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FFE585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B93B5A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7A4302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5A8E36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E986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52901A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75FA2A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90B314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1A5F11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405A1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766D23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5856587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221EA47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305E157E">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687A6CF">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161A0D6">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39117BDF">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6C8D7CA4">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2AC92390">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4A103C84">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3CC1EBE">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F7FD8B1">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87F3C20">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FDFC9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6C6B9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AE374D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479696">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89EF6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6FE45B28">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E15023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AB8A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7065B1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FF3462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311ABCE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203A810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7A337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1712196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0CF74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C75C1B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0308DA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3FF66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A3C2C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2FFB0A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3C69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F7DD81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2CB7FC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70BD22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ABFB31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A0AF2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69335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7179C3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9AEF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F8F084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E01E01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186302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B2025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0B3EB2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2501A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40BC3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C8F7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04AEC1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E7994E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817B0A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181761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8AA09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C93E83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FF1B81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9EE8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07C339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3FA37B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A9A3F6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EB538A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062FF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BA51DE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635009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1A60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DB02D9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C8BD56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03CDE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1AA6EF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BDC65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AEDE22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174735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D601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BF57AF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30ECDF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DB4078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E7550A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284D5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95B7BE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2DE260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6508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889C59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059FF60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0AD887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DC5BBA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3B7C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025B4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5DB775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5F322977">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7113D1F">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370943EA">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1356F3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648DB63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637319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57FE1F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8055DD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1C26A4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149F15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BF9605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3AA481B">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20A5D0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496A3C">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54D65044">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CA71A52">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91F6B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739" w:type="dxa"/>
            <w:noWrap w:val="0"/>
            <w:vAlign w:val="center"/>
          </w:tcPr>
          <w:p w14:paraId="5A2EFD16">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6F03EBE6">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00AB41E">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3BF1BB26">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EF30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7DB1AD45">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31ACDC1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09D4489E">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73E5237E">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60898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noWrap w:val="0"/>
            <w:vAlign w:val="center"/>
          </w:tcPr>
          <w:p w14:paraId="4B3344F8">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6476BC60">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6D831430">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68CC3ED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748605C">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64CDF71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C8D7C6C">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06EF9F7">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C3BFD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64958DB0">
            <w:pPr>
              <w:pStyle w:val="48"/>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noWrap w:val="0"/>
            <w:vAlign w:val="center"/>
          </w:tcPr>
          <w:p w14:paraId="2A97E2A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4061" w:type="dxa"/>
            <w:noWrap w:val="0"/>
            <w:vAlign w:val="top"/>
          </w:tcPr>
          <w:p w14:paraId="468A6A5C">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505CE8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22DA9CEF">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09A3BB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4DB5321E">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34D6AB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76EAE99C">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4D04880F">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5C175C4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508D57E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197C4AA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D652A8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395DAB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A0AB5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0BC6E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BAFEE4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EAAD4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32E19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AACAD6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E5B760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44FD693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FAC898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1F7024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9F04AA4">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7DD7E75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6C95E5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E5E076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628851DA">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013B4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8E88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BECA0E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94042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CFF6A3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AFDE58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7B088BF">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5FEFB63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68609B5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752EE2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1DC60B50">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0970AED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B32D97A">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60DE858F">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A26C52B">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w:t>
      </w:r>
      <w:r>
        <w:rPr>
          <w:rFonts w:hint="eastAsia" w:ascii="宋体" w:hAnsi="宋体" w:eastAsia="宋体" w:cs="宋体"/>
          <w:color w:val="auto"/>
          <w:sz w:val="21"/>
          <w:szCs w:val="21"/>
          <w:highlight w:val="none"/>
        </w:rPr>
        <w:t>投标人认为其他需要说明的；</w:t>
      </w:r>
    </w:p>
    <w:p w14:paraId="2FCBC40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D5E0F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1F9928D1">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9DF2051">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2DD5470C">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7EFC02A2">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1950D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22A02F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FA5FBA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E247DC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656E86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7054DEC">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7806F0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704339A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435B0B7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67B8BF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62769CB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5789B61A">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2FF9782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E53BE7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00EA26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B1EAC2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C20E8E">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3B1C6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49FC74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F67B8E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7B2CF30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FEE7AA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431E9B">
      <w:pPr>
        <w:rPr>
          <w:rFonts w:hint="eastAsia"/>
          <w:color w:val="auto"/>
          <w:highlight w:val="none"/>
        </w:rPr>
      </w:pPr>
    </w:p>
    <w:bookmarkEnd w:id="2"/>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7C66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EB198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5DEB198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A26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477A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8477A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A62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F07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78B1">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2025年椒江区土壤重点监管单位周边监测项目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38143">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6F76">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F5DC2">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AA15A5"/>
    <w:rsid w:val="00B95117"/>
    <w:rsid w:val="00BE3149"/>
    <w:rsid w:val="00D27694"/>
    <w:rsid w:val="00E04ED8"/>
    <w:rsid w:val="00FF74E6"/>
    <w:rsid w:val="0172023E"/>
    <w:rsid w:val="01AA0E51"/>
    <w:rsid w:val="01D70B06"/>
    <w:rsid w:val="02061C5D"/>
    <w:rsid w:val="02380D19"/>
    <w:rsid w:val="029F7154"/>
    <w:rsid w:val="02F97313"/>
    <w:rsid w:val="03320476"/>
    <w:rsid w:val="036C1E9F"/>
    <w:rsid w:val="043F7FC4"/>
    <w:rsid w:val="04466BB8"/>
    <w:rsid w:val="04A318A1"/>
    <w:rsid w:val="04E65DCF"/>
    <w:rsid w:val="05130CFE"/>
    <w:rsid w:val="052341BD"/>
    <w:rsid w:val="0601391E"/>
    <w:rsid w:val="067363FE"/>
    <w:rsid w:val="06F05F21"/>
    <w:rsid w:val="073967B1"/>
    <w:rsid w:val="07685A63"/>
    <w:rsid w:val="076A5AA3"/>
    <w:rsid w:val="07D22E0A"/>
    <w:rsid w:val="08390248"/>
    <w:rsid w:val="08AC4158"/>
    <w:rsid w:val="09001A02"/>
    <w:rsid w:val="09492528"/>
    <w:rsid w:val="09846D45"/>
    <w:rsid w:val="09E03F7D"/>
    <w:rsid w:val="09F33DD0"/>
    <w:rsid w:val="0A071FFD"/>
    <w:rsid w:val="0A2C1FBC"/>
    <w:rsid w:val="0A5C2BCC"/>
    <w:rsid w:val="0A8D0CCD"/>
    <w:rsid w:val="0AF64F0D"/>
    <w:rsid w:val="0B404958"/>
    <w:rsid w:val="0B476167"/>
    <w:rsid w:val="0B8001A4"/>
    <w:rsid w:val="0C181AC6"/>
    <w:rsid w:val="0C7B02EA"/>
    <w:rsid w:val="0CFA4EFD"/>
    <w:rsid w:val="0D1F4CD0"/>
    <w:rsid w:val="0D88328D"/>
    <w:rsid w:val="0E0F138C"/>
    <w:rsid w:val="0E41587B"/>
    <w:rsid w:val="0EC6046D"/>
    <w:rsid w:val="0ED2632B"/>
    <w:rsid w:val="0F122F26"/>
    <w:rsid w:val="0F242068"/>
    <w:rsid w:val="0F7E6199"/>
    <w:rsid w:val="0FAF69E6"/>
    <w:rsid w:val="0FE74D1C"/>
    <w:rsid w:val="10452B67"/>
    <w:rsid w:val="109F080C"/>
    <w:rsid w:val="118B3519"/>
    <w:rsid w:val="11E77423"/>
    <w:rsid w:val="11FD6A42"/>
    <w:rsid w:val="121462F4"/>
    <w:rsid w:val="121665CB"/>
    <w:rsid w:val="12704EB7"/>
    <w:rsid w:val="12EC03CE"/>
    <w:rsid w:val="12FA02EB"/>
    <w:rsid w:val="139D323C"/>
    <w:rsid w:val="13A26AA4"/>
    <w:rsid w:val="13BF45A5"/>
    <w:rsid w:val="13E34148"/>
    <w:rsid w:val="149451F4"/>
    <w:rsid w:val="149F6882"/>
    <w:rsid w:val="14CD6736"/>
    <w:rsid w:val="158B4AAC"/>
    <w:rsid w:val="159E68EB"/>
    <w:rsid w:val="165C24F7"/>
    <w:rsid w:val="168339D9"/>
    <w:rsid w:val="16933338"/>
    <w:rsid w:val="16D70F66"/>
    <w:rsid w:val="16E2013A"/>
    <w:rsid w:val="17047DD8"/>
    <w:rsid w:val="171D6CDD"/>
    <w:rsid w:val="17461D47"/>
    <w:rsid w:val="174C7EB8"/>
    <w:rsid w:val="17B10D95"/>
    <w:rsid w:val="17B23AF1"/>
    <w:rsid w:val="17BD71EC"/>
    <w:rsid w:val="17D14D06"/>
    <w:rsid w:val="17D2330C"/>
    <w:rsid w:val="17D42FA4"/>
    <w:rsid w:val="184F7F30"/>
    <w:rsid w:val="191533D1"/>
    <w:rsid w:val="19474367"/>
    <w:rsid w:val="1A532C88"/>
    <w:rsid w:val="1AA22976"/>
    <w:rsid w:val="1B7F7DDB"/>
    <w:rsid w:val="1B9B5AEC"/>
    <w:rsid w:val="1BC0155F"/>
    <w:rsid w:val="1CBF0303"/>
    <w:rsid w:val="1CC61F19"/>
    <w:rsid w:val="1D465475"/>
    <w:rsid w:val="1E1F7201"/>
    <w:rsid w:val="1E8341C8"/>
    <w:rsid w:val="1F162724"/>
    <w:rsid w:val="1F4F69F4"/>
    <w:rsid w:val="2012057A"/>
    <w:rsid w:val="201C7B31"/>
    <w:rsid w:val="203F2146"/>
    <w:rsid w:val="20AA0083"/>
    <w:rsid w:val="20ED3C16"/>
    <w:rsid w:val="21492AD8"/>
    <w:rsid w:val="216E6CDD"/>
    <w:rsid w:val="217E5B21"/>
    <w:rsid w:val="223A2AB8"/>
    <w:rsid w:val="224700DF"/>
    <w:rsid w:val="22750DC2"/>
    <w:rsid w:val="22BD6C70"/>
    <w:rsid w:val="23FA686C"/>
    <w:rsid w:val="23FE230A"/>
    <w:rsid w:val="24AA5BCC"/>
    <w:rsid w:val="25435D11"/>
    <w:rsid w:val="255B67E8"/>
    <w:rsid w:val="25D20519"/>
    <w:rsid w:val="26B8513F"/>
    <w:rsid w:val="277E06D7"/>
    <w:rsid w:val="277F64AF"/>
    <w:rsid w:val="27A177D4"/>
    <w:rsid w:val="27AC425F"/>
    <w:rsid w:val="28032FE3"/>
    <w:rsid w:val="28D80E9E"/>
    <w:rsid w:val="29320DF3"/>
    <w:rsid w:val="296F0D7F"/>
    <w:rsid w:val="298475EF"/>
    <w:rsid w:val="299E1611"/>
    <w:rsid w:val="29E63530"/>
    <w:rsid w:val="2A8138F9"/>
    <w:rsid w:val="2B2C7B14"/>
    <w:rsid w:val="2E1C19D0"/>
    <w:rsid w:val="2EBE2906"/>
    <w:rsid w:val="2EEF2FD0"/>
    <w:rsid w:val="2F607C49"/>
    <w:rsid w:val="2F663D49"/>
    <w:rsid w:val="2F7B1BB4"/>
    <w:rsid w:val="2FAF0F3B"/>
    <w:rsid w:val="2FCC2EC1"/>
    <w:rsid w:val="2FD75A57"/>
    <w:rsid w:val="30150257"/>
    <w:rsid w:val="305A68F0"/>
    <w:rsid w:val="309703E8"/>
    <w:rsid w:val="30C715DA"/>
    <w:rsid w:val="30CE04A8"/>
    <w:rsid w:val="30CF5D28"/>
    <w:rsid w:val="30F24A05"/>
    <w:rsid w:val="31813005"/>
    <w:rsid w:val="31B43A06"/>
    <w:rsid w:val="320C7AB3"/>
    <w:rsid w:val="323740AF"/>
    <w:rsid w:val="328B6879"/>
    <w:rsid w:val="32EB1738"/>
    <w:rsid w:val="336F0C77"/>
    <w:rsid w:val="33A465AE"/>
    <w:rsid w:val="3410039F"/>
    <w:rsid w:val="34772ADD"/>
    <w:rsid w:val="34A362F5"/>
    <w:rsid w:val="351836BE"/>
    <w:rsid w:val="35590177"/>
    <w:rsid w:val="35B65126"/>
    <w:rsid w:val="362A1767"/>
    <w:rsid w:val="369E48C6"/>
    <w:rsid w:val="36D706BD"/>
    <w:rsid w:val="36DB71B3"/>
    <w:rsid w:val="36DF4838"/>
    <w:rsid w:val="37AB137A"/>
    <w:rsid w:val="38357FC3"/>
    <w:rsid w:val="39335741"/>
    <w:rsid w:val="397114CB"/>
    <w:rsid w:val="39B83A34"/>
    <w:rsid w:val="39BA7324"/>
    <w:rsid w:val="39F75A3E"/>
    <w:rsid w:val="3A286983"/>
    <w:rsid w:val="3A316D41"/>
    <w:rsid w:val="3A791AB3"/>
    <w:rsid w:val="3A7A6F1E"/>
    <w:rsid w:val="3A7D7ED0"/>
    <w:rsid w:val="3AE12ADB"/>
    <w:rsid w:val="3BD804EA"/>
    <w:rsid w:val="3C016C71"/>
    <w:rsid w:val="3C203FE1"/>
    <w:rsid w:val="3D326006"/>
    <w:rsid w:val="3D843DB4"/>
    <w:rsid w:val="3DB3569D"/>
    <w:rsid w:val="3DDB1939"/>
    <w:rsid w:val="3E2B5399"/>
    <w:rsid w:val="3E4E6F02"/>
    <w:rsid w:val="3E5D59EE"/>
    <w:rsid w:val="3EA305F2"/>
    <w:rsid w:val="3F0B192B"/>
    <w:rsid w:val="3F5F3A71"/>
    <w:rsid w:val="3F95513E"/>
    <w:rsid w:val="40A1666D"/>
    <w:rsid w:val="41651CB2"/>
    <w:rsid w:val="416F0E3A"/>
    <w:rsid w:val="423E1A86"/>
    <w:rsid w:val="42401BEA"/>
    <w:rsid w:val="428C5F2E"/>
    <w:rsid w:val="4412111F"/>
    <w:rsid w:val="44366C11"/>
    <w:rsid w:val="45185FC7"/>
    <w:rsid w:val="45537BF7"/>
    <w:rsid w:val="457D6AC5"/>
    <w:rsid w:val="45C57BA4"/>
    <w:rsid w:val="46FD7572"/>
    <w:rsid w:val="470216C0"/>
    <w:rsid w:val="47C11F07"/>
    <w:rsid w:val="47E83667"/>
    <w:rsid w:val="48CC6EF6"/>
    <w:rsid w:val="49594CEC"/>
    <w:rsid w:val="49F310FF"/>
    <w:rsid w:val="4A007A95"/>
    <w:rsid w:val="4A6A77A1"/>
    <w:rsid w:val="4A802F02"/>
    <w:rsid w:val="4B137686"/>
    <w:rsid w:val="4B29263B"/>
    <w:rsid w:val="4B5B1F09"/>
    <w:rsid w:val="4C392F39"/>
    <w:rsid w:val="4C585426"/>
    <w:rsid w:val="4CF72E0A"/>
    <w:rsid w:val="4CFC26F0"/>
    <w:rsid w:val="4D190A3D"/>
    <w:rsid w:val="4E2813A3"/>
    <w:rsid w:val="4E3623E0"/>
    <w:rsid w:val="4E590CD0"/>
    <w:rsid w:val="4F4966DE"/>
    <w:rsid w:val="50112186"/>
    <w:rsid w:val="50972888"/>
    <w:rsid w:val="513371C0"/>
    <w:rsid w:val="518E7928"/>
    <w:rsid w:val="524B29D2"/>
    <w:rsid w:val="527354B0"/>
    <w:rsid w:val="52B34B6D"/>
    <w:rsid w:val="531761B9"/>
    <w:rsid w:val="531E2142"/>
    <w:rsid w:val="53240DE2"/>
    <w:rsid w:val="541275B8"/>
    <w:rsid w:val="547C5489"/>
    <w:rsid w:val="54CF56D2"/>
    <w:rsid w:val="54F159D3"/>
    <w:rsid w:val="551410ED"/>
    <w:rsid w:val="554479B3"/>
    <w:rsid w:val="557309A7"/>
    <w:rsid w:val="55B12017"/>
    <w:rsid w:val="55F44906"/>
    <w:rsid w:val="55FC25AC"/>
    <w:rsid w:val="5622038C"/>
    <w:rsid w:val="56B665C9"/>
    <w:rsid w:val="578F4550"/>
    <w:rsid w:val="57977A16"/>
    <w:rsid w:val="58032CCB"/>
    <w:rsid w:val="580F411A"/>
    <w:rsid w:val="582B43F3"/>
    <w:rsid w:val="58316D81"/>
    <w:rsid w:val="589E7C20"/>
    <w:rsid w:val="592859F8"/>
    <w:rsid w:val="59F1576B"/>
    <w:rsid w:val="5A5A375F"/>
    <w:rsid w:val="5A8457CD"/>
    <w:rsid w:val="5ACE03B2"/>
    <w:rsid w:val="5AFA0CD5"/>
    <w:rsid w:val="5BBC3082"/>
    <w:rsid w:val="5BF04E33"/>
    <w:rsid w:val="5C0578FC"/>
    <w:rsid w:val="5C762652"/>
    <w:rsid w:val="5C8A42C3"/>
    <w:rsid w:val="5E5C1146"/>
    <w:rsid w:val="5E9C5841"/>
    <w:rsid w:val="5ECC6D02"/>
    <w:rsid w:val="5F0D2C6F"/>
    <w:rsid w:val="5F0D6A6C"/>
    <w:rsid w:val="5F0E5ACD"/>
    <w:rsid w:val="5F724B4A"/>
    <w:rsid w:val="5FD54E4A"/>
    <w:rsid w:val="60036AF3"/>
    <w:rsid w:val="603518C4"/>
    <w:rsid w:val="607D6651"/>
    <w:rsid w:val="60BD1FFE"/>
    <w:rsid w:val="614C36D4"/>
    <w:rsid w:val="61946FF9"/>
    <w:rsid w:val="61AF4C4C"/>
    <w:rsid w:val="61B57B45"/>
    <w:rsid w:val="61E70C8F"/>
    <w:rsid w:val="61F117BB"/>
    <w:rsid w:val="62CD3A12"/>
    <w:rsid w:val="62EA0127"/>
    <w:rsid w:val="632C7602"/>
    <w:rsid w:val="65037FF2"/>
    <w:rsid w:val="66950943"/>
    <w:rsid w:val="672E1E7F"/>
    <w:rsid w:val="67401C19"/>
    <w:rsid w:val="68245BA5"/>
    <w:rsid w:val="68877B1A"/>
    <w:rsid w:val="6888662B"/>
    <w:rsid w:val="69363674"/>
    <w:rsid w:val="6A035AFF"/>
    <w:rsid w:val="6A914A15"/>
    <w:rsid w:val="6AAB5773"/>
    <w:rsid w:val="6AD81AFC"/>
    <w:rsid w:val="6B0242A5"/>
    <w:rsid w:val="6BF80185"/>
    <w:rsid w:val="6C830331"/>
    <w:rsid w:val="6CAD7BB0"/>
    <w:rsid w:val="6CB57DDF"/>
    <w:rsid w:val="6CB66442"/>
    <w:rsid w:val="6CCC2731"/>
    <w:rsid w:val="6D946B00"/>
    <w:rsid w:val="6DA018A4"/>
    <w:rsid w:val="6DBF1822"/>
    <w:rsid w:val="6EB33B02"/>
    <w:rsid w:val="6F024508"/>
    <w:rsid w:val="6F09098C"/>
    <w:rsid w:val="6F156B47"/>
    <w:rsid w:val="6F4126A8"/>
    <w:rsid w:val="6F52577A"/>
    <w:rsid w:val="6F5C678A"/>
    <w:rsid w:val="6F95389D"/>
    <w:rsid w:val="701C6432"/>
    <w:rsid w:val="702E03D4"/>
    <w:rsid w:val="70C613C1"/>
    <w:rsid w:val="71090821"/>
    <w:rsid w:val="713A2119"/>
    <w:rsid w:val="71BE277C"/>
    <w:rsid w:val="7253624D"/>
    <w:rsid w:val="72C548FE"/>
    <w:rsid w:val="72CE7DF1"/>
    <w:rsid w:val="730C02E4"/>
    <w:rsid w:val="738C49D4"/>
    <w:rsid w:val="744E387C"/>
    <w:rsid w:val="748266FC"/>
    <w:rsid w:val="755B2CC9"/>
    <w:rsid w:val="75BB0C3B"/>
    <w:rsid w:val="767D593D"/>
    <w:rsid w:val="76A00A34"/>
    <w:rsid w:val="76A136BE"/>
    <w:rsid w:val="76D43F8B"/>
    <w:rsid w:val="770A7D21"/>
    <w:rsid w:val="773C0E8C"/>
    <w:rsid w:val="77B0242F"/>
    <w:rsid w:val="78BC2207"/>
    <w:rsid w:val="78C31106"/>
    <w:rsid w:val="78E41C51"/>
    <w:rsid w:val="78E636B9"/>
    <w:rsid w:val="78FA1692"/>
    <w:rsid w:val="792D6B6B"/>
    <w:rsid w:val="798167CE"/>
    <w:rsid w:val="79A441B1"/>
    <w:rsid w:val="7A0B68C7"/>
    <w:rsid w:val="7A2E539A"/>
    <w:rsid w:val="7A392143"/>
    <w:rsid w:val="7A940E65"/>
    <w:rsid w:val="7AE07CFD"/>
    <w:rsid w:val="7B0E0BB9"/>
    <w:rsid w:val="7B376CA9"/>
    <w:rsid w:val="7B5F37AA"/>
    <w:rsid w:val="7B7503BA"/>
    <w:rsid w:val="7C3E24DF"/>
    <w:rsid w:val="7C866B60"/>
    <w:rsid w:val="7CD07594"/>
    <w:rsid w:val="7D8F6DE4"/>
    <w:rsid w:val="7DAA5FB8"/>
    <w:rsid w:val="7DFB0316"/>
    <w:rsid w:val="7E4E7602"/>
    <w:rsid w:val="7E723EF0"/>
    <w:rsid w:val="7EA34ABF"/>
    <w:rsid w:val="7ECE10A0"/>
    <w:rsid w:val="7EEA3A51"/>
    <w:rsid w:val="7FD46F50"/>
    <w:rsid w:val="DBEFCD15"/>
    <w:rsid w:val="DE359FB8"/>
    <w:rsid w:val="E7F48D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link w:val="36"/>
    <w:semiHidden/>
    <w:unhideWhenUsed/>
    <w:qFormat/>
    <w:uiPriority w:val="99"/>
    <w:pPr>
      <w:spacing w:after="120"/>
    </w:p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37"/>
    <w:qFormat/>
    <w:uiPriority w:val="99"/>
    <w:pPr>
      <w:spacing w:after="120"/>
      <w:ind w:left="420" w:leftChars="200"/>
    </w:p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99"/>
    <w:pPr>
      <w:ind w:left="2500" w:leftChars="2500"/>
    </w:pPr>
    <w:rPr>
      <w:rFonts w:ascii="Calibri" w:hAnsi="Calibri" w:eastAsia="楷体_GB2312"/>
      <w:sz w:val="32"/>
      <w:szCs w:val="22"/>
    </w:rPr>
  </w:style>
  <w:style w:type="paragraph" w:styleId="12">
    <w:name w:val="Balloon Text"/>
    <w:basedOn w:val="1"/>
    <w:link w:val="38"/>
    <w:semiHidden/>
    <w:unhideWhenUsed/>
    <w:qFormat/>
    <w:uiPriority w:val="99"/>
    <w:rPr>
      <w:sz w:val="18"/>
      <w:szCs w:val="18"/>
    </w:rPr>
  </w:style>
  <w:style w:type="paragraph" w:styleId="13">
    <w:name w:val="footer"/>
    <w:basedOn w:val="1"/>
    <w:link w:val="3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qFormat/>
    <w:uiPriority w:val="0"/>
    <w:pPr>
      <w:snapToGrid w:val="0"/>
      <w:jc w:val="left"/>
    </w:pPr>
    <w:rPr>
      <w:rFonts w:eastAsia="仿宋_GB2312"/>
      <w:sz w:val="18"/>
      <w:szCs w:val="20"/>
    </w:rPr>
  </w:style>
  <w:style w:type="paragraph" w:styleId="17">
    <w:name w:val="toc 6"/>
    <w:basedOn w:val="1"/>
    <w:next w:val="1"/>
    <w:qFormat/>
    <w:uiPriority w:val="0"/>
    <w:pPr>
      <w:autoSpaceDE w:val="0"/>
      <w:autoSpaceDN w:val="0"/>
      <w:adjustRightInd w:val="0"/>
      <w:ind w:left="2100" w:leftChars="1000"/>
      <w:jc w:val="left"/>
    </w:pPr>
    <w:rPr>
      <w:kern w:val="0"/>
      <w:sz w:val="20"/>
      <w:szCs w:val="20"/>
    </w:rPr>
  </w:style>
  <w:style w:type="paragraph" w:styleId="18">
    <w:name w:val="toc 2"/>
    <w:basedOn w:val="1"/>
    <w:next w:val="1"/>
    <w:qFormat/>
    <w:uiPriority w:val="0"/>
    <w:pPr>
      <w:tabs>
        <w:tab w:val="right" w:leader="dot" w:pos="10070"/>
      </w:tabs>
      <w:spacing w:line="480" w:lineRule="auto"/>
      <w:ind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9"/>
    <w:next w:val="1"/>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rFonts w:ascii="Tahoma" w:hAnsi="Tahoma" w:cs="Tahoma"/>
      <w:b/>
      <w:sz w:val="24"/>
    </w:rPr>
  </w:style>
  <w:style w:type="character" w:styleId="27">
    <w:name w:val="page number"/>
    <w:basedOn w:val="25"/>
    <w:qFormat/>
    <w:uiPriority w:val="0"/>
  </w:style>
  <w:style w:type="character" w:styleId="28">
    <w:name w:val="Hyperlink"/>
    <w:basedOn w:val="25"/>
    <w:unhideWhenUsed/>
    <w:qFormat/>
    <w:uiPriority w:val="0"/>
    <w:rPr>
      <w:color w:val="0000FF"/>
      <w:u w:val="single"/>
    </w:rPr>
  </w:style>
  <w:style w:type="character" w:styleId="29">
    <w:name w:val="annotation reference"/>
    <w:basedOn w:val="25"/>
    <w:qFormat/>
    <w:uiPriority w:val="0"/>
    <w:rPr>
      <w:sz w:val="21"/>
      <w:szCs w:val="21"/>
    </w:rPr>
  </w:style>
  <w:style w:type="character" w:styleId="30">
    <w:name w:val="footnote reference"/>
    <w:qFormat/>
    <w:uiPriority w:val="0"/>
    <w:rPr>
      <w:vertAlign w:val="superscript"/>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正文首行缩进1"/>
    <w:basedOn w:val="7"/>
    <w:qFormat/>
    <w:uiPriority w:val="0"/>
    <w:pPr>
      <w:ind w:firstLine="420" w:firstLineChars="100"/>
    </w:pPr>
  </w:style>
  <w:style w:type="paragraph" w:customStyle="1" w:styleId="33">
    <w:name w:val="正文（首行缩进2字符）"/>
    <w:basedOn w:val="1"/>
    <w:qFormat/>
    <w:uiPriority w:val="0"/>
    <w:pPr>
      <w:ind w:firstLine="480" w:firstLineChars="200"/>
    </w:pPr>
    <w:rPr>
      <w:sz w:val="24"/>
      <w:szCs w:val="20"/>
    </w:rPr>
  </w:style>
  <w:style w:type="character" w:customStyle="1" w:styleId="34">
    <w:name w:val="页眉 Char"/>
    <w:basedOn w:val="25"/>
    <w:link w:val="14"/>
    <w:semiHidden/>
    <w:qFormat/>
    <w:uiPriority w:val="99"/>
    <w:rPr>
      <w:sz w:val="18"/>
      <w:szCs w:val="18"/>
    </w:rPr>
  </w:style>
  <w:style w:type="character" w:customStyle="1" w:styleId="35">
    <w:name w:val="页脚 Char"/>
    <w:basedOn w:val="25"/>
    <w:link w:val="13"/>
    <w:semiHidden/>
    <w:qFormat/>
    <w:uiPriority w:val="99"/>
    <w:rPr>
      <w:sz w:val="18"/>
      <w:szCs w:val="18"/>
    </w:rPr>
  </w:style>
  <w:style w:type="character" w:customStyle="1" w:styleId="36">
    <w:name w:val="正文文本 Char"/>
    <w:basedOn w:val="25"/>
    <w:link w:val="7"/>
    <w:semiHidden/>
    <w:qFormat/>
    <w:uiPriority w:val="99"/>
    <w:rPr>
      <w:rFonts w:ascii="Times New Roman" w:hAnsi="Times New Roman" w:eastAsia="宋体" w:cs="Times New Roman"/>
      <w:szCs w:val="24"/>
    </w:rPr>
  </w:style>
  <w:style w:type="character" w:customStyle="1" w:styleId="37">
    <w:name w:val="正文文本缩进 Char"/>
    <w:basedOn w:val="25"/>
    <w:link w:val="9"/>
    <w:qFormat/>
    <w:uiPriority w:val="99"/>
    <w:rPr>
      <w:rFonts w:ascii="Times New Roman" w:hAnsi="Times New Roman" w:eastAsia="宋体" w:cs="Times New Roman"/>
      <w:szCs w:val="24"/>
    </w:rPr>
  </w:style>
  <w:style w:type="character" w:customStyle="1" w:styleId="38">
    <w:name w:val="批注框文本 Char"/>
    <w:basedOn w:val="25"/>
    <w:link w:val="12"/>
    <w:semiHidden/>
    <w:qFormat/>
    <w:uiPriority w:val="99"/>
    <w:rPr>
      <w:rFonts w:ascii="Times New Roman" w:hAnsi="Times New Roman" w:eastAsia="宋体" w:cs="Times New Roman"/>
      <w:sz w:val="18"/>
      <w:szCs w:val="18"/>
    </w:rPr>
  </w:style>
  <w:style w:type="character" w:customStyle="1" w:styleId="39">
    <w:name w:val="无"/>
    <w:qFormat/>
    <w:uiPriority w:val="99"/>
  </w:style>
  <w:style w:type="paragraph" w:customStyle="1" w:styleId="40">
    <w:name w:val="表格文字"/>
    <w:basedOn w:val="1"/>
    <w:next w:val="7"/>
    <w:qFormat/>
    <w:uiPriority w:val="99"/>
    <w:pPr>
      <w:adjustRightInd w:val="0"/>
      <w:spacing w:line="420" w:lineRule="atLeast"/>
      <w:jc w:val="left"/>
      <w:textAlignment w:val="baseline"/>
    </w:pPr>
    <w:rPr>
      <w:kern w:val="0"/>
    </w:rPr>
  </w:style>
  <w:style w:type="paragraph" w:customStyle="1" w:styleId="41">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99"/>
    <w:rPr>
      <w:rFonts w:ascii="Times New Roman" w:hAnsi="Times New Roman" w:eastAsia="宋体" w:cs="Times New Roman"/>
      <w:sz w:val="21"/>
      <w:szCs w:val="22"/>
      <w:lang w:val="en-US" w:eastAsia="zh-CN" w:bidi="ar-SA"/>
    </w:rPr>
  </w:style>
  <w:style w:type="paragraph" w:customStyle="1" w:styleId="4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99"/>
    <w:pPr>
      <w:widowControl/>
      <w:jc w:val="left"/>
    </w:pPr>
    <w:rPr>
      <w:rFonts w:ascii="宋体" w:hAnsi="Courier New"/>
      <w:szCs w:val="21"/>
    </w:rPr>
  </w:style>
  <w:style w:type="paragraph" w:customStyle="1" w:styleId="50">
    <w:name w:val="纯文本_0_1"/>
    <w:basedOn w:val="1"/>
    <w:qFormat/>
    <w:uiPriority w:val="99"/>
    <w:pPr>
      <w:widowControl/>
      <w:jc w:val="left"/>
    </w:pPr>
    <w:rPr>
      <w:rFonts w:ascii="宋体" w:hAnsi="Courier New"/>
      <w:szCs w:val="21"/>
    </w:rPr>
  </w:style>
  <w:style w:type="paragraph" w:customStyle="1" w:styleId="5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qFormat/>
    <w:uiPriority w:val="0"/>
    <w:pPr>
      <w:widowControl/>
    </w:pPr>
    <w:rPr>
      <w:rFonts w:ascii="Calibri" w:hAnsi="Calibri" w:cs="宋体"/>
      <w:kern w:val="0"/>
      <w:szCs w:val="21"/>
    </w:rPr>
  </w:style>
  <w:style w:type="paragraph" w:styleId="57">
    <w:name w:val="List Paragraph"/>
    <w:basedOn w:val="1"/>
    <w:qFormat/>
    <w:uiPriority w:val="0"/>
    <w:pPr>
      <w:ind w:firstLine="420" w:firstLineChars="200"/>
    </w:pPr>
    <w:rPr>
      <w:szCs w:val="24"/>
    </w:rPr>
  </w:style>
  <w:style w:type="paragraph" w:customStyle="1" w:styleId="58">
    <w:name w:val="纯文本1"/>
    <w:basedOn w:val="55"/>
    <w:qFormat/>
    <w:uiPriority w:val="0"/>
    <w:pPr>
      <w:widowControl/>
      <w:jc w:val="left"/>
    </w:pPr>
    <w:rPr>
      <w:rFonts w:ascii="宋体" w:hAnsi="Courier New"/>
      <w:szCs w:val="20"/>
    </w:rPr>
  </w:style>
  <w:style w:type="character" w:customStyle="1" w:styleId="59">
    <w:name w:val="NormalCharacter"/>
    <w:semiHidden/>
    <w:qFormat/>
    <w:uiPriority w:val="0"/>
  </w:style>
  <w:style w:type="paragraph" w:customStyle="1" w:styleId="60">
    <w:name w:val="正文2"/>
    <w:basedOn w:val="1"/>
    <w:qFormat/>
    <w:uiPriority w:val="0"/>
    <w:pPr>
      <w:spacing w:before="156" w:line="360" w:lineRule="auto"/>
      <w:ind w:firstLine="510" w:firstLineChars="200"/>
    </w:pPr>
    <w:rPr>
      <w:sz w:val="24"/>
      <w:szCs w:val="20"/>
    </w:rPr>
  </w:style>
  <w:style w:type="paragraph" w:customStyle="1" w:styleId="61">
    <w:name w:val="表格文本"/>
    <w:basedOn w:val="1"/>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19679</Words>
  <Characters>21254</Characters>
  <Lines>1</Lines>
  <Paragraphs>1</Paragraphs>
  <TotalTime>0</TotalTime>
  <ScaleCrop>false</ScaleCrop>
  <LinksUpToDate>false</LinksUpToDate>
  <CharactersWithSpaces>21347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2020-03-20T19:00:00Z</dcterms:created>
  <dc:creator>苏彬</dc:creator>
  <cp:lastModifiedBy>招标代理-小管</cp:lastModifiedBy>
  <dcterms:modified xsi:type="dcterms:W3CDTF">2025-04-17T00:46:39Z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3EA4BEE188F448A184FA8E98B3DA704B_13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