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p>
    <w:p w14:paraId="37EDF207">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3CDDC3A3">
      <w:pPr>
        <w:pStyle w:val="2"/>
        <w:jc w:val="center"/>
        <w:rPr>
          <w:rFonts w:hint="eastAsia" w:ascii="宋体" w:hAnsi="宋体" w:eastAsia="宋体" w:cs="宋体"/>
          <w:color w:val="auto"/>
          <w:highlight w:val="none"/>
        </w:rPr>
      </w:pPr>
    </w:p>
    <w:p w14:paraId="589055D1">
      <w:pPr>
        <w:pStyle w:val="2"/>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tzya2025-lq39</w:t>
      </w:r>
      <w:r>
        <w:rPr>
          <w:rFonts w:hint="eastAsia" w:ascii="宋体" w:hAnsi="宋体" w:eastAsia="宋体" w:cs="宋体"/>
          <w:color w:val="auto"/>
          <w:kern w:val="0"/>
          <w:sz w:val="28"/>
          <w:szCs w:val="28"/>
          <w:highlight w:val="none"/>
          <w:u w:val="single"/>
          <w:lang w:val="en-US" w:eastAsia="zh-CN"/>
        </w:rPr>
        <w:t xml:space="preserve"> </w:t>
      </w:r>
    </w:p>
    <w:p w14:paraId="73E885A2">
      <w:pPr>
        <w:pStyle w:val="2"/>
        <w:jc w:val="center"/>
        <w:rPr>
          <w:rFonts w:hint="eastAsia" w:ascii="宋体" w:hAnsi="宋体" w:eastAsia="宋体" w:cs="宋体"/>
          <w:color w:val="auto"/>
          <w:highlight w:val="none"/>
        </w:rPr>
      </w:pPr>
    </w:p>
    <w:p w14:paraId="1708585E">
      <w:pPr>
        <w:pStyle w:val="2"/>
        <w:jc w:val="both"/>
        <w:rPr>
          <w:rFonts w:hint="eastAsia" w:ascii="宋体" w:hAnsi="宋体" w:eastAsia="宋体" w:cs="宋体"/>
          <w:color w:val="auto"/>
          <w:highlight w:val="none"/>
        </w:rPr>
      </w:pPr>
    </w:p>
    <w:p w14:paraId="4C72AF17">
      <w:pPr>
        <w:pStyle w:val="2"/>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2025年海洋空间资源开发利用监测评估项目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台州市自然资源和规划局路桥分局</w:t>
      </w:r>
    </w:p>
    <w:p w14:paraId="37A6AD10">
      <w:pPr>
        <w:pStyle w:val="2"/>
        <w:rPr>
          <w:rFonts w:hint="eastAsia" w:ascii="宋体" w:hAnsi="宋体" w:eastAsia="宋体" w:cs="宋体"/>
          <w:color w:val="auto"/>
          <w:highlight w:val="none"/>
        </w:rPr>
      </w:pPr>
    </w:p>
    <w:p w14:paraId="4A758623">
      <w:pPr>
        <w:pStyle w:val="2"/>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2"/>
        <w:rPr>
          <w:rFonts w:hint="eastAsia" w:ascii="宋体" w:hAnsi="宋体" w:eastAsia="宋体" w:cs="宋体"/>
          <w:color w:val="auto"/>
          <w:highlight w:val="none"/>
        </w:rPr>
      </w:pPr>
    </w:p>
    <w:p w14:paraId="31A6DFC7">
      <w:pPr>
        <w:pStyle w:val="2"/>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二○二五年五月</w:t>
      </w:r>
    </w:p>
    <w:p w14:paraId="14E71F3D">
      <w:pPr>
        <w:pStyle w:val="2"/>
        <w:jc w:val="center"/>
        <w:rPr>
          <w:rFonts w:hint="eastAsia" w:ascii="宋体" w:hAnsi="宋体" w:eastAsia="宋体" w:cs="宋体"/>
          <w:color w:val="auto"/>
          <w:kern w:val="0"/>
          <w:szCs w:val="21"/>
          <w:highlight w:val="none"/>
        </w:rPr>
      </w:pPr>
    </w:p>
    <w:p w14:paraId="293D9607">
      <w:pPr>
        <w:pStyle w:val="2"/>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2"/>
        <w:jc w:val="center"/>
        <w:rPr>
          <w:rFonts w:hint="eastAsia" w:ascii="宋体" w:hAnsi="宋体" w:eastAsia="宋体" w:cs="宋体"/>
          <w:color w:val="auto"/>
          <w:highlight w:val="none"/>
        </w:rPr>
      </w:pPr>
    </w:p>
    <w:p w14:paraId="50BA5BA5">
      <w:pPr>
        <w:pStyle w:val="2"/>
        <w:jc w:val="center"/>
        <w:rPr>
          <w:rFonts w:hint="eastAsia" w:ascii="宋体" w:hAnsi="宋体" w:eastAsia="宋体" w:cs="宋体"/>
          <w:color w:val="auto"/>
          <w:highlight w:val="none"/>
        </w:rPr>
      </w:pPr>
    </w:p>
    <w:p w14:paraId="1E1C4765">
      <w:pPr>
        <w:pStyle w:val="2"/>
        <w:jc w:val="center"/>
        <w:rPr>
          <w:rFonts w:hint="eastAsia" w:ascii="宋体" w:hAnsi="宋体" w:eastAsia="宋体" w:cs="宋体"/>
          <w:color w:val="auto"/>
          <w:highlight w:val="none"/>
        </w:rPr>
      </w:pPr>
    </w:p>
    <w:p w14:paraId="6222552D">
      <w:pPr>
        <w:pStyle w:val="2"/>
        <w:jc w:val="center"/>
        <w:rPr>
          <w:rFonts w:hint="eastAsia" w:ascii="宋体" w:hAnsi="宋体" w:eastAsia="宋体" w:cs="宋体"/>
          <w:color w:val="auto"/>
          <w:highlight w:val="none"/>
        </w:rPr>
      </w:pPr>
    </w:p>
    <w:p w14:paraId="331CADB1">
      <w:pPr>
        <w:pStyle w:val="2"/>
        <w:jc w:val="center"/>
        <w:rPr>
          <w:rFonts w:hint="eastAsia" w:ascii="宋体" w:hAnsi="宋体" w:eastAsia="宋体" w:cs="宋体"/>
          <w:color w:val="auto"/>
          <w:highlight w:val="none"/>
        </w:rPr>
      </w:pPr>
    </w:p>
    <w:p w14:paraId="7DA842D4">
      <w:pPr>
        <w:pStyle w:val="2"/>
        <w:jc w:val="center"/>
        <w:rPr>
          <w:rFonts w:hint="eastAsia" w:ascii="宋体" w:hAnsi="宋体" w:eastAsia="宋体" w:cs="宋体"/>
          <w:color w:val="auto"/>
          <w:highlight w:val="none"/>
        </w:rPr>
      </w:pPr>
    </w:p>
    <w:p w14:paraId="2D68CF0D">
      <w:pPr>
        <w:pStyle w:val="2"/>
        <w:jc w:val="center"/>
        <w:rPr>
          <w:rFonts w:hint="eastAsia" w:ascii="宋体" w:hAnsi="宋体" w:eastAsia="宋体" w:cs="宋体"/>
          <w:color w:val="auto"/>
          <w:highlight w:val="none"/>
        </w:rPr>
      </w:pPr>
    </w:p>
    <w:p w14:paraId="35BB7733">
      <w:pPr>
        <w:pStyle w:val="2"/>
        <w:jc w:val="center"/>
        <w:rPr>
          <w:rFonts w:hint="eastAsia" w:ascii="宋体" w:hAnsi="宋体" w:eastAsia="宋体" w:cs="宋体"/>
          <w:color w:val="auto"/>
          <w:highlight w:val="none"/>
        </w:rPr>
      </w:pPr>
    </w:p>
    <w:p w14:paraId="02B431F4">
      <w:pPr>
        <w:pStyle w:val="2"/>
        <w:jc w:val="center"/>
        <w:rPr>
          <w:rFonts w:hint="eastAsia" w:ascii="宋体" w:hAnsi="宋体" w:eastAsia="宋体" w:cs="宋体"/>
          <w:color w:val="auto"/>
          <w:highlight w:val="none"/>
        </w:rPr>
      </w:pPr>
    </w:p>
    <w:p w14:paraId="4F419DB2">
      <w:pPr>
        <w:pStyle w:val="2"/>
        <w:jc w:val="center"/>
        <w:rPr>
          <w:rFonts w:hint="eastAsia" w:ascii="宋体" w:hAnsi="宋体" w:eastAsia="宋体" w:cs="宋体"/>
          <w:color w:val="auto"/>
          <w:highlight w:val="none"/>
        </w:rPr>
      </w:pPr>
    </w:p>
    <w:p w14:paraId="1CFACB3E">
      <w:pPr>
        <w:pStyle w:val="2"/>
        <w:jc w:val="center"/>
        <w:rPr>
          <w:rFonts w:hint="eastAsia" w:ascii="宋体" w:hAnsi="宋体" w:eastAsia="宋体" w:cs="宋体"/>
          <w:color w:val="auto"/>
          <w:highlight w:val="none"/>
        </w:rPr>
      </w:pPr>
    </w:p>
    <w:p w14:paraId="6EA18690">
      <w:pPr>
        <w:pStyle w:val="2"/>
        <w:jc w:val="center"/>
        <w:rPr>
          <w:rFonts w:hint="eastAsia" w:ascii="宋体" w:hAnsi="宋体" w:eastAsia="宋体" w:cs="宋体"/>
          <w:color w:val="auto"/>
          <w:highlight w:val="none"/>
        </w:rPr>
      </w:pPr>
    </w:p>
    <w:p w14:paraId="429902BF">
      <w:pPr>
        <w:pStyle w:val="3"/>
        <w:rPr>
          <w:rFonts w:hint="eastAsia" w:ascii="宋体" w:hAnsi="宋体" w:eastAsia="宋体" w:cs="宋体"/>
          <w:color w:val="auto"/>
          <w:highlight w:val="none"/>
        </w:rPr>
      </w:pPr>
    </w:p>
    <w:p w14:paraId="0BAAC219">
      <w:pPr>
        <w:pStyle w:val="3"/>
        <w:rPr>
          <w:rFonts w:hint="eastAsia" w:ascii="宋体" w:hAnsi="宋体" w:eastAsia="宋体" w:cs="宋体"/>
          <w:color w:val="auto"/>
          <w:highlight w:val="none"/>
        </w:rPr>
      </w:pPr>
    </w:p>
    <w:p w14:paraId="1190BB94">
      <w:pPr>
        <w:pStyle w:val="2"/>
        <w:jc w:val="center"/>
        <w:rPr>
          <w:rFonts w:hint="eastAsia" w:ascii="宋体" w:hAnsi="宋体" w:eastAsia="宋体" w:cs="宋体"/>
          <w:color w:val="auto"/>
          <w:highlight w:val="none"/>
        </w:rPr>
      </w:pPr>
    </w:p>
    <w:p w14:paraId="077DDCED">
      <w:pPr>
        <w:pStyle w:val="3"/>
        <w:rPr>
          <w:rFonts w:hint="eastAsia" w:ascii="宋体" w:hAnsi="宋体" w:eastAsia="宋体" w:cs="宋体"/>
          <w:color w:val="auto"/>
          <w:highlight w:val="none"/>
        </w:rPr>
      </w:pPr>
    </w:p>
    <w:p w14:paraId="45DE0236">
      <w:pPr>
        <w:pStyle w:val="2"/>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台州市自然资源和规划局路桥分局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2025年海洋空间资源开发利用监测评估项目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1B3D377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lang w:val="en-US" w:eastAsia="zh-CN" w:bidi="ar-SA"/>
        </w:rPr>
        <w:t>根据《政府向社会力量购买服务指导性目录（202</w:t>
      </w:r>
      <w:r>
        <w:rPr>
          <w:rFonts w:hint="eastAsia" w:ascii="宋体" w:hAnsi="宋体" w:cs="宋体"/>
          <w:b/>
          <w:color w:val="auto"/>
          <w:kern w:val="2"/>
          <w:sz w:val="21"/>
          <w:szCs w:val="21"/>
          <w:highlight w:val="none"/>
          <w:lang w:val="en-US" w:eastAsia="zh-CN" w:bidi="ar-SA"/>
        </w:rPr>
        <w:t>5</w:t>
      </w:r>
      <w:r>
        <w:rPr>
          <w:rFonts w:hint="eastAsia" w:ascii="宋体" w:hAnsi="宋体" w:eastAsia="宋体" w:cs="宋体"/>
          <w:b/>
          <w:color w:val="auto"/>
          <w:kern w:val="2"/>
          <w:sz w:val="21"/>
          <w:szCs w:val="21"/>
          <w:highlight w:val="none"/>
          <w:lang w:val="en-US" w:eastAsia="zh-CN" w:bidi="ar-SA"/>
        </w:rPr>
        <w:t>年）》中</w:t>
      </w:r>
      <w:r>
        <w:rPr>
          <w:rFonts w:hint="eastAsia" w:ascii="宋体" w:hAnsi="宋体" w:cs="宋体"/>
          <w:b/>
          <w:color w:val="auto"/>
          <w:kern w:val="2"/>
          <w:sz w:val="21"/>
          <w:szCs w:val="21"/>
          <w:highlight w:val="none"/>
          <w:lang w:val="en-US" w:eastAsia="zh-CN" w:bidi="ar-SA"/>
        </w:rPr>
        <w:t>A1703</w:t>
      </w:r>
      <w:r>
        <w:rPr>
          <w:rFonts w:hint="eastAsia" w:ascii="宋体" w:hAnsi="宋体" w:eastAsia="宋体" w:cs="宋体"/>
          <w:b/>
          <w:color w:val="auto"/>
          <w:kern w:val="2"/>
          <w:sz w:val="21"/>
          <w:szCs w:val="21"/>
          <w:highlight w:val="none"/>
          <w:lang w:val="en-US" w:eastAsia="zh-CN" w:bidi="ar-SA"/>
        </w:rPr>
        <w:t>内容以及《政府采购竞争性磋商采购方式管理暂行办法》第一章第三条：“符合下列情形的项目，可以采用竞争性磋商方式开展采购：政府购买服务项目”，</w:t>
      </w:r>
      <w:r>
        <w:rPr>
          <w:rFonts w:hint="eastAsia" w:ascii="宋体" w:hAnsi="宋体" w:cs="宋体"/>
          <w:b/>
          <w:color w:val="auto"/>
          <w:kern w:val="2"/>
          <w:sz w:val="21"/>
          <w:szCs w:val="21"/>
          <w:highlight w:val="none"/>
          <w:lang w:val="en-US" w:eastAsia="zh-CN" w:bidi="ar-SA"/>
        </w:rPr>
        <w:t>2025年海洋空间资源开发利用监测评估项目</w:t>
      </w:r>
      <w:r>
        <w:rPr>
          <w:rFonts w:hint="eastAsia" w:ascii="宋体" w:hAnsi="宋体" w:eastAsia="宋体" w:cs="宋体"/>
          <w:b/>
          <w:color w:val="auto"/>
          <w:kern w:val="2"/>
          <w:sz w:val="21"/>
          <w:szCs w:val="21"/>
          <w:highlight w:val="none"/>
          <w:lang w:val="en-US" w:eastAsia="zh-CN" w:bidi="ar-SA"/>
        </w:rPr>
        <w:t>符合此条款要求，可采用竞争性磋商采购。</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tzya2025-lq39</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525"/>
        <w:gridCol w:w="838"/>
        <w:gridCol w:w="825"/>
        <w:gridCol w:w="1150"/>
        <w:gridCol w:w="1293"/>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2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38"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25"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50"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93" w:type="dxa"/>
            <w:noWrap w:val="0"/>
            <w:vAlign w:val="center"/>
          </w:tcPr>
          <w:p w14:paraId="13560F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2025年海洋空间资源开发利用监测评估项目</w:t>
            </w:r>
          </w:p>
        </w:tc>
        <w:tc>
          <w:tcPr>
            <w:tcW w:w="152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838"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25"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150"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76</w:t>
            </w:r>
          </w:p>
        </w:tc>
        <w:tc>
          <w:tcPr>
            <w:tcW w:w="1293" w:type="dxa"/>
            <w:noWrap w:val="0"/>
            <w:vAlign w:val="center"/>
          </w:tcPr>
          <w:p w14:paraId="3E6B06A9">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p>
        </w:tc>
      </w:tr>
    </w:tbl>
    <w:p w14:paraId="386FEC96">
      <w:pPr>
        <w:pStyle w:val="10"/>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BC02689">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w:t>
      </w:r>
      <w:r>
        <w:rPr>
          <w:rFonts w:hint="eastAsia" w:ascii="宋体" w:hAnsi="宋体" w:eastAsia="宋体" w:cs="宋体"/>
          <w:b/>
          <w:bCs w:val="0"/>
          <w:color w:val="auto"/>
          <w:sz w:val="21"/>
          <w:szCs w:val="21"/>
          <w:highlight w:val="none"/>
          <w:shd w:val="clear" w:color="auto" w:fill="auto"/>
        </w:rPr>
        <w:t>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方式：潜在供应商登陆</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w:t>
      </w:r>
      <w:r>
        <w:rPr>
          <w:rStyle w:val="25"/>
          <w:rFonts w:hint="eastAsia" w:ascii="宋体" w:hAnsi="宋体" w:cs="宋体"/>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（进入“项目采购”应用，在获取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菜单中选择项目，申请获取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，本项目</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不收取工本费；</w:t>
      </w:r>
      <w:r>
        <w:rPr>
          <w:rStyle w:val="25"/>
          <w:rFonts w:hint="eastAsia" w:ascii="宋体" w:hAnsi="宋体" w:eastAsia="宋体" w:cs="宋体"/>
          <w:b w:val="0"/>
          <w:bCs/>
          <w:i w:val="0"/>
          <w:caps w:val="0"/>
          <w:color w:val="auto"/>
          <w:spacing w:val="0"/>
          <w:sz w:val="21"/>
          <w:szCs w:val="21"/>
          <w:highlight w:val="none"/>
          <w:u w:val="single"/>
        </w:rPr>
        <w:t>仅需浏览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的供应商可点击“游客，浏览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”直接下载</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浏览</w:t>
      </w:r>
      <w:r>
        <w:rPr>
          <w:rStyle w:val="25"/>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w:t>
      </w:r>
      <w:r>
        <w:rPr>
          <w:rStyle w:val="25"/>
          <w:rFonts w:hint="eastAsia" w:cs="宋体"/>
          <w:b w:val="0"/>
          <w:bCs w:val="0"/>
          <w:i w:val="0"/>
          <w:caps w:val="0"/>
          <w:color w:val="auto"/>
          <w:spacing w:val="0"/>
          <w:sz w:val="21"/>
          <w:szCs w:val="21"/>
          <w:highlight w:val="none"/>
          <w:lang w:eastAsia="zh-CN"/>
        </w:rPr>
        <w:t>采购文件</w:t>
      </w:r>
      <w:r>
        <w:rPr>
          <w:rStyle w:val="25"/>
          <w:rFonts w:hint="eastAsia" w:ascii="宋体" w:hAnsi="宋体" w:eastAsia="宋体" w:cs="宋体"/>
          <w:b w:val="0"/>
          <w:bCs w:val="0"/>
          <w:i w:val="0"/>
          <w:caps w:val="0"/>
          <w:color w:val="auto"/>
          <w:spacing w:val="0"/>
          <w:sz w:val="21"/>
          <w:szCs w:val="21"/>
          <w:highlight w:val="none"/>
        </w:rPr>
        <w:t>时须提交的文件资料：无；</w:t>
      </w:r>
    </w:p>
    <w:p w14:paraId="66F8893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w:t>
      </w:r>
      <w:r>
        <w:rPr>
          <w:rStyle w:val="25"/>
          <w:rFonts w:hint="eastAsia" w:ascii="宋体" w:hAnsi="宋体" w:eastAsia="宋体" w:cs="宋体"/>
          <w:i w:val="0"/>
          <w:caps w:val="0"/>
          <w:color w:val="auto"/>
          <w:spacing w:val="0"/>
          <w:sz w:val="21"/>
          <w:szCs w:val="21"/>
          <w:highlight w:val="none"/>
          <w:lang w:eastAsia="zh-CN"/>
        </w:rPr>
        <w:t>竞争性磋商公告</w:t>
      </w:r>
      <w:r>
        <w:rPr>
          <w:rStyle w:val="25"/>
          <w:rFonts w:hint="eastAsia" w:ascii="宋体" w:hAnsi="宋体" w:eastAsia="宋体" w:cs="宋体"/>
          <w:i w:val="0"/>
          <w:caps w:val="0"/>
          <w:color w:val="auto"/>
          <w:spacing w:val="0"/>
          <w:sz w:val="21"/>
          <w:szCs w:val="21"/>
          <w:highlight w:val="none"/>
        </w:rPr>
        <w:t>附件内的</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申请并下载了</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后才视作依法获取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（法律法规所指的供应商获取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时间以供应商完成获取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申请后下载</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的时间为准）。</w:t>
      </w:r>
    </w:p>
    <w:p w14:paraId="5B02E41E">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w:t>
      </w:r>
      <w:r>
        <w:rPr>
          <w:rStyle w:val="25"/>
          <w:rFonts w:hint="eastAsia" w:ascii="宋体" w:hAnsi="宋体" w:eastAsia="宋体" w:cs="宋体"/>
          <w:i w:val="0"/>
          <w:caps w:val="0"/>
          <w:color w:val="auto"/>
          <w:spacing w:val="0"/>
          <w:sz w:val="21"/>
          <w:szCs w:val="21"/>
          <w:highlight w:val="none"/>
          <w:lang w:val="en-US" w:eastAsia="zh-CN"/>
        </w:rPr>
        <w:t>投标</w:t>
      </w:r>
      <w:r>
        <w:rPr>
          <w:rStyle w:val="25"/>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日9:30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日10:00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4"/>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台州市自然资源和规划局路桥分局</w:t>
      </w:r>
    </w:p>
    <w:p w14:paraId="15331E4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询问</w:t>
      </w:r>
      <w:r>
        <w:rPr>
          <w:rFonts w:hint="eastAsia" w:ascii="宋体" w:hAnsi="宋体" w:eastAsia="宋体" w:cs="宋体"/>
          <w:color w:val="auto"/>
          <w:szCs w:val="21"/>
          <w:highlight w:val="none"/>
        </w:rPr>
        <w:t>联系人：张先生</w:t>
      </w:r>
      <w:r>
        <w:rPr>
          <w:rFonts w:hint="eastAsia" w:ascii="宋体" w:hAnsi="宋体" w:cs="宋体"/>
          <w:color w:val="auto"/>
          <w:szCs w:val="21"/>
          <w:highlight w:val="none"/>
          <w:lang w:val="en-US" w:eastAsia="zh-CN"/>
        </w:rPr>
        <w:t xml:space="preserve">      询问</w:t>
      </w:r>
      <w:r>
        <w:rPr>
          <w:rFonts w:hint="eastAsia" w:ascii="宋体" w:hAnsi="宋体" w:eastAsia="宋体" w:cs="宋体"/>
          <w:color w:val="auto"/>
          <w:szCs w:val="21"/>
          <w:highlight w:val="none"/>
        </w:rPr>
        <w:t>联系电话：0576-82525272</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林先生</w:t>
      </w:r>
      <w:r>
        <w:rPr>
          <w:rFonts w:hint="eastAsia" w:ascii="宋体" w:hAnsi="宋体" w:eastAsia="宋体" w:cs="宋体"/>
          <w:color w:val="auto"/>
          <w:szCs w:val="21"/>
          <w:highlight w:val="none"/>
        </w:rPr>
        <w:t xml:space="preserve">      质疑联系电话：</w:t>
      </w:r>
      <w:r>
        <w:rPr>
          <w:rFonts w:hint="eastAsia" w:ascii="宋体" w:hAnsi="宋体" w:eastAsia="宋体" w:cs="宋体"/>
          <w:color w:val="auto"/>
          <w:szCs w:val="21"/>
          <w:highlight w:val="none"/>
          <w:lang w:val="en-US" w:eastAsia="zh-CN"/>
        </w:rPr>
        <w:t>0576-82525017</w:t>
      </w:r>
    </w:p>
    <w:p w14:paraId="6E08A9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Cs w:val="21"/>
          <w:highlight w:val="none"/>
        </w:rPr>
        <w:t>台州市路桥区商海北街19号</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B756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1B1E6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464A8C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6230F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49CE411">
      <w:pPr>
        <w:pStyle w:val="30"/>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5B9E8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2"/>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997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4120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E4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63B2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F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3BCC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5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C0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5CEE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4C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EF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AA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4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5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B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3716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8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D46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8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52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63DF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17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1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33BF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0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0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6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658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9E0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2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3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5825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3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123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F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1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0CFE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B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3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6B1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1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3E039606">
      <w:pPr>
        <w:pStyle w:val="29"/>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2"/>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二○二五年五月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2"/>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日9:30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4"/>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日9:30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日9:30</w:t>
            </w: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（北京时间）</w:t>
            </w:r>
          </w:p>
          <w:p w14:paraId="636F6A39">
            <w:pPr>
              <w:pStyle w:val="53"/>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6BA27FBE">
            <w:pPr>
              <w:keepNext w:val="0"/>
              <w:keepLines w:val="0"/>
              <w:pageBreakBefore w:val="0"/>
              <w:numPr>
                <w:ilvl w:val="0"/>
                <w:numId w:val="0"/>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8ECDE34">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rPr>
              <w:t>节能产品、环保产品：无要求；</w:t>
            </w:r>
          </w:p>
          <w:p w14:paraId="05DD72F7">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Cs w:val="21"/>
                <w:highlight w:val="none"/>
              </w:rPr>
              <w:t>样品：无要求；</w:t>
            </w:r>
          </w:p>
          <w:p w14:paraId="1A92DFA6">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Cs w:val="21"/>
                <w:highlight w:val="none"/>
              </w:rPr>
              <w:t>现场演示：无要求。</w:t>
            </w:r>
          </w:p>
          <w:p w14:paraId="763BA04C">
            <w:pPr>
              <w:keepNext w:val="0"/>
              <w:keepLines w:val="0"/>
              <w:pageBreakBefore w:val="0"/>
              <w:numPr>
                <w:ilvl w:val="0"/>
                <w:numId w:val="0"/>
              </w:numPr>
              <w:kinsoku/>
              <w:wordWrap/>
              <w:overflowPunct/>
              <w:topLinePunct w:val="0"/>
              <w:bidi w:val="0"/>
              <w:spacing w:line="240" w:lineRule="auto"/>
              <w:ind w:leftChars="0"/>
              <w:jc w:val="left"/>
              <w:outlineLvl w:val="9"/>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eastAsia="宋体" w:cs="宋体"/>
                <w:color w:val="auto"/>
                <w:szCs w:val="21"/>
                <w:highlight w:val="none"/>
                <w:lang w:val="en-US" w:eastAsia="zh-CN"/>
              </w:rPr>
              <w:t>本项目无需提供履约保证金</w:t>
            </w:r>
            <w:r>
              <w:rPr>
                <w:rFonts w:hint="eastAsia" w:ascii="宋体" w:hAnsi="宋体" w:eastAsia="宋体" w:cs="宋体"/>
                <w:color w:val="auto"/>
                <w:szCs w:val="21"/>
                <w:highlight w:val="none"/>
              </w:rPr>
              <w:t>。</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3"/>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3"/>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0"/>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19D9AF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（3）商务及技术响应表</w:t>
      </w:r>
      <w:r>
        <w:rPr>
          <w:rFonts w:hint="eastAsia" w:ascii="宋体" w:hAnsi="宋体" w:cs="宋体"/>
          <w:color w:val="auto"/>
          <w:sz w:val="21"/>
          <w:szCs w:val="21"/>
          <w:highlight w:val="none"/>
          <w:lang w:eastAsia="zh-CN"/>
        </w:rPr>
        <w:t>。</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3"/>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58"/>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58"/>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58"/>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2"/>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2"/>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F6CD6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、磋商文件能够详细列明采购标的的技术、服务要求的，磋商分二轮进行，首次报价在响应文件中体现；最终报价在磋商结束后由所有参加磋商的竞标人在规定的时间内书面提供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0"/>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19"/>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19"/>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19"/>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不同供应商联系人为同一人或不同联系人的联系电话一致的。</w:t>
      </w:r>
    </w:p>
    <w:p w14:paraId="2530C12D">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0"/>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0"/>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0"/>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28BBA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9"/>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1A82A6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43D083">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424C37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、本次评分具体分值细化条款如下表：</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94"/>
        <w:gridCol w:w="6398"/>
        <w:gridCol w:w="640"/>
      </w:tblGrid>
      <w:tr w14:paraId="5290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68" w:type="dxa"/>
            <w:gridSpan w:val="2"/>
            <w:noWrap w:val="0"/>
            <w:vAlign w:val="center"/>
          </w:tcPr>
          <w:p w14:paraId="31B0C36B">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398" w:type="dxa"/>
            <w:noWrap w:val="0"/>
            <w:vAlign w:val="center"/>
          </w:tcPr>
          <w:p w14:paraId="3A50A12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40" w:type="dxa"/>
            <w:noWrap w:val="0"/>
            <w:vAlign w:val="center"/>
          </w:tcPr>
          <w:p w14:paraId="3FACFF67">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540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74" w:type="dxa"/>
            <w:vMerge w:val="restart"/>
            <w:noWrap w:val="0"/>
            <w:vAlign w:val="center"/>
          </w:tcPr>
          <w:p w14:paraId="1168362C">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4494B44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231CB44">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6C2141F6">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52147CC8">
            <w:pPr>
              <w:pStyle w:val="2"/>
              <w:keepNext w:val="0"/>
              <w:keepLines w:val="0"/>
              <w:pageBreakBefore w:val="0"/>
              <w:kinsoku/>
              <w:wordWrap/>
              <w:overflowPunct/>
              <w:topLinePunct w:val="0"/>
              <w:bidi w:val="0"/>
              <w:spacing w:after="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094" w:type="dxa"/>
            <w:noWrap w:val="0"/>
            <w:vAlign w:val="center"/>
          </w:tcPr>
          <w:p w14:paraId="66936402">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承接经验</w:t>
            </w:r>
          </w:p>
        </w:tc>
        <w:tc>
          <w:tcPr>
            <w:tcW w:w="6398" w:type="dxa"/>
            <w:noWrap w:val="0"/>
            <w:vAlign w:val="center"/>
          </w:tcPr>
          <w:p w14:paraId="0912F4B3">
            <w:pPr>
              <w:keepNext w:val="0"/>
              <w:keepLines w:val="0"/>
              <w:pageBreakBefore w:val="0"/>
              <w:kinsoku/>
              <w:wordWrap/>
              <w:overflowPunct/>
              <w:topLinePunct w:val="0"/>
              <w:bidi w:val="0"/>
              <w:spacing w:beforeAutospacing="0" w:afterAutospacing="0" w:line="240" w:lineRule="auto"/>
              <w:ind w:left="0" w:leftChars="0" w:right="0" w:firstLine="0" w:firstLine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自2021年1月1日以来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w:t>
            </w:r>
            <w:r>
              <w:rPr>
                <w:rFonts w:hint="eastAsia" w:ascii="宋体" w:hAnsi="宋体" w:cs="宋体"/>
                <w:b w:val="0"/>
                <w:bCs w:val="0"/>
                <w:color w:val="auto"/>
                <w:kern w:val="0"/>
                <w:sz w:val="21"/>
                <w:szCs w:val="21"/>
                <w:highlight w:val="none"/>
                <w:u w:val="none"/>
                <w:lang w:val="en-US" w:eastAsia="zh-CN"/>
              </w:rPr>
              <w:t>，</w:t>
            </w:r>
            <w:r>
              <w:rPr>
                <w:rFonts w:hint="eastAsia" w:ascii="宋体" w:hAnsi="宋体" w:eastAsia="宋体" w:cs="宋体"/>
                <w:b w:val="0"/>
                <w:bCs w:val="0"/>
                <w:color w:val="auto"/>
                <w:kern w:val="0"/>
                <w:sz w:val="21"/>
                <w:szCs w:val="21"/>
                <w:highlight w:val="none"/>
                <w:u w:val="none"/>
                <w:lang w:val="en-US" w:eastAsia="zh-CN"/>
              </w:rPr>
              <w:t>每提供1个合同得0.5分，</w:t>
            </w:r>
            <w:r>
              <w:rPr>
                <w:rFonts w:hint="eastAsia" w:ascii="宋体" w:hAnsi="宋体" w:cs="宋体"/>
                <w:b w:val="0"/>
                <w:bCs w:val="0"/>
                <w:color w:val="auto"/>
                <w:kern w:val="0"/>
                <w:sz w:val="21"/>
                <w:szCs w:val="21"/>
                <w:highlight w:val="none"/>
                <w:u w:val="none"/>
                <w:lang w:val="en-US" w:eastAsia="zh-CN"/>
              </w:rPr>
              <w:t>本项</w:t>
            </w:r>
            <w:r>
              <w:rPr>
                <w:rFonts w:hint="eastAsia" w:ascii="宋体" w:hAnsi="宋体" w:eastAsia="宋体" w:cs="宋体"/>
                <w:b w:val="0"/>
                <w:bCs w:val="0"/>
                <w:color w:val="auto"/>
                <w:kern w:val="0"/>
                <w:sz w:val="21"/>
                <w:szCs w:val="21"/>
                <w:highlight w:val="none"/>
                <w:u w:val="none"/>
                <w:lang w:val="en-US" w:eastAsia="zh-CN"/>
              </w:rPr>
              <w:t>最高得1分。</w:t>
            </w:r>
          </w:p>
          <w:p w14:paraId="52A931A1">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40" w:type="dxa"/>
            <w:noWrap w:val="0"/>
            <w:vAlign w:val="center"/>
          </w:tcPr>
          <w:p w14:paraId="1C1492FF">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r>
      <w:tr w14:paraId="19A4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74" w:type="dxa"/>
            <w:vMerge w:val="continue"/>
            <w:noWrap w:val="0"/>
            <w:vAlign w:val="center"/>
          </w:tcPr>
          <w:p w14:paraId="5BDF15AB">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1094" w:type="dxa"/>
            <w:vMerge w:val="restart"/>
            <w:noWrap w:val="0"/>
            <w:vAlign w:val="center"/>
          </w:tcPr>
          <w:p w14:paraId="040C872D">
            <w:pPr>
              <w:keepNext w:val="0"/>
              <w:keepLines w:val="0"/>
              <w:pageBreakBefore w:val="0"/>
              <w:kinsoku/>
              <w:wordWrap/>
              <w:overflowPunct/>
              <w:topLinePunct w:val="0"/>
              <w:bidi w:val="0"/>
              <w:adjustRightInd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6398" w:type="dxa"/>
            <w:noWrap w:val="0"/>
            <w:vAlign w:val="center"/>
          </w:tcPr>
          <w:p w14:paraId="1CC15D3B">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投标人具有</w:t>
            </w:r>
            <w:r>
              <w:rPr>
                <w:rFonts w:hint="eastAsia" w:ascii="宋体" w:hAnsi="宋体" w:eastAsia="宋体" w:cs="宋体"/>
                <w:color w:val="auto"/>
                <w:sz w:val="21"/>
                <w:szCs w:val="21"/>
                <w:highlight w:val="none"/>
                <w:lang w:val="en-US" w:bidi="zh-CN"/>
              </w:rPr>
              <w:t>有效期内的</w:t>
            </w:r>
            <w:r>
              <w:rPr>
                <w:rFonts w:hint="eastAsia" w:ascii="宋体" w:hAnsi="宋体" w:eastAsia="宋体" w:cs="宋体"/>
                <w:color w:val="auto"/>
                <w:sz w:val="21"/>
                <w:szCs w:val="21"/>
                <w:highlight w:val="none"/>
                <w:lang w:bidi="zh-CN"/>
              </w:rPr>
              <w:t>海洋测绘资质甲级证书的得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分，海洋测绘资质乙级证书的得1分。本项最高得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w:t>
            </w:r>
          </w:p>
          <w:p w14:paraId="4642D90F">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须</w:t>
            </w:r>
            <w:r>
              <w:rPr>
                <w:rFonts w:hint="eastAsia" w:ascii="宋体" w:hAnsi="宋体" w:eastAsia="宋体" w:cs="宋体"/>
                <w:b/>
                <w:bCs/>
                <w:color w:val="auto"/>
                <w:kern w:val="0"/>
                <w:sz w:val="21"/>
                <w:szCs w:val="21"/>
                <w:highlight w:val="none"/>
                <w:lang w:val="zh-CN"/>
              </w:rPr>
              <w:t>提供</w:t>
            </w:r>
            <w:r>
              <w:rPr>
                <w:rFonts w:hint="eastAsia" w:ascii="宋体" w:hAnsi="宋体" w:eastAsia="宋体" w:cs="宋体"/>
                <w:b/>
                <w:bCs/>
                <w:color w:val="auto"/>
                <w:sz w:val="21"/>
                <w:szCs w:val="21"/>
                <w:highlight w:val="none"/>
                <w:lang w:val="en-US" w:bidi="zh-CN"/>
              </w:rPr>
              <w:t>有效的</w:t>
            </w:r>
            <w:r>
              <w:rPr>
                <w:rFonts w:hint="eastAsia" w:ascii="宋体" w:hAnsi="宋体" w:eastAsia="宋体" w:cs="宋体"/>
                <w:b/>
                <w:bCs/>
                <w:color w:val="auto"/>
                <w:kern w:val="0"/>
                <w:sz w:val="21"/>
                <w:szCs w:val="21"/>
                <w:highlight w:val="none"/>
              </w:rPr>
              <w:t>资质</w:t>
            </w:r>
            <w:r>
              <w:rPr>
                <w:rFonts w:hint="eastAsia" w:ascii="宋体" w:hAnsi="宋体" w:eastAsia="宋体" w:cs="宋体"/>
                <w:b/>
                <w:bCs/>
                <w:color w:val="auto"/>
                <w:kern w:val="0"/>
                <w:sz w:val="21"/>
                <w:szCs w:val="21"/>
                <w:highlight w:val="none"/>
                <w:lang w:val="zh-CN"/>
              </w:rPr>
              <w:t>证书扫描件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kern w:val="0"/>
                <w:sz w:val="21"/>
                <w:szCs w:val="21"/>
                <w:highlight w:val="none"/>
                <w:lang w:val="zh-CN"/>
              </w:rPr>
              <w:t>加盖投标人公章编入投标文件中，未提供</w:t>
            </w:r>
            <w:r>
              <w:rPr>
                <w:rFonts w:hint="eastAsia" w:ascii="宋体" w:hAnsi="宋体" w:eastAsia="宋体" w:cs="宋体"/>
                <w:b/>
                <w:bCs/>
                <w:color w:val="auto"/>
                <w:kern w:val="0"/>
                <w:sz w:val="21"/>
                <w:szCs w:val="21"/>
                <w:highlight w:val="none"/>
              </w:rPr>
              <w:t>或提供不全</w:t>
            </w:r>
            <w:r>
              <w:rPr>
                <w:rFonts w:hint="eastAsia" w:ascii="宋体" w:hAnsi="宋体" w:eastAsia="宋体" w:cs="宋体"/>
                <w:b/>
                <w:bCs/>
                <w:color w:val="auto"/>
                <w:kern w:val="0"/>
                <w:sz w:val="21"/>
                <w:szCs w:val="21"/>
                <w:highlight w:val="none"/>
                <w:lang w:val="zh-CN"/>
              </w:rPr>
              <w:t>的不得分）</w:t>
            </w:r>
          </w:p>
        </w:tc>
        <w:tc>
          <w:tcPr>
            <w:tcW w:w="640" w:type="dxa"/>
            <w:noWrap w:val="0"/>
            <w:vAlign w:val="center"/>
          </w:tcPr>
          <w:p w14:paraId="10C96287">
            <w:pPr>
              <w:pStyle w:val="10"/>
              <w:keepNext w:val="0"/>
              <w:keepLines w:val="0"/>
              <w:pageBreakBefore w:val="0"/>
              <w:kinsoku/>
              <w:wordWrap/>
              <w:overflowPunct/>
              <w:topLinePunct w:val="0"/>
              <w:bidi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r>
      <w:tr w14:paraId="6DCA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74" w:type="dxa"/>
            <w:vMerge w:val="continue"/>
            <w:noWrap w:val="0"/>
            <w:vAlign w:val="center"/>
          </w:tcPr>
          <w:p w14:paraId="5C9B4E98">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1094" w:type="dxa"/>
            <w:vMerge w:val="continue"/>
            <w:noWrap w:val="0"/>
            <w:vAlign w:val="center"/>
          </w:tcPr>
          <w:p w14:paraId="5F9BF57B">
            <w:pPr>
              <w:keepNext w:val="0"/>
              <w:keepLines w:val="0"/>
              <w:pageBreakBefore w:val="0"/>
              <w:kinsoku/>
              <w:wordWrap/>
              <w:overflowPunct/>
              <w:topLinePunct w:val="0"/>
              <w:bidi w:val="0"/>
              <w:adjustRightInd w:val="0"/>
              <w:snapToGrid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lang w:val="en-US" w:eastAsia="zh-CN"/>
              </w:rPr>
            </w:pPr>
          </w:p>
        </w:tc>
        <w:tc>
          <w:tcPr>
            <w:tcW w:w="6398" w:type="dxa"/>
            <w:noWrap w:val="0"/>
            <w:vAlign w:val="center"/>
          </w:tcPr>
          <w:p w14:paraId="7C7E7962">
            <w:pPr>
              <w:keepNext w:val="0"/>
              <w:keepLines w:val="0"/>
              <w:pageBreakBefore w:val="0"/>
              <w:kinsoku/>
              <w:wordWrap/>
              <w:overflowPunct/>
              <w:topLinePunct w:val="0"/>
              <w:autoSpaceDE w:val="0"/>
              <w:autoSpaceDN w:val="0"/>
              <w:bidi w:val="0"/>
              <w:adjustRightInd w:val="0"/>
              <w:spacing w:line="240" w:lineRule="auto"/>
              <w:ind w:left="0" w:right="0" w:firstLine="0" w:firstLineChars="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投标人具有有效期内的质量管理体系、环境管理体系、职业健康安全管理体系</w:t>
            </w:r>
            <w:r>
              <w:rPr>
                <w:rFonts w:hint="eastAsia" w:ascii="宋体" w:hAnsi="宋体" w:eastAsia="宋体" w:cs="宋体"/>
                <w:color w:val="auto"/>
                <w:sz w:val="21"/>
                <w:szCs w:val="21"/>
                <w:highlight w:val="none"/>
                <w:lang w:val="en-US" w:bidi="zh-CN"/>
              </w:rPr>
              <w:t>认证证书</w:t>
            </w:r>
            <w:r>
              <w:rPr>
                <w:rFonts w:hint="eastAsia" w:ascii="宋体" w:hAnsi="宋体" w:eastAsia="宋体" w:cs="宋体"/>
                <w:color w:val="auto"/>
                <w:sz w:val="21"/>
                <w:szCs w:val="21"/>
                <w:highlight w:val="none"/>
                <w:lang w:bidi="zh-CN"/>
              </w:rPr>
              <w:t>的，每项得</w:t>
            </w:r>
            <w:r>
              <w:rPr>
                <w:rFonts w:hint="eastAsia" w:ascii="宋体" w:hAnsi="宋体" w:eastAsia="宋体" w:cs="宋体"/>
                <w:color w:val="auto"/>
                <w:sz w:val="21"/>
                <w:szCs w:val="21"/>
                <w:highlight w:val="none"/>
                <w:lang w:val="en-US" w:bidi="zh-CN"/>
              </w:rPr>
              <w:t>1</w:t>
            </w:r>
            <w:r>
              <w:rPr>
                <w:rFonts w:hint="eastAsia" w:ascii="宋体" w:hAnsi="宋体" w:eastAsia="宋体" w:cs="宋体"/>
                <w:color w:val="auto"/>
                <w:sz w:val="21"/>
                <w:szCs w:val="21"/>
                <w:highlight w:val="none"/>
                <w:lang w:bidi="zh-CN"/>
              </w:rPr>
              <w:t>分，</w:t>
            </w:r>
            <w:r>
              <w:rPr>
                <w:rFonts w:hint="eastAsia" w:ascii="宋体" w:hAnsi="宋体" w:cs="宋体"/>
                <w:color w:val="auto"/>
                <w:sz w:val="21"/>
                <w:szCs w:val="21"/>
                <w:highlight w:val="none"/>
                <w:lang w:val="en-US" w:bidi="zh-CN"/>
              </w:rPr>
              <w:t>本项</w:t>
            </w:r>
            <w:r>
              <w:rPr>
                <w:rFonts w:hint="eastAsia" w:ascii="宋体" w:hAnsi="宋体" w:eastAsia="宋体" w:cs="宋体"/>
                <w:color w:val="auto"/>
                <w:sz w:val="21"/>
                <w:szCs w:val="21"/>
                <w:highlight w:val="none"/>
                <w:lang w:bidi="zh-CN"/>
              </w:rPr>
              <w:t>最高得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w:t>
            </w:r>
          </w:p>
          <w:p w14:paraId="660D12E1">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须</w:t>
            </w:r>
            <w:r>
              <w:rPr>
                <w:rFonts w:hint="eastAsia" w:ascii="宋体" w:hAnsi="宋体" w:eastAsia="宋体" w:cs="宋体"/>
                <w:b/>
                <w:bCs/>
                <w:color w:val="auto"/>
                <w:kern w:val="0"/>
                <w:sz w:val="21"/>
                <w:szCs w:val="21"/>
                <w:highlight w:val="none"/>
                <w:lang w:val="zh-CN"/>
              </w:rPr>
              <w:t>提供</w:t>
            </w:r>
            <w:r>
              <w:rPr>
                <w:rFonts w:hint="eastAsia" w:ascii="宋体" w:hAnsi="宋体" w:eastAsia="宋体" w:cs="宋体"/>
                <w:b/>
                <w:bCs/>
                <w:color w:val="auto"/>
                <w:kern w:val="0"/>
                <w:sz w:val="21"/>
                <w:szCs w:val="21"/>
                <w:highlight w:val="none"/>
              </w:rPr>
              <w:t>有效的证书</w:t>
            </w:r>
            <w:r>
              <w:rPr>
                <w:rFonts w:hint="eastAsia" w:ascii="宋体" w:hAnsi="宋体" w:eastAsia="宋体" w:cs="宋体"/>
                <w:b/>
                <w:bCs/>
                <w:color w:val="auto"/>
                <w:kern w:val="0"/>
                <w:sz w:val="21"/>
                <w:szCs w:val="21"/>
                <w:highlight w:val="none"/>
                <w:lang w:val="zh-CN"/>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kern w:val="0"/>
                <w:sz w:val="21"/>
                <w:szCs w:val="21"/>
                <w:highlight w:val="none"/>
                <w:lang w:val="zh-CN"/>
              </w:rPr>
              <w:t>加盖投标人公章编入投标文件中，未提供的不得分）</w:t>
            </w:r>
          </w:p>
        </w:tc>
        <w:tc>
          <w:tcPr>
            <w:tcW w:w="640" w:type="dxa"/>
            <w:noWrap w:val="0"/>
            <w:vAlign w:val="center"/>
          </w:tcPr>
          <w:p w14:paraId="7237B930">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bidi="ar-SA"/>
              </w:rPr>
              <w:t>3</w:t>
            </w:r>
          </w:p>
        </w:tc>
      </w:tr>
      <w:tr w14:paraId="441D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74" w:type="dxa"/>
            <w:vMerge w:val="continue"/>
            <w:noWrap w:val="0"/>
            <w:vAlign w:val="center"/>
          </w:tcPr>
          <w:p w14:paraId="22DEB829">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1094" w:type="dxa"/>
            <w:vMerge w:val="continue"/>
            <w:noWrap w:val="0"/>
            <w:vAlign w:val="center"/>
          </w:tcPr>
          <w:p w14:paraId="1F46654B">
            <w:pPr>
              <w:keepNext w:val="0"/>
              <w:keepLines w:val="0"/>
              <w:pageBreakBefore w:val="0"/>
              <w:kinsoku/>
              <w:wordWrap/>
              <w:overflowPunct/>
              <w:topLinePunct w:val="0"/>
              <w:bidi w:val="0"/>
              <w:adjustRightInd w:val="0"/>
              <w:snapToGrid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lang w:val="en-US" w:eastAsia="zh-CN"/>
              </w:rPr>
            </w:pPr>
          </w:p>
        </w:tc>
        <w:tc>
          <w:tcPr>
            <w:tcW w:w="6398" w:type="dxa"/>
            <w:noWrap w:val="0"/>
            <w:vAlign w:val="center"/>
          </w:tcPr>
          <w:p w14:paraId="3A8BBE8F">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投标人具有涉密测绘成果管理人员岗位证书（有效期内）：</w:t>
            </w:r>
          </w:p>
          <w:p w14:paraId="14359EDA">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人及以上的得2分，</w:t>
            </w:r>
          </w:p>
          <w:p w14:paraId="7FE3CE66">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人</w:t>
            </w:r>
            <w:r>
              <w:rPr>
                <w:rFonts w:hint="eastAsia" w:ascii="宋体" w:hAnsi="宋体" w:eastAsia="宋体" w:cs="宋体"/>
                <w:color w:val="auto"/>
                <w:sz w:val="21"/>
                <w:szCs w:val="21"/>
                <w:highlight w:val="none"/>
                <w:lang w:val="en-US" w:eastAsia="zh-CN"/>
              </w:rPr>
              <w:t>（含）-9人（含）得1分，</w:t>
            </w:r>
          </w:p>
          <w:p w14:paraId="08DBC9C3">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人</w:t>
            </w:r>
            <w:r>
              <w:rPr>
                <w:rFonts w:hint="eastAsia" w:ascii="宋体" w:hAnsi="宋体" w:eastAsia="宋体" w:cs="宋体"/>
                <w:color w:val="auto"/>
                <w:sz w:val="21"/>
                <w:szCs w:val="21"/>
                <w:highlight w:val="none"/>
                <w:lang w:val="en-US" w:eastAsia="zh-CN"/>
              </w:rPr>
              <w:t>（含）-4人（含）</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分，没有的不得</w:t>
            </w:r>
            <w:r>
              <w:rPr>
                <w:rFonts w:hint="eastAsia" w:ascii="宋体" w:hAnsi="宋体" w:eastAsia="宋体" w:cs="宋体"/>
                <w:color w:val="auto"/>
                <w:sz w:val="21"/>
                <w:szCs w:val="21"/>
                <w:highlight w:val="none"/>
                <w:lang w:val="en-US"/>
              </w:rPr>
              <w:t>分。</w:t>
            </w:r>
          </w:p>
          <w:p w14:paraId="2DEAF6B1">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eastAsia="zh-CN" w:bidi="ar-SA"/>
              </w:rPr>
              <w:t>（须提供有效的证书扫描件</w:t>
            </w:r>
            <w:r>
              <w:rPr>
                <w:rFonts w:hint="eastAsia" w:ascii="宋体" w:hAnsi="宋体" w:eastAsia="宋体" w:cs="宋体"/>
                <w:b/>
                <w:bCs/>
                <w:color w:val="auto"/>
                <w:sz w:val="21"/>
                <w:szCs w:val="21"/>
                <w:highlight w:val="none"/>
              </w:rPr>
              <w:t>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kern w:val="0"/>
                <w:sz w:val="21"/>
                <w:szCs w:val="21"/>
                <w:highlight w:val="none"/>
                <w:lang w:val="zh-CN" w:eastAsia="zh-CN" w:bidi="ar-SA"/>
              </w:rPr>
              <w:t>加盖投标人公章编入投标文件中，未提供的不得分）</w:t>
            </w:r>
          </w:p>
        </w:tc>
        <w:tc>
          <w:tcPr>
            <w:tcW w:w="640" w:type="dxa"/>
            <w:noWrap w:val="0"/>
            <w:vAlign w:val="center"/>
          </w:tcPr>
          <w:p w14:paraId="43197357">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r>
      <w:tr w14:paraId="31B4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1074" w:type="dxa"/>
            <w:vMerge w:val="continue"/>
            <w:noWrap w:val="0"/>
            <w:vAlign w:val="center"/>
          </w:tcPr>
          <w:p w14:paraId="61F4B2C9">
            <w:pPr>
              <w:keepNext w:val="0"/>
              <w:keepLines w:val="0"/>
              <w:pageBreakBefore w:val="0"/>
              <w:kinsoku/>
              <w:wordWrap/>
              <w:overflowPunct/>
              <w:topLinePunct w:val="0"/>
              <w:autoSpaceDE w:val="0"/>
              <w:autoSpaceDN w:val="0"/>
              <w:bidi w:val="0"/>
              <w:adjustRightInd w:val="0"/>
              <w:spacing w:line="240" w:lineRule="auto"/>
              <w:ind w:left="0" w:right="0"/>
              <w:jc w:val="center"/>
              <w:rPr>
                <w:rFonts w:hint="eastAsia" w:ascii="宋体" w:hAnsi="宋体" w:eastAsia="宋体" w:cs="宋体"/>
                <w:color w:val="auto"/>
                <w:sz w:val="21"/>
                <w:szCs w:val="21"/>
                <w:highlight w:val="none"/>
              </w:rPr>
            </w:pPr>
          </w:p>
        </w:tc>
        <w:tc>
          <w:tcPr>
            <w:tcW w:w="1094" w:type="dxa"/>
            <w:noWrap w:val="0"/>
            <w:vAlign w:val="center"/>
          </w:tcPr>
          <w:p w14:paraId="61796BD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6398" w:type="dxa"/>
            <w:noWrap w:val="0"/>
            <w:vAlign w:val="center"/>
          </w:tcPr>
          <w:p w14:paraId="7E8AD9B5">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拟投入本项目的</w:t>
            </w:r>
            <w:r>
              <w:rPr>
                <w:rFonts w:hint="eastAsia" w:ascii="宋体" w:hAnsi="宋体" w:eastAsia="宋体" w:cs="宋体"/>
                <w:color w:val="auto"/>
                <w:sz w:val="21"/>
                <w:szCs w:val="21"/>
                <w:highlight w:val="none"/>
                <w:lang w:val="en-US" w:eastAsia="zh-CN"/>
              </w:rPr>
              <w:t>项目负责人</w:t>
            </w:r>
            <w:r>
              <w:rPr>
                <w:rFonts w:hint="eastAsia" w:ascii="宋体" w:hAnsi="宋体" w:cs="宋体"/>
                <w:color w:val="auto"/>
                <w:sz w:val="21"/>
                <w:szCs w:val="21"/>
                <w:highlight w:val="none"/>
                <w:lang w:val="en-US" w:eastAsia="zh-CN"/>
              </w:rPr>
              <w:t>：</w:t>
            </w:r>
          </w:p>
          <w:p w14:paraId="5F3AD357">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具有自然资源领域正高级职称得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具有自然资源领域高级专业技术职称得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2D6E04F0">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2、负责人担任过的项目获国家级表彰的得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分，获省级表彰的得1分，不累计计分。</w:t>
            </w:r>
          </w:p>
          <w:p w14:paraId="7286BDC2">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strike w:val="0"/>
                <w:dstrike w:val="0"/>
                <w:color w:val="auto"/>
                <w:sz w:val="21"/>
                <w:szCs w:val="21"/>
                <w:highlight w:val="none"/>
                <w:lang w:val="en-US" w:eastAsia="zh-CN"/>
              </w:rPr>
              <w:t>本项最高得6分。</w:t>
            </w:r>
            <w:r>
              <w:rPr>
                <w:rFonts w:hint="eastAsia" w:ascii="宋体" w:hAnsi="宋体" w:eastAsia="宋体" w:cs="宋体"/>
                <w:b/>
                <w:bCs/>
                <w:color w:val="auto"/>
                <w:sz w:val="21"/>
                <w:szCs w:val="21"/>
                <w:highlight w:val="none"/>
              </w:rPr>
              <w:t>（须提供有效的职称证书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表彰证书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40" w:type="dxa"/>
            <w:noWrap w:val="0"/>
            <w:vAlign w:val="center"/>
          </w:tcPr>
          <w:p w14:paraId="3E1ED54E">
            <w:pPr>
              <w:keepNext w:val="0"/>
              <w:keepLines w:val="0"/>
              <w:pageBreakBefore w:val="0"/>
              <w:kinsoku/>
              <w:wordWrap/>
              <w:overflowPunct/>
              <w:topLinePunct w:val="0"/>
              <w:bidi w:val="0"/>
              <w:spacing w:line="240" w:lineRule="auto"/>
              <w:ind w:left="0" w:leftChars="0" w:right="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r>
      <w:tr w14:paraId="4FCC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074" w:type="dxa"/>
            <w:vMerge w:val="continue"/>
            <w:noWrap w:val="0"/>
            <w:vAlign w:val="center"/>
          </w:tcPr>
          <w:p w14:paraId="4BD255D6">
            <w:pPr>
              <w:keepNext w:val="0"/>
              <w:keepLines w:val="0"/>
              <w:pageBreakBefore w:val="0"/>
              <w:kinsoku/>
              <w:wordWrap/>
              <w:overflowPunct/>
              <w:topLinePunct w:val="0"/>
              <w:autoSpaceDE w:val="0"/>
              <w:autoSpaceDN w:val="0"/>
              <w:bidi w:val="0"/>
              <w:adjustRightInd w:val="0"/>
              <w:spacing w:line="240" w:lineRule="auto"/>
              <w:ind w:left="0" w:right="0"/>
              <w:jc w:val="center"/>
              <w:rPr>
                <w:rFonts w:hint="eastAsia" w:ascii="宋体" w:hAnsi="宋体" w:eastAsia="宋体" w:cs="宋体"/>
                <w:color w:val="auto"/>
                <w:sz w:val="21"/>
                <w:szCs w:val="21"/>
                <w:highlight w:val="none"/>
              </w:rPr>
            </w:pPr>
          </w:p>
        </w:tc>
        <w:tc>
          <w:tcPr>
            <w:tcW w:w="1094" w:type="dxa"/>
            <w:noWrap w:val="0"/>
            <w:vAlign w:val="center"/>
          </w:tcPr>
          <w:p w14:paraId="111022D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项目技术负责人</w:t>
            </w:r>
          </w:p>
        </w:tc>
        <w:tc>
          <w:tcPr>
            <w:tcW w:w="6398" w:type="dxa"/>
            <w:noWrap w:val="0"/>
            <w:vAlign w:val="center"/>
          </w:tcPr>
          <w:p w14:paraId="0EF1B551">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拟投入本项目的</w:t>
            </w:r>
            <w:r>
              <w:rPr>
                <w:rFonts w:hint="eastAsia" w:ascii="宋体" w:hAnsi="宋体" w:eastAsia="宋体" w:cs="宋体"/>
                <w:snapToGrid w:val="0"/>
                <w:color w:val="auto"/>
                <w:sz w:val="21"/>
                <w:szCs w:val="21"/>
                <w:highlight w:val="none"/>
              </w:rPr>
              <w:t>项目技术负责人（项目负责人除外）</w:t>
            </w:r>
            <w:r>
              <w:rPr>
                <w:rFonts w:hint="eastAsia" w:ascii="宋体" w:hAnsi="宋体" w:cs="宋体"/>
                <w:color w:val="auto"/>
                <w:sz w:val="21"/>
                <w:szCs w:val="21"/>
                <w:highlight w:val="none"/>
                <w:lang w:val="en-US" w:eastAsia="zh-CN"/>
              </w:rPr>
              <w:t>：</w:t>
            </w:r>
          </w:p>
          <w:p w14:paraId="36A0183B">
            <w:pPr>
              <w:pStyle w:val="59"/>
              <w:keepNext w:val="0"/>
              <w:keepLines w:val="0"/>
              <w:pageBreakBefore w:val="0"/>
              <w:tabs>
                <w:tab w:val="left" w:pos="2640"/>
              </w:tabs>
              <w:kinsoku/>
              <w:wordWrap/>
              <w:overflowPunct/>
              <w:topLinePunct w:val="0"/>
              <w:bidi w:val="0"/>
              <w:spacing w:line="240" w:lineRule="auto"/>
              <w:ind w:left="0" w:right="0"/>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1、具有自然资源领域高级工程师</w:t>
            </w:r>
            <w:r>
              <w:rPr>
                <w:rFonts w:hint="eastAsia" w:ascii="宋体" w:hAnsi="宋体" w:eastAsia="宋体" w:cs="宋体"/>
                <w:snapToGrid w:val="0"/>
                <w:color w:val="auto"/>
                <w:sz w:val="21"/>
                <w:szCs w:val="21"/>
                <w:highlight w:val="none"/>
                <w:lang w:val="en-US" w:eastAsia="zh-CN"/>
              </w:rPr>
              <w:t>及</w:t>
            </w:r>
            <w:r>
              <w:rPr>
                <w:rFonts w:hint="eastAsia" w:ascii="宋体" w:hAnsi="宋体" w:eastAsia="宋体" w:cs="宋体"/>
                <w:snapToGrid w:val="0"/>
                <w:color w:val="auto"/>
                <w:sz w:val="21"/>
                <w:szCs w:val="21"/>
                <w:highlight w:val="none"/>
                <w:lang w:eastAsia="zh-CN"/>
              </w:rPr>
              <w:t>以上专业技术职称的得</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lang w:eastAsia="zh-CN"/>
              </w:rPr>
              <w:t>分。</w:t>
            </w:r>
          </w:p>
          <w:p w14:paraId="51866E26">
            <w:pPr>
              <w:pStyle w:val="59"/>
              <w:keepNext w:val="0"/>
              <w:keepLines w:val="0"/>
              <w:pageBreakBefore w:val="0"/>
              <w:tabs>
                <w:tab w:val="left" w:pos="2640"/>
              </w:tabs>
              <w:kinsoku/>
              <w:wordWrap/>
              <w:overflowPunct/>
              <w:topLinePunct w:val="0"/>
              <w:bidi w:val="0"/>
              <w:spacing w:line="240" w:lineRule="auto"/>
              <w:ind w:left="0" w:right="0"/>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2、具有注册测绘师资格的得</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lang w:eastAsia="zh-CN"/>
              </w:rPr>
              <w:t>分。</w:t>
            </w:r>
          </w:p>
          <w:p w14:paraId="10CD9DE8">
            <w:pPr>
              <w:pStyle w:val="59"/>
              <w:keepNext w:val="0"/>
              <w:keepLines w:val="0"/>
              <w:pageBreakBefore w:val="0"/>
              <w:tabs>
                <w:tab w:val="left" w:pos="2640"/>
              </w:tabs>
              <w:kinsoku/>
              <w:wordWrap/>
              <w:overflowPunct/>
              <w:topLinePunct w:val="0"/>
              <w:bidi w:val="0"/>
              <w:spacing w:line="240" w:lineRule="auto"/>
              <w:ind w:left="0" w:leftChars="0" w:right="0" w:rightChars="0"/>
              <w:rPr>
                <w:rFonts w:hint="eastAsia" w:ascii="宋体" w:hAnsi="宋体" w:eastAsia="宋体" w:cs="宋体"/>
                <w:b/>
                <w:bCs/>
                <w:color w:val="auto"/>
                <w:sz w:val="21"/>
                <w:szCs w:val="21"/>
                <w:highlight w:val="none"/>
              </w:rPr>
            </w:pPr>
            <w:r>
              <w:rPr>
                <w:rFonts w:hint="eastAsia" w:ascii="宋体" w:hAnsi="宋体" w:cs="宋体"/>
                <w:b w:val="0"/>
                <w:bCs w:val="0"/>
                <w:color w:val="auto"/>
                <w:sz w:val="21"/>
                <w:szCs w:val="21"/>
                <w:highlight w:val="none"/>
                <w:lang w:val="en-US" w:eastAsia="zh-CN"/>
              </w:rPr>
              <w:t>本项最高得2分。</w:t>
            </w:r>
            <w:r>
              <w:rPr>
                <w:rFonts w:hint="eastAsia" w:ascii="宋体" w:hAnsi="宋体" w:eastAsia="宋体" w:cs="宋体"/>
                <w:b/>
                <w:bCs/>
                <w:color w:val="auto"/>
                <w:sz w:val="21"/>
                <w:szCs w:val="21"/>
                <w:highlight w:val="none"/>
              </w:rPr>
              <w:t>（须提供有效的职称证书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资格证书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40" w:type="dxa"/>
            <w:noWrap w:val="0"/>
            <w:vAlign w:val="center"/>
          </w:tcPr>
          <w:p w14:paraId="437CA958">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r>
      <w:tr w14:paraId="621D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074" w:type="dxa"/>
            <w:vMerge w:val="continue"/>
            <w:noWrap w:val="0"/>
            <w:vAlign w:val="center"/>
          </w:tcPr>
          <w:p w14:paraId="4EFDC5D8">
            <w:pPr>
              <w:keepNext w:val="0"/>
              <w:keepLines w:val="0"/>
              <w:pageBreakBefore w:val="0"/>
              <w:kinsoku/>
              <w:wordWrap/>
              <w:overflowPunct/>
              <w:topLinePunct w:val="0"/>
              <w:bidi w:val="0"/>
              <w:spacing w:line="240" w:lineRule="auto"/>
              <w:ind w:left="0" w:right="0"/>
              <w:jc w:val="center"/>
              <w:rPr>
                <w:rFonts w:hint="eastAsia" w:ascii="宋体" w:hAnsi="宋体" w:eastAsia="宋体" w:cs="宋体"/>
                <w:color w:val="auto"/>
                <w:sz w:val="21"/>
                <w:szCs w:val="21"/>
                <w:highlight w:val="none"/>
              </w:rPr>
            </w:pPr>
          </w:p>
        </w:tc>
        <w:tc>
          <w:tcPr>
            <w:tcW w:w="1094" w:type="dxa"/>
            <w:noWrap w:val="0"/>
            <w:vAlign w:val="center"/>
          </w:tcPr>
          <w:p w14:paraId="63C06E2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Style w:val="57"/>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w:t>
            </w:r>
          </w:p>
        </w:tc>
        <w:tc>
          <w:tcPr>
            <w:tcW w:w="6398" w:type="dxa"/>
            <w:noWrap w:val="0"/>
            <w:vAlign w:val="center"/>
          </w:tcPr>
          <w:p w14:paraId="1DB6E37C">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拟投入本项目的</w:t>
            </w: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snapToGrid w:val="0"/>
                <w:color w:val="auto"/>
                <w:sz w:val="21"/>
                <w:szCs w:val="21"/>
                <w:highlight w:val="none"/>
              </w:rPr>
              <w:t>项目技术负责人</w:t>
            </w:r>
            <w:r>
              <w:rPr>
                <w:rFonts w:hint="eastAsia" w:ascii="宋体" w:hAnsi="宋体" w:eastAsia="宋体" w:cs="宋体"/>
                <w:color w:val="auto"/>
                <w:sz w:val="21"/>
                <w:szCs w:val="21"/>
                <w:highlight w:val="none"/>
                <w:lang w:val="en-US" w:eastAsia="zh-CN"/>
              </w:rPr>
              <w:t>除外</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w:t>
            </w:r>
          </w:p>
          <w:p w14:paraId="6AF57BAB">
            <w:pPr>
              <w:keepNext w:val="0"/>
              <w:keepLines w:val="0"/>
              <w:pageBreakBefore w:val="0"/>
              <w:widowControl/>
              <w:kinsoku/>
              <w:wordWrap/>
              <w:overflowPunct/>
              <w:topLinePunct w:val="0"/>
              <w:bidi w:val="0"/>
              <w:spacing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具有相关专业中级及以上职称的</w:t>
            </w:r>
            <w:r>
              <w:rPr>
                <w:rFonts w:hint="eastAsia" w:ascii="宋体" w:hAnsi="宋体" w:eastAsia="宋体" w:cs="宋体"/>
                <w:snapToGrid w:val="0"/>
                <w:color w:val="auto"/>
                <w:sz w:val="21"/>
                <w:szCs w:val="21"/>
                <w:highlight w:val="none"/>
              </w:rPr>
              <w:t>，每投入1人得1分，</w:t>
            </w:r>
            <w:r>
              <w:rPr>
                <w:rFonts w:hint="eastAsia" w:ascii="宋体" w:hAnsi="宋体" w:eastAsia="宋体" w:cs="宋体"/>
                <w:color w:val="auto"/>
                <w:sz w:val="21"/>
                <w:szCs w:val="21"/>
                <w:highlight w:val="none"/>
              </w:rPr>
              <w:t>本项最高得5分。</w:t>
            </w:r>
          </w:p>
          <w:p w14:paraId="136D2433">
            <w:pPr>
              <w:keepNext w:val="0"/>
              <w:keepLines w:val="0"/>
              <w:pageBreakBefore w:val="0"/>
              <w:kinsoku/>
              <w:wordWrap/>
              <w:overflowPunct/>
              <w:topLinePunct w:val="0"/>
              <w:bidi w:val="0"/>
              <w:adjustRightInd w:val="0"/>
              <w:snapToGrid w:val="0"/>
              <w:spacing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w:t>
            </w:r>
            <w:r>
              <w:rPr>
                <w:rFonts w:hint="eastAsia" w:ascii="宋体" w:hAnsi="宋体" w:cs="宋体"/>
                <w:b/>
                <w:bCs/>
                <w:color w:val="auto"/>
                <w:sz w:val="21"/>
                <w:szCs w:val="21"/>
                <w:highlight w:val="none"/>
                <w:lang w:val="en-US" w:eastAsia="zh-CN"/>
              </w:rPr>
              <w:t>有效</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职称</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40" w:type="dxa"/>
            <w:noWrap w:val="0"/>
            <w:vAlign w:val="center"/>
          </w:tcPr>
          <w:p w14:paraId="649FBFD7">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5</w:t>
            </w:r>
          </w:p>
        </w:tc>
      </w:tr>
      <w:tr w14:paraId="6671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074" w:type="dxa"/>
            <w:vMerge w:val="restart"/>
            <w:noWrap w:val="0"/>
            <w:vAlign w:val="center"/>
          </w:tcPr>
          <w:p w14:paraId="1EF81F30">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DCFF55A">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0CEBBCEE">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361FB43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30024B4">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6FFF7B3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3628DBC0">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1885715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15028B62">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18E65B4">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77857779">
            <w:pPr>
              <w:pStyle w:val="2"/>
              <w:keepNext w:val="0"/>
              <w:keepLines w:val="0"/>
              <w:pageBreakBefore w:val="0"/>
              <w:kinsoku/>
              <w:wordWrap/>
              <w:overflowPunct/>
              <w:topLinePunct w:val="0"/>
              <w:bidi w:val="0"/>
              <w:spacing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094" w:type="dxa"/>
            <w:vMerge w:val="restart"/>
            <w:noWrap w:val="0"/>
            <w:vAlign w:val="center"/>
          </w:tcPr>
          <w:p w14:paraId="3B68B4C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6398" w:type="dxa"/>
            <w:noWrap w:val="0"/>
            <w:vAlign w:val="center"/>
          </w:tcPr>
          <w:p w14:paraId="3C1A65DD">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根据投标人对本项目现状、总体认识和需求描述等进行打分。</w:t>
            </w:r>
          </w:p>
          <w:p w14:paraId="33805E1C">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对本项目历史数据分析结构合理，目的意义、实施目标、工作范围、工作内容和技术要求描述内容完整、表述准确、无前后矛盾、目录清晰，符合采购文件要求的得3.0-5.0分；</w:t>
            </w:r>
          </w:p>
          <w:p w14:paraId="6BE99A9D">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对本项目现状、总体认识和需求描述方案描述简单，内容不够全面的得</w:t>
            </w:r>
            <w:r>
              <w:rPr>
                <w:rFonts w:hint="eastAsia" w:ascii="宋体" w:hAnsi="宋体" w:eastAsia="宋体" w:cs="宋体"/>
                <w:color w:val="auto"/>
                <w:sz w:val="21"/>
                <w:szCs w:val="21"/>
                <w:highlight w:val="none"/>
                <w:lang w:val="en-US" w:eastAsia="zh-CN"/>
              </w:rPr>
              <w:t>1.0-2.9分；</w:t>
            </w:r>
          </w:p>
          <w:p w14:paraId="4E713144">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现状分析、总体认识等内容有提及但阐述不完整的得0.1-0.9分；</w:t>
            </w:r>
          </w:p>
          <w:p w14:paraId="55B68158">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4A5ABACA">
            <w:pPr>
              <w:autoSpaceDE w:val="0"/>
              <w:autoSpaceDN w:val="0"/>
              <w:adjustRightInd w:val="0"/>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r>
      <w:tr w14:paraId="0C64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074" w:type="dxa"/>
            <w:vMerge w:val="continue"/>
            <w:noWrap w:val="0"/>
            <w:vAlign w:val="center"/>
          </w:tcPr>
          <w:p w14:paraId="0B74C0F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094" w:type="dxa"/>
            <w:vMerge w:val="continue"/>
            <w:noWrap w:val="0"/>
            <w:vAlign w:val="center"/>
          </w:tcPr>
          <w:p w14:paraId="148E66B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6398" w:type="dxa"/>
            <w:noWrap w:val="0"/>
            <w:vAlign w:val="center"/>
          </w:tcPr>
          <w:p w14:paraId="041EBD8F">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根据投标人对项目的具体工作思路、技术路线以及数据采集调查流程及组织保障措施等情况进行打分。</w:t>
            </w:r>
          </w:p>
          <w:p w14:paraId="388DCC5C">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工作依据详细、合规，总体思路明确，对实施本项目的技术路线图清晰，资料收集清单明晰，数据采集流程详细，组织保障措施合理可行的得3.0-5.0分；</w:t>
            </w:r>
          </w:p>
          <w:p w14:paraId="7090386E">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对本项目技术路线、数据采集调查流程及组织保障措施描述简单，内容不够全面的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1.0-2.9分；</w:t>
            </w:r>
          </w:p>
          <w:p w14:paraId="03172DAF">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技术路线及相关流程有提及但内容不完整，缺乏可操作性的得0.1-0.9分；</w:t>
            </w:r>
          </w:p>
          <w:p w14:paraId="0B5865C2">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1C12D8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firstLine="0" w:firstLine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14:paraId="1D92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1074" w:type="dxa"/>
            <w:vMerge w:val="continue"/>
            <w:noWrap w:val="0"/>
            <w:vAlign w:val="center"/>
          </w:tcPr>
          <w:p w14:paraId="5BC8184A">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5E013D3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重难点分析及解决方案</w:t>
            </w:r>
          </w:p>
        </w:tc>
        <w:tc>
          <w:tcPr>
            <w:tcW w:w="6398" w:type="dxa"/>
            <w:noWrap w:val="0"/>
            <w:vAlign w:val="center"/>
          </w:tcPr>
          <w:p w14:paraId="474D9B00">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针对项目实施中</w:t>
            </w:r>
            <w:r>
              <w:rPr>
                <w:rFonts w:hint="eastAsia" w:ascii="宋体" w:hAnsi="宋体" w:eastAsia="宋体" w:cs="宋体"/>
                <w:color w:val="auto"/>
                <w:sz w:val="21"/>
                <w:szCs w:val="21"/>
                <w:highlight w:val="none"/>
                <w:lang w:val="en-US" w:eastAsia="zh-CN"/>
              </w:rPr>
              <w:t>可能</w:t>
            </w:r>
            <w:r>
              <w:rPr>
                <w:rFonts w:hint="eastAsia" w:ascii="宋体" w:hAnsi="宋体" w:eastAsia="宋体" w:cs="宋体"/>
                <w:color w:val="auto"/>
                <w:sz w:val="21"/>
                <w:szCs w:val="21"/>
                <w:highlight w:val="none"/>
              </w:rPr>
              <w:t>存在的问题和具体实施过程遇到的重点难点分析情况进行打分。</w:t>
            </w:r>
          </w:p>
          <w:p w14:paraId="22041DE6">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对本项目工作重点、难点分析具有针对</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B93FBEA">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w:t>
            </w: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分析比较有针对得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3CDCE2D">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对本项目工作重点、难点分析不全得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9011041">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4A346965">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r>
      <w:tr w14:paraId="103A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1074" w:type="dxa"/>
            <w:vMerge w:val="continue"/>
            <w:noWrap w:val="0"/>
            <w:vAlign w:val="center"/>
          </w:tcPr>
          <w:p w14:paraId="22251F94">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restart"/>
            <w:noWrap w:val="0"/>
            <w:vAlign w:val="center"/>
          </w:tcPr>
          <w:p w14:paraId="62BD14B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项目实施</w:t>
            </w:r>
          </w:p>
        </w:tc>
        <w:tc>
          <w:tcPr>
            <w:tcW w:w="6398" w:type="dxa"/>
            <w:noWrap w:val="0"/>
            <w:vAlign w:val="center"/>
          </w:tcPr>
          <w:p w14:paraId="3568F11D">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val="en-US" w:eastAsia="zh-CN"/>
              </w:rPr>
              <w:t>年度沿海滩涂（潮间带）资源稳定性及淤积潜力评价</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1495C104">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630105DD">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41377C99">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36A194E0">
            <w:pPr>
              <w:keepNext w:val="0"/>
              <w:keepLines w:val="0"/>
              <w:pageBreakBefore w:val="0"/>
              <w:tabs>
                <w:tab w:val="left" w:pos="2061"/>
              </w:tabs>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0" w:type="dxa"/>
            <w:noWrap w:val="0"/>
            <w:vAlign w:val="center"/>
          </w:tcPr>
          <w:p w14:paraId="4C0DB2B9">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1505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74" w:type="dxa"/>
            <w:vMerge w:val="continue"/>
            <w:noWrap w:val="0"/>
            <w:vAlign w:val="center"/>
          </w:tcPr>
          <w:p w14:paraId="551A333E">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6E924CE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4911988F">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val="en-US" w:eastAsia="zh-CN"/>
              </w:rPr>
              <w:t>年围填海历史遗留问题处理核查</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6BE001C4">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7A639F4F">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2C2EDADC">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61B1912E">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0" w:type="dxa"/>
            <w:noWrap w:val="0"/>
            <w:vAlign w:val="center"/>
          </w:tcPr>
          <w:p w14:paraId="4EDC1442">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607D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074" w:type="dxa"/>
            <w:vMerge w:val="continue"/>
            <w:noWrap w:val="0"/>
            <w:vAlign w:val="center"/>
          </w:tcPr>
          <w:p w14:paraId="0890EEB2">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4F4BD5F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0FD52CC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val="en-US" w:eastAsia="zh-CN"/>
              </w:rPr>
              <w:t>年无居民海岛监视监测与管理</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692A49E5">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4596BA3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5B08CDCD">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304E6523">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0" w:type="dxa"/>
            <w:noWrap w:val="0"/>
            <w:vAlign w:val="center"/>
          </w:tcPr>
          <w:p w14:paraId="4647F093">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4745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074" w:type="dxa"/>
            <w:vMerge w:val="continue"/>
            <w:noWrap w:val="0"/>
            <w:vAlign w:val="center"/>
          </w:tcPr>
          <w:p w14:paraId="0F1C716F">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0FF5786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服务质量管控</w:t>
            </w:r>
          </w:p>
        </w:tc>
        <w:tc>
          <w:tcPr>
            <w:tcW w:w="6398" w:type="dxa"/>
            <w:noWrap w:val="0"/>
            <w:vAlign w:val="center"/>
          </w:tcPr>
          <w:p w14:paraId="67D1D224">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根据投标人对项目工作中的管理规范、管理组织构架、监督体系、内控制度、质量管控措施进行打分。</w:t>
            </w:r>
          </w:p>
          <w:p w14:paraId="17907D54">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服务质量管控方案阐述全面，管理规范、管理组织构架、监督体系、内控制度、质量管控</w:t>
            </w: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等阐述合理可行且有针对性，能有效保障项目服务质量的得3.0-6.0分</w:t>
            </w:r>
            <w:r>
              <w:rPr>
                <w:rFonts w:hint="eastAsia" w:ascii="宋体" w:hAnsi="宋体" w:eastAsia="宋体" w:cs="宋体"/>
                <w:color w:val="auto"/>
                <w:sz w:val="21"/>
                <w:szCs w:val="21"/>
                <w:highlight w:val="none"/>
              </w:rPr>
              <w:t>；</w:t>
            </w:r>
          </w:p>
          <w:p w14:paraId="5CC68B5A">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服务质量管控方案阐述简单，管理规范、监督体系等内容有提及但阐述不完整，基本能保障项目服务的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1.0-2.9分；</w:t>
            </w:r>
          </w:p>
          <w:p w14:paraId="75CB8288">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方案阐述片面，内容不完整，缺乏可操作性的得0.1-0.9分；</w:t>
            </w:r>
          </w:p>
          <w:p w14:paraId="1AC3D82E">
            <w:pPr>
              <w:keepNext w:val="0"/>
              <w:keepLines w:val="0"/>
              <w:pageBreakBefore w:val="0"/>
              <w:tabs>
                <w:tab w:val="left" w:pos="2061"/>
              </w:tabs>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1896F5D7">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10C4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74" w:type="dxa"/>
            <w:vMerge w:val="continue"/>
            <w:noWrap w:val="0"/>
            <w:vAlign w:val="center"/>
          </w:tcPr>
          <w:p w14:paraId="2EEA6B56">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restart"/>
            <w:noWrap w:val="0"/>
            <w:vAlign w:val="center"/>
          </w:tcPr>
          <w:p w14:paraId="10B6BF39">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数据录入</w:t>
            </w:r>
          </w:p>
        </w:tc>
        <w:tc>
          <w:tcPr>
            <w:tcW w:w="6398" w:type="dxa"/>
            <w:noWrap w:val="0"/>
            <w:vAlign w:val="center"/>
          </w:tcPr>
          <w:p w14:paraId="653F71BE">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对省级“智控海洋”应用场景的理解是否科学、合理、先进、完整等情况进行打分。</w:t>
            </w:r>
          </w:p>
          <w:p w14:paraId="36E7D090">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对省级“智控海洋”应用场景的理解</w:t>
            </w:r>
            <w:r>
              <w:rPr>
                <w:rFonts w:hint="eastAsia" w:ascii="宋体" w:hAnsi="宋体" w:eastAsia="宋体" w:cs="宋体"/>
                <w:color w:val="auto"/>
                <w:sz w:val="21"/>
                <w:szCs w:val="21"/>
                <w:highlight w:val="none"/>
                <w:lang w:val="en-US" w:eastAsia="zh-CN"/>
              </w:rPr>
              <w:t>科学合理，内容完整、有针对性的得2.0-4.0分；</w:t>
            </w:r>
          </w:p>
          <w:p w14:paraId="50009117">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004B8871">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7BB97F01">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18CB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074" w:type="dxa"/>
            <w:vMerge w:val="continue"/>
            <w:noWrap w:val="0"/>
            <w:vAlign w:val="center"/>
          </w:tcPr>
          <w:p w14:paraId="534DB12B">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4479E7FC">
            <w:pPr>
              <w:keepNext w:val="0"/>
              <w:keepLines w:val="0"/>
              <w:pageBreakBefore w:val="0"/>
              <w:kinsoku/>
              <w:wordWrap/>
              <w:overflowPunct/>
              <w:topLinePunct w:val="0"/>
              <w:bidi w:val="0"/>
              <w:spacing w:line="240" w:lineRule="auto"/>
              <w:ind w:left="0" w:right="0"/>
              <w:jc w:val="center"/>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71306CDE">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对省级“智控海洋”场景相关接口的理解程度进行打分。</w:t>
            </w:r>
          </w:p>
          <w:p w14:paraId="79AC89A8">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对省级“智控海洋”场景相关接口的理解</w:t>
            </w:r>
            <w:r>
              <w:rPr>
                <w:rFonts w:hint="eastAsia" w:ascii="宋体" w:hAnsi="宋体" w:eastAsia="宋体" w:cs="宋体"/>
                <w:color w:val="auto"/>
                <w:sz w:val="21"/>
                <w:szCs w:val="21"/>
                <w:highlight w:val="none"/>
                <w:lang w:val="en-US" w:eastAsia="zh-CN"/>
              </w:rPr>
              <w:t>科学合理，内容完整、有针对性的得2.0-4.0分；</w:t>
            </w:r>
          </w:p>
          <w:p w14:paraId="1933D3FC">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00F829E4">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4F70DE4F">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4328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74" w:type="dxa"/>
            <w:vMerge w:val="continue"/>
            <w:noWrap w:val="0"/>
            <w:vAlign w:val="center"/>
          </w:tcPr>
          <w:p w14:paraId="516DE79F">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79F9766A">
            <w:pPr>
              <w:keepNext w:val="0"/>
              <w:keepLines w:val="0"/>
              <w:pageBreakBefore w:val="0"/>
              <w:kinsoku/>
              <w:wordWrap/>
              <w:overflowPunct/>
              <w:topLinePunct w:val="0"/>
              <w:bidi w:val="0"/>
              <w:spacing w:line="240" w:lineRule="auto"/>
              <w:ind w:left="0" w:right="0"/>
              <w:jc w:val="center"/>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0016DB02">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对涉海相关矢量数据（海域权属、海洋功能区划、历史疑点疑区、历史围填海</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）的理解是否科学、合理、先进、完整等情况进行打分。</w:t>
            </w:r>
          </w:p>
          <w:p w14:paraId="1CA84375">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对涉海相关矢量数据（海域权属、海洋功能区划、历史疑点疑区、历史围填海</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）的理解</w:t>
            </w:r>
            <w:r>
              <w:rPr>
                <w:rFonts w:hint="eastAsia" w:ascii="宋体" w:hAnsi="宋体" w:eastAsia="宋体" w:cs="宋体"/>
                <w:color w:val="auto"/>
                <w:sz w:val="21"/>
                <w:szCs w:val="21"/>
                <w:highlight w:val="none"/>
                <w:lang w:val="en-US" w:eastAsia="zh-CN"/>
              </w:rPr>
              <w:t>科学合理，内容阐述完整、有针对性的得2.0-4.0分；</w:t>
            </w:r>
          </w:p>
          <w:p w14:paraId="4A0D4114">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6A246FA1">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35B6B1F7">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0B06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074" w:type="dxa"/>
            <w:vMerge w:val="continue"/>
            <w:noWrap w:val="0"/>
            <w:vAlign w:val="center"/>
          </w:tcPr>
          <w:p w14:paraId="2513A2DF">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117A8522">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保密措施</w:t>
            </w:r>
          </w:p>
        </w:tc>
        <w:tc>
          <w:tcPr>
            <w:tcW w:w="6398" w:type="dxa"/>
            <w:noWrap w:val="0"/>
            <w:vAlign w:val="center"/>
          </w:tcPr>
          <w:p w14:paraId="63A56821">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根据投标人是否有</w:t>
            </w:r>
            <w:r>
              <w:rPr>
                <w:rFonts w:hint="eastAsia" w:ascii="宋体" w:hAnsi="宋体" w:eastAsia="宋体" w:cs="宋体"/>
                <w:bCs/>
                <w:color w:val="auto"/>
                <w:sz w:val="21"/>
                <w:szCs w:val="21"/>
                <w:highlight w:val="none"/>
                <w:lang w:val="en-US" w:eastAsia="zh-CN"/>
              </w:rPr>
              <w:t>完备的</w:t>
            </w:r>
            <w:r>
              <w:rPr>
                <w:rFonts w:hint="eastAsia" w:ascii="宋体" w:hAnsi="宋体" w:eastAsia="宋体" w:cs="宋体"/>
                <w:bCs/>
                <w:color w:val="auto"/>
                <w:sz w:val="21"/>
                <w:szCs w:val="21"/>
                <w:highlight w:val="none"/>
                <w:lang w:eastAsia="zh-CN"/>
              </w:rPr>
              <w:t>保密措施，</w:t>
            </w:r>
            <w:r>
              <w:rPr>
                <w:rFonts w:hint="eastAsia" w:ascii="宋体" w:hAnsi="宋体" w:eastAsia="宋体" w:cs="宋体"/>
                <w:bCs/>
                <w:color w:val="auto"/>
                <w:sz w:val="21"/>
                <w:szCs w:val="21"/>
                <w:highlight w:val="none"/>
                <w:lang w:val="en-US" w:eastAsia="zh-CN"/>
              </w:rPr>
              <w:t>保障</w:t>
            </w:r>
            <w:r>
              <w:rPr>
                <w:rFonts w:hint="eastAsia" w:ascii="宋体" w:hAnsi="宋体" w:eastAsia="宋体" w:cs="宋体"/>
                <w:bCs/>
                <w:color w:val="auto"/>
                <w:sz w:val="21"/>
                <w:szCs w:val="21"/>
                <w:highlight w:val="none"/>
                <w:lang w:eastAsia="zh-CN"/>
              </w:rPr>
              <w:t>2024年路桥区海洋空间资源开发利用监测评估工作</w:t>
            </w:r>
            <w:r>
              <w:rPr>
                <w:rFonts w:hint="eastAsia" w:ascii="宋体" w:hAnsi="宋体" w:eastAsia="宋体" w:cs="宋体"/>
                <w:bCs/>
                <w:color w:val="auto"/>
                <w:sz w:val="21"/>
                <w:szCs w:val="21"/>
                <w:highlight w:val="none"/>
                <w:lang w:val="en-US" w:eastAsia="zh-CN"/>
              </w:rPr>
              <w:t>涉及的各类</w:t>
            </w:r>
            <w:r>
              <w:rPr>
                <w:rFonts w:hint="eastAsia" w:ascii="宋体" w:hAnsi="宋体" w:eastAsia="宋体" w:cs="宋体"/>
                <w:bCs/>
                <w:color w:val="auto"/>
                <w:sz w:val="21"/>
                <w:szCs w:val="21"/>
                <w:highlight w:val="none"/>
                <w:lang w:eastAsia="zh-CN"/>
              </w:rPr>
              <w:t>影像、资料以及档案不被泄露等情况进行打分。</w:t>
            </w:r>
          </w:p>
          <w:p w14:paraId="03382CE2">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详细阐述具体的保密措施，措施全面可行，能够</w:t>
            </w:r>
            <w:r>
              <w:rPr>
                <w:rFonts w:hint="eastAsia" w:ascii="宋体" w:hAnsi="宋体" w:eastAsia="宋体" w:cs="宋体"/>
                <w:bCs/>
                <w:color w:val="auto"/>
                <w:sz w:val="21"/>
                <w:szCs w:val="21"/>
                <w:highlight w:val="none"/>
                <w:lang w:val="en-US" w:eastAsia="zh-CN"/>
              </w:rPr>
              <w:t>保障</w:t>
            </w:r>
            <w:r>
              <w:rPr>
                <w:rFonts w:hint="eastAsia" w:ascii="宋体" w:hAnsi="宋体" w:eastAsia="宋体" w:cs="宋体"/>
                <w:bCs/>
                <w:color w:val="auto"/>
                <w:sz w:val="21"/>
                <w:szCs w:val="21"/>
                <w:highlight w:val="none"/>
                <w:lang w:eastAsia="zh-CN"/>
              </w:rPr>
              <w:t>资料不被泄露的得3.0-5.0分；</w:t>
            </w:r>
          </w:p>
          <w:p w14:paraId="36BEFBB4">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保密措施简单，</w:t>
            </w:r>
            <w:r>
              <w:rPr>
                <w:rFonts w:hint="eastAsia" w:ascii="宋体" w:hAnsi="宋体" w:eastAsia="宋体" w:cs="宋体"/>
                <w:bCs/>
                <w:color w:val="auto"/>
                <w:sz w:val="21"/>
                <w:szCs w:val="21"/>
                <w:highlight w:val="none"/>
                <w:lang w:val="en-US" w:eastAsia="zh-CN"/>
              </w:rPr>
              <w:t>内容有提及但不完整</w:t>
            </w:r>
            <w:r>
              <w:rPr>
                <w:rFonts w:hint="eastAsia" w:ascii="宋体" w:hAnsi="宋体" w:eastAsia="宋体" w:cs="宋体"/>
                <w:bCs/>
                <w:color w:val="auto"/>
                <w:sz w:val="21"/>
                <w:szCs w:val="21"/>
                <w:highlight w:val="none"/>
                <w:lang w:eastAsia="zh-CN"/>
              </w:rPr>
              <w:t>，不能</w:t>
            </w:r>
            <w:r>
              <w:rPr>
                <w:rFonts w:hint="eastAsia" w:ascii="宋体" w:hAnsi="宋体" w:eastAsia="宋体" w:cs="宋体"/>
                <w:bCs/>
                <w:color w:val="auto"/>
                <w:sz w:val="21"/>
                <w:szCs w:val="21"/>
                <w:highlight w:val="none"/>
                <w:lang w:val="en-US" w:eastAsia="zh-CN"/>
              </w:rPr>
              <w:t>有效</w:t>
            </w:r>
            <w:r>
              <w:rPr>
                <w:rFonts w:hint="eastAsia" w:ascii="宋体" w:hAnsi="宋体" w:eastAsia="宋体" w:cs="宋体"/>
                <w:bCs/>
                <w:color w:val="auto"/>
                <w:sz w:val="21"/>
                <w:szCs w:val="21"/>
                <w:highlight w:val="none"/>
                <w:lang w:eastAsia="zh-CN"/>
              </w:rPr>
              <w:t>保障服务质量的得</w:t>
            </w:r>
            <w:r>
              <w:rPr>
                <w:rFonts w:hint="eastAsia" w:ascii="宋体" w:hAnsi="宋体" w:eastAsia="宋体" w:cs="宋体"/>
                <w:bCs/>
                <w:color w:val="auto"/>
                <w:sz w:val="21"/>
                <w:szCs w:val="21"/>
                <w:highlight w:val="none"/>
                <w:lang w:val="en-US" w:eastAsia="zh-CN"/>
              </w:rPr>
              <w:t>1.0-2.9分；</w:t>
            </w:r>
          </w:p>
          <w:p w14:paraId="7FC8F948">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方案阐述片面，内容不完整，缺乏可操作性的得0.1-0.9分；</w:t>
            </w:r>
          </w:p>
          <w:p w14:paraId="50D625EF">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未提及此项不得分。</w:t>
            </w:r>
          </w:p>
        </w:tc>
        <w:tc>
          <w:tcPr>
            <w:tcW w:w="640" w:type="dxa"/>
            <w:noWrap w:val="0"/>
            <w:vAlign w:val="center"/>
          </w:tcPr>
          <w:p w14:paraId="305AF5FA">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r>
      <w:tr w14:paraId="77ED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74" w:type="dxa"/>
            <w:vMerge w:val="continue"/>
            <w:noWrap w:val="0"/>
            <w:vAlign w:val="center"/>
          </w:tcPr>
          <w:p w14:paraId="3E4FFA20">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7460460E">
            <w:pPr>
              <w:keepNext w:val="0"/>
              <w:keepLines w:val="0"/>
              <w:pageBreakBefore w:val="0"/>
              <w:kinsoku/>
              <w:wordWrap/>
              <w:overflowPunct/>
              <w:topLinePunct w:val="0"/>
              <w:bidi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后续</w:t>
            </w:r>
            <w:r>
              <w:rPr>
                <w:rFonts w:hint="eastAsia" w:ascii="宋体" w:hAnsi="宋体" w:eastAsia="宋体" w:cs="宋体"/>
                <w:i w:val="0"/>
                <w:iCs w:val="0"/>
                <w:color w:val="auto"/>
                <w:kern w:val="0"/>
                <w:sz w:val="21"/>
                <w:szCs w:val="21"/>
                <w:highlight w:val="none"/>
              </w:rPr>
              <w:t>服务</w:t>
            </w:r>
            <w:r>
              <w:rPr>
                <w:rFonts w:hint="eastAsia" w:ascii="宋体" w:hAnsi="宋体" w:eastAsia="宋体" w:cs="宋体"/>
                <w:i w:val="0"/>
                <w:iCs w:val="0"/>
                <w:color w:val="auto"/>
                <w:kern w:val="0"/>
                <w:sz w:val="21"/>
                <w:szCs w:val="21"/>
                <w:highlight w:val="none"/>
                <w:lang w:val="en-US" w:eastAsia="zh-CN"/>
              </w:rPr>
              <w:t>方案</w:t>
            </w:r>
          </w:p>
        </w:tc>
        <w:tc>
          <w:tcPr>
            <w:tcW w:w="6398" w:type="dxa"/>
            <w:noWrap w:val="0"/>
            <w:vAlign w:val="center"/>
          </w:tcPr>
          <w:p w14:paraId="16E45A5D">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根据投标人承诺提供的后续服务方案（服务能力、服务措施、服务承诺等方面）情况，包括服务承诺的可行性、完整性以及后续的技术实施保障措施等进行打分。</w:t>
            </w:r>
          </w:p>
          <w:p w14:paraId="5BD22236">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服务方案全面、后续技术保障措施合理有效的得3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p w14:paraId="7834336F">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服务方案阐述较详尽，</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后续技术保障措施有欠缺的得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8AA17A0">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服务方案简单片面，内容有提及但缺乏针对性、可行性的得0.1-0.9分</w:t>
            </w:r>
            <w:r>
              <w:rPr>
                <w:rFonts w:hint="eastAsia" w:ascii="宋体" w:hAnsi="宋体" w:eastAsia="宋体" w:cs="宋体"/>
                <w:color w:val="auto"/>
                <w:sz w:val="21"/>
                <w:szCs w:val="21"/>
                <w:highlight w:val="none"/>
              </w:rPr>
              <w:t>；</w:t>
            </w:r>
          </w:p>
          <w:p w14:paraId="794FBBC3">
            <w:pPr>
              <w:keepNext w:val="0"/>
              <w:keepLines w:val="0"/>
              <w:pageBreakBefore w:val="0"/>
              <w:widowControl/>
              <w:tabs>
                <w:tab w:val="right" w:pos="4937"/>
              </w:tabs>
              <w:kinsoku/>
              <w:wordWrap/>
              <w:overflowPunct/>
              <w:topLinePunct w:val="0"/>
              <w:bidi w:val="0"/>
              <w:spacing w:line="240" w:lineRule="auto"/>
              <w:ind w:left="0" w:leftChars="0" w:right="0" w:rightChars="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0" w:type="dxa"/>
            <w:noWrap w:val="0"/>
            <w:vAlign w:val="center"/>
          </w:tcPr>
          <w:p w14:paraId="13F7482C">
            <w:pPr>
              <w:tabs>
                <w:tab w:val="left" w:pos="780"/>
              </w:tabs>
              <w:ind w:left="0" w:lef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4D21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168" w:type="dxa"/>
            <w:gridSpan w:val="2"/>
            <w:noWrap w:val="0"/>
            <w:vAlign w:val="center"/>
          </w:tcPr>
          <w:p w14:paraId="1A63633D">
            <w:pPr>
              <w:keepNext w:val="0"/>
              <w:keepLines w:val="0"/>
              <w:pageBreakBefore w:val="0"/>
              <w:kinsoku/>
              <w:wordWrap/>
              <w:overflowPunct/>
              <w:topLinePunct w:val="0"/>
              <w:bidi w:val="0"/>
              <w:spacing w:line="240" w:lineRule="auto"/>
              <w:ind w:left="0" w:leftChars="0" w:right="0" w:firstLine="0" w:firstLineChars="0"/>
              <w:jc w:val="center"/>
              <w:rPr>
                <w:rStyle w:val="57"/>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价格</w:t>
            </w:r>
          </w:p>
          <w:p w14:paraId="0BF49E53">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w:t>
            </w:r>
            <w:r>
              <w:rPr>
                <w:rStyle w:val="57"/>
                <w:rFonts w:hint="eastAsia" w:ascii="宋体" w:hAnsi="宋体" w:eastAsia="宋体" w:cs="宋体"/>
                <w:color w:val="auto"/>
                <w:kern w:val="0"/>
                <w:sz w:val="21"/>
                <w:szCs w:val="21"/>
                <w:highlight w:val="none"/>
                <w:lang w:val="en-US" w:eastAsia="zh-CN"/>
              </w:rPr>
              <w:t>1</w:t>
            </w:r>
            <w:r>
              <w:rPr>
                <w:rStyle w:val="57"/>
                <w:rFonts w:hint="eastAsia" w:ascii="宋体" w:hAnsi="宋体" w:eastAsia="宋体" w:cs="宋体"/>
                <w:color w:val="auto"/>
                <w:kern w:val="0"/>
                <w:sz w:val="21"/>
                <w:szCs w:val="21"/>
                <w:highlight w:val="none"/>
              </w:rPr>
              <w:t>0分）</w:t>
            </w:r>
          </w:p>
        </w:tc>
        <w:tc>
          <w:tcPr>
            <w:tcW w:w="6398" w:type="dxa"/>
            <w:noWrap w:val="0"/>
            <w:vAlign w:val="center"/>
          </w:tcPr>
          <w:p w14:paraId="2AC67905">
            <w:pPr>
              <w:keepNext w:val="0"/>
              <w:keepLines w:val="0"/>
              <w:pageBreakBefore w:val="0"/>
              <w:kinsoku/>
              <w:wordWrap/>
              <w:overflowPunct/>
              <w:topLinePunct w:val="0"/>
              <w:bidi w:val="0"/>
              <w:spacing w:line="240" w:lineRule="auto"/>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0ADF8203">
            <w:pPr>
              <w:keepNext w:val="0"/>
              <w:keepLines w:val="0"/>
              <w:pageBreakBefore w:val="0"/>
              <w:kinsoku/>
              <w:wordWrap/>
              <w:overflowPunct/>
              <w:topLinePunct w:val="0"/>
              <w:bidi w:val="0"/>
              <w:spacing w:line="240" w:lineRule="auto"/>
              <w:ind w:left="0" w:right="0"/>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40" w:type="dxa"/>
            <w:noWrap w:val="0"/>
            <w:vAlign w:val="center"/>
          </w:tcPr>
          <w:p w14:paraId="4EABA3D5">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bl>
    <w:p w14:paraId="1385562A">
      <w:pPr>
        <w:pStyle w:val="3"/>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66566EC8">
      <w:pPr>
        <w:pStyle w:val="4"/>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kern w:val="2"/>
          <w:sz w:val="21"/>
          <w:szCs w:val="21"/>
          <w:highlight w:val="none"/>
          <w:lang w:val="en-US" w:eastAsia="zh-CN" w:bidi="ar-SA"/>
        </w:rPr>
        <w:t>一、</w:t>
      </w:r>
      <w:r>
        <w:rPr>
          <w:rFonts w:hint="eastAsia" w:ascii="宋体" w:hAnsi="宋体" w:eastAsia="宋体" w:cs="宋体"/>
          <w:color w:val="auto"/>
          <w:sz w:val="21"/>
          <w:szCs w:val="21"/>
          <w:highlight w:val="none"/>
          <w:lang w:eastAsia="zh-CN"/>
        </w:rPr>
        <w:t>项目背景</w:t>
      </w:r>
    </w:p>
    <w:p w14:paraId="3B816FDD">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路桥区2025年度沿海滩涂（潮间带）资源稳定性及淤积潜力评价</w:t>
      </w:r>
    </w:p>
    <w:p w14:paraId="55448B7E">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沿海滩涂（潮间带）是近海生物重要栖息繁殖地和鸟类迁徙中转站，是珍贵的湿地资源，具有重要的生态功能。党中央、国务院高度重视沿海滩涂（潮间带）保护与利用管理工作，2016年12月，中央全面深化改革领导小组第三十次会议审议通过了《围填海管控办法》，要求加强和规范围填海管理、严格控制围填海总量，促进沿海滩涂等海洋资源可持续利用；2021年3月，两会受权发布《中华人民共和国国民经济和社会发展十四五规划和2035年远景目标纲要》，要求“严格围填海管控，加强海岸带综合管理与滨海湿地保护”。</w:t>
      </w:r>
    </w:p>
    <w:p w14:paraId="013C155B">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省地处我国东部沿海，滩涂资源丰富，省委省政府高度重视滩涂资源保护与开发利用工作。《浙江省加强滨海湿地保护严格管控围填海实施方案》（浙自然资规〔2019〕1号）明确要求，全面掌握滨海湿地保护与利用情况，开展滩涂资源专项调查，摸清滩涂资源现状和开发潜力，掌握后备资源储备状况，进一步完善动态监视监测体系，加强围填海监视监测，及时掌握动态变化情况；《浙江省人民政府关于印发浙江省海洋经济发展“十四五”规划的通知》（浙政发〔2021〕12号）明确要求，优化海洋空间资源保护利用，坚持开发和保护并重；强化海洋“两空间内部一红线”管控，创新建立海洋保护协调机制，推进海域、海岛、海岸线分区分类保护与利用。为贯彻党中央与省委省政府关于科学保护与开发利用滩涂资源的要求，急需对全省沿海主要滩涂（潮间带）资源及其后备资源要素开展相关调查、评价，摸清现状和变化情况；动态掌握全省沿海主要滩涂资源及其后备资源现状及变化情况，研判全省沿海滩涂冲淤演变格局，科学分析标准海堤外主要滩涂区中长期淤积潜力，系统评价标准海堤内主要滩涂区成陆情况，为统筹全省沿海滩涂资源的保护与利用提供依据。</w:t>
      </w:r>
    </w:p>
    <w:p w14:paraId="71213CBB">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2024年5月浙江省自然资源厅印发了《浙江省自然资源厅关于印发 2024 年省自然资源专项资金（海洋综合管理）工作任务的通知》，并随通知一起下发了《浙江省沿海滩涂（潮间带）资源稳定性及淤积潜力评价技术规程》，</w:t>
      </w:r>
      <w:r>
        <w:rPr>
          <w:rFonts w:hint="eastAsia" w:ascii="宋体" w:hAnsi="宋体" w:eastAsia="宋体" w:cs="宋体"/>
          <w:color w:val="auto"/>
          <w:sz w:val="21"/>
          <w:szCs w:val="21"/>
          <w:highlight w:val="none"/>
          <w:lang w:val="en-US" w:eastAsia="zh-CN"/>
        </w:rPr>
        <w:t>指导沿海各县市区开展沿海滩涂（潮间带）资源稳定性及淤积潜力评价工作。为了摸清路桥区沿海滩涂的现状和变化情况，开展路桥区沿海滩涂（潮间带）资源稳定性及淤积潜力评价工作，动态掌握路桥区沿海主要滩涂资源及其后备资源现状及变化情况，同时为浙江省研判全省沿海滩涂冲淤演变格局，统筹全省沿海滩涂资源的保护与利用提供依据</w:t>
      </w:r>
      <w:r>
        <w:rPr>
          <w:rFonts w:hint="eastAsia" w:ascii="宋体" w:hAnsi="宋体" w:cs="宋体"/>
          <w:color w:val="auto"/>
          <w:sz w:val="21"/>
          <w:szCs w:val="21"/>
          <w:highlight w:val="none"/>
          <w:lang w:val="en-US" w:eastAsia="zh-CN"/>
        </w:rPr>
        <w:t>。</w:t>
      </w:r>
    </w:p>
    <w:p w14:paraId="46F453F7">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（二）路桥区2025年围填海历史遗留问题处理核查</w:t>
      </w:r>
    </w:p>
    <w:p w14:paraId="19876789">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根据《国务院关于加强滨海湿地保护严格管控围填海的通知》（国发〔2018〕24号，以下简称《通知》）要求，2018年12月，自然资源部、国家发展和改革委员会印发了《关于贯彻落实〈国务院关于加强滨海湿地保护 严格管控围填海的通知〉的实施意见》（自然资规〔2018〕5号），要求各省每年12月底前，将经省级人民政府同意的围填海历史遗留问题年度处理情况报送自然资源部和国家发展改革委。2022年10月，自然资源部印发《关于加快开展“未批已填”类围填海历史遗留问题处理方案备案审查工作的通知》（自然资办函〔2022〕2266号），要求对未经自然资源部组织备案审查的“未批已填”类图斑进行集中备案审查。省自然资源厅组织省海科院和各级自然资源主管部门对“未批已填”类围填海历史遗留问题进行了全面梳理和补充完善，编制处理方案报自然资源部审查，2023年9月20日获批。</w:t>
      </w:r>
    </w:p>
    <w:p w14:paraId="6C86254D">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本次开展历史围填海处理情况核查工作，是在2018年围填海现状调查和2019至2023年围填海历史遗留问题处理情况核查监管的基础上，</w:t>
      </w:r>
      <w:r>
        <w:rPr>
          <w:rFonts w:hint="eastAsia" w:ascii="宋体" w:hAnsi="宋体" w:eastAsia="宋体" w:cs="宋体"/>
          <w:color w:val="auto"/>
          <w:sz w:val="21"/>
          <w:szCs w:val="21"/>
          <w:highlight w:val="none"/>
          <w:lang w:val="en-US" w:eastAsia="zh-CN"/>
        </w:rPr>
        <w:t xml:space="preserve">通过遥感监测及现场核查相结合的方式，及时掌握工程状态、开发利用等信息，并对《浙江省围填海历史遗留问题处理方案》（以下简称《处理方案》）内的围填海区块的处理情况及其进展进行核查，为严格管控围填海，报送年度处理工作情况提供基础支撑。 </w:t>
      </w:r>
    </w:p>
    <w:p w14:paraId="5DF87356">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（三）路桥区2025年无居民海岛监视监测与管理</w:t>
      </w:r>
    </w:p>
    <w:p w14:paraId="50475EE8">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2020年12月14日，浙江省自然资源厅印发《浙江省海洋重点领域监管工作方案》的通知，在海域、无居民海岛保护与利用监管方面提出“主要包括海域使用与无居民海岛开发利用许可、围填海历史遗留问题处置、用海用岛疑点疑区核查、领海基点等特殊用途海岛保护等”。</w:t>
      </w:r>
    </w:p>
    <w:p w14:paraId="0B172B59">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然资源部办公厅关于开展更新无居民海岛开发利用现状等工作的函》（自然资办函〔2024〕1209号），提出开展更新无居民海岛开发利用现状、统计面积较小无居民海岛情况、统计特殊情形岸线信息等有关工作，便于进一步做好无居民海岛保护利用管理工作。</w:t>
      </w:r>
    </w:p>
    <w:p w14:paraId="19BEE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浙江省自然资源厅关于进一步做好无居民海岛历史遗留问题处置工作的通知》（浙自然资厅〔2024〕220号）提出沿海县级以上自然资源部门应当依据无居民海岛历史遗留问题清单和生态评估结论，制定无居民海岛历史遗留问题处置方案。处置方案应包括用岛现状、历史遗留问题成因及类型、生态评估结论、生态保护修复方案及实施计划、违法违规用岛查处情况、审批手续办理安排等。</w:t>
      </w:r>
    </w:p>
    <w:p w14:paraId="1DEC4808">
      <w:pPr>
        <w:pStyle w:val="4"/>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color w:val="auto"/>
          <w:sz w:val="21"/>
          <w:szCs w:val="21"/>
          <w:highlight w:val="none"/>
          <w:lang w:eastAsia="zh-CN"/>
        </w:rPr>
        <w:t>工作范围</w:t>
      </w:r>
    </w:p>
    <w:p w14:paraId="07AEBF61">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（一）路桥区2025年度沿海滩涂（潮间带）资源稳定性及淤积潜力评价</w:t>
      </w:r>
    </w:p>
    <w:p w14:paraId="1E8B40ED">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监测与评价范围涵盖路桥区行政区划界线内的大陆与海岛主要滩涂区，自现状大陆海岸线和海岛海岸线向海至水深 5 米线。</w:t>
      </w:r>
    </w:p>
    <w:p w14:paraId="63150EA1">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（二）路桥区2025年围填海历史遗留问题处理核查</w:t>
      </w:r>
    </w:p>
    <w:p w14:paraId="4E76087F">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《浙江省围填海历史遗留问题处理方案》中的路桥区围填海区块及其生态修复范围。</w:t>
      </w:r>
    </w:p>
    <w:p w14:paraId="5E22B103">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（三）路桥区2025年无居民海岛监视监测与管理</w:t>
      </w:r>
    </w:p>
    <w:p w14:paraId="741D12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路桥区管辖范围内存在开发利用的无居民海岛。</w:t>
      </w:r>
    </w:p>
    <w:p w14:paraId="5F71A0CE">
      <w:pPr>
        <w:pStyle w:val="4"/>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kern w:val="2"/>
          <w:sz w:val="21"/>
          <w:szCs w:val="21"/>
          <w:highlight w:val="none"/>
          <w:lang w:val="en-US" w:eastAsia="zh-CN" w:bidi="ar-SA"/>
        </w:rPr>
        <w:t>三、</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lang w:eastAsia="zh-CN"/>
        </w:rPr>
        <w:t>内容</w:t>
      </w:r>
    </w:p>
    <w:p w14:paraId="172E4B8A">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（一）路桥区2025年度沿海滩涂（潮间带）资源稳定性及淤积潜力评价</w:t>
      </w:r>
    </w:p>
    <w:p w14:paraId="22A8D65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展路桥区沿海滩涂（潮间带）资源稳定性及淤积潜力评价。围绕标准海堤外主要滩涂区稳定性及淤积潜力，采用实地勘测（结合无人机拍摄、遥感解译）、室内分析与综合评价相结合的方式，进行路桥区沿海滩涂（潮间带）资源稳定性及淤积潜力的监测与评价。</w:t>
      </w:r>
    </w:p>
    <w:p w14:paraId="38E8EAC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（1）标准海堤内主要滩涂区要素监测与评价。含地形、植被、土壤（水体）盐度、土壤密度与含水量等要素监测（调查、测量）；堤外近区（理论深度基准面水深 5 米以内）海水化学、沉积物、大型底栖生物调查。</w:t>
      </w:r>
      <w:r>
        <w:rPr>
          <w:rFonts w:hint="eastAsia" w:ascii="宋体" w:hAnsi="宋体" w:eastAsia="宋体" w:cs="宋体"/>
          <w:color w:val="auto"/>
          <w:sz w:val="21"/>
          <w:szCs w:val="21"/>
          <w:highlight w:val="none"/>
          <w:lang w:val="en-US" w:eastAsia="zh-CN"/>
        </w:rPr>
        <w:t>具体要求：主要滩涂区地形监测 1 次；植被、土壤（水体）盐度、土壤密度与含水量等要素监测 1 次；获取正射影像 1 次。</w:t>
      </w:r>
    </w:p>
    <w:p w14:paraId="37E78D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（2）标准海堤外主要滩涂区要素监测与评价。现状岸线至理论深度基准面水深 5 米之间主要滩涂区域的地形监测、表层沉积物调查。具体要求：主要滩涂区和重点滩涂区地形与表层沉积物各监测1次；</w:t>
      </w:r>
    </w:p>
    <w:p w14:paraId="6728D16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）重点滩涂区水文要素监测。</w:t>
      </w:r>
      <w:r>
        <w:rPr>
          <w:rFonts w:hint="eastAsia" w:ascii="宋体" w:hAnsi="宋体" w:eastAsia="宋体" w:cs="宋体"/>
          <w:color w:val="auto"/>
          <w:sz w:val="21"/>
          <w:szCs w:val="21"/>
          <w:highlight w:val="none"/>
          <w:lang w:val="en-US" w:eastAsia="zh-CN"/>
        </w:rPr>
        <w:t>具体要求：</w:t>
      </w:r>
      <w:r>
        <w:rPr>
          <w:rFonts w:hint="eastAsia" w:ascii="宋体" w:hAnsi="宋体" w:eastAsia="宋体" w:cs="宋体"/>
          <w:color w:val="auto"/>
          <w:sz w:val="21"/>
          <w:szCs w:val="21"/>
          <w:highlight w:val="none"/>
          <w:lang w:eastAsia="zh-CN"/>
        </w:rPr>
        <w:t>重点潮位观测1次。</w:t>
      </w:r>
    </w:p>
    <w:p w14:paraId="3D11448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（4）编制202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年度监测报告，以及参照技术规程编制202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年度沿海滩涂（潮间带）资源稳定性及淤积潜力的分析评价报告。</w:t>
      </w:r>
    </w:p>
    <w:p w14:paraId="6B545F2B">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）路桥区202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年围填海历史遗留问题处理核查</w:t>
      </w:r>
    </w:p>
    <w:p w14:paraId="5A30D6F2">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本次路桥区历史围填海处理情况核查项目以2018年浙江省围填海现状调查数据和2019至2023年围填海历史遗留问题处理情况核查监管成果为基础，</w:t>
      </w:r>
      <w:r>
        <w:rPr>
          <w:rFonts w:hint="eastAsia" w:ascii="宋体" w:hAnsi="宋体" w:eastAsia="宋体" w:cs="宋体"/>
          <w:color w:val="auto"/>
          <w:sz w:val="21"/>
          <w:szCs w:val="21"/>
          <w:highlight w:val="none"/>
          <w:lang w:val="en-US" w:eastAsia="zh-CN"/>
        </w:rPr>
        <w:t>主要利用高分辨率遥感（无人机、航空或卫星）影像解译与现场调查相结合的方式，开展路桥区围填海历史遗留问题处理情况核查监管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根据202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val="en-US" w:eastAsia="zh-CN"/>
        </w:rPr>
        <w:t xml:space="preserve">围填海历史遗留问题处理核查结果按照场景要求更新“智控海洋”场景中的相关数据。 </w:t>
      </w:r>
    </w:p>
    <w:p w14:paraId="2087EADC">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主要核查内容为： </w:t>
      </w:r>
    </w:p>
    <w:p w14:paraId="257DD4B4">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（1）项目实施进展：发展改革部门立项、海域使用申请、招拍挂及出让合同签订、填海进度、填海竣工验收、换发土地证、投资金额等内容； </w:t>
      </w:r>
    </w:p>
    <w:p w14:paraId="5AEBEAF0">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（2）用海审批：《处理方案》中未确权区域项目用海获批的数量、面积、用海方式、用海类型及投资金额； </w:t>
      </w:r>
    </w:p>
    <w:p w14:paraId="6A94E1B8">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（3）拆除进展：《处理方案》中明确拆除区域的数量、面积、进度； </w:t>
      </w:r>
    </w:p>
    <w:p w14:paraId="034E11AE">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（4）违法用海监管：是否存在未批先用、少批多用的情况； </w:t>
      </w:r>
    </w:p>
    <w:p w14:paraId="6B7829E5">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（5）处罚情况：立案机关、立案日期、处罚面积、处罚金额、结案日期等内容；</w:t>
      </w:r>
    </w:p>
    <w:p w14:paraId="43BBE16B">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（6）生态修复进展：已实施的修复措施、投入资金等。 </w:t>
      </w:r>
    </w:p>
    <w:p w14:paraId="7503CEBF">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）路桥区202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年无居民海岛监视监测与管理</w:t>
      </w:r>
    </w:p>
    <w:p w14:paraId="06249975">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工作范围为路桥区管辖范围内存在开发利用的无居民海岛，工作内容如下：</w:t>
      </w:r>
    </w:p>
    <w:p w14:paraId="26DE0A21">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（1）无居民海岛监视监测：对路桥区无居民海岛开发利用现状进行监视监测，编制无居民海岛监视监测报告。</w:t>
      </w:r>
    </w:p>
    <w:p w14:paraId="70ED8C63">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无居民海岛历史遗留问题处置：根据《浙江省自然资源厅关于进一步做好无居民海岛历史遗留问题处置工作的通知》（浙自然资厅〔2024〕220号）等相关文件要求，依据无居民海岛历史遗留问题清单和生态评估结论，制定无居民海岛历史遗留问题处置方案。</w:t>
      </w:r>
    </w:p>
    <w:p w14:paraId="7AA652E6">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val="en-US" w:eastAsia="zh-CN"/>
        </w:rPr>
        <w:t>无居民海岛监视监测与管理情况按照场景要求将相关数据录入“智控海洋”场景中</w:t>
      </w:r>
      <w:r>
        <w:rPr>
          <w:rFonts w:hint="eastAsia" w:ascii="宋体" w:hAnsi="宋体" w:cs="宋体"/>
          <w:color w:val="auto"/>
          <w:sz w:val="21"/>
          <w:szCs w:val="21"/>
          <w:highlight w:val="none"/>
          <w:lang w:val="en-US" w:eastAsia="zh-CN"/>
        </w:rPr>
        <w:t>。</w:t>
      </w:r>
      <w:bookmarkStart w:id="2" w:name="_GoBack"/>
      <w:bookmarkEnd w:id="2"/>
    </w:p>
    <w:p w14:paraId="714B5A4D">
      <w:pPr>
        <w:pStyle w:val="4"/>
        <w:pageBreakBefore w:val="0"/>
        <w:kinsoku/>
        <w:wordWrap/>
        <w:overflowPunct/>
        <w:topLinePunct w:val="0"/>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四、技术要求</w:t>
      </w:r>
    </w:p>
    <w:p w14:paraId="3851C7B6">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（一）路桥区2025年度沿海滩涂（潮间带）资源稳定性及淤积潜力评价</w:t>
      </w:r>
    </w:p>
    <w:p w14:paraId="317783AA">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数学基础：大地坐标系统采用 CGCS2000 坐标系；高程基准采用 1985 国家高程基准（二期）；投影采用高斯-克吕格投影，3度分带，中央经线为 120°或 123°；深度基准采用理论最低潮面。</w:t>
      </w:r>
    </w:p>
    <w:p w14:paraId="78BB1F8C">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（2）标准海堤内主要滩涂区地形监测：露滩区域平面不少于 16 测点/m²，水面覆盖区域根据区块大小提供不同比尺地形图，高程精度优于 0.1m。</w:t>
      </w:r>
    </w:p>
    <w:p w14:paraId="150F9A7D">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（3）标准海堤外主要滩涂区地形监测：实测点平面定位精度一般优于 0.1m，高程测量精度一般优于 0.1m，断面测点间距按照 1:10000 比例尺进行。</w:t>
      </w:r>
    </w:p>
    <w:p w14:paraId="7944177E">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（4）重点滩涂区水文要素监测：对重点滩涂区域进行潮位采样间隔不大于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分钟，潮流采样间隔不大于半小时，连续观测不少于</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小时，潮型判断要满足典型性要求。</w:t>
      </w:r>
    </w:p>
    <w:p w14:paraId="071E9665">
      <w:pPr>
        <w:pStyle w:val="5"/>
        <w:keepNext w:val="0"/>
        <w:keepLines w:val="0"/>
        <w:pageBreakBefore w:val="0"/>
        <w:widowControl w:val="0"/>
        <w:suppressLineNumbers w:val="0"/>
        <w:kinsoku/>
        <w:wordWrap/>
        <w:overflowPunct/>
        <w:topLinePunct w:val="0"/>
        <w:autoSpaceDE w:val="0"/>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lang w:val="en-US" w:eastAsia="zh-CN"/>
        </w:rPr>
        <w:t>二</w:t>
      </w:r>
      <w:r>
        <w:rPr>
          <w:rFonts w:hint="eastAsia" w:ascii="宋体" w:hAnsi="宋体" w:eastAsia="宋体" w:cs="宋体"/>
          <w:b/>
          <w:bCs w:val="0"/>
          <w:color w:val="auto"/>
          <w:kern w:val="2"/>
          <w:sz w:val="21"/>
          <w:szCs w:val="21"/>
          <w:highlight w:val="none"/>
          <w:lang w:eastAsia="zh-CN"/>
        </w:rPr>
        <w:t>）路桥区</w:t>
      </w:r>
      <w:r>
        <w:rPr>
          <w:rFonts w:hint="eastAsia" w:ascii="宋体" w:hAnsi="宋体" w:eastAsia="宋体" w:cs="宋体"/>
          <w:b/>
          <w:bCs w:val="0"/>
          <w:color w:val="auto"/>
          <w:kern w:val="2"/>
          <w:sz w:val="21"/>
          <w:szCs w:val="21"/>
          <w:highlight w:val="none"/>
        </w:rPr>
        <w:t>202</w:t>
      </w:r>
      <w:r>
        <w:rPr>
          <w:rFonts w:hint="eastAsia" w:ascii="宋体" w:hAnsi="宋体" w:eastAsia="宋体" w:cs="宋体"/>
          <w:b/>
          <w:bCs w:val="0"/>
          <w:color w:val="auto"/>
          <w:kern w:val="2"/>
          <w:sz w:val="21"/>
          <w:szCs w:val="21"/>
          <w:highlight w:val="none"/>
          <w:lang w:val="en-US" w:eastAsia="zh-CN"/>
        </w:rPr>
        <w:t>5</w:t>
      </w:r>
      <w:r>
        <w:rPr>
          <w:rFonts w:hint="eastAsia" w:ascii="宋体" w:hAnsi="宋体" w:eastAsia="宋体" w:cs="宋体"/>
          <w:b/>
          <w:bCs w:val="0"/>
          <w:color w:val="auto"/>
          <w:kern w:val="2"/>
          <w:sz w:val="21"/>
          <w:szCs w:val="21"/>
          <w:highlight w:val="none"/>
        </w:rPr>
        <w:t>年围填海历史遗留问题处理核查</w:t>
      </w:r>
    </w:p>
    <w:p w14:paraId="4F4E5990">
      <w:pPr>
        <w:keepNext w:val="0"/>
        <w:keepLines w:val="0"/>
        <w:pageBreakBefore w:val="0"/>
        <w:widowControl w:val="0"/>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（1）数据基础：大地坐标系统采用CGCS2000坐标系；高程基准采用1985国家高程基准（二期）；投影采用高斯-克吕格投影，中央经线为121.5°E。 </w:t>
      </w:r>
    </w:p>
    <w:p w14:paraId="09E9BBF6">
      <w:pPr>
        <w:keepNext w:val="0"/>
        <w:keepLines w:val="0"/>
        <w:pageBreakBefore w:val="0"/>
        <w:widowControl w:val="0"/>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（2）一般情况下，位置测量中误差不大于±1m；高程测量误差不大于±0.1m； 在边远海岛，位置测量中误差不大于±2m，高程测量误差不大于±0.5m。 </w:t>
      </w:r>
    </w:p>
    <w:p w14:paraId="25E0B3B5">
      <w:pPr>
        <w:keepNext w:val="0"/>
        <w:keepLines w:val="0"/>
        <w:pageBreakBefore w:val="0"/>
        <w:widowControl w:val="0"/>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（3）计量单位：坐标单位采用度、分、秒格式，秒后保留3位小数；面积单位采用公顷，保留2位小数。 </w:t>
      </w:r>
    </w:p>
    <w:p w14:paraId="782AD62F">
      <w:pPr>
        <w:keepNext w:val="0"/>
        <w:keepLines w:val="0"/>
        <w:pageBreakBefore w:val="0"/>
        <w:widowControl w:val="0"/>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（4）图件格式：具有空间地理坐标的图件成果资料应以地理信息系统软件（ArcGIS）成图，采用*.Jpg 图件格式。 </w:t>
      </w:r>
    </w:p>
    <w:p w14:paraId="3F141323">
      <w:pPr>
        <w:keepNext w:val="0"/>
        <w:keepLines w:val="0"/>
        <w:pageBreakBefore w:val="0"/>
        <w:widowControl w:val="0"/>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若202</w:t>
      </w: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年省自然资源厅对围填海历史遗留问题处理情况核查监管的技术要求另有规定，按其有关规定执行。</w:t>
      </w:r>
    </w:p>
    <w:p w14:paraId="79E9B955">
      <w:pPr>
        <w:pStyle w:val="5"/>
        <w:keepNext w:val="0"/>
        <w:keepLines w:val="0"/>
        <w:pageBreakBefore w:val="0"/>
        <w:widowControl w:val="0"/>
        <w:suppressLineNumbers w:val="0"/>
        <w:kinsoku/>
        <w:wordWrap/>
        <w:overflowPunct/>
        <w:topLinePunct w:val="0"/>
        <w:autoSpaceDE w:val="0"/>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lang w:val="en-US" w:eastAsia="zh-CN"/>
        </w:rPr>
        <w:t>三</w:t>
      </w:r>
      <w:r>
        <w:rPr>
          <w:rFonts w:hint="eastAsia" w:ascii="宋体" w:hAnsi="宋体" w:eastAsia="宋体" w:cs="宋体"/>
          <w:b/>
          <w:bCs w:val="0"/>
          <w:color w:val="auto"/>
          <w:kern w:val="2"/>
          <w:sz w:val="21"/>
          <w:szCs w:val="21"/>
          <w:highlight w:val="none"/>
          <w:lang w:eastAsia="zh-CN"/>
        </w:rPr>
        <w:t>）路桥区202</w:t>
      </w:r>
      <w:r>
        <w:rPr>
          <w:rFonts w:hint="eastAsia" w:ascii="宋体" w:hAnsi="宋体" w:eastAsia="宋体" w:cs="宋体"/>
          <w:b/>
          <w:bCs w:val="0"/>
          <w:color w:val="auto"/>
          <w:kern w:val="2"/>
          <w:sz w:val="21"/>
          <w:szCs w:val="21"/>
          <w:highlight w:val="none"/>
          <w:lang w:val="en-US" w:eastAsia="zh-CN"/>
        </w:rPr>
        <w:t>5</w:t>
      </w:r>
      <w:r>
        <w:rPr>
          <w:rFonts w:hint="eastAsia" w:ascii="宋体" w:hAnsi="宋体" w:eastAsia="宋体" w:cs="宋体"/>
          <w:b/>
          <w:bCs w:val="0"/>
          <w:color w:val="auto"/>
          <w:kern w:val="2"/>
          <w:sz w:val="21"/>
          <w:szCs w:val="21"/>
          <w:highlight w:val="none"/>
          <w:lang w:eastAsia="zh-CN"/>
        </w:rPr>
        <w:t>年无居民海岛监视监测与管理</w:t>
      </w:r>
    </w:p>
    <w:p w14:paraId="1E54F9F3">
      <w:pPr>
        <w:keepNext w:val="0"/>
        <w:keepLines w:val="0"/>
        <w:pageBreakBefore w:val="0"/>
        <w:widowControl w:val="0"/>
        <w:numPr>
          <w:ilvl w:val="0"/>
          <w:numId w:val="0"/>
        </w:numPr>
        <w:suppressLineNumbers w:val="0"/>
        <w:suppressAutoHyphens/>
        <w:kinsoku/>
        <w:wordWrap/>
        <w:overflowPunct/>
        <w:topLinePunct w:val="0"/>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1）无居民海岛监视监测：通过开展监视监测，对比无居民海岛开发利用填报工作成果，核查用岛位置和范围是否存在变化、是否存在新增用岛、是否存在违法用岛等情况。</w:t>
      </w:r>
    </w:p>
    <w:p w14:paraId="4714E35F">
      <w:pPr>
        <w:keepNext w:val="0"/>
        <w:keepLines w:val="0"/>
        <w:pageBreakBefore w:val="0"/>
        <w:widowControl w:val="0"/>
        <w:numPr>
          <w:ilvl w:val="0"/>
          <w:numId w:val="0"/>
        </w:numPr>
        <w:suppressLineNumbers w:val="0"/>
        <w:suppressAutoHyphens/>
        <w:kinsoku/>
        <w:wordWrap/>
        <w:overflowPunct/>
        <w:topLinePunct w:val="0"/>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坐标系：采用CGCS2000国家大地坐标系。</w:t>
      </w:r>
    </w:p>
    <w:p w14:paraId="20BB09CB">
      <w:pPr>
        <w:keepNext w:val="0"/>
        <w:keepLines w:val="0"/>
        <w:pageBreakBefore w:val="0"/>
        <w:widowControl w:val="0"/>
        <w:numPr>
          <w:ilvl w:val="0"/>
          <w:numId w:val="0"/>
        </w:numPr>
        <w:suppressLineNumbers w:val="0"/>
        <w:suppressAutoHyphens/>
        <w:kinsoku/>
        <w:wordWrap/>
        <w:overflowPunct/>
        <w:topLinePunct w:val="0"/>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地图投影：工作底图采用高斯-克吕格投影，3度分带。</w:t>
      </w:r>
    </w:p>
    <w:p w14:paraId="692F0B97">
      <w:pPr>
        <w:keepNext w:val="0"/>
        <w:keepLines w:val="0"/>
        <w:pageBreakBefore w:val="0"/>
        <w:widowControl w:val="0"/>
        <w:numPr>
          <w:ilvl w:val="0"/>
          <w:numId w:val="0"/>
        </w:numPr>
        <w:suppressLineNumbers w:val="0"/>
        <w:suppressAutoHyphens/>
        <w:kinsoku/>
        <w:wordWrap/>
        <w:overflowPunct/>
        <w:topLinePunct w:val="0"/>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高程基准：高程基准采用1985国家高程基准。</w:t>
      </w:r>
    </w:p>
    <w:p w14:paraId="14BECEB1">
      <w:pPr>
        <w:keepNext w:val="0"/>
        <w:keepLines w:val="0"/>
        <w:pageBreakBefore w:val="0"/>
        <w:widowControl w:val="0"/>
        <w:numPr>
          <w:ilvl w:val="0"/>
          <w:numId w:val="0"/>
        </w:numPr>
        <w:suppressLineNumbers w:val="0"/>
        <w:suppressAutoHyphens/>
        <w:kinsoku/>
        <w:wordWrap/>
        <w:overflowPunct/>
        <w:topLinePunct w:val="0"/>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数据格式：属性表数据采用ArcGIS的.gdb格式；矢量数据采用Shapefile格式；栅格数据采用GEOTIFF、IMG格式；文本、表格等数据文件采用Word、Excel。</w:t>
      </w:r>
    </w:p>
    <w:p w14:paraId="08C7293A">
      <w:pPr>
        <w:keepNext w:val="0"/>
        <w:keepLines w:val="0"/>
        <w:pageBreakBefore w:val="0"/>
        <w:widowControl w:val="0"/>
        <w:numPr>
          <w:ilvl w:val="0"/>
          <w:numId w:val="3"/>
        </w:numPr>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无居民海岛历史遗留问题处置：处置方案编制需满足《浙江省自然资源厅关于进一步做好无居民海岛历史遗留问题处置工作的通知》（浙自然资厅〔2024〕220号）以及《自然资源部办公厅关于印发&lt;无居民海岛历史遗留问题处置试点工作方案&gt;的通知》（自然资办函〔2022〕2394号）等相关文件要求。</w:t>
      </w:r>
    </w:p>
    <w:p w14:paraId="5A264F5E">
      <w:pPr>
        <w:pStyle w:val="4"/>
        <w:pageBreakBefore w:val="0"/>
        <w:kinsoku/>
        <w:wordWrap/>
        <w:overflowPunct/>
        <w:topLinePunct w:val="0"/>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五、项目成果</w:t>
      </w:r>
    </w:p>
    <w:p w14:paraId="118ECEF2">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（一）路桥区2025年度沿海滩涂（潮间带）资源稳定性及淤积潜力评价</w:t>
      </w:r>
    </w:p>
    <w:p w14:paraId="1A6D47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监测评价成果主要包括监测资料、成果图件、监测报告和评价报告。具体提交</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年度沿海滩涂（潮间带）资源稳定性及淤积</w:t>
      </w:r>
      <w:r>
        <w:rPr>
          <w:rFonts w:hint="eastAsia" w:ascii="宋体" w:hAnsi="宋体" w:eastAsia="宋体" w:cs="宋体"/>
          <w:color w:val="auto"/>
          <w:sz w:val="21"/>
          <w:szCs w:val="21"/>
          <w:highlight w:val="none"/>
          <w:lang w:eastAsia="zh-CN"/>
        </w:rPr>
        <w:t>监测成果</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套（含监测报告、图集、统计表）和</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年度沿海滩涂（潮间带）资源稳定性及淤积潜力评价报告</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套（含演化格局）。</w:t>
      </w:r>
    </w:p>
    <w:p w14:paraId="62B65BC2">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）路桥区202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年围填海历史遗留问题处理核查</w:t>
      </w:r>
    </w:p>
    <w:p w14:paraId="27ECAE77">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1、调查统计资料</w:t>
      </w:r>
    </w:p>
    <w:p w14:paraId="22B503BF">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（1）未批已填类历史围填海处理核查汇总表</w:t>
      </w:r>
    </w:p>
    <w:p w14:paraId="578F4B17">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（2）生态修复完成情况核查汇总表；</w:t>
      </w:r>
    </w:p>
    <w:p w14:paraId="4C4C3C03">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（3）围填海历史遗留问题区域用海审批汇总表。</w:t>
      </w:r>
    </w:p>
    <w:p w14:paraId="0276D373">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2、矢量数据集</w:t>
      </w:r>
    </w:p>
    <w:p w14:paraId="405B21B3">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根据调查统计资料和测量成果，在围填海现状调查成果矢量数据基础上拆分图斑，编制成果矢量数据集，数据格式采用Geodatabase格式；矢量数据集必须通过拓扑规则检查，并与调查统计资料相一致。</w:t>
      </w:r>
    </w:p>
    <w:p w14:paraId="20532D3A">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3、图件成果</w:t>
      </w:r>
    </w:p>
    <w:p w14:paraId="08EC3D1D">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采用机助制图方式编制专题图件，制图按照有关技术导则和规范要求，主要包括：</w:t>
      </w:r>
    </w:p>
    <w:p w14:paraId="21D476AF">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路桥区围填海历史遗留问题区块分布图；</w:t>
      </w:r>
    </w:p>
    <w:p w14:paraId="50613BC2">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路桥区围填海历史遗留问题区域用海审批分布图。</w:t>
      </w:r>
    </w:p>
    <w:p w14:paraId="38FA163D">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4、核查报告</w:t>
      </w:r>
    </w:p>
    <w:p w14:paraId="73E54DC0">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核查报告应包括但不局限于以下内容：概述（包括项目背景、实施情况），核查方法与技术路线，图斑处置进度，核查结论和建议。</w:t>
      </w:r>
    </w:p>
    <w:p w14:paraId="606BBF76">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）路桥区202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年无居民海岛监视监测与管理</w:t>
      </w:r>
    </w:p>
    <w:p w14:paraId="5AF8E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1）提交路桥区无居民海岛监视监测报告（含开发利用清单、数据集和图集等）</w:t>
      </w:r>
    </w:p>
    <w:p w14:paraId="2F307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2）提交路桥区无居民海岛历史遗留问题处置方案报告</w:t>
      </w:r>
      <w:r>
        <w:rPr>
          <w:rFonts w:hint="eastAsia" w:ascii="宋体" w:hAnsi="宋体" w:cs="宋体"/>
          <w:color w:val="auto"/>
          <w:sz w:val="21"/>
          <w:szCs w:val="21"/>
          <w:highlight w:val="none"/>
          <w:lang w:eastAsia="zh-CN"/>
        </w:rPr>
        <w:t>。</w:t>
      </w:r>
    </w:p>
    <w:p w14:paraId="60EFD361">
      <w:pPr>
        <w:pStyle w:val="4"/>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六、</w:t>
      </w:r>
      <w:r>
        <w:rPr>
          <w:rFonts w:hint="eastAsia" w:ascii="宋体" w:hAnsi="宋体" w:eastAsia="宋体" w:cs="宋体"/>
          <w:color w:val="auto"/>
          <w:sz w:val="21"/>
          <w:szCs w:val="21"/>
          <w:highlight w:val="none"/>
          <w:lang w:val="en-US" w:eastAsia="zh-CN"/>
        </w:rPr>
        <w:t>项目工期</w:t>
      </w:r>
    </w:p>
    <w:p w14:paraId="28BA8F09">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（一）路桥区2025年度沿海滩涂（潮间带）资源稳定性及淤积潜力评价</w:t>
      </w:r>
    </w:p>
    <w:p w14:paraId="35F973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年7月底前完成全部工作任务。</w:t>
      </w:r>
    </w:p>
    <w:p w14:paraId="2BB889DE">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）路桥区202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年围填海历史遗留问题处理核查</w:t>
      </w:r>
    </w:p>
    <w:p w14:paraId="59F4CA7A">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年7月底前完成全部工作任务。</w:t>
      </w:r>
    </w:p>
    <w:p w14:paraId="473CD709">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）路桥区202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年无居民海岛监视监测与管理</w:t>
      </w:r>
    </w:p>
    <w:p w14:paraId="64250CCD">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bCs/>
          <w:color w:val="auto"/>
          <w:highlight w:val="none"/>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年7月底前完成全部工作任务。</w:t>
      </w:r>
    </w:p>
    <w:p w14:paraId="19FCFD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outlineLvl w:val="1"/>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付款方式</w:t>
      </w:r>
    </w:p>
    <w:p w14:paraId="1FFEAFB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szCs w:val="21"/>
          <w:highlight w:val="none"/>
        </w:rPr>
        <w:t>付款方式：</w:t>
      </w:r>
      <w:r>
        <w:rPr>
          <w:rFonts w:hint="eastAsia" w:ascii="宋体" w:hAnsi="宋体" w:eastAsia="宋体" w:cs="宋体"/>
          <w:color w:val="auto"/>
          <w:sz w:val="21"/>
          <w:szCs w:val="21"/>
          <w:highlight w:val="none"/>
          <w:lang w:val="en-US" w:eastAsia="zh-CN" w:bidi="ar"/>
        </w:rPr>
        <w:t>签订合同后，在合同生效以及具备实施条件后7个工作日内</w:t>
      </w:r>
      <w:r>
        <w:rPr>
          <w:rFonts w:hint="eastAsia" w:ascii="宋体" w:hAnsi="宋体" w:cs="宋体"/>
          <w:color w:val="auto"/>
          <w:sz w:val="21"/>
          <w:szCs w:val="21"/>
          <w:highlight w:val="none"/>
          <w:lang w:val="en-US" w:eastAsia="zh-CN" w:bidi="ar"/>
        </w:rPr>
        <w:t>采购</w:t>
      </w:r>
      <w:r>
        <w:rPr>
          <w:rFonts w:hint="eastAsia" w:ascii="宋体" w:hAnsi="宋体" w:eastAsia="宋体" w:cs="宋体"/>
          <w:color w:val="auto"/>
          <w:sz w:val="21"/>
          <w:szCs w:val="21"/>
          <w:highlight w:val="none"/>
          <w:lang w:val="en-US" w:eastAsia="zh-CN" w:bidi="ar"/>
        </w:rPr>
        <w:t>方支付合同金额的50%作为预付款；</w:t>
      </w:r>
      <w:r>
        <w:rPr>
          <w:rFonts w:hint="eastAsia" w:ascii="宋体" w:hAnsi="宋体" w:cs="宋体"/>
          <w:color w:val="auto"/>
          <w:sz w:val="21"/>
          <w:szCs w:val="21"/>
          <w:highlight w:val="none"/>
          <w:lang w:val="en-US" w:eastAsia="zh-CN" w:bidi="ar"/>
        </w:rPr>
        <w:t>中标</w:t>
      </w:r>
      <w:r>
        <w:rPr>
          <w:rFonts w:hint="eastAsia" w:ascii="宋体" w:hAnsi="宋体" w:eastAsia="宋体" w:cs="宋体"/>
          <w:color w:val="auto"/>
          <w:sz w:val="21"/>
          <w:szCs w:val="21"/>
          <w:highlight w:val="none"/>
          <w:lang w:val="en-US" w:eastAsia="zh-CN" w:bidi="ar"/>
        </w:rPr>
        <w:t>方提交阶段成果（外业报告）后，</w:t>
      </w:r>
      <w:r>
        <w:rPr>
          <w:rFonts w:hint="eastAsia" w:ascii="宋体" w:hAnsi="宋体" w:cs="宋体"/>
          <w:color w:val="auto"/>
          <w:sz w:val="21"/>
          <w:szCs w:val="21"/>
          <w:highlight w:val="none"/>
          <w:lang w:val="en-US" w:eastAsia="zh-CN" w:bidi="ar"/>
        </w:rPr>
        <w:t>采购</w:t>
      </w:r>
      <w:r>
        <w:rPr>
          <w:rFonts w:hint="eastAsia" w:ascii="宋体" w:hAnsi="宋体" w:eastAsia="宋体" w:cs="宋体"/>
          <w:color w:val="auto"/>
          <w:sz w:val="21"/>
          <w:szCs w:val="21"/>
          <w:highlight w:val="none"/>
          <w:lang w:val="en-US" w:eastAsia="zh-CN" w:bidi="ar"/>
        </w:rPr>
        <w:t>方支付合同金额的30%；</w:t>
      </w:r>
      <w:r>
        <w:rPr>
          <w:rFonts w:hint="eastAsia" w:ascii="宋体" w:hAnsi="宋体" w:cs="宋体"/>
          <w:color w:val="auto"/>
          <w:sz w:val="21"/>
          <w:szCs w:val="21"/>
          <w:highlight w:val="none"/>
          <w:lang w:val="en-US" w:eastAsia="zh-CN" w:bidi="ar"/>
        </w:rPr>
        <w:t>中标</w:t>
      </w:r>
      <w:r>
        <w:rPr>
          <w:rFonts w:hint="eastAsia" w:ascii="宋体" w:hAnsi="宋体" w:eastAsia="宋体" w:cs="宋体"/>
          <w:color w:val="auto"/>
          <w:sz w:val="21"/>
          <w:szCs w:val="21"/>
          <w:highlight w:val="none"/>
          <w:lang w:val="en-US" w:eastAsia="zh-CN" w:bidi="ar"/>
        </w:rPr>
        <w:t>方完成合同内所有采购内容并通过验收后支付合同金额的20%</w:t>
      </w:r>
      <w:r>
        <w:rPr>
          <w:rFonts w:hint="eastAsia" w:ascii="宋体" w:hAnsi="宋体" w:eastAsia="宋体" w:cs="宋体"/>
          <w:color w:val="auto"/>
          <w:szCs w:val="21"/>
          <w:highlight w:val="none"/>
        </w:rPr>
        <w:t>。</w:t>
      </w:r>
    </w:p>
    <w:p w14:paraId="325C07C3">
      <w:pPr>
        <w:autoSpaceDN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八</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3"/>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台州市自然资源和规划局路桥分局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0"/>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0"/>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台州市自然资源和规划局路桥分局</w:t>
      </w:r>
    </w:p>
    <w:p w14:paraId="7AB10109">
      <w:pPr>
        <w:pStyle w:val="10"/>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台州市自然资源和规划局路桥分局2025年海洋空间资源开发利用监测评估项目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440AAC03">
      <w:pPr>
        <w:pStyle w:val="10"/>
        <w:keepNext w:val="0"/>
        <w:keepLines w:val="0"/>
        <w:pageBreakBefore w:val="0"/>
        <w:kinsoku/>
        <w:wordWrap/>
        <w:overflowPunct/>
        <w:topLinePunct w:val="0"/>
        <w:autoSpaceDE/>
        <w:autoSpaceDN/>
        <w:bidi w:val="0"/>
        <w:adjustRightInd w:val="0"/>
        <w:snapToGrid w:val="0"/>
        <w:spacing w:line="360" w:lineRule="auto"/>
        <w:outlineLvl w:val="9"/>
        <w:rPr>
          <w:rFonts w:hAnsi="宋体" w:cs="宋体"/>
          <w:b/>
          <w:color w:val="auto"/>
          <w:szCs w:val="21"/>
          <w:highlight w:val="none"/>
        </w:rPr>
      </w:pPr>
      <w:r>
        <w:rPr>
          <w:rFonts w:hint="eastAsia" w:hAnsi="宋体" w:cs="宋体"/>
          <w:b/>
          <w:color w:val="auto"/>
          <w:szCs w:val="21"/>
          <w:highlight w:val="none"/>
          <w:lang w:val="en-US" w:eastAsia="zh-CN"/>
        </w:rPr>
        <w:t>第一条：</w:t>
      </w:r>
      <w:r>
        <w:rPr>
          <w:rFonts w:hint="eastAsia" w:hAnsi="宋体" w:cs="宋体"/>
          <w:b/>
          <w:color w:val="auto"/>
          <w:szCs w:val="21"/>
          <w:highlight w:val="none"/>
        </w:rPr>
        <w:t>服务内容</w:t>
      </w:r>
    </w:p>
    <w:p w14:paraId="339D76E8">
      <w:pPr>
        <w:pStyle w:val="10"/>
        <w:keepNext w:val="0"/>
        <w:keepLines w:val="0"/>
        <w:pageBreakBefore w:val="0"/>
        <w:kinsoku/>
        <w:wordWrap/>
        <w:overflowPunct/>
        <w:topLinePunct w:val="0"/>
        <w:autoSpaceDE/>
        <w:autoSpaceDN/>
        <w:bidi w:val="0"/>
        <w:adjustRightInd w:val="0"/>
        <w:snapToGrid w:val="0"/>
        <w:spacing w:line="360" w:lineRule="auto"/>
        <w:outlineLvl w:val="9"/>
        <w:rPr>
          <w:rFonts w:hAnsi="宋体" w:cs="宋体"/>
          <w:color w:val="auto"/>
          <w:szCs w:val="21"/>
          <w:highlight w:val="none"/>
        </w:rPr>
      </w:pPr>
      <w:r>
        <w:rPr>
          <w:rFonts w:hint="eastAsia" w:hAnsi="宋体" w:cs="宋体"/>
          <w:color w:val="auto"/>
          <w:szCs w:val="21"/>
          <w:highlight w:val="none"/>
          <w:lang w:val="en-US" w:eastAsia="zh-CN"/>
        </w:rPr>
        <w:t>1、</w:t>
      </w:r>
      <w:r>
        <w:rPr>
          <w:rFonts w:hint="eastAsia" w:hAnsi="宋体" w:cs="宋体"/>
          <w:color w:val="auto"/>
          <w:szCs w:val="21"/>
          <w:highlight w:val="none"/>
        </w:rPr>
        <w:t>详见本项目招标文件</w:t>
      </w:r>
      <w:r>
        <w:rPr>
          <w:rFonts w:hint="eastAsia" w:hAnsi="宋体" w:cs="宋体"/>
          <w:bCs/>
          <w:color w:val="auto"/>
          <w:szCs w:val="21"/>
          <w:highlight w:val="none"/>
        </w:rPr>
        <w:t>第</w:t>
      </w:r>
      <w:r>
        <w:rPr>
          <w:rFonts w:hint="eastAsia" w:hAnsi="宋体" w:cs="宋体"/>
          <w:bCs/>
          <w:color w:val="auto"/>
          <w:szCs w:val="21"/>
          <w:highlight w:val="none"/>
          <w:lang w:val="en-US" w:eastAsia="zh-CN"/>
        </w:rPr>
        <w:t>四</w:t>
      </w:r>
      <w:r>
        <w:rPr>
          <w:rFonts w:hint="eastAsia" w:hAnsi="宋体" w:cs="宋体"/>
          <w:bCs/>
          <w:color w:val="auto"/>
          <w:szCs w:val="21"/>
          <w:highlight w:val="none"/>
        </w:rPr>
        <w:t>部分《</w:t>
      </w:r>
      <w:r>
        <w:rPr>
          <w:rFonts w:hint="eastAsia" w:hAnsi="宋体" w:cs="宋体"/>
          <w:color w:val="auto"/>
          <w:szCs w:val="21"/>
          <w:highlight w:val="none"/>
        </w:rPr>
        <w:t>项目需求》。</w:t>
      </w:r>
    </w:p>
    <w:p w14:paraId="6DF11277">
      <w:pPr>
        <w:keepNext w:val="0"/>
        <w:keepLines w:val="0"/>
        <w:pageBreakBefore w:val="0"/>
        <w:kinsoku/>
        <w:wordWrap/>
        <w:overflowPunct/>
        <w:topLinePunct w:val="0"/>
        <w:autoSpaceDE/>
        <w:autoSpaceDN/>
        <w:bidi w:val="0"/>
        <w:snapToGrid w:val="0"/>
        <w:spacing w:line="360" w:lineRule="auto"/>
        <w:outlineLvl w:val="9"/>
        <w:rPr>
          <w:rFonts w:ascii="宋体" w:hAnsi="宋体"/>
          <w:b/>
          <w:color w:val="auto"/>
          <w:szCs w:val="21"/>
          <w:highlight w:val="none"/>
        </w:rPr>
      </w:pPr>
      <w:r>
        <w:rPr>
          <w:rFonts w:hint="eastAsia" w:ascii="宋体" w:hAnsi="宋体"/>
          <w:b/>
          <w:color w:val="auto"/>
          <w:szCs w:val="21"/>
          <w:highlight w:val="none"/>
        </w:rPr>
        <w:t>第二条：合同金额</w:t>
      </w:r>
    </w:p>
    <w:p w14:paraId="1885DF38">
      <w:pPr>
        <w:keepNext w:val="0"/>
        <w:keepLines w:val="0"/>
        <w:pageBreakBefore w:val="0"/>
        <w:kinsoku/>
        <w:wordWrap/>
        <w:overflowPunct/>
        <w:topLinePunct w:val="0"/>
        <w:autoSpaceDE/>
        <w:autoSpaceDN/>
        <w:bidi w:val="0"/>
        <w:spacing w:line="360" w:lineRule="auto"/>
        <w:ind w:firstLine="420" w:firstLineChars="200"/>
        <w:outlineLvl w:val="9"/>
        <w:rPr>
          <w:rFonts w:hint="eastAsia" w:ascii="Times New Roman" w:hAnsi="宋体"/>
          <w:b/>
          <w:color w:val="auto"/>
          <w:szCs w:val="21"/>
          <w:highlight w:val="none"/>
        </w:rPr>
      </w:pPr>
      <w:r>
        <w:rPr>
          <w:rFonts w:hint="eastAsia" w:ascii="宋体" w:hAnsi="宋体"/>
          <w:color w:val="auto"/>
          <w:szCs w:val="21"/>
          <w:highlight w:val="none"/>
        </w:rPr>
        <w:t>本合同金额为(大写)</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 (￥:</w:t>
      </w:r>
      <w:r>
        <w:rPr>
          <w:rFonts w:hint="eastAsia" w:ascii="宋体" w:hAnsi="宋体"/>
          <w:color w:val="auto"/>
          <w:szCs w:val="21"/>
          <w:highlight w:val="none"/>
          <w:u w:val="single"/>
        </w:rPr>
        <w:t xml:space="preserve">              </w:t>
      </w:r>
      <w:r>
        <w:rPr>
          <w:rFonts w:hint="eastAsia" w:ascii="宋体" w:hAnsi="宋体"/>
          <w:color w:val="auto"/>
          <w:szCs w:val="21"/>
          <w:highlight w:val="none"/>
        </w:rPr>
        <w:t>元) 人民币。</w:t>
      </w:r>
    </w:p>
    <w:p w14:paraId="66BC6BEB">
      <w:pPr>
        <w:keepNext w:val="0"/>
        <w:keepLines w:val="0"/>
        <w:pageBreakBefore w:val="0"/>
        <w:kinsoku/>
        <w:wordWrap/>
        <w:overflowPunct/>
        <w:topLinePunct w:val="0"/>
        <w:autoSpaceDE/>
        <w:autoSpaceDN/>
        <w:bidi w:val="0"/>
        <w:snapToGrid w:val="0"/>
        <w:spacing w:line="360" w:lineRule="auto"/>
        <w:outlineLvl w:val="9"/>
        <w:rPr>
          <w:rFonts w:ascii="宋体" w:hAnsi="宋体"/>
          <w:b/>
          <w:color w:val="auto"/>
          <w:szCs w:val="21"/>
          <w:highlight w:val="none"/>
        </w:rPr>
      </w:pPr>
      <w:r>
        <w:rPr>
          <w:rFonts w:hint="eastAsia" w:ascii="Times New Roman" w:hAnsi="宋体"/>
          <w:b/>
          <w:color w:val="auto"/>
          <w:szCs w:val="21"/>
          <w:highlight w:val="none"/>
        </w:rPr>
        <w:t>第三条：</w:t>
      </w:r>
      <w:r>
        <w:rPr>
          <w:rFonts w:hint="eastAsia" w:ascii="宋体" w:hAnsi="宋体"/>
          <w:b/>
          <w:color w:val="auto"/>
          <w:szCs w:val="21"/>
          <w:highlight w:val="none"/>
        </w:rPr>
        <w:t>转包或分包</w:t>
      </w:r>
    </w:p>
    <w:p w14:paraId="57A2E85E">
      <w:pPr>
        <w:keepNext w:val="0"/>
        <w:keepLines w:val="0"/>
        <w:pageBreakBefore w:val="0"/>
        <w:kinsoku/>
        <w:wordWrap/>
        <w:overflowPunct/>
        <w:topLinePunct w:val="0"/>
        <w:autoSpaceDE/>
        <w:autoSpaceDN/>
        <w:bidi w:val="0"/>
        <w:snapToGrid w:val="0"/>
        <w:spacing w:line="360" w:lineRule="auto"/>
        <w:outlineLvl w:val="9"/>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本合同范围的服务，应由</w:t>
      </w:r>
      <w:r>
        <w:rPr>
          <w:rFonts w:ascii="宋体" w:hAnsi="宋体"/>
          <w:color w:val="auto"/>
          <w:szCs w:val="21"/>
          <w:highlight w:val="none"/>
        </w:rPr>
        <w:t>乙</w:t>
      </w:r>
      <w:r>
        <w:rPr>
          <w:rFonts w:hint="eastAsia" w:ascii="宋体" w:hAnsi="宋体"/>
          <w:color w:val="auto"/>
          <w:szCs w:val="21"/>
          <w:highlight w:val="none"/>
        </w:rPr>
        <w:t>方直接供应，不得转让他人供应；</w:t>
      </w:r>
    </w:p>
    <w:p w14:paraId="6E6ED335">
      <w:pPr>
        <w:keepNext w:val="0"/>
        <w:keepLines w:val="0"/>
        <w:pageBreakBefore w:val="0"/>
        <w:kinsoku/>
        <w:wordWrap/>
        <w:overflowPunct/>
        <w:topLinePunct w:val="0"/>
        <w:autoSpaceDE/>
        <w:autoSpaceDN/>
        <w:bidi w:val="0"/>
        <w:snapToGrid w:val="0"/>
        <w:spacing w:line="360" w:lineRule="auto"/>
        <w:outlineLvl w:val="9"/>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乙</w:t>
      </w:r>
      <w:r>
        <w:rPr>
          <w:rFonts w:hint="eastAsia" w:ascii="宋体" w:hAnsi="宋体"/>
          <w:color w:val="auto"/>
          <w:szCs w:val="21"/>
          <w:highlight w:val="none"/>
        </w:rPr>
        <w:t>方不得将本合同范围的服务全部或部分分包给他人供应；</w:t>
      </w:r>
    </w:p>
    <w:p w14:paraId="4FF608E6">
      <w:pPr>
        <w:keepNext w:val="0"/>
        <w:keepLines w:val="0"/>
        <w:pageBreakBefore w:val="0"/>
        <w:kinsoku/>
        <w:wordWrap/>
        <w:overflowPunct/>
        <w:topLinePunct w:val="0"/>
        <w:autoSpaceDE/>
        <w:autoSpaceDN/>
        <w:bidi w:val="0"/>
        <w:snapToGrid w:val="0"/>
        <w:spacing w:line="360" w:lineRule="auto"/>
        <w:outlineLvl w:val="9"/>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如有转让和分包行为，甲方有权解除合同，没收履约保证金并追究乙方的违约责任。</w:t>
      </w:r>
    </w:p>
    <w:p w14:paraId="7A6F8F4E">
      <w:pPr>
        <w:pStyle w:val="10"/>
        <w:keepNext w:val="0"/>
        <w:keepLines w:val="0"/>
        <w:pageBreakBefore w:val="0"/>
        <w:kinsoku/>
        <w:wordWrap/>
        <w:overflowPunct/>
        <w:topLinePunct w:val="0"/>
        <w:autoSpaceDE/>
        <w:autoSpaceDN/>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四</w:t>
      </w:r>
      <w:r>
        <w:rPr>
          <w:rFonts w:hint="eastAsia" w:ascii="宋体" w:hAnsi="宋体"/>
          <w:b/>
          <w:color w:val="auto"/>
          <w:szCs w:val="21"/>
          <w:highlight w:val="none"/>
        </w:rPr>
        <w:t>条：</w:t>
      </w:r>
      <w:r>
        <w:rPr>
          <w:rFonts w:hint="eastAsia" w:ascii="宋体" w:hAnsi="宋体" w:eastAsia="宋体" w:cs="宋体"/>
          <w:b/>
          <w:color w:val="auto"/>
          <w:szCs w:val="21"/>
          <w:highlight w:val="none"/>
        </w:rPr>
        <w:t>知识产权</w:t>
      </w:r>
    </w:p>
    <w:p w14:paraId="19BA5173">
      <w:pPr>
        <w:pStyle w:val="10"/>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1D11D804">
      <w:pPr>
        <w:pStyle w:val="10"/>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C65D5F2">
      <w:pPr>
        <w:pStyle w:val="10"/>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76F808F0">
      <w:pPr>
        <w:pStyle w:val="10"/>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67667859">
      <w:pPr>
        <w:keepNext w:val="0"/>
        <w:keepLines w:val="0"/>
        <w:pageBreakBefore w:val="0"/>
        <w:kinsoku/>
        <w:wordWrap/>
        <w:overflowPunct/>
        <w:topLinePunct w:val="0"/>
        <w:autoSpaceDE/>
        <w:autoSpaceDN/>
        <w:bidi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b/>
          <w:bCs w:val="0"/>
          <w:color w:val="auto"/>
          <w:szCs w:val="21"/>
          <w:highlight w:val="none"/>
          <w:lang w:val="en-US" w:eastAsia="zh-CN"/>
        </w:rPr>
        <w:t>第五条：</w:t>
      </w:r>
      <w:r>
        <w:rPr>
          <w:rFonts w:hint="eastAsia" w:ascii="宋体" w:hAnsi="宋体" w:eastAsia="宋体" w:cs="宋体"/>
          <w:b/>
          <w:color w:val="auto"/>
          <w:szCs w:val="21"/>
          <w:highlight w:val="none"/>
        </w:rPr>
        <w:t>转包或分包</w:t>
      </w:r>
    </w:p>
    <w:p w14:paraId="702535F3">
      <w:pPr>
        <w:keepNext w:val="0"/>
        <w:keepLines w:val="0"/>
        <w:pageBreakBefore w:val="0"/>
        <w:kinsoku/>
        <w:wordWrap/>
        <w:overflowPunct/>
        <w:topLinePunct w:val="0"/>
        <w:autoSpaceDE/>
        <w:autoSpaceDN/>
        <w:bidi w:val="0"/>
        <w:snapToGrid w:val="0"/>
        <w:spacing w:line="36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555E7ADE">
      <w:pPr>
        <w:keepNext w:val="0"/>
        <w:keepLines w:val="0"/>
        <w:pageBreakBefore w:val="0"/>
        <w:kinsoku/>
        <w:wordWrap/>
        <w:overflowPunct/>
        <w:topLinePunct w:val="0"/>
        <w:autoSpaceDE/>
        <w:autoSpaceDN/>
        <w:bidi w:val="0"/>
        <w:snapToGrid w:val="0"/>
        <w:spacing w:line="36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046CE527">
      <w:pPr>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075B8D4D">
      <w:pPr>
        <w:keepNext w:val="0"/>
        <w:keepLines w:val="0"/>
        <w:pageBreakBefore w:val="0"/>
        <w:kinsoku/>
        <w:wordWrap/>
        <w:overflowPunct/>
        <w:topLinePunct w:val="0"/>
        <w:autoSpaceDE/>
        <w:autoSpaceDN/>
        <w:bidi w:val="0"/>
        <w:snapToGrid w:val="0"/>
        <w:spacing w:line="360" w:lineRule="auto"/>
        <w:outlineLvl w:val="9"/>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第六条：付款方式</w:t>
      </w:r>
    </w:p>
    <w:p w14:paraId="5A86A803">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bidi="ar"/>
        </w:rPr>
        <w:t>签订合同后，在合同生效以及具备实施条件后7个工作日内甲方支付合同金额的50%作为预付款；乙方提交阶段成果（外业报告）后，甲方支付合同金额的30%；乙方完成合同内所有采购内容并通过验收后支付合同金额的20%</w:t>
      </w:r>
      <w:r>
        <w:rPr>
          <w:rFonts w:hint="eastAsia" w:ascii="宋体" w:hAnsi="宋体" w:eastAsia="宋体" w:cs="宋体"/>
          <w:color w:val="auto"/>
          <w:szCs w:val="21"/>
          <w:highlight w:val="none"/>
        </w:rPr>
        <w:t>。</w:t>
      </w:r>
    </w:p>
    <w:p w14:paraId="1DB934F2">
      <w:pPr>
        <w:pStyle w:val="4"/>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第七条：项目工期</w:t>
      </w:r>
    </w:p>
    <w:p w14:paraId="29FEAEE8">
      <w:pPr>
        <w:pStyle w:val="5"/>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（一）路桥区2025年度沿海滩涂（潮间带）资源稳定性及淤积潜力评价</w:t>
      </w:r>
    </w:p>
    <w:p w14:paraId="68FBE6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年7月底前完成全部工作任务。</w:t>
      </w:r>
    </w:p>
    <w:p w14:paraId="363F2F30">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）路桥区202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年围填海历史遗留问题处理核查</w:t>
      </w:r>
    </w:p>
    <w:p w14:paraId="191C29B2">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年7月底前完成全部工作任务。</w:t>
      </w:r>
    </w:p>
    <w:p w14:paraId="3C951A13">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）路桥区202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年无居民海岛监视监测与管理</w:t>
      </w:r>
    </w:p>
    <w:p w14:paraId="68431386">
      <w:pPr>
        <w:pageBreakBefore w:val="0"/>
        <w:kinsoku/>
        <w:wordWrap/>
        <w:overflowPunct/>
        <w:topLinePunct w:val="0"/>
        <w:autoSpaceDN/>
        <w:bidi w:val="0"/>
        <w:adjustRightInd/>
        <w:snapToGrid/>
        <w:spacing w:line="360" w:lineRule="auto"/>
        <w:ind w:left="0" w:leftChars="0" w:firstLine="420" w:firstLineChars="200"/>
        <w:jc w:val="left"/>
        <w:textAlignment w:val="auto"/>
        <w:rPr>
          <w:color w:val="auto"/>
          <w:highlight w:val="none"/>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年7月底前完成全部工作任务。</w:t>
      </w:r>
    </w:p>
    <w:p w14:paraId="5D659E19">
      <w:pPr>
        <w:pStyle w:val="9"/>
        <w:keepNext w:val="0"/>
        <w:keepLines w:val="0"/>
        <w:pageBreakBefore w:val="0"/>
        <w:kinsoku/>
        <w:wordWrap/>
        <w:overflowPunct/>
        <w:topLinePunct w:val="0"/>
        <w:autoSpaceDE/>
        <w:autoSpaceDN/>
        <w:bidi w:val="0"/>
        <w:adjustRightInd w:val="0"/>
        <w:snapToGrid w:val="0"/>
        <w:spacing w:after="0" w:line="360" w:lineRule="auto"/>
        <w:ind w:left="0" w:leftChars="0"/>
        <w:outlineLvl w:val="9"/>
        <w:rPr>
          <w:b/>
          <w:color w:val="auto"/>
          <w:highlight w:val="none"/>
        </w:rPr>
      </w:pPr>
      <w:r>
        <w:rPr>
          <w:rFonts w:hint="eastAsia"/>
          <w:b/>
          <w:color w:val="auto"/>
          <w:highlight w:val="none"/>
        </w:rPr>
        <w:t>第</w:t>
      </w:r>
      <w:r>
        <w:rPr>
          <w:rFonts w:hint="eastAsia"/>
          <w:b/>
          <w:color w:val="auto"/>
          <w:highlight w:val="none"/>
          <w:lang w:val="en-US" w:eastAsia="zh-CN"/>
        </w:rPr>
        <w:t>八</w:t>
      </w:r>
      <w:r>
        <w:rPr>
          <w:rFonts w:hint="eastAsia"/>
          <w:b/>
          <w:color w:val="auto"/>
          <w:highlight w:val="none"/>
        </w:rPr>
        <w:t>条：</w:t>
      </w:r>
      <w:r>
        <w:rPr>
          <w:b/>
          <w:color w:val="auto"/>
          <w:highlight w:val="none"/>
        </w:rPr>
        <w:t>违约责任</w:t>
      </w:r>
    </w:p>
    <w:p w14:paraId="6DBD8B7D">
      <w:pPr>
        <w:pStyle w:val="9"/>
        <w:keepNext w:val="0"/>
        <w:keepLines w:val="0"/>
        <w:pageBreakBefore w:val="0"/>
        <w:kinsoku/>
        <w:wordWrap/>
        <w:overflowPunct/>
        <w:topLinePunct w:val="0"/>
        <w:autoSpaceDE/>
        <w:autoSpaceDN/>
        <w:bidi w:val="0"/>
        <w:adjustRightInd w:val="0"/>
        <w:snapToGrid w:val="0"/>
        <w:spacing w:after="0" w:line="360" w:lineRule="auto"/>
        <w:ind w:left="0" w:leftChars="0"/>
        <w:outlineLvl w:val="9"/>
        <w:rPr>
          <w:color w:val="auto"/>
          <w:highlight w:val="none"/>
        </w:rPr>
      </w:pPr>
      <w:r>
        <w:rPr>
          <w:rFonts w:hint="eastAsia"/>
          <w:color w:val="auto"/>
          <w:highlight w:val="none"/>
        </w:rPr>
        <w:t>1、</w:t>
      </w:r>
      <w:r>
        <w:rPr>
          <w:color w:val="auto"/>
          <w:highlight w:val="none"/>
        </w:rPr>
        <w:t>甲方无正当理由拒收接受服务的，甲方向乙方支付合同款项百分之五作为违约金。</w:t>
      </w:r>
    </w:p>
    <w:p w14:paraId="74C2C1D7">
      <w:pPr>
        <w:pStyle w:val="9"/>
        <w:keepNext w:val="0"/>
        <w:keepLines w:val="0"/>
        <w:pageBreakBefore w:val="0"/>
        <w:kinsoku/>
        <w:wordWrap/>
        <w:overflowPunct/>
        <w:topLinePunct w:val="0"/>
        <w:autoSpaceDE/>
        <w:autoSpaceDN/>
        <w:bidi w:val="0"/>
        <w:adjustRightInd w:val="0"/>
        <w:snapToGrid w:val="0"/>
        <w:spacing w:after="0" w:line="360" w:lineRule="auto"/>
        <w:ind w:left="0" w:leftChars="0"/>
        <w:outlineLvl w:val="9"/>
        <w:rPr>
          <w:color w:val="auto"/>
          <w:highlight w:val="none"/>
        </w:rPr>
      </w:pPr>
      <w:r>
        <w:rPr>
          <w:rFonts w:hint="eastAsia"/>
          <w:color w:val="auto"/>
          <w:highlight w:val="none"/>
        </w:rPr>
        <w:t>2、</w:t>
      </w:r>
      <w:r>
        <w:rPr>
          <w:color w:val="auto"/>
          <w:highlight w:val="none"/>
        </w:rPr>
        <w:t xml:space="preserve"> 甲方无故逾期验收和办理款项支付手续的，甲方应按逾期付款总额向乙方支付每日万分之五违约金。</w:t>
      </w:r>
    </w:p>
    <w:p w14:paraId="4FBE82EF">
      <w:pPr>
        <w:pStyle w:val="10"/>
        <w:keepNext w:val="0"/>
        <w:keepLines w:val="0"/>
        <w:pageBreakBefore w:val="0"/>
        <w:kinsoku/>
        <w:wordWrap/>
        <w:overflowPunct/>
        <w:topLinePunct w:val="0"/>
        <w:autoSpaceDE/>
        <w:autoSpaceDN/>
        <w:bidi w:val="0"/>
        <w:adjustRightInd w:val="0"/>
        <w:snapToGrid w:val="0"/>
        <w:spacing w:line="360" w:lineRule="auto"/>
        <w:outlineLvl w:val="9"/>
        <w:rPr>
          <w:color w:val="auto"/>
          <w:highlight w:val="none"/>
        </w:rPr>
      </w:pPr>
      <w:r>
        <w:rPr>
          <w:rFonts w:hint="eastAsia"/>
          <w:color w:val="auto"/>
          <w:highlight w:val="none"/>
        </w:rPr>
        <w:t>3、</w:t>
      </w:r>
      <w:r>
        <w:rPr>
          <w:color w:val="auto"/>
          <w:highlight w:val="none"/>
        </w:rPr>
        <w:t>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3D3D10BE">
      <w:pPr>
        <w:pStyle w:val="10"/>
        <w:keepNext w:val="0"/>
        <w:keepLines w:val="0"/>
        <w:pageBreakBefore w:val="0"/>
        <w:kinsoku/>
        <w:wordWrap/>
        <w:overflowPunct/>
        <w:topLinePunct w:val="0"/>
        <w:autoSpaceDE/>
        <w:autoSpaceDN/>
        <w:bidi w:val="0"/>
        <w:adjustRightInd w:val="0"/>
        <w:snapToGrid w:val="0"/>
        <w:spacing w:line="360" w:lineRule="auto"/>
        <w:outlineLvl w:val="9"/>
        <w:rPr>
          <w:color w:val="auto"/>
          <w:highlight w:val="none"/>
        </w:rPr>
      </w:pPr>
      <w:r>
        <w:rPr>
          <w:rFonts w:hint="eastAsia"/>
          <w:color w:val="auto"/>
          <w:highlight w:val="none"/>
        </w:rPr>
        <w:t>4、若发生纠纷，由违约方赔偿守约方因纠纷所支付的费用（包括但不限于律师费、差旅费、诉讼费、保全费、鉴定费、评估费等）。</w:t>
      </w:r>
    </w:p>
    <w:p w14:paraId="412A8C90">
      <w:pPr>
        <w:pStyle w:val="10"/>
        <w:keepNext w:val="0"/>
        <w:keepLines w:val="0"/>
        <w:pageBreakBefore w:val="0"/>
        <w:kinsoku/>
        <w:wordWrap/>
        <w:overflowPunct/>
        <w:topLinePunct w:val="0"/>
        <w:autoSpaceDE/>
        <w:autoSpaceDN/>
        <w:bidi w:val="0"/>
        <w:snapToGrid w:val="0"/>
        <w:spacing w:line="360" w:lineRule="auto"/>
        <w:textAlignment w:val="baseline"/>
        <w:outlineLvl w:val="9"/>
        <w:rPr>
          <w:rFonts w:hAnsi="宋体"/>
          <w:b/>
          <w:bCs/>
          <w:snapToGrid w:val="0"/>
          <w:color w:val="auto"/>
          <w:szCs w:val="21"/>
          <w:highlight w:val="none"/>
        </w:rPr>
      </w:pPr>
      <w:r>
        <w:rPr>
          <w:rFonts w:hint="eastAsia" w:hAnsi="宋体"/>
          <w:b/>
          <w:bCs/>
          <w:snapToGrid w:val="0"/>
          <w:color w:val="auto"/>
          <w:szCs w:val="21"/>
          <w:highlight w:val="none"/>
        </w:rPr>
        <w:t>第</w:t>
      </w:r>
      <w:r>
        <w:rPr>
          <w:rFonts w:hint="eastAsia" w:hAnsi="宋体"/>
          <w:b/>
          <w:bCs/>
          <w:snapToGrid w:val="0"/>
          <w:color w:val="auto"/>
          <w:szCs w:val="21"/>
          <w:highlight w:val="none"/>
          <w:lang w:val="en-US" w:eastAsia="zh-CN"/>
        </w:rPr>
        <w:t>九</w:t>
      </w:r>
      <w:r>
        <w:rPr>
          <w:rFonts w:hint="eastAsia" w:hAnsi="宋体"/>
          <w:b/>
          <w:bCs/>
          <w:snapToGrid w:val="0"/>
          <w:color w:val="auto"/>
          <w:szCs w:val="21"/>
          <w:highlight w:val="none"/>
        </w:rPr>
        <w:t>条：不可抗力事件处理</w:t>
      </w:r>
    </w:p>
    <w:p w14:paraId="52E61E1C">
      <w:pPr>
        <w:pStyle w:val="10"/>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1</w:t>
      </w:r>
      <w:r>
        <w:rPr>
          <w:rFonts w:hint="eastAsia" w:hAnsi="宋体"/>
          <w:snapToGrid w:val="0"/>
          <w:color w:val="auto"/>
          <w:szCs w:val="21"/>
          <w:highlight w:val="none"/>
        </w:rPr>
        <w:t>、在合同有效期内，任何一方因不可抗力事件导致不能履行合同，则合同履行期可延长，其延长期与不可抗力影响期相同。</w:t>
      </w:r>
    </w:p>
    <w:p w14:paraId="5618A807">
      <w:pPr>
        <w:pStyle w:val="10"/>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2</w:t>
      </w:r>
      <w:r>
        <w:rPr>
          <w:rFonts w:hint="eastAsia" w:hAnsi="宋体"/>
          <w:snapToGrid w:val="0"/>
          <w:color w:val="auto"/>
          <w:szCs w:val="21"/>
          <w:highlight w:val="none"/>
        </w:rPr>
        <w:t>、不可抗力事件发生后，应立即通知对方，并寄送有关权威机构出具的证明。</w:t>
      </w:r>
    </w:p>
    <w:p w14:paraId="26A7514E">
      <w:pPr>
        <w:pStyle w:val="10"/>
        <w:snapToGrid w:val="0"/>
        <w:spacing w:line="360" w:lineRule="auto"/>
        <w:textAlignment w:val="baseline"/>
        <w:rPr>
          <w:rFonts w:hint="eastAsia" w:hAnsi="宋体"/>
          <w:snapToGrid w:val="0"/>
          <w:color w:val="auto"/>
          <w:szCs w:val="21"/>
          <w:highlight w:val="none"/>
        </w:rPr>
      </w:pPr>
      <w:r>
        <w:rPr>
          <w:rFonts w:hAnsi="宋体"/>
          <w:snapToGrid w:val="0"/>
          <w:color w:val="auto"/>
          <w:szCs w:val="21"/>
          <w:highlight w:val="none"/>
        </w:rPr>
        <w:t>3</w:t>
      </w:r>
      <w:r>
        <w:rPr>
          <w:rFonts w:hint="eastAsia" w:hAnsi="宋体"/>
          <w:snapToGrid w:val="0"/>
          <w:color w:val="auto"/>
          <w:szCs w:val="21"/>
          <w:highlight w:val="none"/>
        </w:rPr>
        <w:t>、不可抗力事件延续</w:t>
      </w:r>
      <w:r>
        <w:rPr>
          <w:rFonts w:hAnsi="宋体"/>
          <w:snapToGrid w:val="0"/>
          <w:color w:val="auto"/>
          <w:szCs w:val="21"/>
          <w:highlight w:val="none"/>
        </w:rPr>
        <w:t>120</w:t>
      </w:r>
      <w:r>
        <w:rPr>
          <w:rFonts w:hint="eastAsia" w:hAnsi="宋体"/>
          <w:snapToGrid w:val="0"/>
          <w:color w:val="auto"/>
          <w:szCs w:val="21"/>
          <w:highlight w:val="none"/>
        </w:rPr>
        <w:t>天以上，双方应通过友好协商，确定是否继续履行合同。</w:t>
      </w:r>
    </w:p>
    <w:p w14:paraId="6F6F3752">
      <w:pPr>
        <w:pStyle w:val="10"/>
        <w:snapToGrid w:val="0"/>
        <w:spacing w:line="360" w:lineRule="auto"/>
        <w:textAlignment w:val="baseline"/>
        <w:rPr>
          <w:rFonts w:hAnsi="宋体"/>
          <w:snapToGrid w:val="0"/>
          <w:color w:val="auto"/>
          <w:szCs w:val="21"/>
          <w:highlight w:val="none"/>
        </w:rPr>
      </w:pPr>
      <w:r>
        <w:rPr>
          <w:rFonts w:hint="eastAsia" w:hAnsi="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49D8D115">
      <w:pPr>
        <w:pStyle w:val="10"/>
        <w:keepNext w:val="0"/>
        <w:keepLines w:val="0"/>
        <w:pageBreakBefore w:val="0"/>
        <w:kinsoku/>
        <w:wordWrap/>
        <w:overflowPunct/>
        <w:topLinePunct w:val="0"/>
        <w:autoSpaceDE/>
        <w:autoSpaceDN/>
        <w:bidi w:val="0"/>
        <w:snapToGrid w:val="0"/>
        <w:spacing w:line="360" w:lineRule="auto"/>
        <w:textAlignment w:val="baseline"/>
        <w:outlineLvl w:val="9"/>
        <w:rPr>
          <w:rFonts w:hAnsi="宋体"/>
          <w:b/>
          <w:bCs/>
          <w:snapToGrid w:val="0"/>
          <w:color w:val="auto"/>
          <w:szCs w:val="21"/>
          <w:highlight w:val="none"/>
        </w:rPr>
      </w:pPr>
      <w:r>
        <w:rPr>
          <w:rFonts w:hint="eastAsia" w:hAnsi="宋体"/>
          <w:b/>
          <w:bCs/>
          <w:snapToGrid w:val="0"/>
          <w:color w:val="auto"/>
          <w:szCs w:val="21"/>
          <w:highlight w:val="none"/>
        </w:rPr>
        <w:t>第十条：诉讼</w:t>
      </w:r>
    </w:p>
    <w:p w14:paraId="2314AEB0">
      <w:pPr>
        <w:pStyle w:val="10"/>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int="eastAsia" w:hAnsi="宋体"/>
          <w:snapToGrid w:val="0"/>
          <w:color w:val="auto"/>
          <w:szCs w:val="21"/>
          <w:highlight w:val="none"/>
          <w:lang w:val="en-US" w:eastAsia="zh-CN"/>
        </w:rPr>
        <w:t>1、</w:t>
      </w:r>
      <w:r>
        <w:rPr>
          <w:rFonts w:hint="eastAsia" w:hAnsi="宋体"/>
          <w:snapToGrid w:val="0"/>
          <w:color w:val="auto"/>
          <w:szCs w:val="21"/>
          <w:highlight w:val="none"/>
        </w:rPr>
        <w:t>双方在执行合同中所发生的一切争议，应通过协商解决。如协商不成，可向甲方所在地法院起诉。</w:t>
      </w:r>
    </w:p>
    <w:p w14:paraId="4F67FB46">
      <w:pPr>
        <w:pStyle w:val="10"/>
        <w:keepNext w:val="0"/>
        <w:keepLines w:val="0"/>
        <w:pageBreakBefore w:val="0"/>
        <w:kinsoku/>
        <w:wordWrap/>
        <w:overflowPunct/>
        <w:topLinePunct w:val="0"/>
        <w:autoSpaceDE/>
        <w:autoSpaceDN/>
        <w:bidi w:val="0"/>
        <w:snapToGrid w:val="0"/>
        <w:spacing w:line="360" w:lineRule="auto"/>
        <w:textAlignment w:val="baseline"/>
        <w:outlineLvl w:val="9"/>
        <w:rPr>
          <w:rFonts w:hAnsi="宋体"/>
          <w:b/>
          <w:bCs/>
          <w:snapToGrid w:val="0"/>
          <w:color w:val="auto"/>
          <w:szCs w:val="21"/>
          <w:highlight w:val="none"/>
        </w:rPr>
      </w:pPr>
      <w:r>
        <w:rPr>
          <w:rFonts w:hint="eastAsia" w:hAnsi="宋体"/>
          <w:b/>
          <w:bCs/>
          <w:snapToGrid w:val="0"/>
          <w:color w:val="auto"/>
          <w:szCs w:val="21"/>
          <w:highlight w:val="none"/>
        </w:rPr>
        <w:t>第十</w:t>
      </w:r>
      <w:r>
        <w:rPr>
          <w:rFonts w:hint="eastAsia" w:hAnsi="宋体"/>
          <w:b/>
          <w:bCs/>
          <w:snapToGrid w:val="0"/>
          <w:color w:val="auto"/>
          <w:szCs w:val="21"/>
          <w:highlight w:val="none"/>
          <w:lang w:val="en-US" w:eastAsia="zh-CN"/>
        </w:rPr>
        <w:t>一</w:t>
      </w:r>
      <w:r>
        <w:rPr>
          <w:rFonts w:hint="eastAsia" w:hAnsi="宋体"/>
          <w:b/>
          <w:bCs/>
          <w:snapToGrid w:val="0"/>
          <w:color w:val="auto"/>
          <w:szCs w:val="21"/>
          <w:highlight w:val="none"/>
        </w:rPr>
        <w:t>条：合同生效及其它</w:t>
      </w:r>
    </w:p>
    <w:p w14:paraId="2AB58179">
      <w:pPr>
        <w:pStyle w:val="10"/>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1</w:t>
      </w:r>
      <w:r>
        <w:rPr>
          <w:rFonts w:hint="eastAsia" w:hAnsi="宋体"/>
          <w:snapToGrid w:val="0"/>
          <w:color w:val="auto"/>
          <w:szCs w:val="21"/>
          <w:highlight w:val="none"/>
        </w:rPr>
        <w:t>、合同经双方法定代表人或授权代表签字并加盖单位公章后生效。</w:t>
      </w:r>
    </w:p>
    <w:p w14:paraId="3E901D22">
      <w:pPr>
        <w:pStyle w:val="10"/>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2</w:t>
      </w:r>
      <w:r>
        <w:rPr>
          <w:rFonts w:hint="eastAsia" w:hAnsi="宋体"/>
          <w:snapToGrid w:val="0"/>
          <w:color w:val="auto"/>
          <w:szCs w:val="21"/>
          <w:highlight w:val="none"/>
        </w:rPr>
        <w:t>、合同执行中涉及采购资金和采购内容修改或补充的，须经财政部门审批，并签书面补充协议报政府采购监督管理部门备案，方可作为主合同不可分割的一部分。</w:t>
      </w:r>
    </w:p>
    <w:p w14:paraId="62251AC3">
      <w:pPr>
        <w:pStyle w:val="10"/>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3</w:t>
      </w:r>
      <w:r>
        <w:rPr>
          <w:rFonts w:hint="eastAsia" w:hAnsi="宋体"/>
          <w:snapToGrid w:val="0"/>
          <w:color w:val="auto"/>
          <w:szCs w:val="21"/>
          <w:highlight w:val="none"/>
        </w:rPr>
        <w:t>、本合同未尽事宜，遵照《</w:t>
      </w:r>
      <w:r>
        <w:rPr>
          <w:rFonts w:hint="eastAsia" w:hAnsi="宋体"/>
          <w:snapToGrid w:val="0"/>
          <w:color w:val="auto"/>
          <w:szCs w:val="21"/>
          <w:highlight w:val="none"/>
          <w:lang w:val="en-US" w:eastAsia="zh-CN"/>
        </w:rPr>
        <w:t>民法典</w:t>
      </w:r>
      <w:r>
        <w:rPr>
          <w:rFonts w:hint="eastAsia" w:hAnsi="宋体"/>
          <w:snapToGrid w:val="0"/>
          <w:color w:val="auto"/>
          <w:szCs w:val="21"/>
          <w:highlight w:val="none"/>
        </w:rPr>
        <w:t>》有关条文执行。</w:t>
      </w:r>
    </w:p>
    <w:p w14:paraId="4299C19B">
      <w:pPr>
        <w:keepNext w:val="0"/>
        <w:keepLines w:val="0"/>
        <w:pageBreakBefore w:val="0"/>
        <w:widowControl/>
        <w:kinsoku/>
        <w:wordWrap/>
        <w:overflowPunct/>
        <w:topLinePunct w:val="0"/>
        <w:autoSpaceDE/>
        <w:autoSpaceDN/>
        <w:bidi w:val="0"/>
        <w:spacing w:line="360" w:lineRule="auto"/>
        <w:outlineLvl w:val="9"/>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spacing w:val="-6"/>
          <w:kern w:val="0"/>
          <w:szCs w:val="21"/>
          <w:highlight w:val="none"/>
        </w:rPr>
        <w:t>、本合同壹式陆份，甲、乙双方、招标代理公司各执贰份。本项目未尽事宜以招标文件、</w:t>
      </w:r>
      <w:r>
        <w:rPr>
          <w:rFonts w:hint="eastAsia" w:ascii="宋体" w:hAnsi="宋体" w:cs="宋体"/>
          <w:color w:val="auto"/>
          <w:spacing w:val="-6"/>
          <w:kern w:val="0"/>
          <w:szCs w:val="21"/>
          <w:highlight w:val="none"/>
          <w:lang w:val="en-US" w:eastAsia="zh-CN"/>
        </w:rPr>
        <w:t>磋商响应</w:t>
      </w:r>
      <w:r>
        <w:rPr>
          <w:rFonts w:hint="eastAsia" w:ascii="宋体" w:hAnsi="宋体" w:cs="宋体"/>
          <w:color w:val="auto"/>
          <w:spacing w:val="-6"/>
          <w:kern w:val="0"/>
          <w:szCs w:val="21"/>
          <w:highlight w:val="none"/>
        </w:rPr>
        <w:t>文件及澄清文件等为准。</w:t>
      </w:r>
    </w:p>
    <w:p w14:paraId="085CC956">
      <w:pPr>
        <w:keepNext w:val="0"/>
        <w:keepLines w:val="0"/>
        <w:pageBreakBefore w:val="0"/>
        <w:widowControl/>
        <w:kinsoku/>
        <w:wordWrap/>
        <w:overflowPunct/>
        <w:topLinePunct w:val="0"/>
        <w:autoSpaceDE/>
        <w:autoSpaceDN/>
        <w:bidi w:val="0"/>
        <w:spacing w:line="360" w:lineRule="auto"/>
        <w:outlineLvl w:val="9"/>
        <w:rPr>
          <w:rFonts w:hint="eastAsia" w:ascii="宋体" w:hAnsi="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spacing w:val="-6"/>
          <w:kern w:val="0"/>
          <w:szCs w:val="21"/>
          <w:highlight w:val="none"/>
        </w:rPr>
        <w:t>、与本合同有关标书及记录同本合同具有同等法律效果。</w:t>
      </w:r>
    </w:p>
    <w:p w14:paraId="7367FA9A">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3A04DF2F">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667665C6">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329C338E">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5233CB6B">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snapToGrid w:val="0"/>
          <w:color w:val="auto"/>
          <w:szCs w:val="21"/>
          <w:highlight w:val="none"/>
        </w:rPr>
      </w:pPr>
      <w:r>
        <w:rPr>
          <w:rFonts w:hint="eastAsia" w:ascii="宋体" w:hAnsi="宋体"/>
          <w:color w:val="auto"/>
          <w:kern w:val="0"/>
          <w:szCs w:val="21"/>
          <w:highlight w:val="none"/>
        </w:rPr>
        <w:t>账    号：                                账    号：</w:t>
      </w:r>
    </w:p>
    <w:p w14:paraId="6AB5B439">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p>
    <w:p w14:paraId="6C34F338">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r>
        <w:rPr>
          <w:rFonts w:hint="eastAsia" w:ascii="宋体" w:hAnsi="宋体" w:cs="宋体"/>
          <w:snapToGrid w:val="0"/>
          <w:color w:val="auto"/>
          <w:szCs w:val="21"/>
          <w:highlight w:val="none"/>
          <w:lang w:val="en-US" w:eastAsia="zh-CN"/>
        </w:rPr>
        <w:t xml:space="preserve">                                </w:t>
      </w:r>
      <w:r>
        <w:rPr>
          <w:rFonts w:hint="eastAsia" w:ascii="宋体" w:hAnsi="宋体" w:eastAsia="宋体" w:cs="宋体"/>
          <w:color w:val="auto"/>
          <w:kern w:val="0"/>
          <w:szCs w:val="21"/>
          <w:highlight w:val="none"/>
        </w:rPr>
        <w:t>签订日期：       年     月     日</w:t>
      </w:r>
    </w:p>
    <w:p w14:paraId="156B99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876EB37">
      <w:pPr>
        <w:pStyle w:val="2"/>
        <w:rPr>
          <w:rFonts w:hint="eastAsia" w:ascii="宋体" w:hAnsi="宋体" w:eastAsia="宋体" w:cs="宋体"/>
          <w:b/>
          <w:color w:val="auto"/>
          <w:sz w:val="28"/>
          <w:highlight w:val="none"/>
        </w:rPr>
      </w:pPr>
    </w:p>
    <w:p w14:paraId="558C9223">
      <w:pPr>
        <w:rPr>
          <w:rFonts w:hint="eastAsia" w:ascii="宋体" w:hAnsi="宋体" w:eastAsia="宋体" w:cs="宋体"/>
          <w:color w:val="auto"/>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台州市自然资源和规划局路桥分局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2025年海洋空间资源开发利用监测评估项目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tzya2025-lq39</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台州市自然资源和规划局路桥分局</w:t>
      </w:r>
      <w:r>
        <w:rPr>
          <w:rFonts w:hint="eastAsia" w:ascii="宋体" w:hAnsi="宋体" w:eastAsia="宋体" w:cs="宋体"/>
          <w:b w:val="0"/>
          <w:bCs/>
          <w:color w:val="auto"/>
          <w:sz w:val="21"/>
          <w:szCs w:val="21"/>
          <w:highlight w:val="none"/>
          <w:u w:val="single"/>
        </w:rPr>
        <w:t>、台州永安工程咨询有限公司：</w:t>
      </w:r>
    </w:p>
    <w:p w14:paraId="57237C55">
      <w:pPr>
        <w:pStyle w:val="10"/>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2025年海洋空间资源开发利用监测评估项目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tzya2025-lq39</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2"/>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1"/>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6452525">
      <w:pPr>
        <w:pStyle w:val="10"/>
        <w:keepNext w:val="0"/>
        <w:keepLines w:val="0"/>
        <w:pageBreakBefore w:val="0"/>
        <w:kinsoku/>
        <w:overflowPunct/>
        <w:topLinePunct w:val="0"/>
        <w:bidi w:val="0"/>
        <w:spacing w:line="360" w:lineRule="auto"/>
        <w:jc w:val="both"/>
        <w:outlineLvl w:val="9"/>
        <w:rPr>
          <w:rFonts w:hint="eastAsia" w:ascii="宋体" w:hAnsi="宋体" w:eastAsia="宋体" w:cs="宋体"/>
          <w:b/>
          <w:color w:val="auto"/>
          <w:sz w:val="32"/>
          <w:szCs w:val="32"/>
          <w:highlight w:val="none"/>
          <w:lang w:val="en-GB"/>
        </w:rPr>
      </w:pPr>
    </w:p>
    <w:p w14:paraId="7D66CF7E">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3"/>
        <w:ind w:left="0" w:leftChars="0" w:firstLine="0" w:firstLineChars="0"/>
        <w:rPr>
          <w:rFonts w:hint="eastAsia" w:ascii="宋体" w:hAnsi="宋体" w:eastAsia="宋体" w:cs="宋体"/>
          <w:color w:val="auto"/>
          <w:highlight w:val="none"/>
        </w:rPr>
      </w:pPr>
    </w:p>
    <w:p w14:paraId="1D5810F7">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0A42995">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2025年海洋空间资源开发利用监测评估项目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tzya2025-lq39</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16B1BA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10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94"/>
        <w:gridCol w:w="6398"/>
        <w:gridCol w:w="640"/>
        <w:gridCol w:w="640"/>
        <w:gridCol w:w="640"/>
      </w:tblGrid>
      <w:tr w14:paraId="0D05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68" w:type="dxa"/>
            <w:gridSpan w:val="2"/>
            <w:noWrap w:val="0"/>
            <w:vAlign w:val="center"/>
          </w:tcPr>
          <w:p w14:paraId="0D07DE0F">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398" w:type="dxa"/>
            <w:noWrap w:val="0"/>
            <w:vAlign w:val="center"/>
          </w:tcPr>
          <w:p w14:paraId="344706E4">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40" w:type="dxa"/>
            <w:noWrap w:val="0"/>
            <w:vAlign w:val="center"/>
          </w:tcPr>
          <w:p w14:paraId="29A7C381">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40" w:type="dxa"/>
            <w:noWrap w:val="0"/>
            <w:vAlign w:val="center"/>
          </w:tcPr>
          <w:p w14:paraId="3883FDC8">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40" w:type="dxa"/>
            <w:noWrap w:val="0"/>
            <w:vAlign w:val="center"/>
          </w:tcPr>
          <w:p w14:paraId="0B5C38C1">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040C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74" w:type="dxa"/>
            <w:vMerge w:val="restart"/>
            <w:noWrap w:val="0"/>
            <w:vAlign w:val="center"/>
          </w:tcPr>
          <w:p w14:paraId="394586FE">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6CB18722">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7977352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2DCE2A05">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2A676B4E">
            <w:pPr>
              <w:pStyle w:val="2"/>
              <w:keepNext w:val="0"/>
              <w:keepLines w:val="0"/>
              <w:pageBreakBefore w:val="0"/>
              <w:kinsoku/>
              <w:wordWrap/>
              <w:overflowPunct/>
              <w:topLinePunct w:val="0"/>
              <w:bidi w:val="0"/>
              <w:spacing w:after="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094" w:type="dxa"/>
            <w:noWrap w:val="0"/>
            <w:vAlign w:val="center"/>
          </w:tcPr>
          <w:p w14:paraId="3B212509">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承接经验</w:t>
            </w:r>
          </w:p>
        </w:tc>
        <w:tc>
          <w:tcPr>
            <w:tcW w:w="6398" w:type="dxa"/>
            <w:noWrap w:val="0"/>
            <w:vAlign w:val="center"/>
          </w:tcPr>
          <w:p w14:paraId="3B2A35C8">
            <w:pPr>
              <w:keepNext w:val="0"/>
              <w:keepLines w:val="0"/>
              <w:pageBreakBefore w:val="0"/>
              <w:kinsoku/>
              <w:wordWrap/>
              <w:overflowPunct/>
              <w:topLinePunct w:val="0"/>
              <w:bidi w:val="0"/>
              <w:spacing w:beforeAutospacing="0" w:afterAutospacing="0" w:line="240" w:lineRule="auto"/>
              <w:ind w:left="0" w:leftChars="0" w:right="0" w:firstLine="0" w:firstLine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自2021年1月1日以来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w:t>
            </w:r>
            <w:r>
              <w:rPr>
                <w:rFonts w:hint="eastAsia" w:ascii="宋体" w:hAnsi="宋体" w:cs="宋体"/>
                <w:b w:val="0"/>
                <w:bCs w:val="0"/>
                <w:color w:val="auto"/>
                <w:kern w:val="0"/>
                <w:sz w:val="21"/>
                <w:szCs w:val="21"/>
                <w:highlight w:val="none"/>
                <w:u w:val="none"/>
                <w:lang w:val="en-US" w:eastAsia="zh-CN"/>
              </w:rPr>
              <w:t>，</w:t>
            </w:r>
            <w:r>
              <w:rPr>
                <w:rFonts w:hint="eastAsia" w:ascii="宋体" w:hAnsi="宋体" w:eastAsia="宋体" w:cs="宋体"/>
                <w:b w:val="0"/>
                <w:bCs w:val="0"/>
                <w:color w:val="auto"/>
                <w:kern w:val="0"/>
                <w:sz w:val="21"/>
                <w:szCs w:val="21"/>
                <w:highlight w:val="none"/>
                <w:u w:val="none"/>
                <w:lang w:val="en-US" w:eastAsia="zh-CN"/>
              </w:rPr>
              <w:t>每提供1个合同得0.5分，</w:t>
            </w:r>
            <w:r>
              <w:rPr>
                <w:rFonts w:hint="eastAsia" w:ascii="宋体" w:hAnsi="宋体" w:cs="宋体"/>
                <w:b w:val="0"/>
                <w:bCs w:val="0"/>
                <w:color w:val="auto"/>
                <w:kern w:val="0"/>
                <w:sz w:val="21"/>
                <w:szCs w:val="21"/>
                <w:highlight w:val="none"/>
                <w:u w:val="none"/>
                <w:lang w:val="en-US" w:eastAsia="zh-CN"/>
              </w:rPr>
              <w:t>本项</w:t>
            </w:r>
            <w:r>
              <w:rPr>
                <w:rFonts w:hint="eastAsia" w:ascii="宋体" w:hAnsi="宋体" w:eastAsia="宋体" w:cs="宋体"/>
                <w:b w:val="0"/>
                <w:bCs w:val="0"/>
                <w:color w:val="auto"/>
                <w:kern w:val="0"/>
                <w:sz w:val="21"/>
                <w:szCs w:val="21"/>
                <w:highlight w:val="none"/>
                <w:u w:val="none"/>
                <w:lang w:val="en-US" w:eastAsia="zh-CN"/>
              </w:rPr>
              <w:t>最高得1分。</w:t>
            </w:r>
          </w:p>
          <w:p w14:paraId="70CB888F">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40" w:type="dxa"/>
            <w:noWrap w:val="0"/>
            <w:vAlign w:val="center"/>
          </w:tcPr>
          <w:p w14:paraId="0C74F1B4">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640" w:type="dxa"/>
            <w:noWrap w:val="0"/>
            <w:vAlign w:val="center"/>
          </w:tcPr>
          <w:p w14:paraId="3C1FB5A1">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40" w:type="dxa"/>
            <w:noWrap w:val="0"/>
            <w:vAlign w:val="center"/>
          </w:tcPr>
          <w:p w14:paraId="40ADD905">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14:paraId="421D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74" w:type="dxa"/>
            <w:vMerge w:val="continue"/>
            <w:noWrap w:val="0"/>
            <w:vAlign w:val="center"/>
          </w:tcPr>
          <w:p w14:paraId="5C7D90D5">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1094" w:type="dxa"/>
            <w:vMerge w:val="restart"/>
            <w:noWrap w:val="0"/>
            <w:vAlign w:val="center"/>
          </w:tcPr>
          <w:p w14:paraId="350D7C8C">
            <w:pPr>
              <w:keepNext w:val="0"/>
              <w:keepLines w:val="0"/>
              <w:pageBreakBefore w:val="0"/>
              <w:kinsoku/>
              <w:wordWrap/>
              <w:overflowPunct/>
              <w:topLinePunct w:val="0"/>
              <w:bidi w:val="0"/>
              <w:adjustRightInd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6398" w:type="dxa"/>
            <w:noWrap w:val="0"/>
            <w:vAlign w:val="center"/>
          </w:tcPr>
          <w:p w14:paraId="696CA078">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投标人具有</w:t>
            </w:r>
            <w:r>
              <w:rPr>
                <w:rFonts w:hint="eastAsia" w:ascii="宋体" w:hAnsi="宋体" w:eastAsia="宋体" w:cs="宋体"/>
                <w:color w:val="auto"/>
                <w:sz w:val="21"/>
                <w:szCs w:val="21"/>
                <w:highlight w:val="none"/>
                <w:lang w:val="en-US" w:bidi="zh-CN"/>
              </w:rPr>
              <w:t>有效期内的</w:t>
            </w:r>
            <w:r>
              <w:rPr>
                <w:rFonts w:hint="eastAsia" w:ascii="宋体" w:hAnsi="宋体" w:eastAsia="宋体" w:cs="宋体"/>
                <w:color w:val="auto"/>
                <w:sz w:val="21"/>
                <w:szCs w:val="21"/>
                <w:highlight w:val="none"/>
                <w:lang w:bidi="zh-CN"/>
              </w:rPr>
              <w:t>海洋测绘资质甲级证书的得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分，海洋测绘资质乙级证书的得1分。本项最高得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w:t>
            </w:r>
          </w:p>
          <w:p w14:paraId="1BB7145C">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须</w:t>
            </w:r>
            <w:r>
              <w:rPr>
                <w:rFonts w:hint="eastAsia" w:ascii="宋体" w:hAnsi="宋体" w:eastAsia="宋体" w:cs="宋体"/>
                <w:b/>
                <w:bCs/>
                <w:color w:val="auto"/>
                <w:kern w:val="0"/>
                <w:sz w:val="21"/>
                <w:szCs w:val="21"/>
                <w:highlight w:val="none"/>
                <w:lang w:val="zh-CN"/>
              </w:rPr>
              <w:t>提供</w:t>
            </w:r>
            <w:r>
              <w:rPr>
                <w:rFonts w:hint="eastAsia" w:ascii="宋体" w:hAnsi="宋体" w:eastAsia="宋体" w:cs="宋体"/>
                <w:b/>
                <w:bCs/>
                <w:color w:val="auto"/>
                <w:sz w:val="21"/>
                <w:szCs w:val="21"/>
                <w:highlight w:val="none"/>
                <w:lang w:val="en-US" w:bidi="zh-CN"/>
              </w:rPr>
              <w:t>有效的</w:t>
            </w:r>
            <w:r>
              <w:rPr>
                <w:rFonts w:hint="eastAsia" w:ascii="宋体" w:hAnsi="宋体" w:eastAsia="宋体" w:cs="宋体"/>
                <w:b/>
                <w:bCs/>
                <w:color w:val="auto"/>
                <w:kern w:val="0"/>
                <w:sz w:val="21"/>
                <w:szCs w:val="21"/>
                <w:highlight w:val="none"/>
              </w:rPr>
              <w:t>资质</w:t>
            </w:r>
            <w:r>
              <w:rPr>
                <w:rFonts w:hint="eastAsia" w:ascii="宋体" w:hAnsi="宋体" w:eastAsia="宋体" w:cs="宋体"/>
                <w:b/>
                <w:bCs/>
                <w:color w:val="auto"/>
                <w:kern w:val="0"/>
                <w:sz w:val="21"/>
                <w:szCs w:val="21"/>
                <w:highlight w:val="none"/>
                <w:lang w:val="zh-CN"/>
              </w:rPr>
              <w:t>证书扫描件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kern w:val="0"/>
                <w:sz w:val="21"/>
                <w:szCs w:val="21"/>
                <w:highlight w:val="none"/>
                <w:lang w:val="zh-CN"/>
              </w:rPr>
              <w:t>加盖投标人公章编入投标文件中，未提供</w:t>
            </w:r>
            <w:r>
              <w:rPr>
                <w:rFonts w:hint="eastAsia" w:ascii="宋体" w:hAnsi="宋体" w:eastAsia="宋体" w:cs="宋体"/>
                <w:b/>
                <w:bCs/>
                <w:color w:val="auto"/>
                <w:kern w:val="0"/>
                <w:sz w:val="21"/>
                <w:szCs w:val="21"/>
                <w:highlight w:val="none"/>
              </w:rPr>
              <w:t>或提供不全</w:t>
            </w:r>
            <w:r>
              <w:rPr>
                <w:rFonts w:hint="eastAsia" w:ascii="宋体" w:hAnsi="宋体" w:eastAsia="宋体" w:cs="宋体"/>
                <w:b/>
                <w:bCs/>
                <w:color w:val="auto"/>
                <w:kern w:val="0"/>
                <w:sz w:val="21"/>
                <w:szCs w:val="21"/>
                <w:highlight w:val="none"/>
                <w:lang w:val="zh-CN"/>
              </w:rPr>
              <w:t>的不得分）</w:t>
            </w:r>
          </w:p>
        </w:tc>
        <w:tc>
          <w:tcPr>
            <w:tcW w:w="640" w:type="dxa"/>
            <w:noWrap w:val="0"/>
            <w:vAlign w:val="center"/>
          </w:tcPr>
          <w:p w14:paraId="72507951">
            <w:pPr>
              <w:pStyle w:val="10"/>
              <w:keepNext w:val="0"/>
              <w:keepLines w:val="0"/>
              <w:pageBreakBefore w:val="0"/>
              <w:kinsoku/>
              <w:wordWrap/>
              <w:overflowPunct/>
              <w:topLinePunct w:val="0"/>
              <w:bidi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640" w:type="dxa"/>
            <w:noWrap w:val="0"/>
            <w:vAlign w:val="center"/>
          </w:tcPr>
          <w:p w14:paraId="27CC1C85">
            <w:pPr>
              <w:pStyle w:val="10"/>
              <w:keepNext w:val="0"/>
              <w:keepLines w:val="0"/>
              <w:pageBreakBefore w:val="0"/>
              <w:kinsoku/>
              <w:wordWrap/>
              <w:overflowPunct/>
              <w:topLinePunct w:val="0"/>
              <w:bidi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40" w:type="dxa"/>
            <w:noWrap w:val="0"/>
            <w:vAlign w:val="center"/>
          </w:tcPr>
          <w:p w14:paraId="5B2173A7">
            <w:pPr>
              <w:pStyle w:val="10"/>
              <w:keepNext w:val="0"/>
              <w:keepLines w:val="0"/>
              <w:pageBreakBefore w:val="0"/>
              <w:kinsoku/>
              <w:wordWrap/>
              <w:overflowPunct/>
              <w:topLinePunct w:val="0"/>
              <w:bidi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14:paraId="15F2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74" w:type="dxa"/>
            <w:vMerge w:val="continue"/>
            <w:noWrap w:val="0"/>
            <w:vAlign w:val="center"/>
          </w:tcPr>
          <w:p w14:paraId="0535A798">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1094" w:type="dxa"/>
            <w:vMerge w:val="continue"/>
            <w:noWrap w:val="0"/>
            <w:vAlign w:val="center"/>
          </w:tcPr>
          <w:p w14:paraId="54F0921D">
            <w:pPr>
              <w:keepNext w:val="0"/>
              <w:keepLines w:val="0"/>
              <w:pageBreakBefore w:val="0"/>
              <w:kinsoku/>
              <w:wordWrap/>
              <w:overflowPunct/>
              <w:topLinePunct w:val="0"/>
              <w:bidi w:val="0"/>
              <w:adjustRightInd w:val="0"/>
              <w:snapToGrid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lang w:val="en-US" w:eastAsia="zh-CN"/>
              </w:rPr>
            </w:pPr>
          </w:p>
        </w:tc>
        <w:tc>
          <w:tcPr>
            <w:tcW w:w="6398" w:type="dxa"/>
            <w:noWrap w:val="0"/>
            <w:vAlign w:val="center"/>
          </w:tcPr>
          <w:p w14:paraId="211C2C19">
            <w:pPr>
              <w:keepNext w:val="0"/>
              <w:keepLines w:val="0"/>
              <w:pageBreakBefore w:val="0"/>
              <w:kinsoku/>
              <w:wordWrap/>
              <w:overflowPunct/>
              <w:topLinePunct w:val="0"/>
              <w:autoSpaceDE w:val="0"/>
              <w:autoSpaceDN w:val="0"/>
              <w:bidi w:val="0"/>
              <w:adjustRightInd w:val="0"/>
              <w:spacing w:line="240" w:lineRule="auto"/>
              <w:ind w:left="0" w:right="0" w:firstLine="0" w:firstLineChars="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投标人具有有效期内的质量管理体系、环境管理体系、职业健康安全管理体系</w:t>
            </w:r>
            <w:r>
              <w:rPr>
                <w:rFonts w:hint="eastAsia" w:ascii="宋体" w:hAnsi="宋体" w:eastAsia="宋体" w:cs="宋体"/>
                <w:color w:val="auto"/>
                <w:sz w:val="21"/>
                <w:szCs w:val="21"/>
                <w:highlight w:val="none"/>
                <w:lang w:val="en-US" w:bidi="zh-CN"/>
              </w:rPr>
              <w:t>认证证书</w:t>
            </w:r>
            <w:r>
              <w:rPr>
                <w:rFonts w:hint="eastAsia" w:ascii="宋体" w:hAnsi="宋体" w:eastAsia="宋体" w:cs="宋体"/>
                <w:color w:val="auto"/>
                <w:sz w:val="21"/>
                <w:szCs w:val="21"/>
                <w:highlight w:val="none"/>
                <w:lang w:bidi="zh-CN"/>
              </w:rPr>
              <w:t>的，每项得</w:t>
            </w:r>
            <w:r>
              <w:rPr>
                <w:rFonts w:hint="eastAsia" w:ascii="宋体" w:hAnsi="宋体" w:eastAsia="宋体" w:cs="宋体"/>
                <w:color w:val="auto"/>
                <w:sz w:val="21"/>
                <w:szCs w:val="21"/>
                <w:highlight w:val="none"/>
                <w:lang w:val="en-US" w:bidi="zh-CN"/>
              </w:rPr>
              <w:t>1</w:t>
            </w:r>
            <w:r>
              <w:rPr>
                <w:rFonts w:hint="eastAsia" w:ascii="宋体" w:hAnsi="宋体" w:eastAsia="宋体" w:cs="宋体"/>
                <w:color w:val="auto"/>
                <w:sz w:val="21"/>
                <w:szCs w:val="21"/>
                <w:highlight w:val="none"/>
                <w:lang w:bidi="zh-CN"/>
              </w:rPr>
              <w:t>分，</w:t>
            </w:r>
            <w:r>
              <w:rPr>
                <w:rFonts w:hint="eastAsia" w:ascii="宋体" w:hAnsi="宋体" w:cs="宋体"/>
                <w:color w:val="auto"/>
                <w:sz w:val="21"/>
                <w:szCs w:val="21"/>
                <w:highlight w:val="none"/>
                <w:lang w:val="en-US" w:bidi="zh-CN"/>
              </w:rPr>
              <w:t>本项</w:t>
            </w:r>
            <w:r>
              <w:rPr>
                <w:rFonts w:hint="eastAsia" w:ascii="宋体" w:hAnsi="宋体" w:eastAsia="宋体" w:cs="宋体"/>
                <w:color w:val="auto"/>
                <w:sz w:val="21"/>
                <w:szCs w:val="21"/>
                <w:highlight w:val="none"/>
                <w:lang w:bidi="zh-CN"/>
              </w:rPr>
              <w:t>最高得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w:t>
            </w:r>
          </w:p>
          <w:p w14:paraId="2ADB2400">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须</w:t>
            </w:r>
            <w:r>
              <w:rPr>
                <w:rFonts w:hint="eastAsia" w:ascii="宋体" w:hAnsi="宋体" w:eastAsia="宋体" w:cs="宋体"/>
                <w:b/>
                <w:bCs/>
                <w:color w:val="auto"/>
                <w:kern w:val="0"/>
                <w:sz w:val="21"/>
                <w:szCs w:val="21"/>
                <w:highlight w:val="none"/>
                <w:lang w:val="zh-CN"/>
              </w:rPr>
              <w:t>提供</w:t>
            </w:r>
            <w:r>
              <w:rPr>
                <w:rFonts w:hint="eastAsia" w:ascii="宋体" w:hAnsi="宋体" w:eastAsia="宋体" w:cs="宋体"/>
                <w:b/>
                <w:bCs/>
                <w:color w:val="auto"/>
                <w:kern w:val="0"/>
                <w:sz w:val="21"/>
                <w:szCs w:val="21"/>
                <w:highlight w:val="none"/>
              </w:rPr>
              <w:t>有效的证书</w:t>
            </w:r>
            <w:r>
              <w:rPr>
                <w:rFonts w:hint="eastAsia" w:ascii="宋体" w:hAnsi="宋体" w:eastAsia="宋体" w:cs="宋体"/>
                <w:b/>
                <w:bCs/>
                <w:color w:val="auto"/>
                <w:kern w:val="0"/>
                <w:sz w:val="21"/>
                <w:szCs w:val="21"/>
                <w:highlight w:val="none"/>
                <w:lang w:val="zh-CN"/>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kern w:val="0"/>
                <w:sz w:val="21"/>
                <w:szCs w:val="21"/>
                <w:highlight w:val="none"/>
                <w:lang w:val="zh-CN"/>
              </w:rPr>
              <w:t>加盖投标人公章编入投标文件中，未提供的不得分）</w:t>
            </w:r>
          </w:p>
        </w:tc>
        <w:tc>
          <w:tcPr>
            <w:tcW w:w="640" w:type="dxa"/>
            <w:noWrap w:val="0"/>
            <w:vAlign w:val="center"/>
          </w:tcPr>
          <w:p w14:paraId="60D0CD6A">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bidi="ar-SA"/>
              </w:rPr>
              <w:t>3</w:t>
            </w:r>
          </w:p>
        </w:tc>
        <w:tc>
          <w:tcPr>
            <w:tcW w:w="640" w:type="dxa"/>
            <w:noWrap w:val="0"/>
            <w:vAlign w:val="center"/>
          </w:tcPr>
          <w:p w14:paraId="04FF34D4">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hAnsi="宋体" w:eastAsia="宋体" w:cs="宋体"/>
                <w:color w:val="auto"/>
                <w:kern w:val="2"/>
                <w:sz w:val="21"/>
                <w:szCs w:val="21"/>
                <w:highlight w:val="none"/>
                <w:lang w:val="en-US" w:eastAsia="zh-CN" w:bidi="ar-SA"/>
              </w:rPr>
            </w:pPr>
          </w:p>
        </w:tc>
        <w:tc>
          <w:tcPr>
            <w:tcW w:w="640" w:type="dxa"/>
            <w:noWrap w:val="0"/>
            <w:vAlign w:val="center"/>
          </w:tcPr>
          <w:p w14:paraId="784DB0D3">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hAnsi="宋体" w:eastAsia="宋体" w:cs="宋体"/>
                <w:color w:val="auto"/>
                <w:kern w:val="2"/>
                <w:sz w:val="21"/>
                <w:szCs w:val="21"/>
                <w:highlight w:val="none"/>
                <w:lang w:val="en-US" w:eastAsia="zh-CN" w:bidi="ar-SA"/>
              </w:rPr>
            </w:pPr>
          </w:p>
        </w:tc>
      </w:tr>
      <w:tr w14:paraId="0CC8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74" w:type="dxa"/>
            <w:vMerge w:val="continue"/>
            <w:noWrap w:val="0"/>
            <w:vAlign w:val="center"/>
          </w:tcPr>
          <w:p w14:paraId="680D698A">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1094" w:type="dxa"/>
            <w:vMerge w:val="continue"/>
            <w:noWrap w:val="0"/>
            <w:vAlign w:val="center"/>
          </w:tcPr>
          <w:p w14:paraId="3AFDAE65">
            <w:pPr>
              <w:keepNext w:val="0"/>
              <w:keepLines w:val="0"/>
              <w:pageBreakBefore w:val="0"/>
              <w:kinsoku/>
              <w:wordWrap/>
              <w:overflowPunct/>
              <w:topLinePunct w:val="0"/>
              <w:bidi w:val="0"/>
              <w:adjustRightInd w:val="0"/>
              <w:snapToGrid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lang w:val="en-US" w:eastAsia="zh-CN"/>
              </w:rPr>
            </w:pPr>
          </w:p>
        </w:tc>
        <w:tc>
          <w:tcPr>
            <w:tcW w:w="6398" w:type="dxa"/>
            <w:noWrap w:val="0"/>
            <w:vAlign w:val="center"/>
          </w:tcPr>
          <w:p w14:paraId="0E4FCE4E">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投标人具有涉密测绘成果管理人员岗位证书（有效期内）：</w:t>
            </w:r>
          </w:p>
          <w:p w14:paraId="69E4FDDA">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人及以上的得2分，</w:t>
            </w:r>
          </w:p>
          <w:p w14:paraId="6FDA97A8">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人</w:t>
            </w:r>
            <w:r>
              <w:rPr>
                <w:rFonts w:hint="eastAsia" w:ascii="宋体" w:hAnsi="宋体" w:eastAsia="宋体" w:cs="宋体"/>
                <w:color w:val="auto"/>
                <w:sz w:val="21"/>
                <w:szCs w:val="21"/>
                <w:highlight w:val="none"/>
                <w:lang w:val="en-US" w:eastAsia="zh-CN"/>
              </w:rPr>
              <w:t>（含）-9人（含）得1分，</w:t>
            </w:r>
          </w:p>
          <w:p w14:paraId="58768693">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人</w:t>
            </w:r>
            <w:r>
              <w:rPr>
                <w:rFonts w:hint="eastAsia" w:ascii="宋体" w:hAnsi="宋体" w:eastAsia="宋体" w:cs="宋体"/>
                <w:color w:val="auto"/>
                <w:sz w:val="21"/>
                <w:szCs w:val="21"/>
                <w:highlight w:val="none"/>
                <w:lang w:val="en-US" w:eastAsia="zh-CN"/>
              </w:rPr>
              <w:t>（含）-4人（含）</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分，没有的不得</w:t>
            </w:r>
            <w:r>
              <w:rPr>
                <w:rFonts w:hint="eastAsia" w:ascii="宋体" w:hAnsi="宋体" w:eastAsia="宋体" w:cs="宋体"/>
                <w:color w:val="auto"/>
                <w:sz w:val="21"/>
                <w:szCs w:val="21"/>
                <w:highlight w:val="none"/>
                <w:lang w:val="en-US"/>
              </w:rPr>
              <w:t>分。</w:t>
            </w:r>
          </w:p>
          <w:p w14:paraId="0F7E22C6">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eastAsia="zh-CN" w:bidi="ar-SA"/>
              </w:rPr>
              <w:t>（须提供有效的证书扫描件</w:t>
            </w:r>
            <w:r>
              <w:rPr>
                <w:rFonts w:hint="eastAsia" w:ascii="宋体" w:hAnsi="宋体" w:eastAsia="宋体" w:cs="宋体"/>
                <w:b/>
                <w:bCs/>
                <w:color w:val="auto"/>
                <w:sz w:val="21"/>
                <w:szCs w:val="21"/>
                <w:highlight w:val="none"/>
              </w:rPr>
              <w:t>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kern w:val="0"/>
                <w:sz w:val="21"/>
                <w:szCs w:val="21"/>
                <w:highlight w:val="none"/>
                <w:lang w:val="zh-CN" w:eastAsia="zh-CN" w:bidi="ar-SA"/>
              </w:rPr>
              <w:t>加盖投标人公章编入投标文件中，未提供的不得分）</w:t>
            </w:r>
          </w:p>
        </w:tc>
        <w:tc>
          <w:tcPr>
            <w:tcW w:w="640" w:type="dxa"/>
            <w:noWrap w:val="0"/>
            <w:vAlign w:val="center"/>
          </w:tcPr>
          <w:p w14:paraId="0DE52A8B">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640" w:type="dxa"/>
            <w:noWrap w:val="0"/>
            <w:vAlign w:val="center"/>
          </w:tcPr>
          <w:p w14:paraId="37486D8D">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40" w:type="dxa"/>
            <w:noWrap w:val="0"/>
            <w:vAlign w:val="center"/>
          </w:tcPr>
          <w:p w14:paraId="546572B0">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14:paraId="3614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1074" w:type="dxa"/>
            <w:vMerge w:val="continue"/>
            <w:noWrap w:val="0"/>
            <w:vAlign w:val="center"/>
          </w:tcPr>
          <w:p w14:paraId="5546D8DD">
            <w:pPr>
              <w:keepNext w:val="0"/>
              <w:keepLines w:val="0"/>
              <w:pageBreakBefore w:val="0"/>
              <w:kinsoku/>
              <w:wordWrap/>
              <w:overflowPunct/>
              <w:topLinePunct w:val="0"/>
              <w:autoSpaceDE w:val="0"/>
              <w:autoSpaceDN w:val="0"/>
              <w:bidi w:val="0"/>
              <w:adjustRightInd w:val="0"/>
              <w:spacing w:line="240" w:lineRule="auto"/>
              <w:ind w:left="0" w:right="0"/>
              <w:jc w:val="center"/>
              <w:rPr>
                <w:rFonts w:hint="eastAsia" w:ascii="宋体" w:hAnsi="宋体" w:eastAsia="宋体" w:cs="宋体"/>
                <w:color w:val="auto"/>
                <w:sz w:val="21"/>
                <w:szCs w:val="21"/>
                <w:highlight w:val="none"/>
              </w:rPr>
            </w:pPr>
          </w:p>
        </w:tc>
        <w:tc>
          <w:tcPr>
            <w:tcW w:w="1094" w:type="dxa"/>
            <w:noWrap w:val="0"/>
            <w:vAlign w:val="center"/>
          </w:tcPr>
          <w:p w14:paraId="0B657AD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6398" w:type="dxa"/>
            <w:noWrap w:val="0"/>
            <w:vAlign w:val="center"/>
          </w:tcPr>
          <w:p w14:paraId="38A235AF">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拟投入本项目的</w:t>
            </w:r>
            <w:r>
              <w:rPr>
                <w:rFonts w:hint="eastAsia" w:ascii="宋体" w:hAnsi="宋体" w:eastAsia="宋体" w:cs="宋体"/>
                <w:color w:val="auto"/>
                <w:sz w:val="21"/>
                <w:szCs w:val="21"/>
                <w:highlight w:val="none"/>
                <w:lang w:val="en-US" w:eastAsia="zh-CN"/>
              </w:rPr>
              <w:t>项目负责人</w:t>
            </w:r>
            <w:r>
              <w:rPr>
                <w:rFonts w:hint="eastAsia" w:ascii="宋体" w:hAnsi="宋体" w:cs="宋体"/>
                <w:color w:val="auto"/>
                <w:sz w:val="21"/>
                <w:szCs w:val="21"/>
                <w:highlight w:val="none"/>
                <w:lang w:val="en-US" w:eastAsia="zh-CN"/>
              </w:rPr>
              <w:t>：</w:t>
            </w:r>
          </w:p>
          <w:p w14:paraId="48833905">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具有自然资源领域正高级职称得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具有自然资源领域高级专业技术职称得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1795F0E0">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2、负责人担任过的项目获国家级表彰的得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分，获省级表彰的得1分，不累计计分。</w:t>
            </w:r>
          </w:p>
          <w:p w14:paraId="40595BA4">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strike w:val="0"/>
                <w:dstrike w:val="0"/>
                <w:color w:val="auto"/>
                <w:sz w:val="21"/>
                <w:szCs w:val="21"/>
                <w:highlight w:val="none"/>
                <w:lang w:val="en-US" w:eastAsia="zh-CN"/>
              </w:rPr>
              <w:t>本项最高得6分。</w:t>
            </w:r>
            <w:r>
              <w:rPr>
                <w:rFonts w:hint="eastAsia" w:ascii="宋体" w:hAnsi="宋体" w:eastAsia="宋体" w:cs="宋体"/>
                <w:b/>
                <w:bCs/>
                <w:color w:val="auto"/>
                <w:sz w:val="21"/>
                <w:szCs w:val="21"/>
                <w:highlight w:val="none"/>
              </w:rPr>
              <w:t>（须提供有效的职称证书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表彰证书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40" w:type="dxa"/>
            <w:noWrap w:val="0"/>
            <w:vAlign w:val="center"/>
          </w:tcPr>
          <w:p w14:paraId="2DE6034E">
            <w:pPr>
              <w:keepNext w:val="0"/>
              <w:keepLines w:val="0"/>
              <w:pageBreakBefore w:val="0"/>
              <w:kinsoku/>
              <w:wordWrap/>
              <w:overflowPunct/>
              <w:topLinePunct w:val="0"/>
              <w:bidi w:val="0"/>
              <w:spacing w:line="240" w:lineRule="auto"/>
              <w:ind w:left="0" w:leftChars="0" w:right="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640" w:type="dxa"/>
            <w:noWrap w:val="0"/>
            <w:vAlign w:val="center"/>
          </w:tcPr>
          <w:p w14:paraId="63D1403A">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cs="宋体"/>
                <w:color w:val="auto"/>
                <w:kern w:val="2"/>
                <w:sz w:val="21"/>
                <w:szCs w:val="21"/>
                <w:highlight w:val="none"/>
                <w:lang w:val="en-US" w:eastAsia="zh-CN" w:bidi="ar-SA"/>
              </w:rPr>
            </w:pPr>
          </w:p>
        </w:tc>
        <w:tc>
          <w:tcPr>
            <w:tcW w:w="640" w:type="dxa"/>
            <w:noWrap w:val="0"/>
            <w:vAlign w:val="center"/>
          </w:tcPr>
          <w:p w14:paraId="1803D29E">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cs="宋体"/>
                <w:color w:val="auto"/>
                <w:kern w:val="2"/>
                <w:sz w:val="21"/>
                <w:szCs w:val="21"/>
                <w:highlight w:val="none"/>
                <w:lang w:val="en-US" w:eastAsia="zh-CN" w:bidi="ar-SA"/>
              </w:rPr>
            </w:pPr>
          </w:p>
        </w:tc>
      </w:tr>
      <w:tr w14:paraId="1298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074" w:type="dxa"/>
            <w:vMerge w:val="continue"/>
            <w:noWrap w:val="0"/>
            <w:vAlign w:val="center"/>
          </w:tcPr>
          <w:p w14:paraId="0BD869F3">
            <w:pPr>
              <w:keepNext w:val="0"/>
              <w:keepLines w:val="0"/>
              <w:pageBreakBefore w:val="0"/>
              <w:kinsoku/>
              <w:wordWrap/>
              <w:overflowPunct/>
              <w:topLinePunct w:val="0"/>
              <w:autoSpaceDE w:val="0"/>
              <w:autoSpaceDN w:val="0"/>
              <w:bidi w:val="0"/>
              <w:adjustRightInd w:val="0"/>
              <w:spacing w:line="240" w:lineRule="auto"/>
              <w:ind w:left="0" w:right="0"/>
              <w:jc w:val="center"/>
              <w:rPr>
                <w:rFonts w:hint="eastAsia" w:ascii="宋体" w:hAnsi="宋体" w:eastAsia="宋体" w:cs="宋体"/>
                <w:color w:val="auto"/>
                <w:sz w:val="21"/>
                <w:szCs w:val="21"/>
                <w:highlight w:val="none"/>
              </w:rPr>
            </w:pPr>
          </w:p>
        </w:tc>
        <w:tc>
          <w:tcPr>
            <w:tcW w:w="1094" w:type="dxa"/>
            <w:noWrap w:val="0"/>
            <w:vAlign w:val="center"/>
          </w:tcPr>
          <w:p w14:paraId="5EAF663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项目技术负责人</w:t>
            </w:r>
          </w:p>
        </w:tc>
        <w:tc>
          <w:tcPr>
            <w:tcW w:w="6398" w:type="dxa"/>
            <w:noWrap w:val="0"/>
            <w:vAlign w:val="center"/>
          </w:tcPr>
          <w:p w14:paraId="03692F5B">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拟投入本项目的</w:t>
            </w:r>
            <w:r>
              <w:rPr>
                <w:rFonts w:hint="eastAsia" w:ascii="宋体" w:hAnsi="宋体" w:eastAsia="宋体" w:cs="宋体"/>
                <w:snapToGrid w:val="0"/>
                <w:color w:val="auto"/>
                <w:sz w:val="21"/>
                <w:szCs w:val="21"/>
                <w:highlight w:val="none"/>
              </w:rPr>
              <w:t>项目技术负责人（项目负责人除外）</w:t>
            </w:r>
            <w:r>
              <w:rPr>
                <w:rFonts w:hint="eastAsia" w:ascii="宋体" w:hAnsi="宋体" w:cs="宋体"/>
                <w:color w:val="auto"/>
                <w:sz w:val="21"/>
                <w:szCs w:val="21"/>
                <w:highlight w:val="none"/>
                <w:lang w:val="en-US" w:eastAsia="zh-CN"/>
              </w:rPr>
              <w:t>：</w:t>
            </w:r>
          </w:p>
          <w:p w14:paraId="27FD4F95">
            <w:pPr>
              <w:pStyle w:val="59"/>
              <w:keepNext w:val="0"/>
              <w:keepLines w:val="0"/>
              <w:pageBreakBefore w:val="0"/>
              <w:tabs>
                <w:tab w:val="left" w:pos="2640"/>
              </w:tabs>
              <w:kinsoku/>
              <w:wordWrap/>
              <w:overflowPunct/>
              <w:topLinePunct w:val="0"/>
              <w:bidi w:val="0"/>
              <w:spacing w:line="240" w:lineRule="auto"/>
              <w:ind w:left="0" w:right="0"/>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1、具有自然资源领域高级工程师</w:t>
            </w:r>
            <w:r>
              <w:rPr>
                <w:rFonts w:hint="eastAsia" w:ascii="宋体" w:hAnsi="宋体" w:eastAsia="宋体" w:cs="宋体"/>
                <w:snapToGrid w:val="0"/>
                <w:color w:val="auto"/>
                <w:sz w:val="21"/>
                <w:szCs w:val="21"/>
                <w:highlight w:val="none"/>
                <w:lang w:val="en-US" w:eastAsia="zh-CN"/>
              </w:rPr>
              <w:t>及</w:t>
            </w:r>
            <w:r>
              <w:rPr>
                <w:rFonts w:hint="eastAsia" w:ascii="宋体" w:hAnsi="宋体" w:eastAsia="宋体" w:cs="宋体"/>
                <w:snapToGrid w:val="0"/>
                <w:color w:val="auto"/>
                <w:sz w:val="21"/>
                <w:szCs w:val="21"/>
                <w:highlight w:val="none"/>
                <w:lang w:eastAsia="zh-CN"/>
              </w:rPr>
              <w:t>以上专业技术职称的得</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lang w:eastAsia="zh-CN"/>
              </w:rPr>
              <w:t>分。</w:t>
            </w:r>
          </w:p>
          <w:p w14:paraId="6F451FEB">
            <w:pPr>
              <w:pStyle w:val="59"/>
              <w:keepNext w:val="0"/>
              <w:keepLines w:val="0"/>
              <w:pageBreakBefore w:val="0"/>
              <w:tabs>
                <w:tab w:val="left" w:pos="2640"/>
              </w:tabs>
              <w:kinsoku/>
              <w:wordWrap/>
              <w:overflowPunct/>
              <w:topLinePunct w:val="0"/>
              <w:bidi w:val="0"/>
              <w:spacing w:line="240" w:lineRule="auto"/>
              <w:ind w:left="0" w:right="0"/>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2、具有注册测绘师资格的得</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lang w:eastAsia="zh-CN"/>
              </w:rPr>
              <w:t>分。</w:t>
            </w:r>
          </w:p>
          <w:p w14:paraId="5AF70E81">
            <w:pPr>
              <w:pStyle w:val="59"/>
              <w:keepNext w:val="0"/>
              <w:keepLines w:val="0"/>
              <w:pageBreakBefore w:val="0"/>
              <w:tabs>
                <w:tab w:val="left" w:pos="2640"/>
              </w:tabs>
              <w:kinsoku/>
              <w:wordWrap/>
              <w:overflowPunct/>
              <w:topLinePunct w:val="0"/>
              <w:bidi w:val="0"/>
              <w:spacing w:line="240" w:lineRule="auto"/>
              <w:ind w:left="0" w:leftChars="0" w:right="0" w:rightChars="0"/>
              <w:rPr>
                <w:rFonts w:hint="eastAsia" w:ascii="宋体" w:hAnsi="宋体" w:eastAsia="宋体" w:cs="宋体"/>
                <w:b/>
                <w:bCs/>
                <w:color w:val="auto"/>
                <w:sz w:val="21"/>
                <w:szCs w:val="21"/>
                <w:highlight w:val="none"/>
              </w:rPr>
            </w:pPr>
            <w:r>
              <w:rPr>
                <w:rFonts w:hint="eastAsia" w:ascii="宋体" w:hAnsi="宋体" w:cs="宋体"/>
                <w:b w:val="0"/>
                <w:bCs w:val="0"/>
                <w:color w:val="auto"/>
                <w:sz w:val="21"/>
                <w:szCs w:val="21"/>
                <w:highlight w:val="none"/>
                <w:lang w:val="en-US" w:eastAsia="zh-CN"/>
              </w:rPr>
              <w:t>本项最高得2分。</w:t>
            </w:r>
            <w:r>
              <w:rPr>
                <w:rFonts w:hint="eastAsia" w:ascii="宋体" w:hAnsi="宋体" w:eastAsia="宋体" w:cs="宋体"/>
                <w:b/>
                <w:bCs/>
                <w:color w:val="auto"/>
                <w:sz w:val="21"/>
                <w:szCs w:val="21"/>
                <w:highlight w:val="none"/>
              </w:rPr>
              <w:t>（须提供有效的职称证书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资格证书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40" w:type="dxa"/>
            <w:noWrap w:val="0"/>
            <w:vAlign w:val="center"/>
          </w:tcPr>
          <w:p w14:paraId="19823915">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c>
          <w:tcPr>
            <w:tcW w:w="640" w:type="dxa"/>
            <w:noWrap w:val="0"/>
            <w:vAlign w:val="center"/>
          </w:tcPr>
          <w:p w14:paraId="139F233F">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pacing w:val="-4"/>
                <w:sz w:val="21"/>
                <w:szCs w:val="21"/>
                <w:highlight w:val="none"/>
                <w:lang w:val="en-US" w:eastAsia="zh-CN"/>
              </w:rPr>
            </w:pPr>
          </w:p>
        </w:tc>
        <w:tc>
          <w:tcPr>
            <w:tcW w:w="640" w:type="dxa"/>
            <w:noWrap w:val="0"/>
            <w:vAlign w:val="center"/>
          </w:tcPr>
          <w:p w14:paraId="3C512FBB">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pacing w:val="-4"/>
                <w:sz w:val="21"/>
                <w:szCs w:val="21"/>
                <w:highlight w:val="none"/>
                <w:lang w:val="en-US" w:eastAsia="zh-CN"/>
              </w:rPr>
            </w:pPr>
          </w:p>
        </w:tc>
      </w:tr>
      <w:tr w14:paraId="7454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074" w:type="dxa"/>
            <w:vMerge w:val="continue"/>
            <w:noWrap w:val="0"/>
            <w:vAlign w:val="center"/>
          </w:tcPr>
          <w:p w14:paraId="3CB2E172">
            <w:pPr>
              <w:keepNext w:val="0"/>
              <w:keepLines w:val="0"/>
              <w:pageBreakBefore w:val="0"/>
              <w:kinsoku/>
              <w:wordWrap/>
              <w:overflowPunct/>
              <w:topLinePunct w:val="0"/>
              <w:bidi w:val="0"/>
              <w:spacing w:line="240" w:lineRule="auto"/>
              <w:ind w:left="0" w:right="0"/>
              <w:jc w:val="center"/>
              <w:rPr>
                <w:rFonts w:hint="eastAsia" w:ascii="宋体" w:hAnsi="宋体" w:eastAsia="宋体" w:cs="宋体"/>
                <w:color w:val="auto"/>
                <w:sz w:val="21"/>
                <w:szCs w:val="21"/>
                <w:highlight w:val="none"/>
              </w:rPr>
            </w:pPr>
          </w:p>
        </w:tc>
        <w:tc>
          <w:tcPr>
            <w:tcW w:w="1094" w:type="dxa"/>
            <w:noWrap w:val="0"/>
            <w:vAlign w:val="center"/>
          </w:tcPr>
          <w:p w14:paraId="1538C9C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Style w:val="57"/>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w:t>
            </w:r>
          </w:p>
        </w:tc>
        <w:tc>
          <w:tcPr>
            <w:tcW w:w="6398" w:type="dxa"/>
            <w:noWrap w:val="0"/>
            <w:vAlign w:val="center"/>
          </w:tcPr>
          <w:p w14:paraId="1042E526">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拟投入本项目的</w:t>
            </w: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snapToGrid w:val="0"/>
                <w:color w:val="auto"/>
                <w:sz w:val="21"/>
                <w:szCs w:val="21"/>
                <w:highlight w:val="none"/>
              </w:rPr>
              <w:t>项目技术负责人</w:t>
            </w:r>
            <w:r>
              <w:rPr>
                <w:rFonts w:hint="eastAsia" w:ascii="宋体" w:hAnsi="宋体" w:eastAsia="宋体" w:cs="宋体"/>
                <w:color w:val="auto"/>
                <w:sz w:val="21"/>
                <w:szCs w:val="21"/>
                <w:highlight w:val="none"/>
                <w:lang w:val="en-US" w:eastAsia="zh-CN"/>
              </w:rPr>
              <w:t>除外</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w:t>
            </w:r>
          </w:p>
          <w:p w14:paraId="09542836">
            <w:pPr>
              <w:keepNext w:val="0"/>
              <w:keepLines w:val="0"/>
              <w:pageBreakBefore w:val="0"/>
              <w:widowControl/>
              <w:kinsoku/>
              <w:wordWrap/>
              <w:overflowPunct/>
              <w:topLinePunct w:val="0"/>
              <w:bidi w:val="0"/>
              <w:spacing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具有相关专业中级及以上职称的</w:t>
            </w:r>
            <w:r>
              <w:rPr>
                <w:rFonts w:hint="eastAsia" w:ascii="宋体" w:hAnsi="宋体" w:eastAsia="宋体" w:cs="宋体"/>
                <w:snapToGrid w:val="0"/>
                <w:color w:val="auto"/>
                <w:sz w:val="21"/>
                <w:szCs w:val="21"/>
                <w:highlight w:val="none"/>
              </w:rPr>
              <w:t>，每投入1人得1分，</w:t>
            </w:r>
            <w:r>
              <w:rPr>
                <w:rFonts w:hint="eastAsia" w:ascii="宋体" w:hAnsi="宋体" w:eastAsia="宋体" w:cs="宋体"/>
                <w:color w:val="auto"/>
                <w:sz w:val="21"/>
                <w:szCs w:val="21"/>
                <w:highlight w:val="none"/>
              </w:rPr>
              <w:t>本项最高得5分。</w:t>
            </w:r>
          </w:p>
          <w:p w14:paraId="591F0C42">
            <w:pPr>
              <w:keepNext w:val="0"/>
              <w:keepLines w:val="0"/>
              <w:pageBreakBefore w:val="0"/>
              <w:kinsoku/>
              <w:wordWrap/>
              <w:overflowPunct/>
              <w:topLinePunct w:val="0"/>
              <w:bidi w:val="0"/>
              <w:adjustRightInd w:val="0"/>
              <w:snapToGrid w:val="0"/>
              <w:spacing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w:t>
            </w:r>
            <w:r>
              <w:rPr>
                <w:rFonts w:hint="eastAsia" w:ascii="宋体" w:hAnsi="宋体" w:cs="宋体"/>
                <w:b/>
                <w:bCs/>
                <w:color w:val="auto"/>
                <w:sz w:val="21"/>
                <w:szCs w:val="21"/>
                <w:highlight w:val="none"/>
                <w:lang w:val="en-US" w:eastAsia="zh-CN"/>
              </w:rPr>
              <w:t>有效</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职称</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40" w:type="dxa"/>
            <w:noWrap w:val="0"/>
            <w:vAlign w:val="center"/>
          </w:tcPr>
          <w:p w14:paraId="1C78CF04">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640" w:type="dxa"/>
            <w:noWrap w:val="0"/>
            <w:vAlign w:val="center"/>
          </w:tcPr>
          <w:p w14:paraId="5C8AEBB4">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kern w:val="0"/>
                <w:sz w:val="21"/>
                <w:szCs w:val="21"/>
                <w:highlight w:val="none"/>
              </w:rPr>
            </w:pPr>
          </w:p>
        </w:tc>
        <w:tc>
          <w:tcPr>
            <w:tcW w:w="640" w:type="dxa"/>
            <w:noWrap w:val="0"/>
            <w:vAlign w:val="center"/>
          </w:tcPr>
          <w:p w14:paraId="633668B8">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kern w:val="0"/>
                <w:sz w:val="21"/>
                <w:szCs w:val="21"/>
                <w:highlight w:val="none"/>
              </w:rPr>
            </w:pPr>
          </w:p>
        </w:tc>
      </w:tr>
      <w:tr w14:paraId="390D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074" w:type="dxa"/>
            <w:vMerge w:val="restart"/>
            <w:noWrap w:val="0"/>
            <w:vAlign w:val="center"/>
          </w:tcPr>
          <w:p w14:paraId="365989C7">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1167966A">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4A7E2508">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05FA0D8">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115357C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E2B17C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20B6BFE7">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692F240">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407C5998">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465F64EC">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EF3C745">
            <w:pPr>
              <w:pStyle w:val="2"/>
              <w:keepNext w:val="0"/>
              <w:keepLines w:val="0"/>
              <w:pageBreakBefore w:val="0"/>
              <w:kinsoku/>
              <w:wordWrap/>
              <w:overflowPunct/>
              <w:topLinePunct w:val="0"/>
              <w:bidi w:val="0"/>
              <w:spacing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094" w:type="dxa"/>
            <w:vMerge w:val="restart"/>
            <w:noWrap w:val="0"/>
            <w:vAlign w:val="center"/>
          </w:tcPr>
          <w:p w14:paraId="38E5C19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6398" w:type="dxa"/>
            <w:noWrap w:val="0"/>
            <w:vAlign w:val="center"/>
          </w:tcPr>
          <w:p w14:paraId="18158FF1">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根据投标人对本项目现状、总体认识和需求描述等进行打分。</w:t>
            </w:r>
          </w:p>
          <w:p w14:paraId="1918C2D3">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对本项目历史数据分析结构合理，目的意义、实施目标、工作范围、工作内容和技术要求描述内容完整、表述准确、无前后矛盾、目录清晰，符合采购文件要求的得3.0-5.0分；</w:t>
            </w:r>
          </w:p>
          <w:p w14:paraId="58E1A734">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对本项目现状、总体认识和需求描述方案描述简单，内容不够全面的得</w:t>
            </w:r>
            <w:r>
              <w:rPr>
                <w:rFonts w:hint="eastAsia" w:ascii="宋体" w:hAnsi="宋体" w:eastAsia="宋体" w:cs="宋体"/>
                <w:color w:val="auto"/>
                <w:sz w:val="21"/>
                <w:szCs w:val="21"/>
                <w:highlight w:val="none"/>
                <w:lang w:val="en-US" w:eastAsia="zh-CN"/>
              </w:rPr>
              <w:t>1.0-2.9分；</w:t>
            </w:r>
          </w:p>
          <w:p w14:paraId="19AC1B9B">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现状分析、总体认识等内容有提及但阐述不完整的得0.1-0.9分；</w:t>
            </w:r>
          </w:p>
          <w:p w14:paraId="6944A74A">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43D86A7A">
            <w:pPr>
              <w:autoSpaceDE w:val="0"/>
              <w:autoSpaceDN w:val="0"/>
              <w:adjustRightInd w:val="0"/>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640" w:type="dxa"/>
            <w:noWrap w:val="0"/>
            <w:vAlign w:val="center"/>
          </w:tcPr>
          <w:p w14:paraId="13FECA2E">
            <w:pPr>
              <w:autoSpaceDE w:val="0"/>
              <w:autoSpaceDN w:val="0"/>
              <w:adjustRightInd w:val="0"/>
              <w:ind w:left="0" w:leftChars="0" w:firstLine="0" w:firstLineChars="0"/>
              <w:jc w:val="center"/>
              <w:rPr>
                <w:rFonts w:hint="eastAsia" w:ascii="宋体" w:hAnsi="宋体" w:eastAsia="宋体" w:cs="宋体"/>
                <w:color w:val="auto"/>
                <w:sz w:val="21"/>
                <w:szCs w:val="21"/>
                <w:highlight w:val="none"/>
              </w:rPr>
            </w:pPr>
          </w:p>
        </w:tc>
        <w:tc>
          <w:tcPr>
            <w:tcW w:w="640" w:type="dxa"/>
            <w:noWrap w:val="0"/>
            <w:vAlign w:val="center"/>
          </w:tcPr>
          <w:p w14:paraId="125861AC">
            <w:pPr>
              <w:autoSpaceDE w:val="0"/>
              <w:autoSpaceDN w:val="0"/>
              <w:adjustRightInd w:val="0"/>
              <w:ind w:left="0" w:leftChars="0" w:firstLine="0" w:firstLineChars="0"/>
              <w:jc w:val="center"/>
              <w:rPr>
                <w:rFonts w:hint="eastAsia" w:ascii="宋体" w:hAnsi="宋体" w:eastAsia="宋体" w:cs="宋体"/>
                <w:color w:val="auto"/>
                <w:sz w:val="21"/>
                <w:szCs w:val="21"/>
                <w:highlight w:val="none"/>
              </w:rPr>
            </w:pPr>
          </w:p>
        </w:tc>
      </w:tr>
      <w:tr w14:paraId="6E9F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074" w:type="dxa"/>
            <w:vMerge w:val="continue"/>
            <w:noWrap w:val="0"/>
            <w:vAlign w:val="center"/>
          </w:tcPr>
          <w:p w14:paraId="02B8310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094" w:type="dxa"/>
            <w:vMerge w:val="continue"/>
            <w:noWrap w:val="0"/>
            <w:vAlign w:val="center"/>
          </w:tcPr>
          <w:p w14:paraId="15E1CB9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6398" w:type="dxa"/>
            <w:noWrap w:val="0"/>
            <w:vAlign w:val="center"/>
          </w:tcPr>
          <w:p w14:paraId="3EF26507">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根据投标人对项目的具体工作思路、技术路线以及数据采集调查流程及组织保障措施等情况进行打分。</w:t>
            </w:r>
          </w:p>
          <w:p w14:paraId="40AE6922">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工作依据详细、合规，总体思路明确，对实施本项目的技术路线图清晰，资料收集清单明晰，数据采集流程详细，组织保障措施合理可行的得3.0-5.0分；</w:t>
            </w:r>
          </w:p>
          <w:p w14:paraId="08EA8D3C">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对本项目技术路线、数据采集调查流程及组织保障措施描述简单，内容不够全面的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1.0-2.9分；</w:t>
            </w:r>
          </w:p>
          <w:p w14:paraId="0689C6E8">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技术路线及相关流程有提及但内容不完整，缺乏可操作性的得0.1-0.9分；</w:t>
            </w:r>
          </w:p>
          <w:p w14:paraId="7B5CCE91">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4586160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firstLine="0" w:firstLine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640" w:type="dxa"/>
            <w:noWrap w:val="0"/>
            <w:vAlign w:val="center"/>
          </w:tcPr>
          <w:p w14:paraId="6F39A85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40" w:type="dxa"/>
            <w:noWrap w:val="0"/>
            <w:vAlign w:val="center"/>
          </w:tcPr>
          <w:p w14:paraId="5830FB2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1F1B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1074" w:type="dxa"/>
            <w:vMerge w:val="continue"/>
            <w:noWrap w:val="0"/>
            <w:vAlign w:val="center"/>
          </w:tcPr>
          <w:p w14:paraId="225B86A8">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6EF2118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重难点分析及解决方案</w:t>
            </w:r>
          </w:p>
        </w:tc>
        <w:tc>
          <w:tcPr>
            <w:tcW w:w="6398" w:type="dxa"/>
            <w:noWrap w:val="0"/>
            <w:vAlign w:val="center"/>
          </w:tcPr>
          <w:p w14:paraId="5090D2F0">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针对项目实施中</w:t>
            </w:r>
            <w:r>
              <w:rPr>
                <w:rFonts w:hint="eastAsia" w:ascii="宋体" w:hAnsi="宋体" w:eastAsia="宋体" w:cs="宋体"/>
                <w:color w:val="auto"/>
                <w:sz w:val="21"/>
                <w:szCs w:val="21"/>
                <w:highlight w:val="none"/>
                <w:lang w:val="en-US" w:eastAsia="zh-CN"/>
              </w:rPr>
              <w:t>可能</w:t>
            </w:r>
            <w:r>
              <w:rPr>
                <w:rFonts w:hint="eastAsia" w:ascii="宋体" w:hAnsi="宋体" w:eastAsia="宋体" w:cs="宋体"/>
                <w:color w:val="auto"/>
                <w:sz w:val="21"/>
                <w:szCs w:val="21"/>
                <w:highlight w:val="none"/>
              </w:rPr>
              <w:t>存在的问题和具体实施过程遇到的重点难点分析情况进行打分。</w:t>
            </w:r>
          </w:p>
          <w:p w14:paraId="42F387DB">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对本项目工作重点、难点分析具有针对</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25F4046">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w:t>
            </w: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分析比较有针对得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A20300D">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对本项目工作重点、难点分析不全得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05EEB33">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080B61DF">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640" w:type="dxa"/>
            <w:noWrap w:val="0"/>
            <w:vAlign w:val="center"/>
          </w:tcPr>
          <w:p w14:paraId="41B53B1C">
            <w:pPr>
              <w:ind w:left="0" w:leftChars="0" w:firstLine="0" w:firstLineChars="0"/>
              <w:jc w:val="center"/>
              <w:rPr>
                <w:rFonts w:hint="eastAsia" w:ascii="宋体" w:hAnsi="宋体" w:eastAsia="宋体" w:cs="宋体"/>
                <w:color w:val="auto"/>
                <w:sz w:val="21"/>
                <w:szCs w:val="21"/>
                <w:highlight w:val="none"/>
                <w:lang w:val="en-US" w:eastAsia="zh-CN"/>
              </w:rPr>
            </w:pPr>
          </w:p>
        </w:tc>
        <w:tc>
          <w:tcPr>
            <w:tcW w:w="640" w:type="dxa"/>
            <w:noWrap w:val="0"/>
            <w:vAlign w:val="center"/>
          </w:tcPr>
          <w:p w14:paraId="1D7F5E69">
            <w:pPr>
              <w:ind w:left="0" w:leftChars="0" w:firstLine="0" w:firstLineChars="0"/>
              <w:jc w:val="center"/>
              <w:rPr>
                <w:rFonts w:hint="eastAsia" w:ascii="宋体" w:hAnsi="宋体" w:eastAsia="宋体" w:cs="宋体"/>
                <w:color w:val="auto"/>
                <w:sz w:val="21"/>
                <w:szCs w:val="21"/>
                <w:highlight w:val="none"/>
                <w:lang w:val="en-US" w:eastAsia="zh-CN"/>
              </w:rPr>
            </w:pPr>
          </w:p>
        </w:tc>
      </w:tr>
      <w:tr w14:paraId="7DD8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1074" w:type="dxa"/>
            <w:vMerge w:val="continue"/>
            <w:noWrap w:val="0"/>
            <w:vAlign w:val="center"/>
          </w:tcPr>
          <w:p w14:paraId="013EDAE9">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restart"/>
            <w:noWrap w:val="0"/>
            <w:vAlign w:val="center"/>
          </w:tcPr>
          <w:p w14:paraId="42B7BBB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项目实施</w:t>
            </w:r>
          </w:p>
        </w:tc>
        <w:tc>
          <w:tcPr>
            <w:tcW w:w="6398" w:type="dxa"/>
            <w:noWrap w:val="0"/>
            <w:vAlign w:val="center"/>
          </w:tcPr>
          <w:p w14:paraId="462D022C">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val="en-US" w:eastAsia="zh-CN"/>
              </w:rPr>
              <w:t>年度沿海滩涂（潮间带）资源稳定性及淤积潜力评价</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49EA0B1A">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3212B4D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73BDA318">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0A12FA39">
            <w:pPr>
              <w:keepNext w:val="0"/>
              <w:keepLines w:val="0"/>
              <w:pageBreakBefore w:val="0"/>
              <w:tabs>
                <w:tab w:val="left" w:pos="2061"/>
              </w:tabs>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0" w:type="dxa"/>
            <w:noWrap w:val="0"/>
            <w:vAlign w:val="center"/>
          </w:tcPr>
          <w:p w14:paraId="641C24B5">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40" w:type="dxa"/>
            <w:noWrap w:val="0"/>
            <w:vAlign w:val="center"/>
          </w:tcPr>
          <w:p w14:paraId="19D87B5B">
            <w:pPr>
              <w:autoSpaceDE w:val="0"/>
              <w:autoSpaceDN w:val="0"/>
              <w:adjustRightInd w:val="0"/>
              <w:ind w:left="0" w:leftChars="0" w:firstLine="0" w:firstLineChars="0"/>
              <w:jc w:val="center"/>
              <w:rPr>
                <w:rFonts w:hint="eastAsia" w:ascii="宋体" w:hAnsi="宋体" w:cs="宋体"/>
                <w:color w:val="auto"/>
                <w:sz w:val="21"/>
                <w:szCs w:val="21"/>
                <w:highlight w:val="none"/>
                <w:lang w:val="en-US" w:eastAsia="zh-CN"/>
              </w:rPr>
            </w:pPr>
          </w:p>
        </w:tc>
        <w:tc>
          <w:tcPr>
            <w:tcW w:w="640" w:type="dxa"/>
            <w:noWrap w:val="0"/>
            <w:vAlign w:val="center"/>
          </w:tcPr>
          <w:p w14:paraId="0306BB14">
            <w:pPr>
              <w:autoSpaceDE w:val="0"/>
              <w:autoSpaceDN w:val="0"/>
              <w:adjustRightInd w:val="0"/>
              <w:ind w:left="0" w:leftChars="0" w:firstLine="0" w:firstLineChars="0"/>
              <w:jc w:val="center"/>
              <w:rPr>
                <w:rFonts w:hint="eastAsia" w:ascii="宋体" w:hAnsi="宋体" w:cs="宋体"/>
                <w:color w:val="auto"/>
                <w:sz w:val="21"/>
                <w:szCs w:val="21"/>
                <w:highlight w:val="none"/>
                <w:lang w:val="en-US" w:eastAsia="zh-CN"/>
              </w:rPr>
            </w:pPr>
          </w:p>
        </w:tc>
      </w:tr>
      <w:tr w14:paraId="0CC4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74" w:type="dxa"/>
            <w:vMerge w:val="continue"/>
            <w:noWrap w:val="0"/>
            <w:vAlign w:val="center"/>
          </w:tcPr>
          <w:p w14:paraId="292853D5">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409170A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7DA45565">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val="en-US" w:eastAsia="zh-CN"/>
              </w:rPr>
              <w:t>年围填海历史遗留问题处理核查</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03B84235">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3880B633">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19172850">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25B3C847">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0" w:type="dxa"/>
            <w:noWrap w:val="0"/>
            <w:vAlign w:val="center"/>
          </w:tcPr>
          <w:p w14:paraId="1145D243">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40" w:type="dxa"/>
            <w:noWrap w:val="0"/>
            <w:vAlign w:val="center"/>
          </w:tcPr>
          <w:p w14:paraId="5E7DF1DE">
            <w:pPr>
              <w:autoSpaceDE w:val="0"/>
              <w:autoSpaceDN w:val="0"/>
              <w:adjustRightInd w:val="0"/>
              <w:ind w:left="0" w:leftChars="0" w:firstLine="0" w:firstLineChars="0"/>
              <w:jc w:val="center"/>
              <w:rPr>
                <w:rFonts w:hint="eastAsia" w:ascii="宋体" w:hAnsi="宋体" w:cs="宋体"/>
                <w:color w:val="auto"/>
                <w:sz w:val="21"/>
                <w:szCs w:val="21"/>
                <w:highlight w:val="none"/>
                <w:lang w:val="en-US" w:eastAsia="zh-CN"/>
              </w:rPr>
            </w:pPr>
          </w:p>
        </w:tc>
        <w:tc>
          <w:tcPr>
            <w:tcW w:w="640" w:type="dxa"/>
            <w:noWrap w:val="0"/>
            <w:vAlign w:val="center"/>
          </w:tcPr>
          <w:p w14:paraId="47ADF7D8">
            <w:pPr>
              <w:autoSpaceDE w:val="0"/>
              <w:autoSpaceDN w:val="0"/>
              <w:adjustRightInd w:val="0"/>
              <w:ind w:left="0" w:leftChars="0" w:firstLine="0" w:firstLineChars="0"/>
              <w:jc w:val="center"/>
              <w:rPr>
                <w:rFonts w:hint="eastAsia" w:ascii="宋体" w:hAnsi="宋体" w:cs="宋体"/>
                <w:color w:val="auto"/>
                <w:sz w:val="21"/>
                <w:szCs w:val="21"/>
                <w:highlight w:val="none"/>
                <w:lang w:val="en-US" w:eastAsia="zh-CN"/>
              </w:rPr>
            </w:pPr>
          </w:p>
        </w:tc>
      </w:tr>
      <w:tr w14:paraId="1944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074" w:type="dxa"/>
            <w:vMerge w:val="continue"/>
            <w:noWrap w:val="0"/>
            <w:vAlign w:val="center"/>
          </w:tcPr>
          <w:p w14:paraId="6A37DD01">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72728E5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32EBC85C">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val="en-US" w:eastAsia="zh-CN"/>
              </w:rPr>
              <w:t>年无居民海岛监视监测与管理</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37BD5173">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72F426A3">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516182D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66E1FE17">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0" w:type="dxa"/>
            <w:noWrap w:val="0"/>
            <w:vAlign w:val="center"/>
          </w:tcPr>
          <w:p w14:paraId="0EE5720F">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40" w:type="dxa"/>
            <w:noWrap w:val="0"/>
            <w:vAlign w:val="center"/>
          </w:tcPr>
          <w:p w14:paraId="1606D89E">
            <w:pPr>
              <w:autoSpaceDE w:val="0"/>
              <w:autoSpaceDN w:val="0"/>
              <w:adjustRightInd w:val="0"/>
              <w:ind w:left="0" w:leftChars="0" w:firstLine="0" w:firstLineChars="0"/>
              <w:jc w:val="center"/>
              <w:rPr>
                <w:rFonts w:hint="eastAsia" w:ascii="宋体" w:hAnsi="宋体" w:cs="宋体"/>
                <w:color w:val="auto"/>
                <w:sz w:val="21"/>
                <w:szCs w:val="21"/>
                <w:highlight w:val="none"/>
                <w:lang w:val="en-US" w:eastAsia="zh-CN"/>
              </w:rPr>
            </w:pPr>
          </w:p>
        </w:tc>
        <w:tc>
          <w:tcPr>
            <w:tcW w:w="640" w:type="dxa"/>
            <w:noWrap w:val="0"/>
            <w:vAlign w:val="center"/>
          </w:tcPr>
          <w:p w14:paraId="4B15EC18">
            <w:pPr>
              <w:autoSpaceDE w:val="0"/>
              <w:autoSpaceDN w:val="0"/>
              <w:adjustRightInd w:val="0"/>
              <w:ind w:left="0" w:leftChars="0" w:firstLine="0" w:firstLineChars="0"/>
              <w:jc w:val="center"/>
              <w:rPr>
                <w:rFonts w:hint="eastAsia" w:ascii="宋体" w:hAnsi="宋体" w:cs="宋体"/>
                <w:color w:val="auto"/>
                <w:sz w:val="21"/>
                <w:szCs w:val="21"/>
                <w:highlight w:val="none"/>
                <w:lang w:val="en-US" w:eastAsia="zh-CN"/>
              </w:rPr>
            </w:pPr>
          </w:p>
        </w:tc>
      </w:tr>
      <w:tr w14:paraId="164A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074" w:type="dxa"/>
            <w:vMerge w:val="continue"/>
            <w:noWrap w:val="0"/>
            <w:vAlign w:val="center"/>
          </w:tcPr>
          <w:p w14:paraId="5ACFFE1E">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50C554B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服务质量管控</w:t>
            </w:r>
          </w:p>
        </w:tc>
        <w:tc>
          <w:tcPr>
            <w:tcW w:w="6398" w:type="dxa"/>
            <w:noWrap w:val="0"/>
            <w:vAlign w:val="center"/>
          </w:tcPr>
          <w:p w14:paraId="11655C2C">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根据投标人对项目工作中的管理规范、管理组织构架、监督体系、内控制度、质量管控措施进行打分。</w:t>
            </w:r>
          </w:p>
          <w:p w14:paraId="33F552BA">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服务质量管控方案阐述全面，管理规范、管理组织构架、监督体系、内控制度、质量管控</w:t>
            </w: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等阐述合理可行且有针对性，能有效保障项目服务质量的得3.0-6.0分</w:t>
            </w:r>
            <w:r>
              <w:rPr>
                <w:rFonts w:hint="eastAsia" w:ascii="宋体" w:hAnsi="宋体" w:eastAsia="宋体" w:cs="宋体"/>
                <w:color w:val="auto"/>
                <w:sz w:val="21"/>
                <w:szCs w:val="21"/>
                <w:highlight w:val="none"/>
              </w:rPr>
              <w:t>；</w:t>
            </w:r>
          </w:p>
          <w:p w14:paraId="64AE3C1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服务质量管控方案阐述简单，管理规范、监督体系等内容有提及但阐述不完整，基本能保障项目服务的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1.0-2.9分；</w:t>
            </w:r>
          </w:p>
          <w:p w14:paraId="3728D865">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方案阐述片面，内容不完整，缺乏可操作性的得0.1-0.9分；</w:t>
            </w:r>
          </w:p>
          <w:p w14:paraId="2EDFBECF">
            <w:pPr>
              <w:keepNext w:val="0"/>
              <w:keepLines w:val="0"/>
              <w:pageBreakBefore w:val="0"/>
              <w:tabs>
                <w:tab w:val="left" w:pos="2061"/>
              </w:tabs>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06219913">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40" w:type="dxa"/>
            <w:noWrap w:val="0"/>
            <w:vAlign w:val="center"/>
          </w:tcPr>
          <w:p w14:paraId="543E5D41">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c>
          <w:tcPr>
            <w:tcW w:w="640" w:type="dxa"/>
            <w:noWrap w:val="0"/>
            <w:vAlign w:val="center"/>
          </w:tcPr>
          <w:p w14:paraId="2BE817B8">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r>
      <w:tr w14:paraId="6F9E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74" w:type="dxa"/>
            <w:vMerge w:val="continue"/>
            <w:noWrap w:val="0"/>
            <w:vAlign w:val="center"/>
          </w:tcPr>
          <w:p w14:paraId="1028FA9F">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restart"/>
            <w:noWrap w:val="0"/>
            <w:vAlign w:val="center"/>
          </w:tcPr>
          <w:p w14:paraId="5976F0E4">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数据录入</w:t>
            </w:r>
          </w:p>
        </w:tc>
        <w:tc>
          <w:tcPr>
            <w:tcW w:w="6398" w:type="dxa"/>
            <w:noWrap w:val="0"/>
            <w:vAlign w:val="center"/>
          </w:tcPr>
          <w:p w14:paraId="6CCB1392">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对省级“智控海洋”应用场景的理解是否科学、合理、先进、完整等情况进行打分。</w:t>
            </w:r>
          </w:p>
          <w:p w14:paraId="39187BAF">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对省级“智控海洋”应用场景的理解</w:t>
            </w:r>
            <w:r>
              <w:rPr>
                <w:rFonts w:hint="eastAsia" w:ascii="宋体" w:hAnsi="宋体" w:eastAsia="宋体" w:cs="宋体"/>
                <w:color w:val="auto"/>
                <w:sz w:val="21"/>
                <w:szCs w:val="21"/>
                <w:highlight w:val="none"/>
                <w:lang w:val="en-US" w:eastAsia="zh-CN"/>
              </w:rPr>
              <w:t>科学合理，内容完整、有针对性的得2.0-4.0分；</w:t>
            </w:r>
          </w:p>
          <w:p w14:paraId="78536B88">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55E15728">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787AD5AE">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40" w:type="dxa"/>
            <w:noWrap w:val="0"/>
            <w:vAlign w:val="center"/>
          </w:tcPr>
          <w:p w14:paraId="3E68CC15">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c>
          <w:tcPr>
            <w:tcW w:w="640" w:type="dxa"/>
            <w:noWrap w:val="0"/>
            <w:vAlign w:val="center"/>
          </w:tcPr>
          <w:p w14:paraId="13C428BA">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r>
      <w:tr w14:paraId="495E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074" w:type="dxa"/>
            <w:vMerge w:val="continue"/>
            <w:noWrap w:val="0"/>
            <w:vAlign w:val="center"/>
          </w:tcPr>
          <w:p w14:paraId="48122892">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0D0153F3">
            <w:pPr>
              <w:keepNext w:val="0"/>
              <w:keepLines w:val="0"/>
              <w:pageBreakBefore w:val="0"/>
              <w:kinsoku/>
              <w:wordWrap/>
              <w:overflowPunct/>
              <w:topLinePunct w:val="0"/>
              <w:bidi w:val="0"/>
              <w:spacing w:line="240" w:lineRule="auto"/>
              <w:ind w:left="0" w:right="0"/>
              <w:jc w:val="center"/>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052E5808">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对省级“智控海洋”场景相关接口的理解程度进行打分。</w:t>
            </w:r>
          </w:p>
          <w:p w14:paraId="47A32330">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对省级“智控海洋”场景相关接口的理解</w:t>
            </w:r>
            <w:r>
              <w:rPr>
                <w:rFonts w:hint="eastAsia" w:ascii="宋体" w:hAnsi="宋体" w:eastAsia="宋体" w:cs="宋体"/>
                <w:color w:val="auto"/>
                <w:sz w:val="21"/>
                <w:szCs w:val="21"/>
                <w:highlight w:val="none"/>
                <w:lang w:val="en-US" w:eastAsia="zh-CN"/>
              </w:rPr>
              <w:t>科学合理，内容完整、有针对性的得2.0-4.0分；</w:t>
            </w:r>
          </w:p>
          <w:p w14:paraId="737945EE">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76129597">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31347B7D">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40" w:type="dxa"/>
            <w:noWrap w:val="0"/>
            <w:vAlign w:val="center"/>
          </w:tcPr>
          <w:p w14:paraId="61DAC464">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c>
          <w:tcPr>
            <w:tcW w:w="640" w:type="dxa"/>
            <w:noWrap w:val="0"/>
            <w:vAlign w:val="center"/>
          </w:tcPr>
          <w:p w14:paraId="02A289A0">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r>
      <w:tr w14:paraId="591C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74" w:type="dxa"/>
            <w:vMerge w:val="continue"/>
            <w:noWrap w:val="0"/>
            <w:vAlign w:val="center"/>
          </w:tcPr>
          <w:p w14:paraId="2B2AD178">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48BDA423">
            <w:pPr>
              <w:keepNext w:val="0"/>
              <w:keepLines w:val="0"/>
              <w:pageBreakBefore w:val="0"/>
              <w:kinsoku/>
              <w:wordWrap/>
              <w:overflowPunct/>
              <w:topLinePunct w:val="0"/>
              <w:bidi w:val="0"/>
              <w:spacing w:line="240" w:lineRule="auto"/>
              <w:ind w:left="0" w:right="0"/>
              <w:jc w:val="center"/>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7AD5F784">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对涉海相关矢量数据（海域权属、海洋功能区划、历史疑点疑区、历史围填海</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）的理解是否科学、合理、先进、完整等情况进行打分。</w:t>
            </w:r>
          </w:p>
          <w:p w14:paraId="2ED04F06">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对涉海相关矢量数据（海域权属、海洋功能区划、历史疑点疑区、历史围填海</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）的理解</w:t>
            </w:r>
            <w:r>
              <w:rPr>
                <w:rFonts w:hint="eastAsia" w:ascii="宋体" w:hAnsi="宋体" w:eastAsia="宋体" w:cs="宋体"/>
                <w:color w:val="auto"/>
                <w:sz w:val="21"/>
                <w:szCs w:val="21"/>
                <w:highlight w:val="none"/>
                <w:lang w:val="en-US" w:eastAsia="zh-CN"/>
              </w:rPr>
              <w:t>科学合理，内容阐述完整、有针对性的得2.0-4.0分；</w:t>
            </w:r>
          </w:p>
          <w:p w14:paraId="02EAFDFD">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6E844863">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640" w:type="dxa"/>
            <w:noWrap w:val="0"/>
            <w:vAlign w:val="center"/>
          </w:tcPr>
          <w:p w14:paraId="3D90931B">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40" w:type="dxa"/>
            <w:noWrap w:val="0"/>
            <w:vAlign w:val="center"/>
          </w:tcPr>
          <w:p w14:paraId="6B86D525">
            <w:pPr>
              <w:autoSpaceDE w:val="0"/>
              <w:autoSpaceDN w:val="0"/>
              <w:adjustRightInd w:val="0"/>
              <w:ind w:left="0" w:leftChars="0" w:firstLine="0" w:firstLineChars="0"/>
              <w:jc w:val="center"/>
              <w:rPr>
                <w:rFonts w:hint="eastAsia" w:ascii="宋体" w:hAnsi="宋体" w:cs="宋体"/>
                <w:color w:val="auto"/>
                <w:sz w:val="21"/>
                <w:szCs w:val="21"/>
                <w:highlight w:val="none"/>
                <w:lang w:val="en-US" w:eastAsia="zh-CN"/>
              </w:rPr>
            </w:pPr>
          </w:p>
        </w:tc>
        <w:tc>
          <w:tcPr>
            <w:tcW w:w="640" w:type="dxa"/>
            <w:noWrap w:val="0"/>
            <w:vAlign w:val="center"/>
          </w:tcPr>
          <w:p w14:paraId="3C48A2D0">
            <w:pPr>
              <w:autoSpaceDE w:val="0"/>
              <w:autoSpaceDN w:val="0"/>
              <w:adjustRightInd w:val="0"/>
              <w:ind w:left="0" w:leftChars="0" w:firstLine="0" w:firstLineChars="0"/>
              <w:jc w:val="center"/>
              <w:rPr>
                <w:rFonts w:hint="eastAsia" w:ascii="宋体" w:hAnsi="宋体" w:cs="宋体"/>
                <w:color w:val="auto"/>
                <w:sz w:val="21"/>
                <w:szCs w:val="21"/>
                <w:highlight w:val="none"/>
                <w:lang w:val="en-US" w:eastAsia="zh-CN"/>
              </w:rPr>
            </w:pPr>
          </w:p>
        </w:tc>
      </w:tr>
      <w:tr w14:paraId="4824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074" w:type="dxa"/>
            <w:vMerge w:val="continue"/>
            <w:noWrap w:val="0"/>
            <w:vAlign w:val="center"/>
          </w:tcPr>
          <w:p w14:paraId="5AC35525">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2A4517FE">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保密措施</w:t>
            </w:r>
          </w:p>
        </w:tc>
        <w:tc>
          <w:tcPr>
            <w:tcW w:w="6398" w:type="dxa"/>
            <w:noWrap w:val="0"/>
            <w:vAlign w:val="center"/>
          </w:tcPr>
          <w:p w14:paraId="4C86AEF5">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根据投标人是否有</w:t>
            </w:r>
            <w:r>
              <w:rPr>
                <w:rFonts w:hint="eastAsia" w:ascii="宋体" w:hAnsi="宋体" w:eastAsia="宋体" w:cs="宋体"/>
                <w:bCs/>
                <w:color w:val="auto"/>
                <w:sz w:val="21"/>
                <w:szCs w:val="21"/>
                <w:highlight w:val="none"/>
                <w:lang w:val="en-US" w:eastAsia="zh-CN"/>
              </w:rPr>
              <w:t>完备的</w:t>
            </w:r>
            <w:r>
              <w:rPr>
                <w:rFonts w:hint="eastAsia" w:ascii="宋体" w:hAnsi="宋体" w:eastAsia="宋体" w:cs="宋体"/>
                <w:bCs/>
                <w:color w:val="auto"/>
                <w:sz w:val="21"/>
                <w:szCs w:val="21"/>
                <w:highlight w:val="none"/>
                <w:lang w:eastAsia="zh-CN"/>
              </w:rPr>
              <w:t>保密措施，</w:t>
            </w:r>
            <w:r>
              <w:rPr>
                <w:rFonts w:hint="eastAsia" w:ascii="宋体" w:hAnsi="宋体" w:eastAsia="宋体" w:cs="宋体"/>
                <w:bCs/>
                <w:color w:val="auto"/>
                <w:sz w:val="21"/>
                <w:szCs w:val="21"/>
                <w:highlight w:val="none"/>
                <w:lang w:val="en-US" w:eastAsia="zh-CN"/>
              </w:rPr>
              <w:t>保障</w:t>
            </w:r>
            <w:r>
              <w:rPr>
                <w:rFonts w:hint="eastAsia" w:ascii="宋体" w:hAnsi="宋体" w:eastAsia="宋体" w:cs="宋体"/>
                <w:bCs/>
                <w:color w:val="auto"/>
                <w:sz w:val="21"/>
                <w:szCs w:val="21"/>
                <w:highlight w:val="none"/>
                <w:lang w:eastAsia="zh-CN"/>
              </w:rPr>
              <w:t>2024年路桥区海洋空间资源开发利用监测评估工作</w:t>
            </w:r>
            <w:r>
              <w:rPr>
                <w:rFonts w:hint="eastAsia" w:ascii="宋体" w:hAnsi="宋体" w:eastAsia="宋体" w:cs="宋体"/>
                <w:bCs/>
                <w:color w:val="auto"/>
                <w:sz w:val="21"/>
                <w:szCs w:val="21"/>
                <w:highlight w:val="none"/>
                <w:lang w:val="en-US" w:eastAsia="zh-CN"/>
              </w:rPr>
              <w:t>涉及的各类</w:t>
            </w:r>
            <w:r>
              <w:rPr>
                <w:rFonts w:hint="eastAsia" w:ascii="宋体" w:hAnsi="宋体" w:eastAsia="宋体" w:cs="宋体"/>
                <w:bCs/>
                <w:color w:val="auto"/>
                <w:sz w:val="21"/>
                <w:szCs w:val="21"/>
                <w:highlight w:val="none"/>
                <w:lang w:eastAsia="zh-CN"/>
              </w:rPr>
              <w:t>影像、资料以及档案不被泄露等情况进行打分。</w:t>
            </w:r>
          </w:p>
          <w:p w14:paraId="7279CC9F">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详细阐述具体的保密措施，措施全面可行，能够</w:t>
            </w:r>
            <w:r>
              <w:rPr>
                <w:rFonts w:hint="eastAsia" w:ascii="宋体" w:hAnsi="宋体" w:eastAsia="宋体" w:cs="宋体"/>
                <w:bCs/>
                <w:color w:val="auto"/>
                <w:sz w:val="21"/>
                <w:szCs w:val="21"/>
                <w:highlight w:val="none"/>
                <w:lang w:val="en-US" w:eastAsia="zh-CN"/>
              </w:rPr>
              <w:t>保障</w:t>
            </w:r>
            <w:r>
              <w:rPr>
                <w:rFonts w:hint="eastAsia" w:ascii="宋体" w:hAnsi="宋体" w:eastAsia="宋体" w:cs="宋体"/>
                <w:bCs/>
                <w:color w:val="auto"/>
                <w:sz w:val="21"/>
                <w:szCs w:val="21"/>
                <w:highlight w:val="none"/>
                <w:lang w:eastAsia="zh-CN"/>
              </w:rPr>
              <w:t>资料不被泄露的得3.0-5.0分；</w:t>
            </w:r>
          </w:p>
          <w:p w14:paraId="0F962D9E">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保密措施简单，</w:t>
            </w:r>
            <w:r>
              <w:rPr>
                <w:rFonts w:hint="eastAsia" w:ascii="宋体" w:hAnsi="宋体" w:eastAsia="宋体" w:cs="宋体"/>
                <w:bCs/>
                <w:color w:val="auto"/>
                <w:sz w:val="21"/>
                <w:szCs w:val="21"/>
                <w:highlight w:val="none"/>
                <w:lang w:val="en-US" w:eastAsia="zh-CN"/>
              </w:rPr>
              <w:t>内容有提及但不完整</w:t>
            </w:r>
            <w:r>
              <w:rPr>
                <w:rFonts w:hint="eastAsia" w:ascii="宋体" w:hAnsi="宋体" w:eastAsia="宋体" w:cs="宋体"/>
                <w:bCs/>
                <w:color w:val="auto"/>
                <w:sz w:val="21"/>
                <w:szCs w:val="21"/>
                <w:highlight w:val="none"/>
                <w:lang w:eastAsia="zh-CN"/>
              </w:rPr>
              <w:t>，不能</w:t>
            </w:r>
            <w:r>
              <w:rPr>
                <w:rFonts w:hint="eastAsia" w:ascii="宋体" w:hAnsi="宋体" w:eastAsia="宋体" w:cs="宋体"/>
                <w:bCs/>
                <w:color w:val="auto"/>
                <w:sz w:val="21"/>
                <w:szCs w:val="21"/>
                <w:highlight w:val="none"/>
                <w:lang w:val="en-US" w:eastAsia="zh-CN"/>
              </w:rPr>
              <w:t>有效</w:t>
            </w:r>
            <w:r>
              <w:rPr>
                <w:rFonts w:hint="eastAsia" w:ascii="宋体" w:hAnsi="宋体" w:eastAsia="宋体" w:cs="宋体"/>
                <w:bCs/>
                <w:color w:val="auto"/>
                <w:sz w:val="21"/>
                <w:szCs w:val="21"/>
                <w:highlight w:val="none"/>
                <w:lang w:eastAsia="zh-CN"/>
              </w:rPr>
              <w:t>保障服务质量的得</w:t>
            </w:r>
            <w:r>
              <w:rPr>
                <w:rFonts w:hint="eastAsia" w:ascii="宋体" w:hAnsi="宋体" w:eastAsia="宋体" w:cs="宋体"/>
                <w:bCs/>
                <w:color w:val="auto"/>
                <w:sz w:val="21"/>
                <w:szCs w:val="21"/>
                <w:highlight w:val="none"/>
                <w:lang w:val="en-US" w:eastAsia="zh-CN"/>
              </w:rPr>
              <w:t>1.0-2.9分；</w:t>
            </w:r>
          </w:p>
          <w:p w14:paraId="5403C539">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方案阐述片面，内容不完整，缺乏可操作性的得0.1-0.9分；</w:t>
            </w:r>
          </w:p>
          <w:p w14:paraId="7BE6EE48">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未提及此项不得分。</w:t>
            </w:r>
          </w:p>
        </w:tc>
        <w:tc>
          <w:tcPr>
            <w:tcW w:w="640" w:type="dxa"/>
            <w:noWrap w:val="0"/>
            <w:vAlign w:val="center"/>
          </w:tcPr>
          <w:p w14:paraId="5343FBDD">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640" w:type="dxa"/>
            <w:noWrap w:val="0"/>
            <w:vAlign w:val="center"/>
          </w:tcPr>
          <w:p w14:paraId="37A4B77E">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640" w:type="dxa"/>
            <w:noWrap w:val="0"/>
            <w:vAlign w:val="center"/>
          </w:tcPr>
          <w:p w14:paraId="33CC7C38">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r>
      <w:tr w14:paraId="0BB1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74" w:type="dxa"/>
            <w:vMerge w:val="continue"/>
            <w:noWrap w:val="0"/>
            <w:vAlign w:val="center"/>
          </w:tcPr>
          <w:p w14:paraId="2DA48E25">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4D85B792">
            <w:pPr>
              <w:keepNext w:val="0"/>
              <w:keepLines w:val="0"/>
              <w:pageBreakBefore w:val="0"/>
              <w:kinsoku/>
              <w:wordWrap/>
              <w:overflowPunct/>
              <w:topLinePunct w:val="0"/>
              <w:bidi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后续</w:t>
            </w:r>
            <w:r>
              <w:rPr>
                <w:rFonts w:hint="eastAsia" w:ascii="宋体" w:hAnsi="宋体" w:eastAsia="宋体" w:cs="宋体"/>
                <w:i w:val="0"/>
                <w:iCs w:val="0"/>
                <w:color w:val="auto"/>
                <w:kern w:val="0"/>
                <w:sz w:val="21"/>
                <w:szCs w:val="21"/>
                <w:highlight w:val="none"/>
              </w:rPr>
              <w:t>服务</w:t>
            </w:r>
            <w:r>
              <w:rPr>
                <w:rFonts w:hint="eastAsia" w:ascii="宋体" w:hAnsi="宋体" w:eastAsia="宋体" w:cs="宋体"/>
                <w:i w:val="0"/>
                <w:iCs w:val="0"/>
                <w:color w:val="auto"/>
                <w:kern w:val="0"/>
                <w:sz w:val="21"/>
                <w:szCs w:val="21"/>
                <w:highlight w:val="none"/>
                <w:lang w:val="en-US" w:eastAsia="zh-CN"/>
              </w:rPr>
              <w:t>方案</w:t>
            </w:r>
          </w:p>
        </w:tc>
        <w:tc>
          <w:tcPr>
            <w:tcW w:w="6398" w:type="dxa"/>
            <w:noWrap w:val="0"/>
            <w:vAlign w:val="center"/>
          </w:tcPr>
          <w:p w14:paraId="66AC679F">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根据投标人承诺提供的后续服务方案（服务能力、服务措施、服务承诺等方面）情况，包括服务承诺的可行性、完整性以及后续的技术实施保障措施等进行打分。</w:t>
            </w:r>
          </w:p>
          <w:p w14:paraId="4A3697A2">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服务方案全面、后续技术保障措施合理有效的得3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p w14:paraId="755E1222">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服务方案阐述较详尽，</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后续技术保障措施有欠缺的得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92A779F">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服务方案简单片面，内容有提及但缺乏针对性、可行性的得0.1-0.9分</w:t>
            </w:r>
            <w:r>
              <w:rPr>
                <w:rFonts w:hint="eastAsia" w:ascii="宋体" w:hAnsi="宋体" w:eastAsia="宋体" w:cs="宋体"/>
                <w:color w:val="auto"/>
                <w:sz w:val="21"/>
                <w:szCs w:val="21"/>
                <w:highlight w:val="none"/>
              </w:rPr>
              <w:t>；</w:t>
            </w:r>
          </w:p>
          <w:p w14:paraId="5CD21107">
            <w:pPr>
              <w:keepNext w:val="0"/>
              <w:keepLines w:val="0"/>
              <w:pageBreakBefore w:val="0"/>
              <w:widowControl/>
              <w:tabs>
                <w:tab w:val="right" w:pos="4937"/>
              </w:tabs>
              <w:kinsoku/>
              <w:wordWrap/>
              <w:overflowPunct/>
              <w:topLinePunct w:val="0"/>
              <w:bidi w:val="0"/>
              <w:spacing w:line="240" w:lineRule="auto"/>
              <w:ind w:left="0" w:leftChars="0" w:right="0" w:rightChars="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0" w:type="dxa"/>
            <w:noWrap w:val="0"/>
            <w:vAlign w:val="center"/>
          </w:tcPr>
          <w:p w14:paraId="6513FFD8">
            <w:pPr>
              <w:tabs>
                <w:tab w:val="left" w:pos="780"/>
              </w:tabs>
              <w:ind w:left="0" w:lef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40" w:type="dxa"/>
            <w:noWrap w:val="0"/>
            <w:vAlign w:val="center"/>
          </w:tcPr>
          <w:p w14:paraId="2D0EE8D4">
            <w:pPr>
              <w:tabs>
                <w:tab w:val="left" w:pos="780"/>
              </w:tabs>
              <w:ind w:left="0" w:leftChars="0" w:firstLine="0" w:firstLineChars="0"/>
              <w:jc w:val="center"/>
              <w:textAlignment w:val="baseline"/>
              <w:rPr>
                <w:rFonts w:hint="eastAsia" w:ascii="宋体" w:hAnsi="宋体" w:eastAsia="宋体" w:cs="宋体"/>
                <w:color w:val="auto"/>
                <w:sz w:val="21"/>
                <w:szCs w:val="21"/>
                <w:highlight w:val="none"/>
                <w:lang w:val="en-US" w:eastAsia="zh-CN"/>
              </w:rPr>
            </w:pPr>
          </w:p>
        </w:tc>
        <w:tc>
          <w:tcPr>
            <w:tcW w:w="640" w:type="dxa"/>
            <w:noWrap w:val="0"/>
            <w:vAlign w:val="center"/>
          </w:tcPr>
          <w:p w14:paraId="71354096">
            <w:pPr>
              <w:tabs>
                <w:tab w:val="left" w:pos="780"/>
              </w:tabs>
              <w:ind w:left="0" w:leftChars="0" w:firstLine="0" w:firstLineChars="0"/>
              <w:jc w:val="center"/>
              <w:textAlignment w:val="baseline"/>
              <w:rPr>
                <w:rFonts w:hint="eastAsia" w:ascii="宋体" w:hAnsi="宋体" w:eastAsia="宋体" w:cs="宋体"/>
                <w:color w:val="auto"/>
                <w:sz w:val="21"/>
                <w:szCs w:val="21"/>
                <w:highlight w:val="none"/>
                <w:lang w:val="en-US" w:eastAsia="zh-CN"/>
              </w:rPr>
            </w:pPr>
          </w:p>
        </w:tc>
      </w:tr>
    </w:tbl>
    <w:p w14:paraId="3608992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1"/>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1"/>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1"/>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1"/>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3"/>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B889A0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1"/>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523645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0"/>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13AB0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1"/>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74C1C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3881CC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518F39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3F6004DC">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0368E6DC">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6A0369C4">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89443C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F8F5F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6521EB1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660C82CD">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6E5B9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27DB2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0BC284E7">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6"/>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 w:val="21"/>
          <w:szCs w:val="21"/>
          <w:highlight w:val="none"/>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62E92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9B055F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29FEC88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28A5CC9">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058CEE5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6A6A">
      <w:pPr>
        <w:keepNext w:val="0"/>
        <w:keepLines w:val="0"/>
        <w:pageBreakBefore w:val="0"/>
        <w:kinsoku/>
        <w:overflowPunct/>
        <w:topLinePunct w:val="0"/>
        <w:bidi w:val="0"/>
        <w:spacing w:line="320" w:lineRule="exact"/>
        <w:outlineLvl w:val="9"/>
        <w:rPr>
          <w:rFonts w:hint="eastAsia" w:ascii="宋体" w:hAnsi="宋体" w:eastAsia="宋体" w:cs="宋体"/>
          <w:b/>
          <w:color w:val="auto"/>
          <w:sz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2025年海洋空间资源开发利用监测评估项目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49A41"/>
    <w:multiLevelType w:val="singleLevel"/>
    <w:tmpl w:val="1DA49A41"/>
    <w:lvl w:ilvl="0" w:tentative="0">
      <w:start w:val="2"/>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7A6A7C"/>
    <w:rsid w:val="01D70B06"/>
    <w:rsid w:val="02380D19"/>
    <w:rsid w:val="024017F0"/>
    <w:rsid w:val="02F97313"/>
    <w:rsid w:val="03320476"/>
    <w:rsid w:val="036C1E9F"/>
    <w:rsid w:val="041861BA"/>
    <w:rsid w:val="043F7FC4"/>
    <w:rsid w:val="04466BB8"/>
    <w:rsid w:val="04AB10A4"/>
    <w:rsid w:val="04E65DCF"/>
    <w:rsid w:val="052341BD"/>
    <w:rsid w:val="053C3F02"/>
    <w:rsid w:val="0601391E"/>
    <w:rsid w:val="067363FE"/>
    <w:rsid w:val="073967B1"/>
    <w:rsid w:val="07685A63"/>
    <w:rsid w:val="076A5AA3"/>
    <w:rsid w:val="07D22E0A"/>
    <w:rsid w:val="0836339B"/>
    <w:rsid w:val="08390248"/>
    <w:rsid w:val="08AC4158"/>
    <w:rsid w:val="09001A02"/>
    <w:rsid w:val="09492528"/>
    <w:rsid w:val="09846D45"/>
    <w:rsid w:val="099F2E34"/>
    <w:rsid w:val="09CF47C3"/>
    <w:rsid w:val="09E03F7D"/>
    <w:rsid w:val="09F33DD0"/>
    <w:rsid w:val="0A071FFD"/>
    <w:rsid w:val="0A2C1FBC"/>
    <w:rsid w:val="0AF64F0D"/>
    <w:rsid w:val="0B8001A4"/>
    <w:rsid w:val="0C181AC6"/>
    <w:rsid w:val="0CD8063C"/>
    <w:rsid w:val="0CFA4EFD"/>
    <w:rsid w:val="0D1F4CD0"/>
    <w:rsid w:val="0D88328D"/>
    <w:rsid w:val="0DD91C25"/>
    <w:rsid w:val="0E0F138C"/>
    <w:rsid w:val="0EC6046D"/>
    <w:rsid w:val="0ED2632B"/>
    <w:rsid w:val="0F122F26"/>
    <w:rsid w:val="0F7E6199"/>
    <w:rsid w:val="0FE74D1C"/>
    <w:rsid w:val="0FF94B3D"/>
    <w:rsid w:val="10452B67"/>
    <w:rsid w:val="109F080C"/>
    <w:rsid w:val="11E77423"/>
    <w:rsid w:val="121665CB"/>
    <w:rsid w:val="121F1572"/>
    <w:rsid w:val="12704EB7"/>
    <w:rsid w:val="12EC03CE"/>
    <w:rsid w:val="12FA02EB"/>
    <w:rsid w:val="13BF45A5"/>
    <w:rsid w:val="149451F4"/>
    <w:rsid w:val="15115B44"/>
    <w:rsid w:val="153703F4"/>
    <w:rsid w:val="159E68EB"/>
    <w:rsid w:val="165C24F7"/>
    <w:rsid w:val="168339D9"/>
    <w:rsid w:val="16CC3CB9"/>
    <w:rsid w:val="16D70F66"/>
    <w:rsid w:val="17047DD8"/>
    <w:rsid w:val="171D6CDD"/>
    <w:rsid w:val="17461D47"/>
    <w:rsid w:val="17B10D95"/>
    <w:rsid w:val="17B23AF1"/>
    <w:rsid w:val="17D14D06"/>
    <w:rsid w:val="17D2330C"/>
    <w:rsid w:val="191533D1"/>
    <w:rsid w:val="192A2781"/>
    <w:rsid w:val="19474367"/>
    <w:rsid w:val="19C21C4E"/>
    <w:rsid w:val="1AA22976"/>
    <w:rsid w:val="1BC0155F"/>
    <w:rsid w:val="1CBF0303"/>
    <w:rsid w:val="1CC61F19"/>
    <w:rsid w:val="1D465475"/>
    <w:rsid w:val="1E1F7201"/>
    <w:rsid w:val="1EF1268E"/>
    <w:rsid w:val="1F162724"/>
    <w:rsid w:val="1F4F69F4"/>
    <w:rsid w:val="2012057A"/>
    <w:rsid w:val="201C7B31"/>
    <w:rsid w:val="203F2146"/>
    <w:rsid w:val="20AA0083"/>
    <w:rsid w:val="20ED3C16"/>
    <w:rsid w:val="21492AD8"/>
    <w:rsid w:val="217E3C1D"/>
    <w:rsid w:val="223A2AB8"/>
    <w:rsid w:val="224700DF"/>
    <w:rsid w:val="234C750E"/>
    <w:rsid w:val="23FA686C"/>
    <w:rsid w:val="24AA5BCC"/>
    <w:rsid w:val="25593775"/>
    <w:rsid w:val="255B67E8"/>
    <w:rsid w:val="25D20519"/>
    <w:rsid w:val="26B8513F"/>
    <w:rsid w:val="277E06D7"/>
    <w:rsid w:val="27AC425F"/>
    <w:rsid w:val="28032FE3"/>
    <w:rsid w:val="285D5E3E"/>
    <w:rsid w:val="28AF41A0"/>
    <w:rsid w:val="28D80E9E"/>
    <w:rsid w:val="29130DA7"/>
    <w:rsid w:val="29320DF3"/>
    <w:rsid w:val="29E20D6F"/>
    <w:rsid w:val="29E63530"/>
    <w:rsid w:val="2A8138F9"/>
    <w:rsid w:val="2AFA5254"/>
    <w:rsid w:val="2B2C7B14"/>
    <w:rsid w:val="2D1C60BC"/>
    <w:rsid w:val="2D9A1EFD"/>
    <w:rsid w:val="2EB30204"/>
    <w:rsid w:val="2EBE2906"/>
    <w:rsid w:val="2EEF2FD0"/>
    <w:rsid w:val="2F607C49"/>
    <w:rsid w:val="2F7B1BB4"/>
    <w:rsid w:val="2FAF0F3B"/>
    <w:rsid w:val="2FCC2EC1"/>
    <w:rsid w:val="2FD75A57"/>
    <w:rsid w:val="30150257"/>
    <w:rsid w:val="301D6CD5"/>
    <w:rsid w:val="305A68F0"/>
    <w:rsid w:val="309703E8"/>
    <w:rsid w:val="30CF5D28"/>
    <w:rsid w:val="30EA52B7"/>
    <w:rsid w:val="30F24A05"/>
    <w:rsid w:val="31233BA5"/>
    <w:rsid w:val="31813005"/>
    <w:rsid w:val="31B43A06"/>
    <w:rsid w:val="323740AF"/>
    <w:rsid w:val="328B6879"/>
    <w:rsid w:val="32EB7B03"/>
    <w:rsid w:val="333330BE"/>
    <w:rsid w:val="34772ADD"/>
    <w:rsid w:val="351836BE"/>
    <w:rsid w:val="35590177"/>
    <w:rsid w:val="35B65126"/>
    <w:rsid w:val="361B7BD3"/>
    <w:rsid w:val="362A1767"/>
    <w:rsid w:val="368B0847"/>
    <w:rsid w:val="36AD3C21"/>
    <w:rsid w:val="36D706BD"/>
    <w:rsid w:val="36DB71B3"/>
    <w:rsid w:val="36DF4838"/>
    <w:rsid w:val="38357FC3"/>
    <w:rsid w:val="397114CB"/>
    <w:rsid w:val="3A286983"/>
    <w:rsid w:val="3A316D41"/>
    <w:rsid w:val="3A791AB3"/>
    <w:rsid w:val="3A7A6F1E"/>
    <w:rsid w:val="3AE12ADB"/>
    <w:rsid w:val="3B7E607B"/>
    <w:rsid w:val="3BC82207"/>
    <w:rsid w:val="3BD804EA"/>
    <w:rsid w:val="3C016C71"/>
    <w:rsid w:val="3C1B181E"/>
    <w:rsid w:val="3C203FE1"/>
    <w:rsid w:val="3D326006"/>
    <w:rsid w:val="3D843DB4"/>
    <w:rsid w:val="3DB3569D"/>
    <w:rsid w:val="3E2B5399"/>
    <w:rsid w:val="3E4E6F02"/>
    <w:rsid w:val="3E5D59EE"/>
    <w:rsid w:val="3EA305F2"/>
    <w:rsid w:val="3F0B192B"/>
    <w:rsid w:val="3F3349E1"/>
    <w:rsid w:val="3F95513E"/>
    <w:rsid w:val="416F0E3A"/>
    <w:rsid w:val="41B04BB9"/>
    <w:rsid w:val="42394175"/>
    <w:rsid w:val="423E1A86"/>
    <w:rsid w:val="42910824"/>
    <w:rsid w:val="4412111F"/>
    <w:rsid w:val="45185FC7"/>
    <w:rsid w:val="46932B0C"/>
    <w:rsid w:val="470216C0"/>
    <w:rsid w:val="47C11F07"/>
    <w:rsid w:val="47E83667"/>
    <w:rsid w:val="48BB5360"/>
    <w:rsid w:val="4A007A95"/>
    <w:rsid w:val="4A56355D"/>
    <w:rsid w:val="4A6A77A1"/>
    <w:rsid w:val="4A802F02"/>
    <w:rsid w:val="4B137686"/>
    <w:rsid w:val="4C392F39"/>
    <w:rsid w:val="4C4C1BD8"/>
    <w:rsid w:val="4CF72E0A"/>
    <w:rsid w:val="4CFC26F0"/>
    <w:rsid w:val="4D190A3D"/>
    <w:rsid w:val="4D996193"/>
    <w:rsid w:val="4D9B5E2B"/>
    <w:rsid w:val="4DA62A71"/>
    <w:rsid w:val="4E2813A3"/>
    <w:rsid w:val="4E3623E0"/>
    <w:rsid w:val="4E590CD0"/>
    <w:rsid w:val="4E874BF9"/>
    <w:rsid w:val="4E9D58F0"/>
    <w:rsid w:val="4F4966DE"/>
    <w:rsid w:val="507833DA"/>
    <w:rsid w:val="50972888"/>
    <w:rsid w:val="513371C0"/>
    <w:rsid w:val="518E7928"/>
    <w:rsid w:val="524B29D2"/>
    <w:rsid w:val="527354B0"/>
    <w:rsid w:val="53240DE2"/>
    <w:rsid w:val="536B714E"/>
    <w:rsid w:val="53D43282"/>
    <w:rsid w:val="54CF56D2"/>
    <w:rsid w:val="551410ED"/>
    <w:rsid w:val="554479B3"/>
    <w:rsid w:val="557309A7"/>
    <w:rsid w:val="55B12017"/>
    <w:rsid w:val="55FC25AC"/>
    <w:rsid w:val="5622038C"/>
    <w:rsid w:val="578F4550"/>
    <w:rsid w:val="57977A16"/>
    <w:rsid w:val="58032CCB"/>
    <w:rsid w:val="580F411A"/>
    <w:rsid w:val="583D1B1F"/>
    <w:rsid w:val="58A27480"/>
    <w:rsid w:val="590C3210"/>
    <w:rsid w:val="5A5A375F"/>
    <w:rsid w:val="5A8457CD"/>
    <w:rsid w:val="5ACE03B2"/>
    <w:rsid w:val="5AFA0CD5"/>
    <w:rsid w:val="5BAA29AB"/>
    <w:rsid w:val="5BBC3082"/>
    <w:rsid w:val="5BF04E33"/>
    <w:rsid w:val="5C480086"/>
    <w:rsid w:val="5C8A42C3"/>
    <w:rsid w:val="5E2814C4"/>
    <w:rsid w:val="5E2C75D3"/>
    <w:rsid w:val="5E5C1146"/>
    <w:rsid w:val="5E9C5841"/>
    <w:rsid w:val="5ECC6D02"/>
    <w:rsid w:val="5F0D2C6F"/>
    <w:rsid w:val="607D6651"/>
    <w:rsid w:val="60BD1FFE"/>
    <w:rsid w:val="61170B58"/>
    <w:rsid w:val="611A0EA3"/>
    <w:rsid w:val="61E70C8F"/>
    <w:rsid w:val="61ED4AF3"/>
    <w:rsid w:val="627C6782"/>
    <w:rsid w:val="62EA0127"/>
    <w:rsid w:val="63012C54"/>
    <w:rsid w:val="63E112D8"/>
    <w:rsid w:val="6428491B"/>
    <w:rsid w:val="66950943"/>
    <w:rsid w:val="66FC41BD"/>
    <w:rsid w:val="672E1E7F"/>
    <w:rsid w:val="67401C19"/>
    <w:rsid w:val="682979C4"/>
    <w:rsid w:val="68877B1A"/>
    <w:rsid w:val="6A035AFF"/>
    <w:rsid w:val="6A914A15"/>
    <w:rsid w:val="6AAB5773"/>
    <w:rsid w:val="6AD81AFC"/>
    <w:rsid w:val="6B0242A5"/>
    <w:rsid w:val="6B1E4448"/>
    <w:rsid w:val="6C360A8B"/>
    <w:rsid w:val="6C830331"/>
    <w:rsid w:val="6CB57DDF"/>
    <w:rsid w:val="6D8528BD"/>
    <w:rsid w:val="6D946B00"/>
    <w:rsid w:val="6DA018A4"/>
    <w:rsid w:val="6DBF1822"/>
    <w:rsid w:val="6E0B7AA2"/>
    <w:rsid w:val="6F156B47"/>
    <w:rsid w:val="6F4126A8"/>
    <w:rsid w:val="6F52577A"/>
    <w:rsid w:val="6F5C678A"/>
    <w:rsid w:val="6F833530"/>
    <w:rsid w:val="6F8E2B60"/>
    <w:rsid w:val="6F95389D"/>
    <w:rsid w:val="701C6432"/>
    <w:rsid w:val="70EC1A31"/>
    <w:rsid w:val="713969F4"/>
    <w:rsid w:val="7195640E"/>
    <w:rsid w:val="71BB1561"/>
    <w:rsid w:val="7253624D"/>
    <w:rsid w:val="72C548FE"/>
    <w:rsid w:val="72C94904"/>
    <w:rsid w:val="72CE7DF1"/>
    <w:rsid w:val="738C49D4"/>
    <w:rsid w:val="744E387C"/>
    <w:rsid w:val="7469576C"/>
    <w:rsid w:val="748266FC"/>
    <w:rsid w:val="74B23165"/>
    <w:rsid w:val="75145452"/>
    <w:rsid w:val="75BB0C3B"/>
    <w:rsid w:val="75C75B19"/>
    <w:rsid w:val="7630676D"/>
    <w:rsid w:val="767D593D"/>
    <w:rsid w:val="76A136BE"/>
    <w:rsid w:val="76D04887"/>
    <w:rsid w:val="76D43F8B"/>
    <w:rsid w:val="770A7D21"/>
    <w:rsid w:val="772265F9"/>
    <w:rsid w:val="77B0242F"/>
    <w:rsid w:val="781A71E7"/>
    <w:rsid w:val="78BC2207"/>
    <w:rsid w:val="78C31106"/>
    <w:rsid w:val="78E41C51"/>
    <w:rsid w:val="78FA1692"/>
    <w:rsid w:val="792D6B6B"/>
    <w:rsid w:val="79737C17"/>
    <w:rsid w:val="79BD656A"/>
    <w:rsid w:val="7A0B68C7"/>
    <w:rsid w:val="7A20092F"/>
    <w:rsid w:val="7A2E539A"/>
    <w:rsid w:val="7A392143"/>
    <w:rsid w:val="7A447B8D"/>
    <w:rsid w:val="7A940E65"/>
    <w:rsid w:val="7AE07CFD"/>
    <w:rsid w:val="7B0E0BB9"/>
    <w:rsid w:val="7B376CA9"/>
    <w:rsid w:val="7B6715B3"/>
    <w:rsid w:val="7B7503BA"/>
    <w:rsid w:val="7C3E24DF"/>
    <w:rsid w:val="7C7D1BE7"/>
    <w:rsid w:val="7D8F6DE4"/>
    <w:rsid w:val="7DAA5FB8"/>
    <w:rsid w:val="7DFB0316"/>
    <w:rsid w:val="7E4E7602"/>
    <w:rsid w:val="7E723EF0"/>
    <w:rsid w:val="7EA831A1"/>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6"/>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4"/>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6">
    <w:name w:val="Normal Indent"/>
    <w:basedOn w:val="1"/>
    <w:next w:val="1"/>
    <w:autoRedefine/>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next w:val="1"/>
    <w:link w:val="35"/>
    <w:autoRedefine/>
    <w:qFormat/>
    <w:uiPriority w:val="99"/>
    <w:pPr>
      <w:spacing w:after="120"/>
      <w:ind w:left="420" w:leftChars="200"/>
    </w:p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3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toc 2"/>
    <w:basedOn w:val="1"/>
    <w:next w:val="1"/>
    <w:autoRedefine/>
    <w:qFormat/>
    <w:uiPriority w:val="0"/>
    <w:pPr>
      <w:tabs>
        <w:tab w:val="right" w:leader="dot" w:pos="10070"/>
      </w:tabs>
      <w:spacing w:line="480" w:lineRule="auto"/>
      <w:ind w:leftChars="200"/>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9"/>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正文首行缩进1"/>
    <w:basedOn w:val="2"/>
    <w:autoRedefine/>
    <w:qFormat/>
    <w:uiPriority w:val="0"/>
    <w:pPr>
      <w:ind w:firstLine="420" w:firstLineChars="100"/>
    </w:pPr>
  </w:style>
  <w:style w:type="paragraph" w:customStyle="1" w:styleId="31">
    <w:name w:val="正文（首行缩进2字符）"/>
    <w:basedOn w:val="1"/>
    <w:autoRedefine/>
    <w:qFormat/>
    <w:uiPriority w:val="0"/>
    <w:pPr>
      <w:ind w:firstLine="480" w:firstLineChars="200"/>
    </w:pPr>
    <w:rPr>
      <w:sz w:val="24"/>
      <w:szCs w:val="20"/>
    </w:rPr>
  </w:style>
  <w:style w:type="character" w:customStyle="1" w:styleId="32">
    <w:name w:val="页眉 Char"/>
    <w:basedOn w:val="24"/>
    <w:link w:val="14"/>
    <w:autoRedefine/>
    <w:semiHidden/>
    <w:qFormat/>
    <w:uiPriority w:val="99"/>
    <w:rPr>
      <w:sz w:val="18"/>
      <w:szCs w:val="18"/>
    </w:rPr>
  </w:style>
  <w:style w:type="character" w:customStyle="1" w:styleId="33">
    <w:name w:val="页脚 Char"/>
    <w:basedOn w:val="24"/>
    <w:link w:val="13"/>
    <w:autoRedefine/>
    <w:semiHidden/>
    <w:qFormat/>
    <w:uiPriority w:val="99"/>
    <w:rPr>
      <w:sz w:val="18"/>
      <w:szCs w:val="18"/>
    </w:rPr>
  </w:style>
  <w:style w:type="character" w:customStyle="1" w:styleId="34">
    <w:name w:val="正文文本 Char"/>
    <w:basedOn w:val="24"/>
    <w:link w:val="2"/>
    <w:autoRedefine/>
    <w:semiHidden/>
    <w:qFormat/>
    <w:uiPriority w:val="99"/>
    <w:rPr>
      <w:rFonts w:ascii="Times New Roman" w:hAnsi="Times New Roman" w:eastAsia="宋体" w:cs="Times New Roman"/>
      <w:szCs w:val="24"/>
    </w:rPr>
  </w:style>
  <w:style w:type="character" w:customStyle="1" w:styleId="35">
    <w:name w:val="正文文本缩进 Char"/>
    <w:basedOn w:val="24"/>
    <w:link w:val="9"/>
    <w:autoRedefine/>
    <w:qFormat/>
    <w:uiPriority w:val="99"/>
    <w:rPr>
      <w:rFonts w:ascii="Times New Roman" w:hAnsi="Times New Roman" w:eastAsia="宋体" w:cs="Times New Roman"/>
      <w:szCs w:val="24"/>
    </w:rPr>
  </w:style>
  <w:style w:type="character" w:customStyle="1" w:styleId="36">
    <w:name w:val="批注框文本 Char"/>
    <w:basedOn w:val="24"/>
    <w:link w:val="12"/>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2"/>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rPr>
      <w:szCs w:val="24"/>
    </w:rPr>
  </w:style>
  <w:style w:type="paragraph" w:customStyle="1" w:styleId="56">
    <w:name w:val="纯文本1"/>
    <w:basedOn w:val="53"/>
    <w:autoRedefine/>
    <w:qFormat/>
    <w:uiPriority w:val="0"/>
    <w:pPr>
      <w:widowControl/>
      <w:jc w:val="left"/>
    </w:pPr>
    <w:rPr>
      <w:rFonts w:ascii="宋体" w:hAnsi="Courier New"/>
      <w:szCs w:val="20"/>
    </w:rPr>
  </w:style>
  <w:style w:type="character" w:customStyle="1" w:styleId="57">
    <w:name w:val="NormalCharacter"/>
    <w:autoRedefine/>
    <w:semiHidden/>
    <w:qFormat/>
    <w:uiPriority w:val="0"/>
  </w:style>
  <w:style w:type="paragraph" w:customStyle="1" w:styleId="58">
    <w:name w:val="正文2"/>
    <w:basedOn w:val="1"/>
    <w:autoRedefine/>
    <w:qFormat/>
    <w:uiPriority w:val="0"/>
    <w:pPr>
      <w:spacing w:before="156" w:line="360" w:lineRule="auto"/>
      <w:ind w:firstLine="510" w:firstLineChars="200"/>
    </w:pPr>
    <w:rPr>
      <w:sz w:val="24"/>
      <w:szCs w:val="20"/>
    </w:rPr>
  </w:style>
  <w:style w:type="paragraph" w:customStyle="1" w:styleId="59">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33863</Words>
  <Characters>36204</Characters>
  <Lines>1</Lines>
  <Paragraphs>1</Paragraphs>
  <TotalTime>2</TotalTime>
  <ScaleCrop>false</ScaleCrop>
  <LinksUpToDate>false</LinksUpToDate>
  <CharactersWithSpaces>37193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2025-05-06T08:31:33Z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D34A18A0CDD54CDCBC91161C547216C5_13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