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D1CD92F">
      <w:pPr>
        <w:jc w:val="center"/>
        <w:rPr>
          <w:rFonts w:hint="eastAsia" w:ascii="宋体" w:hAnsi="宋体" w:eastAsia="宋体" w:cs="宋体"/>
          <w:b/>
          <w:color w:val="auto"/>
          <w:kern w:val="0"/>
          <w:sz w:val="84"/>
          <w:szCs w:val="84"/>
          <w:highlight w:val="none"/>
        </w:rPr>
      </w:pPr>
      <w:r>
        <w:rPr>
          <w:rFonts w:hint="eastAsia" w:ascii="宋体" w:hAnsi="宋体" w:eastAsia="宋体" w:cs="宋体"/>
          <w:color w:val="auto"/>
          <w:highlight w:val="none"/>
        </w:rPr>
        <w:drawing>
          <wp:inline distT="0" distB="0" distL="114300" distR="114300">
            <wp:extent cx="5268595" cy="2705100"/>
            <wp:effectExtent l="0" t="0" r="8255" b="0"/>
            <wp:docPr id="5" name="图片 5"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7644C1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4EA5207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w:t>
      </w:r>
    </w:p>
    <w:p w14:paraId="56EEF15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竞争性磋商文件</w:t>
      </w:r>
    </w:p>
    <w:p w14:paraId="1B3F072B">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6E91C0D0">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zjhy2025-hy06</w:t>
      </w:r>
      <w:r>
        <w:rPr>
          <w:rFonts w:hint="eastAsia" w:ascii="宋体" w:hAnsi="宋体" w:eastAsia="宋体" w:cs="宋体"/>
          <w:color w:val="auto"/>
          <w:kern w:val="0"/>
          <w:sz w:val="28"/>
          <w:szCs w:val="28"/>
          <w:highlight w:val="none"/>
          <w:u w:val="single"/>
        </w:rPr>
        <w:t xml:space="preserve"> </w:t>
      </w:r>
    </w:p>
    <w:p w14:paraId="0665D1A6">
      <w:pPr>
        <w:pStyle w:val="11"/>
        <w:jc w:val="center"/>
        <w:rPr>
          <w:rFonts w:hint="eastAsia" w:ascii="宋体" w:hAnsi="宋体" w:eastAsia="宋体" w:cs="宋体"/>
          <w:color w:val="auto"/>
          <w:highlight w:val="none"/>
        </w:rPr>
      </w:pPr>
    </w:p>
    <w:p w14:paraId="0DEE83BE">
      <w:pPr>
        <w:pStyle w:val="11"/>
        <w:rPr>
          <w:rFonts w:hint="eastAsia" w:ascii="宋体" w:hAnsi="宋体" w:eastAsia="宋体" w:cs="宋体"/>
          <w:color w:val="auto"/>
          <w:highlight w:val="none"/>
        </w:rPr>
      </w:pPr>
    </w:p>
    <w:p w14:paraId="32F03259">
      <w:pPr>
        <w:pStyle w:val="11"/>
        <w:jc w:val="center"/>
        <w:rPr>
          <w:rFonts w:hint="eastAsia" w:ascii="宋体" w:hAnsi="宋体" w:eastAsia="宋体" w:cs="宋体"/>
          <w:color w:val="auto"/>
          <w:highlight w:val="none"/>
        </w:rPr>
      </w:pPr>
    </w:p>
    <w:p w14:paraId="66B15AE8">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2025年黄岩区大气环境质量精细化管控服务项目</w:t>
      </w:r>
    </w:p>
    <w:p w14:paraId="1816AC87">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台州市生态环境局黄岩分局</w:t>
      </w:r>
    </w:p>
    <w:p w14:paraId="5D1A122E">
      <w:pPr>
        <w:pStyle w:val="11"/>
        <w:rPr>
          <w:rFonts w:hint="eastAsia" w:ascii="宋体" w:hAnsi="宋体" w:eastAsia="宋体" w:cs="宋体"/>
          <w:color w:val="auto"/>
          <w:highlight w:val="none"/>
        </w:rPr>
      </w:pPr>
    </w:p>
    <w:p w14:paraId="417DC7CF">
      <w:pPr>
        <w:pStyle w:val="11"/>
        <w:rPr>
          <w:rFonts w:hint="eastAsia" w:ascii="宋体" w:hAnsi="宋体" w:eastAsia="宋体" w:cs="宋体"/>
          <w:color w:val="auto"/>
          <w:highlight w:val="none"/>
        </w:rPr>
      </w:pPr>
    </w:p>
    <w:p w14:paraId="4EF33A14">
      <w:pPr>
        <w:spacing w:line="360" w:lineRule="auto"/>
        <w:ind w:firstLine="1405" w:firstLineChars="500"/>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4D532C86">
      <w:pPr>
        <w:pStyle w:val="11"/>
        <w:rPr>
          <w:rFonts w:hint="eastAsia" w:ascii="宋体" w:hAnsi="宋体" w:eastAsia="宋体" w:cs="宋体"/>
          <w:color w:val="auto"/>
          <w:highlight w:val="none"/>
        </w:rPr>
      </w:pPr>
    </w:p>
    <w:p w14:paraId="293442DF">
      <w:pPr>
        <w:pStyle w:val="11"/>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二○二五年四月</w:t>
      </w:r>
    </w:p>
    <w:p w14:paraId="54428DB7">
      <w:pPr>
        <w:pStyle w:val="11"/>
        <w:jc w:val="center"/>
        <w:rPr>
          <w:rFonts w:hint="eastAsia" w:ascii="宋体" w:hAnsi="宋体" w:eastAsia="宋体" w:cs="宋体"/>
          <w:color w:val="auto"/>
          <w:kern w:val="0"/>
          <w:szCs w:val="21"/>
          <w:highlight w:val="none"/>
        </w:rPr>
      </w:pPr>
    </w:p>
    <w:p w14:paraId="43EE248C">
      <w:pPr>
        <w:pStyle w:val="11"/>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3FB8E9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363B73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2F565F3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09931D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4B06354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233EAE0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11F92A8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411045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65323B64">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6165363">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446D058">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1F880D5">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734AFDCB">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19E8E56">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2BD02600">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37B64AB">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A054140">
      <w:pPr>
        <w:pStyle w:val="11"/>
        <w:jc w:val="center"/>
        <w:rPr>
          <w:rFonts w:hint="eastAsia" w:ascii="宋体" w:hAnsi="宋体" w:eastAsia="宋体" w:cs="宋体"/>
          <w:color w:val="auto"/>
          <w:highlight w:val="none"/>
        </w:rPr>
      </w:pPr>
    </w:p>
    <w:p w14:paraId="24D07642">
      <w:pPr>
        <w:pStyle w:val="11"/>
        <w:jc w:val="center"/>
        <w:rPr>
          <w:rFonts w:hint="eastAsia" w:ascii="宋体" w:hAnsi="宋体" w:eastAsia="宋体" w:cs="宋体"/>
          <w:color w:val="auto"/>
          <w:highlight w:val="none"/>
        </w:rPr>
      </w:pPr>
    </w:p>
    <w:p w14:paraId="7D7BBA52">
      <w:pPr>
        <w:pStyle w:val="11"/>
        <w:jc w:val="center"/>
        <w:rPr>
          <w:rFonts w:hint="eastAsia" w:ascii="宋体" w:hAnsi="宋体" w:eastAsia="宋体" w:cs="宋体"/>
          <w:color w:val="auto"/>
          <w:highlight w:val="none"/>
        </w:rPr>
      </w:pPr>
    </w:p>
    <w:p w14:paraId="306FA40F">
      <w:pPr>
        <w:pStyle w:val="11"/>
        <w:jc w:val="center"/>
        <w:rPr>
          <w:rFonts w:hint="eastAsia" w:ascii="宋体" w:hAnsi="宋体" w:eastAsia="宋体" w:cs="宋体"/>
          <w:color w:val="auto"/>
          <w:highlight w:val="none"/>
        </w:rPr>
      </w:pPr>
    </w:p>
    <w:p w14:paraId="230411B0">
      <w:pPr>
        <w:pStyle w:val="11"/>
        <w:jc w:val="center"/>
        <w:rPr>
          <w:rFonts w:hint="eastAsia" w:ascii="宋体" w:hAnsi="宋体" w:eastAsia="宋体" w:cs="宋体"/>
          <w:color w:val="auto"/>
          <w:highlight w:val="none"/>
        </w:rPr>
      </w:pPr>
    </w:p>
    <w:p w14:paraId="342105C2">
      <w:pPr>
        <w:pStyle w:val="12"/>
        <w:ind w:firstLine="210"/>
        <w:rPr>
          <w:rFonts w:hint="eastAsia" w:ascii="宋体" w:hAnsi="宋体" w:eastAsia="宋体" w:cs="宋体"/>
          <w:color w:val="auto"/>
          <w:highlight w:val="none"/>
        </w:rPr>
      </w:pPr>
    </w:p>
    <w:p w14:paraId="1CCE238E">
      <w:pPr>
        <w:pStyle w:val="12"/>
        <w:ind w:firstLine="210"/>
        <w:rPr>
          <w:rFonts w:hint="eastAsia" w:ascii="宋体" w:hAnsi="宋体" w:eastAsia="宋体" w:cs="宋体"/>
          <w:color w:val="auto"/>
          <w:highlight w:val="none"/>
        </w:rPr>
      </w:pPr>
    </w:p>
    <w:p w14:paraId="05247478">
      <w:pPr>
        <w:pStyle w:val="11"/>
        <w:jc w:val="center"/>
        <w:rPr>
          <w:rFonts w:hint="eastAsia" w:ascii="宋体" w:hAnsi="宋体" w:eastAsia="宋体" w:cs="宋体"/>
          <w:color w:val="auto"/>
          <w:highlight w:val="none"/>
        </w:rPr>
      </w:pPr>
    </w:p>
    <w:p w14:paraId="65C45B16">
      <w:pPr>
        <w:pStyle w:val="12"/>
        <w:ind w:firstLine="210"/>
        <w:rPr>
          <w:rFonts w:hint="eastAsia" w:ascii="宋体" w:hAnsi="宋体" w:eastAsia="宋体" w:cs="宋体"/>
          <w:color w:val="auto"/>
          <w:highlight w:val="none"/>
        </w:rPr>
      </w:pPr>
    </w:p>
    <w:p w14:paraId="1CE6D6E7">
      <w:pPr>
        <w:pStyle w:val="11"/>
        <w:jc w:val="center"/>
        <w:rPr>
          <w:rFonts w:hint="eastAsia" w:ascii="宋体" w:hAnsi="宋体" w:eastAsia="宋体" w:cs="宋体"/>
          <w:color w:val="auto"/>
          <w:highlight w:val="none"/>
        </w:rPr>
      </w:pPr>
    </w:p>
    <w:p w14:paraId="2B1CD72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0DAD9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台州市生态环境局黄岩分局</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2025年黄岩区大气环境质量精细化管控服务项目</w:t>
      </w:r>
      <w:r>
        <w:rPr>
          <w:rFonts w:hint="eastAsia" w:ascii="宋体" w:hAnsi="宋体" w:eastAsia="宋体" w:cs="宋体"/>
          <w:color w:val="auto"/>
          <w:szCs w:val="21"/>
          <w:highlight w:val="none"/>
        </w:rPr>
        <w:t>进行竞争性磋商采购，欢迎合格供应商前来磋商。</w:t>
      </w:r>
    </w:p>
    <w:p w14:paraId="7C317A1A">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zjhy2025-hy06</w:t>
      </w:r>
    </w:p>
    <w:p w14:paraId="11374DF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04"/>
        <w:gridCol w:w="1629"/>
        <w:gridCol w:w="771"/>
        <w:gridCol w:w="964"/>
        <w:gridCol w:w="1656"/>
        <w:gridCol w:w="1018"/>
      </w:tblGrid>
      <w:tr w14:paraId="570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2" w:type="dxa"/>
            <w:vAlign w:val="center"/>
          </w:tcPr>
          <w:p w14:paraId="383AE998">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004" w:type="dxa"/>
            <w:vAlign w:val="center"/>
          </w:tcPr>
          <w:p w14:paraId="7940D261">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29" w:type="dxa"/>
            <w:vAlign w:val="center"/>
          </w:tcPr>
          <w:p w14:paraId="391E33DA">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771" w:type="dxa"/>
            <w:vAlign w:val="center"/>
          </w:tcPr>
          <w:p w14:paraId="67122929">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964" w:type="dxa"/>
            <w:vAlign w:val="center"/>
          </w:tcPr>
          <w:p w14:paraId="4A771DA1">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656" w:type="dxa"/>
            <w:vAlign w:val="center"/>
          </w:tcPr>
          <w:p w14:paraId="0D42A1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4D5656A8">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（万元）</w:t>
            </w:r>
          </w:p>
        </w:tc>
        <w:tc>
          <w:tcPr>
            <w:tcW w:w="1018" w:type="dxa"/>
            <w:vAlign w:val="center"/>
          </w:tcPr>
          <w:p w14:paraId="55CB0E19">
            <w:pPr>
              <w:tabs>
                <w:tab w:val="left" w:pos="8280"/>
              </w:tabs>
              <w:autoSpaceDE w:val="0"/>
              <w:autoSpaceDN w:val="0"/>
              <w:adjustRightInd w:val="0"/>
              <w:spacing w:line="36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6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2" w:type="dxa"/>
            <w:vAlign w:val="center"/>
          </w:tcPr>
          <w:p w14:paraId="31AB29A4">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04" w:type="dxa"/>
            <w:vAlign w:val="center"/>
          </w:tcPr>
          <w:p w14:paraId="64843CF5">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2025年黄岩区大气环境质量精细化管控服务项目</w:t>
            </w:r>
          </w:p>
        </w:tc>
        <w:tc>
          <w:tcPr>
            <w:tcW w:w="1629" w:type="dxa"/>
            <w:vAlign w:val="center"/>
          </w:tcPr>
          <w:p w14:paraId="6BC9437A">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771" w:type="dxa"/>
            <w:vAlign w:val="center"/>
          </w:tcPr>
          <w:p w14:paraId="246D0933">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64" w:type="dxa"/>
            <w:vAlign w:val="center"/>
          </w:tcPr>
          <w:p w14:paraId="6309D5D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656" w:type="dxa"/>
            <w:vAlign w:val="center"/>
          </w:tcPr>
          <w:p w14:paraId="0A8D3E76">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140</w:t>
            </w:r>
          </w:p>
        </w:tc>
        <w:tc>
          <w:tcPr>
            <w:tcW w:w="1018" w:type="dxa"/>
            <w:vAlign w:val="center"/>
          </w:tcPr>
          <w:p w14:paraId="21D4C796">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p>
        </w:tc>
      </w:tr>
      <w:bookmarkEnd w:id="0"/>
    </w:tbl>
    <w:p w14:paraId="00C7106F">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Cs w:val="21"/>
          <w:highlight w:val="none"/>
          <w:u w:val="single"/>
        </w:rPr>
        <w:t>），请各供应商按照要求进行。</w:t>
      </w:r>
    </w:p>
    <w:p w14:paraId="6589B0D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三、合格磋商供应商的资格条件：</w:t>
      </w:r>
    </w:p>
    <w:p w14:paraId="4FE3A84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14:paraId="1356BCD3">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5B1F3D68">
      <w:pPr>
        <w:spacing w:line="360" w:lineRule="auto"/>
        <w:ind w:firstLine="632" w:firstLineChars="3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790371E3">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4D28F30">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获取的方式、时间:</w:t>
      </w:r>
    </w:p>
    <w:p w14:paraId="7711DAE9">
      <w:pPr>
        <w:snapToGrid w:val="0"/>
        <w:spacing w:line="360" w:lineRule="auto"/>
        <w:ind w:firstLine="498" w:firstLineChars="236"/>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实行“浙江政府采购网”</w:t>
      </w:r>
      <w:r>
        <w:rPr>
          <w:rStyle w:val="26"/>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纸质版。供应商获取</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前应先完成“浙江政府采购网”的账号注册。</w:t>
      </w:r>
    </w:p>
    <w:p w14:paraId="021EE160">
      <w:pPr>
        <w:spacing w:line="360" w:lineRule="auto"/>
        <w:ind w:firstLine="498" w:firstLineChars="236"/>
        <w:rPr>
          <w:rStyle w:val="26"/>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6"/>
          <w:rFonts w:hint="eastAsia" w:ascii="宋体" w:hAnsi="宋体" w:eastAsia="宋体" w:cs="宋体"/>
          <w:color w:val="auto"/>
          <w:sz w:val="21"/>
          <w:szCs w:val="21"/>
          <w:highlight w:val="none"/>
        </w:rPr>
        <w:t>方式：潜在供应商登陆政府采购云平台，在线申请获取</w:t>
      </w:r>
      <w:r>
        <w:rPr>
          <w:rStyle w:val="26"/>
          <w:rFonts w:hint="eastAsia" w:ascii="宋体" w:hAnsi="宋体" w:cs="宋体"/>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（进入“项目采购”应用，在获取</w:t>
      </w:r>
      <w:r>
        <w:rPr>
          <w:rStyle w:val="26"/>
          <w:rFonts w:hint="eastAsia" w:ascii="宋体" w:hAnsi="宋体" w:cs="宋体"/>
          <w:b w:val="0"/>
          <w:bCs/>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菜单中选择项目，申请获取</w:t>
      </w:r>
      <w:r>
        <w:rPr>
          <w:rStyle w:val="26"/>
          <w:rFonts w:hint="eastAsia" w:ascii="宋体" w:hAnsi="宋体" w:cs="宋体"/>
          <w:b w:val="0"/>
          <w:bCs/>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，本项目</w:t>
      </w:r>
      <w:r>
        <w:rPr>
          <w:rStyle w:val="26"/>
          <w:rFonts w:hint="eastAsia" w:ascii="宋体" w:hAnsi="宋体" w:cs="宋体"/>
          <w:b w:val="0"/>
          <w:bCs/>
          <w:color w:val="auto"/>
          <w:sz w:val="21"/>
          <w:szCs w:val="21"/>
          <w:highlight w:val="none"/>
          <w:lang w:eastAsia="zh-CN"/>
        </w:rPr>
        <w:t>采购文件</w:t>
      </w:r>
      <w:r>
        <w:rPr>
          <w:rStyle w:val="26"/>
          <w:rFonts w:hint="eastAsia" w:ascii="宋体" w:hAnsi="宋体" w:eastAsia="宋体" w:cs="宋体"/>
          <w:b w:val="0"/>
          <w:bCs/>
          <w:color w:val="auto"/>
          <w:sz w:val="21"/>
          <w:szCs w:val="21"/>
          <w:highlight w:val="none"/>
        </w:rPr>
        <w:t>不收取工本费；</w:t>
      </w:r>
      <w:r>
        <w:rPr>
          <w:rStyle w:val="26"/>
          <w:rFonts w:hint="eastAsia" w:ascii="宋体" w:hAnsi="宋体" w:eastAsia="宋体" w:cs="宋体"/>
          <w:b w:val="0"/>
          <w:bCs/>
          <w:color w:val="auto"/>
          <w:sz w:val="21"/>
          <w:szCs w:val="21"/>
          <w:highlight w:val="none"/>
          <w:u w:val="single"/>
        </w:rPr>
        <w:t>仅需浏览</w:t>
      </w:r>
      <w:r>
        <w:rPr>
          <w:rStyle w:val="26"/>
          <w:rFonts w:hint="eastAsia" w:ascii="宋体" w:hAnsi="宋体" w:cs="宋体"/>
          <w:b w:val="0"/>
          <w:bCs/>
          <w:color w:val="auto"/>
          <w:sz w:val="21"/>
          <w:szCs w:val="21"/>
          <w:highlight w:val="none"/>
          <w:u w:val="single"/>
          <w:lang w:eastAsia="zh-CN"/>
        </w:rPr>
        <w:t>采购文件</w:t>
      </w:r>
      <w:r>
        <w:rPr>
          <w:rStyle w:val="26"/>
          <w:rFonts w:hint="eastAsia" w:ascii="宋体" w:hAnsi="宋体" w:eastAsia="宋体" w:cs="宋体"/>
          <w:b w:val="0"/>
          <w:bCs/>
          <w:color w:val="auto"/>
          <w:sz w:val="21"/>
          <w:szCs w:val="21"/>
          <w:highlight w:val="none"/>
          <w:u w:val="single"/>
        </w:rPr>
        <w:t>的供应商可点击“游客，浏览</w:t>
      </w:r>
      <w:r>
        <w:rPr>
          <w:rStyle w:val="26"/>
          <w:rFonts w:hint="eastAsia" w:ascii="宋体" w:hAnsi="宋体" w:cs="宋体"/>
          <w:b w:val="0"/>
          <w:bCs/>
          <w:color w:val="auto"/>
          <w:sz w:val="21"/>
          <w:szCs w:val="21"/>
          <w:highlight w:val="none"/>
          <w:u w:val="single"/>
          <w:lang w:eastAsia="zh-CN"/>
        </w:rPr>
        <w:t>采购文件</w:t>
      </w:r>
      <w:r>
        <w:rPr>
          <w:rStyle w:val="26"/>
          <w:rFonts w:hint="eastAsia" w:ascii="宋体" w:hAnsi="宋体" w:eastAsia="宋体" w:cs="宋体"/>
          <w:b w:val="0"/>
          <w:bCs/>
          <w:color w:val="auto"/>
          <w:sz w:val="21"/>
          <w:szCs w:val="21"/>
          <w:highlight w:val="none"/>
          <w:u w:val="single"/>
        </w:rPr>
        <w:t>”直接下载</w:t>
      </w:r>
      <w:r>
        <w:rPr>
          <w:rStyle w:val="26"/>
          <w:rFonts w:hint="eastAsia" w:ascii="宋体" w:hAnsi="宋体" w:cs="宋体"/>
          <w:b w:val="0"/>
          <w:bCs/>
          <w:color w:val="auto"/>
          <w:sz w:val="21"/>
          <w:szCs w:val="21"/>
          <w:highlight w:val="none"/>
          <w:u w:val="single"/>
          <w:lang w:eastAsia="zh-CN"/>
        </w:rPr>
        <w:t>采购文件</w:t>
      </w:r>
      <w:r>
        <w:rPr>
          <w:rStyle w:val="26"/>
          <w:rFonts w:hint="eastAsia" w:ascii="宋体" w:hAnsi="宋体" w:eastAsia="宋体" w:cs="宋体"/>
          <w:b w:val="0"/>
          <w:bCs/>
          <w:color w:val="auto"/>
          <w:sz w:val="21"/>
          <w:szCs w:val="21"/>
          <w:highlight w:val="none"/>
          <w:u w:val="single"/>
        </w:rPr>
        <w:t>浏览</w:t>
      </w:r>
      <w:r>
        <w:rPr>
          <w:rStyle w:val="26"/>
          <w:rFonts w:hint="eastAsia" w:ascii="宋体" w:hAnsi="宋体" w:eastAsia="宋体" w:cs="宋体"/>
          <w:b w:val="0"/>
          <w:bCs/>
          <w:color w:val="auto"/>
          <w:sz w:val="21"/>
          <w:szCs w:val="21"/>
          <w:highlight w:val="none"/>
        </w:rPr>
        <w:t>）；</w:t>
      </w:r>
    </w:p>
    <w:p w14:paraId="3C71E70C">
      <w:pPr>
        <w:spacing w:line="360" w:lineRule="auto"/>
        <w:ind w:firstLine="422" w:firstLineChars="200"/>
        <w:rPr>
          <w:rFonts w:hint="eastAsia" w:ascii="宋体" w:hAnsi="宋体" w:eastAsia="宋体" w:cs="宋体"/>
          <w:color w:val="auto"/>
          <w:sz w:val="21"/>
          <w:szCs w:val="21"/>
          <w:highlight w:val="none"/>
          <w:lang w:eastAsia="zh-CN"/>
        </w:rPr>
      </w:pPr>
      <w:r>
        <w:rPr>
          <w:rStyle w:val="26"/>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76F636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6"/>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1D5A9D0">
      <w:pPr>
        <w:pStyle w:val="20"/>
        <w:spacing w:beforeAutospacing="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b w:val="0"/>
          <w:color w:val="auto"/>
          <w:sz w:val="21"/>
          <w:szCs w:val="21"/>
          <w:highlight w:val="none"/>
        </w:rPr>
        <w:t>5、供应商获取</w:t>
      </w:r>
      <w:r>
        <w:rPr>
          <w:rStyle w:val="26"/>
          <w:rFonts w:hint="eastAsia" w:cs="宋体"/>
          <w:b w:val="0"/>
          <w:color w:val="auto"/>
          <w:sz w:val="21"/>
          <w:szCs w:val="21"/>
          <w:highlight w:val="none"/>
          <w:lang w:eastAsia="zh-CN"/>
        </w:rPr>
        <w:t>采购文件</w:t>
      </w:r>
      <w:r>
        <w:rPr>
          <w:rStyle w:val="26"/>
          <w:rFonts w:hint="eastAsia" w:ascii="宋体" w:hAnsi="宋体" w:eastAsia="宋体" w:cs="宋体"/>
          <w:b w:val="0"/>
          <w:color w:val="auto"/>
          <w:sz w:val="21"/>
          <w:szCs w:val="21"/>
          <w:highlight w:val="none"/>
        </w:rPr>
        <w:t>时须提交的文件资料：无；</w:t>
      </w:r>
    </w:p>
    <w:p w14:paraId="7D140708">
      <w:pPr>
        <w:pStyle w:val="20"/>
        <w:spacing w:beforeAutospacing="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6、提示：竞争性磋商公告附件内的</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（或采购需求）仅供阅览使用，供应商只有在“政府采购云平台”完成获取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申请并下载了</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后才视作依法获取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（法律法规所指的供应商获取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时间以供应商完成获取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申请后下载</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的时间为准）。</w:t>
      </w:r>
    </w:p>
    <w:p w14:paraId="334B7C4E">
      <w:pPr>
        <w:pStyle w:val="20"/>
        <w:spacing w:beforeAutospacing="0" w:afterAutospacing="0" w:line="360" w:lineRule="auto"/>
        <w:ind w:firstLine="48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注：请供应商按上述要求获取</w:t>
      </w:r>
      <w:r>
        <w:rPr>
          <w:rStyle w:val="26"/>
          <w:rFonts w:hint="eastAsia" w:cs="宋体"/>
          <w:color w:val="auto"/>
          <w:sz w:val="21"/>
          <w:szCs w:val="21"/>
          <w:highlight w:val="none"/>
          <w:lang w:eastAsia="zh-CN"/>
        </w:rPr>
        <w:t>采购文件</w:t>
      </w:r>
      <w:r>
        <w:rPr>
          <w:rStyle w:val="26"/>
          <w:rFonts w:hint="eastAsia" w:ascii="宋体" w:hAnsi="宋体" w:eastAsia="宋体" w:cs="宋体"/>
          <w:color w:val="auto"/>
          <w:sz w:val="21"/>
          <w:szCs w:val="21"/>
          <w:highlight w:val="none"/>
        </w:rPr>
        <w:t>，如未在“政府采购云平台”系统内完成相关流程，引起的投标无效责任自负。</w:t>
      </w:r>
    </w:p>
    <w:p w14:paraId="671DF41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5E4DE03D">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7C9ECD4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六、响应文件递交截止时间及磋商开始时间、地点：</w:t>
      </w:r>
    </w:p>
    <w:p w14:paraId="4EECB4AB">
      <w:pPr>
        <w:pStyle w:val="56"/>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cs="宋体"/>
          <w:b/>
          <w:bCs/>
          <w:color w:val="auto"/>
          <w:highlight w:val="none"/>
          <w:lang w:val="en-US" w:eastAsia="zh-CN"/>
        </w:rPr>
        <w:t>递交</w:t>
      </w:r>
      <w:r>
        <w:rPr>
          <w:rFonts w:hint="eastAsia" w:ascii="宋体" w:hAnsi="宋体" w:eastAsia="宋体" w:cs="宋体"/>
          <w:b/>
          <w:bCs/>
          <w:color w:val="auto"/>
          <w:highlight w:val="none"/>
        </w:rPr>
        <w:t>磋商</w:t>
      </w:r>
      <w:r>
        <w:rPr>
          <w:rFonts w:hint="eastAsia" w:ascii="宋体" w:hAnsi="宋体" w:cs="宋体"/>
          <w:b/>
          <w:bCs/>
          <w:color w:val="auto"/>
          <w:highlight w:val="none"/>
          <w:lang w:val="en-US" w:eastAsia="zh-CN"/>
        </w:rPr>
        <w:t>响应文件</w:t>
      </w:r>
      <w:r>
        <w:rPr>
          <w:rFonts w:hint="eastAsia" w:ascii="宋体" w:hAnsi="宋体" w:eastAsia="宋体" w:cs="宋体"/>
          <w:b/>
          <w:bCs/>
          <w:color w:val="auto"/>
          <w:highlight w:val="none"/>
        </w:rPr>
        <w:t>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日上午09:30</w:t>
      </w:r>
      <w:r>
        <w:rPr>
          <w:rFonts w:hint="eastAsia" w:ascii="宋体" w:hAnsi="宋体" w:eastAsia="宋体" w:cs="宋体"/>
          <w:color w:val="auto"/>
          <w:highlight w:val="none"/>
        </w:rPr>
        <w:t xml:space="preserve">整，地点：通过“政府采购云平台（www.zcygov.cn）”实行在线投标响应   </w:t>
      </w:r>
    </w:p>
    <w:p w14:paraId="0C8B9CF0">
      <w:pPr>
        <w:pStyle w:val="56"/>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2、磋商时间及地点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日上午09:30</w:t>
      </w:r>
      <w:r>
        <w:rPr>
          <w:rFonts w:hint="eastAsia" w:ascii="宋体" w:hAnsi="宋体" w:eastAsia="宋体" w:cs="宋体"/>
          <w:color w:val="auto"/>
          <w:highlight w:val="none"/>
        </w:rPr>
        <w:t>整，地点：通过“政府采购云平台（www.zcygov.cn）”实行在线投标响应</w:t>
      </w:r>
    </w:p>
    <w:p w14:paraId="69D77C63">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日上午10:00</w:t>
      </w:r>
      <w:r>
        <w:rPr>
          <w:rFonts w:hint="eastAsia" w:ascii="宋体" w:hAnsi="宋体" w:eastAsia="宋体" w:cs="宋体"/>
          <w:color w:val="auto"/>
          <w:highlight w:val="none"/>
        </w:rPr>
        <w:t>整</w:t>
      </w:r>
    </w:p>
    <w:p w14:paraId="17CAABF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386AD38D">
      <w:pPr>
        <w:pStyle w:val="13"/>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w:t>
      </w:r>
      <w:r>
        <w:rPr>
          <w:rFonts w:hint="eastAsia" w:hAnsi="宋体" w:cs="宋体"/>
          <w:b/>
          <w:bCs/>
          <w:color w:val="auto"/>
          <w:kern w:val="0"/>
          <w:szCs w:val="21"/>
          <w:highlight w:val="none"/>
          <w:lang w:eastAsia="zh-CN"/>
        </w:rPr>
        <w:t>采购文件</w:t>
      </w:r>
      <w:r>
        <w:rPr>
          <w:rFonts w:hint="eastAsia" w:ascii="宋体" w:hAnsi="宋体" w:eastAsia="宋体" w:cs="宋体"/>
          <w:b/>
          <w:bCs/>
          <w:color w:val="auto"/>
          <w:kern w:val="0"/>
          <w:szCs w:val="21"/>
          <w:highlight w:val="none"/>
        </w:rPr>
        <w:t>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供应商未按规定加密的磋商响应文件，“政府采购云平台”将予以拒收。</w:t>
      </w:r>
    </w:p>
    <w:p w14:paraId="05738A5E">
      <w:pPr>
        <w:pStyle w:val="13"/>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53239245">
      <w:pPr>
        <w:pStyle w:val="56"/>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w:t>
      </w:r>
      <w:r>
        <w:rPr>
          <w:rFonts w:hint="eastAsia" w:ascii="宋体" w:hAnsi="宋体" w:eastAsia="宋体" w:cs="宋体"/>
          <w:b/>
          <w:bCs/>
          <w:color w:val="auto"/>
          <w:highlight w:val="none"/>
          <w:lang w:eastAsia="zh-CN"/>
        </w:rPr>
        <w:t>提交磋商文件截止时间前</w:t>
      </w:r>
      <w:r>
        <w:rPr>
          <w:rFonts w:hint="eastAsia" w:ascii="宋体" w:hAnsi="宋体" w:eastAsia="宋体" w:cs="宋体"/>
          <w:b/>
          <w:bCs/>
          <w:color w:val="auto"/>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421FABB0">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12ABAC36">
      <w:pPr>
        <w:pStyle w:val="13"/>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788A27EE">
      <w:pPr>
        <w:pStyle w:val="13"/>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，将生成的“电子加密磋商响应文件”上传递交至“政府采购云平台”。</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未完成传输的，视为撤回磋商响应文件。</w:t>
      </w:r>
    </w:p>
    <w:p w14:paraId="6C940679">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06954BA6">
      <w:pPr>
        <w:pStyle w:val="13"/>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磋商供应商仅递交备份磋商响应文件的，投标无效。</w:t>
      </w:r>
    </w:p>
    <w:p w14:paraId="3EF53374">
      <w:pPr>
        <w:pStyle w:val="13"/>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1026006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八、供应商信用信息查询渠道及截止时点、信用信息查询记录和证据留存的具体方式、信用信息的使用规则：</w:t>
      </w:r>
    </w:p>
    <w:p w14:paraId="7451D0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t>
      </w:r>
      <w:r>
        <w:rPr>
          <w:rFonts w:hint="eastAsia" w:ascii="宋体" w:hAnsi="宋体" w:eastAsia="宋体" w:cs="宋体"/>
          <w:color w:val="auto"/>
          <w:szCs w:val="21"/>
          <w:highlight w:val="none"/>
        </w:rPr>
        <w:t>ww.ccgp.gov.cn）、“浙江政府采购网（www.zjzfcg.gov.cn）。</w:t>
      </w:r>
    </w:p>
    <w:p w14:paraId="5D2597D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7859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775399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57EDFEC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九、相关注意事项：</w:t>
      </w:r>
    </w:p>
    <w:p w14:paraId="60A0A73D">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691AD0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5FFC10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以供应商</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color w:val="auto"/>
          <w:sz w:val="21"/>
          <w:szCs w:val="21"/>
          <w:highlight w:val="none"/>
        </w:rPr>
        <w:t>质疑函范本、投诉书范本请到浙江政府采购网下载专区下载。</w:t>
      </w:r>
    </w:p>
    <w:p w14:paraId="695112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02E8C3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、请各磋商响应供应商及时办理浙江政府采购网“政府采购供应商注册”手续。</w:t>
      </w:r>
    </w:p>
    <w:p w14:paraId="73C817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24DC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、本项目所有公告发布网站：“浙江省政府采购网”（http://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www.zjzfcg.gov.cn）。</w:t>
      </w:r>
      <w:r>
        <w:rPr>
          <w:rFonts w:hint="eastAsia" w:ascii="宋体" w:hAnsi="宋体" w:eastAsia="宋体" w:cs="宋体"/>
          <w:color w:val="auto"/>
          <w:szCs w:val="21"/>
          <w:highlight w:val="none"/>
        </w:rPr>
        <w:fldChar w:fldCharType="end"/>
      </w:r>
    </w:p>
    <w:p w14:paraId="6AD27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0B7A1F98">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十、联系方式：</w:t>
      </w:r>
    </w:p>
    <w:p w14:paraId="01BB24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3DE2F84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7ADD8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2004C4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37AB451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542AA08B">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4387C21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3BF95B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335529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台州市生态环境局黄岩分局</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汪先生</w:t>
      </w:r>
      <w:r>
        <w:rPr>
          <w:rFonts w:hint="eastAsia" w:ascii="宋体" w:hAnsi="宋体" w:eastAsia="宋体" w:cs="宋体"/>
          <w:color w:val="auto"/>
          <w:szCs w:val="21"/>
          <w:highlight w:val="none"/>
        </w:rPr>
        <w:t xml:space="preserve">      询问联系电话：</w:t>
      </w:r>
      <w:r>
        <w:rPr>
          <w:rFonts w:hint="eastAsia" w:ascii="宋体" w:hAnsi="宋体" w:cs="宋体"/>
          <w:color w:val="auto"/>
          <w:szCs w:val="21"/>
          <w:highlight w:val="none"/>
        </w:rPr>
        <w:t>0576-89178121</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XXXXXXXX</w:t>
      </w:r>
    </w:p>
    <w:p w14:paraId="48638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cs="宋体"/>
          <w:color w:val="auto"/>
          <w:szCs w:val="21"/>
          <w:highlight w:val="none"/>
          <w:lang w:val="en-US" w:eastAsia="zh-CN"/>
        </w:rPr>
        <w:t>台州市</w:t>
      </w:r>
      <w:r>
        <w:rPr>
          <w:rFonts w:hint="eastAsia" w:ascii="宋体" w:hAnsi="宋体" w:eastAsia="宋体" w:cs="宋体"/>
          <w:color w:val="auto"/>
          <w:szCs w:val="21"/>
          <w:highlight w:val="none"/>
        </w:rPr>
        <w:t>黄岩区康乐路51号</w:t>
      </w:r>
    </w:p>
    <w:p w14:paraId="06F3F4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7657F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790EC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C575F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70E3A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7DC9C43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FAF47F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47BA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1FFCF8F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FA754C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6A566E1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4E941C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54F69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B0FB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403512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43166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9B1B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65D0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964A98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433BB3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EB734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32BCD5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B11A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F4CABE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8B603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55BBC2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46BB7A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626BD0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C943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95C2A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3CC0F5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5E3B94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7C8C12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49A90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276F997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050DF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3ACA6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3EB7EA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F89EE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0ECE33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3D9D1E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CC43C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8798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EEBE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A74E44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695EA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3E88E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40AAD4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94BEF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5B4F9E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711E9A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474E6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178D111B">
      <w:pPr>
        <w:jc w:val="both"/>
        <w:rPr>
          <w:rFonts w:hint="eastAsia" w:ascii="宋体" w:hAnsi="宋体" w:eastAsia="宋体" w:cs="宋体"/>
          <w:b/>
          <w:bCs/>
          <w:color w:val="auto"/>
          <w:sz w:val="21"/>
          <w:szCs w:val="21"/>
          <w:highlight w:val="none"/>
        </w:rPr>
      </w:pPr>
    </w:p>
    <w:p w14:paraId="33FC5967">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32D2BF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3BADD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4D6660D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DB9BF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616370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737B9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3247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87BEFD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0B2B3B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1EC254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6F299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DDCA99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A8081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39C8B3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39B3A2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100A84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2970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3D805F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3BCBE4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482B1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90850F8">
      <w:pPr>
        <w:spacing w:line="360" w:lineRule="auto"/>
        <w:rPr>
          <w:rFonts w:hint="eastAsia" w:ascii="宋体" w:hAnsi="宋体" w:eastAsia="宋体" w:cs="宋体"/>
          <w:color w:val="auto"/>
          <w:szCs w:val="21"/>
          <w:highlight w:val="none"/>
          <w:lang w:eastAsia="zh-CN"/>
        </w:rPr>
      </w:pPr>
    </w:p>
    <w:p w14:paraId="5A1B3616">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A6F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A8CB7A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0DAE79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4A71A0C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1C26E8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1D2C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A8CC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447EF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0B9A12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2099F2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242C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C008A1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05C05D8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91785C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60AB104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383F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A58B9A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41D9CF2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C53196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446BC1B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7F39895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9DB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F217B9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B1740F">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01B52C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B800AA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F2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9481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271193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58DB435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060B2B8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592D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2415E1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15081B6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5F00FF">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326414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939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54389F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9E571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7F049EB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32B047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5CC4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905415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2D89FE3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39758F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E880D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72C4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15036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15B5C7B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C4360A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4E6A83C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EEE9BD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3710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2D993F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37DCAD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1073158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C6353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4930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9371D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713E5B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5C70398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E5324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8452E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B42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C97B7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7E77FA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7D94A92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0A4BB39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AC3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FC3A4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381F727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5E206E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29399A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4B1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F44B6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59A07F9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D53907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6F14AF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D27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23E49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48A4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6FCD160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E4F6F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50B1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7044A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93D95D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36EB84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FA254D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94C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D00D6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7DC36E0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6949DE2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3B8A5A6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3AC2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8FDE2D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9A84DA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290A0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419786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47C439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5266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C2AAC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1EACB4D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DD492B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3FCD0C4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2613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3E04F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62D1DFD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3D759B4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441A3A0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10D0B6D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1F16D2D">
      <w:pPr>
        <w:pStyle w:val="31"/>
        <w:spacing w:line="360" w:lineRule="auto"/>
        <w:rPr>
          <w:rFonts w:hint="eastAsia" w:ascii="宋体" w:hAnsi="宋体" w:eastAsia="宋体" w:cs="宋体"/>
          <w:color w:val="auto"/>
          <w:highlight w:val="none"/>
        </w:rPr>
      </w:pPr>
    </w:p>
    <w:p w14:paraId="3C27AB12">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85BEF55">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7C8A73EE">
      <w:pPr>
        <w:spacing w:line="360" w:lineRule="auto"/>
        <w:ind w:firstLine="420" w:firstLineChars="200"/>
        <w:jc w:val="left"/>
        <w:rPr>
          <w:rFonts w:hint="eastAsia" w:ascii="宋体" w:hAnsi="宋体" w:eastAsia="宋体" w:cs="宋体"/>
          <w:color w:val="auto"/>
          <w:szCs w:val="21"/>
          <w:highlight w:val="none"/>
        </w:rPr>
      </w:pPr>
    </w:p>
    <w:p w14:paraId="528A6C4A">
      <w:pPr>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浙江汇永工程咨询有限公司</w:t>
      </w:r>
    </w:p>
    <w:p w14:paraId="39CDCB11">
      <w:pPr>
        <w:pStyle w:val="11"/>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二○二五年四月</w:t>
      </w:r>
    </w:p>
    <w:p w14:paraId="72521557">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03EF41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21A1795A">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000"/>
        <w:gridCol w:w="6175"/>
      </w:tblGrid>
      <w:tr w14:paraId="534E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64" w:type="dxa"/>
            <w:vAlign w:val="center"/>
          </w:tcPr>
          <w:p w14:paraId="549C6900">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000" w:type="dxa"/>
            <w:vAlign w:val="center"/>
          </w:tcPr>
          <w:p w14:paraId="79598B7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175" w:type="dxa"/>
            <w:vAlign w:val="center"/>
          </w:tcPr>
          <w:p w14:paraId="4B644EC2">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E73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664" w:type="dxa"/>
            <w:vAlign w:val="center"/>
          </w:tcPr>
          <w:p w14:paraId="380E381E">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00" w:type="dxa"/>
            <w:vAlign w:val="center"/>
          </w:tcPr>
          <w:p w14:paraId="6B9284E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175" w:type="dxa"/>
            <w:vAlign w:val="center"/>
          </w:tcPr>
          <w:p w14:paraId="581B246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6F61B6E6">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4B5A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vAlign w:val="center"/>
          </w:tcPr>
          <w:p w14:paraId="0EE000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000" w:type="dxa"/>
            <w:vAlign w:val="center"/>
          </w:tcPr>
          <w:p w14:paraId="22C392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175" w:type="dxa"/>
            <w:vAlign w:val="center"/>
          </w:tcPr>
          <w:p w14:paraId="43BA17D6">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2B6C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64" w:type="dxa"/>
            <w:vAlign w:val="center"/>
          </w:tcPr>
          <w:p w14:paraId="75EC366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000" w:type="dxa"/>
            <w:vAlign w:val="center"/>
          </w:tcPr>
          <w:p w14:paraId="713AC6F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175" w:type="dxa"/>
            <w:vAlign w:val="center"/>
          </w:tcPr>
          <w:p w14:paraId="7FBF3C2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F26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664" w:type="dxa"/>
            <w:vAlign w:val="center"/>
          </w:tcPr>
          <w:p w14:paraId="2C30BF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000" w:type="dxa"/>
            <w:vAlign w:val="center"/>
          </w:tcPr>
          <w:p w14:paraId="4B23526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175" w:type="dxa"/>
            <w:vAlign w:val="center"/>
          </w:tcPr>
          <w:p w14:paraId="6E54827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62DD1B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F5EAD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6633234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E88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vAlign w:val="center"/>
          </w:tcPr>
          <w:p w14:paraId="7C4BA03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000" w:type="dxa"/>
            <w:vAlign w:val="center"/>
          </w:tcPr>
          <w:p w14:paraId="2A43C1C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175" w:type="dxa"/>
            <w:vAlign w:val="center"/>
          </w:tcPr>
          <w:p w14:paraId="5DFE7354">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654F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64" w:type="dxa"/>
            <w:vAlign w:val="center"/>
          </w:tcPr>
          <w:p w14:paraId="54FA157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000" w:type="dxa"/>
            <w:vAlign w:val="center"/>
          </w:tcPr>
          <w:p w14:paraId="55B0AF41">
            <w:pPr>
              <w:pStyle w:val="11"/>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175" w:type="dxa"/>
            <w:vAlign w:val="center"/>
          </w:tcPr>
          <w:p w14:paraId="77E772D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  月   日上午09:30</w:t>
            </w:r>
            <w:r>
              <w:rPr>
                <w:rFonts w:hint="eastAsia" w:ascii="宋体" w:hAnsi="宋体" w:eastAsia="宋体" w:cs="宋体"/>
                <w:b/>
                <w:bCs/>
                <w:color w:val="auto"/>
                <w:szCs w:val="21"/>
                <w:highlight w:val="none"/>
                <w:u w:val="single"/>
              </w:rPr>
              <w:t>整</w:t>
            </w:r>
          </w:p>
          <w:p w14:paraId="0D9B538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EF1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64" w:type="dxa"/>
            <w:vAlign w:val="center"/>
          </w:tcPr>
          <w:p w14:paraId="1CC5FFD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000" w:type="dxa"/>
            <w:vAlign w:val="center"/>
          </w:tcPr>
          <w:p w14:paraId="6E851E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175" w:type="dxa"/>
            <w:vAlign w:val="center"/>
          </w:tcPr>
          <w:p w14:paraId="74F4BE7B">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1E3CF41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  月   日上午09:30</w:t>
            </w:r>
            <w:r>
              <w:rPr>
                <w:rFonts w:hint="eastAsia" w:ascii="宋体" w:hAnsi="宋体" w:eastAsia="宋体" w:cs="宋体"/>
                <w:b/>
                <w:bCs/>
                <w:color w:val="auto"/>
                <w:szCs w:val="21"/>
                <w:highlight w:val="none"/>
                <w:u w:val="single"/>
              </w:rPr>
              <w:t>整</w:t>
            </w:r>
          </w:p>
        </w:tc>
      </w:tr>
      <w:tr w14:paraId="0419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64" w:type="dxa"/>
            <w:vAlign w:val="center"/>
          </w:tcPr>
          <w:p w14:paraId="48269E2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000" w:type="dxa"/>
            <w:vAlign w:val="center"/>
          </w:tcPr>
          <w:p w14:paraId="17AB9B34">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175" w:type="dxa"/>
            <w:vAlign w:val="center"/>
          </w:tcPr>
          <w:p w14:paraId="3A469B65">
            <w:pPr>
              <w:pStyle w:val="20"/>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07DDB61F">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16C52EC7">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25B4403C">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411E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64" w:type="dxa"/>
            <w:vAlign w:val="center"/>
          </w:tcPr>
          <w:p w14:paraId="03DCF31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000" w:type="dxa"/>
            <w:vAlign w:val="center"/>
          </w:tcPr>
          <w:p w14:paraId="11FF2A9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175" w:type="dxa"/>
            <w:vAlign w:val="center"/>
          </w:tcPr>
          <w:p w14:paraId="1AAE9C34">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  月   日上午09:30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10:00</w:t>
            </w:r>
            <w:r>
              <w:rPr>
                <w:rFonts w:hint="eastAsia" w:ascii="宋体" w:hAnsi="宋体" w:eastAsia="宋体" w:cs="宋体"/>
                <w:color w:val="auto"/>
                <w:szCs w:val="21"/>
                <w:highlight w:val="none"/>
              </w:rPr>
              <w:t>（北京时间）</w:t>
            </w:r>
          </w:p>
          <w:p w14:paraId="4CF8F926">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092F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vAlign w:val="center"/>
          </w:tcPr>
          <w:p w14:paraId="554BEAD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000" w:type="dxa"/>
            <w:vAlign w:val="center"/>
          </w:tcPr>
          <w:p w14:paraId="43B4853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175" w:type="dxa"/>
            <w:vAlign w:val="center"/>
          </w:tcPr>
          <w:p w14:paraId="73F893B4">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1D36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64" w:type="dxa"/>
            <w:vAlign w:val="center"/>
          </w:tcPr>
          <w:p w14:paraId="3508BAC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000" w:type="dxa"/>
            <w:vAlign w:val="center"/>
          </w:tcPr>
          <w:p w14:paraId="20E605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175" w:type="dxa"/>
            <w:vAlign w:val="center"/>
          </w:tcPr>
          <w:p w14:paraId="7343095C">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62E30BA">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6606B8E2">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78E9EBF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4、现场演示：无要求。</w:t>
            </w:r>
          </w:p>
        </w:tc>
      </w:tr>
      <w:tr w14:paraId="491B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64" w:type="dxa"/>
            <w:vAlign w:val="center"/>
          </w:tcPr>
          <w:p w14:paraId="2A1AF9E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00" w:type="dxa"/>
            <w:vAlign w:val="center"/>
          </w:tcPr>
          <w:p w14:paraId="6BF0A06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175" w:type="dxa"/>
            <w:vAlign w:val="center"/>
          </w:tcPr>
          <w:p w14:paraId="12CA4F23">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769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64" w:type="dxa"/>
            <w:vAlign w:val="center"/>
          </w:tcPr>
          <w:p w14:paraId="3D4FEB0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2000" w:type="dxa"/>
            <w:vAlign w:val="center"/>
          </w:tcPr>
          <w:p w14:paraId="6EA60B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175" w:type="dxa"/>
            <w:vAlign w:val="center"/>
          </w:tcPr>
          <w:p w14:paraId="4EEEC5B4">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7A6A7DB8">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20BBE122">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266A67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本磋商文件适用于本次项目的磋商、评审、确定成交供应商、验收、合同履约、付款等行为（法律、法规另有规定的，从其规定）。</w:t>
      </w:r>
    </w:p>
    <w:p w14:paraId="0F794F50">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4CEB6576">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0BAD90B6">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集中采购机构或</w:t>
      </w:r>
      <w:r>
        <w:rPr>
          <w:rFonts w:hint="eastAsia" w:ascii="宋体" w:hAnsi="宋体" w:eastAsia="宋体" w:cs="宋体"/>
          <w:color w:val="auto"/>
          <w:szCs w:val="21"/>
          <w:highlight w:val="none"/>
        </w:rPr>
        <w:t>采购代理机构采购本次项目的国家机关、事业单位和团体组织。</w:t>
      </w:r>
    </w:p>
    <w:p w14:paraId="790E44E8">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3、磋商供应商：是指向</w:t>
      </w:r>
      <w:r>
        <w:rPr>
          <w:rFonts w:hint="eastAsia" w:ascii="宋体" w:hAnsi="宋体" w:eastAsia="宋体" w:cs="宋体"/>
          <w:color w:val="auto"/>
          <w:szCs w:val="21"/>
          <w:highlight w:val="none"/>
          <w:lang w:val="zh-CN"/>
        </w:rPr>
        <w:t>采购组织机构</w:t>
      </w:r>
      <w:r>
        <w:rPr>
          <w:rFonts w:hint="eastAsia" w:ascii="宋体" w:hAnsi="宋体" w:eastAsia="宋体" w:cs="宋体"/>
          <w:color w:val="auto"/>
          <w:szCs w:val="21"/>
          <w:highlight w:val="none"/>
        </w:rPr>
        <w:t>提交磋商响应文件的单位或个人。</w:t>
      </w:r>
    </w:p>
    <w:p w14:paraId="4F3D54C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2B1B8337">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72F0B1E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1E83801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0770B024">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（三）磋商费用</w:t>
      </w:r>
    </w:p>
    <w:p w14:paraId="133A604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不论磋商结果如何，供应商均应自行承担所有与磋商有关的全部费用（磋商文件有相关规定除外）。</w:t>
      </w:r>
    </w:p>
    <w:p w14:paraId="2174075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5B2F2B4A">
      <w:pPr>
        <w:pStyle w:val="13"/>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68376CC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Cs w:val="21"/>
          <w:highlight w:val="none"/>
        </w:rPr>
        <w:t>磋商供应商对所标产品技术参数的真实性承担法律责任。</w:t>
      </w:r>
      <w:r>
        <w:rPr>
          <w:rFonts w:hint="eastAsia" w:ascii="宋体" w:hAnsi="宋体" w:eastAsia="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Cs w:val="21"/>
          <w:highlight w:val="none"/>
        </w:rPr>
        <w:tab/>
      </w:r>
    </w:p>
    <w:p w14:paraId="3DC3CA6A">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C035AB4">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79AB91FA">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78A1BEB0">
      <w:pPr>
        <w:pStyle w:val="57"/>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6、磋商响应文件格式中的表格式样可以根据项目差别做适当调整,但应当保持表格样式基本形态不变。</w:t>
      </w:r>
    </w:p>
    <w:p w14:paraId="7CCE2643">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6EE94CF">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2DDBA4C">
      <w:pPr>
        <w:tabs>
          <w:tab w:val="left" w:pos="851"/>
        </w:tabs>
        <w:autoSpaceDE w:val="0"/>
        <w:autoSpaceDN w:val="0"/>
        <w:adjustRightInd w:val="0"/>
        <w:snapToGrid w:val="0"/>
        <w:spacing w:line="360" w:lineRule="auto"/>
        <w:ind w:firstLine="48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1E67EEF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w:t>
      </w:r>
    </w:p>
    <w:p w14:paraId="337EF2E2">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（一）磋商</w:t>
      </w:r>
      <w:r>
        <w:rPr>
          <w:rFonts w:hint="eastAsia" w:ascii="宋体" w:hAnsi="宋体" w:eastAsia="宋体" w:cs="宋体"/>
          <w:b/>
          <w:color w:val="auto"/>
          <w:szCs w:val="21"/>
          <w:highlight w:val="none"/>
        </w:rPr>
        <w:t>响应文件的形式和效力</w:t>
      </w:r>
    </w:p>
    <w:p w14:paraId="06BBF3E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42B629C3">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43158DE">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91B2AF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D1C1EB6">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92E11A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（二）磋商响应文件的组成</w:t>
      </w:r>
    </w:p>
    <w:p w14:paraId="6C0A4B8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73FBFC31">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▲1、资格证明内容的组成：</w:t>
      </w:r>
    </w:p>
    <w:p w14:paraId="18D6E69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34F31A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5885AFE6">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01544296">
      <w:pPr>
        <w:keepNext w:val="0"/>
        <w:keepLines w:val="0"/>
        <w:pageBreakBefore w:val="0"/>
        <w:kinsoku/>
        <w:wordWrap/>
        <w:overflowPunct/>
        <w:topLinePunct w:val="0"/>
        <w:bidi w:val="0"/>
        <w:spacing w:line="360" w:lineRule="auto"/>
        <w:textAlignment w:val="auto"/>
        <w:outlineLvl w:val="9"/>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（4）提供采购公告中符合供应商特定条件的有效资质证书复印件（投标供应商特定条件中有要求的必须提供）</w:t>
      </w:r>
      <w:r>
        <w:rPr>
          <w:rFonts w:hint="eastAsia" w:ascii="宋体" w:hAnsi="宋体" w:cs="宋体"/>
          <w:color w:val="auto"/>
          <w:szCs w:val="21"/>
          <w:highlight w:val="none"/>
          <w:lang w:eastAsia="zh-CN"/>
        </w:rPr>
        <w:t>；</w:t>
      </w:r>
    </w:p>
    <w:p w14:paraId="50D3DD84">
      <w:pPr>
        <w:keepNext w:val="0"/>
        <w:keepLines w:val="0"/>
        <w:pageBreakBefore w:val="0"/>
        <w:kinsoku/>
        <w:wordWrap/>
        <w:overflowPunct/>
        <w:topLinePunct w:val="0"/>
        <w:bidi w:val="0"/>
        <w:spacing w:line="360" w:lineRule="auto"/>
        <w:textAlignment w:val="auto"/>
        <w:outlineLvl w:val="9"/>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cs="宋体"/>
          <w:color w:val="auto"/>
          <w:szCs w:val="21"/>
          <w:highlight w:val="none"/>
          <w:lang w:eastAsia="zh-CN"/>
        </w:rPr>
        <w:t>。</w:t>
      </w:r>
    </w:p>
    <w:p w14:paraId="244AFA9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2、商务与技术内容的组成：</w:t>
      </w:r>
    </w:p>
    <w:p w14:paraId="0762B6C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（1）供应商企业情况介绍；</w:t>
      </w:r>
    </w:p>
    <w:p w14:paraId="46A4A1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（2）磋商响应方案描述：</w:t>
      </w:r>
    </w:p>
    <w:p w14:paraId="7699600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2529BE4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B.项目</w:t>
      </w:r>
      <w:r>
        <w:rPr>
          <w:rFonts w:hint="eastAsia" w:ascii="宋体" w:hAnsi="宋体" w:eastAsia="宋体" w:cs="宋体"/>
          <w:color w:val="auto"/>
          <w:szCs w:val="21"/>
          <w:highlight w:val="none"/>
        </w:rPr>
        <w:t>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Cs w:val="21"/>
          <w:highlight w:val="none"/>
        </w:rPr>
        <w:t>）。</w:t>
      </w:r>
    </w:p>
    <w:p w14:paraId="19A8AED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C.验收方案（包括项目验收标准和验收方法等）和措施；</w:t>
      </w:r>
    </w:p>
    <w:p w14:paraId="6EE56E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（3）商务及技术响应表。</w:t>
      </w:r>
    </w:p>
    <w:p w14:paraId="691DBC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（4）供应商通过的质量管理和质量保证体系、环保体系等与本项目相关的认证证书或文件；</w:t>
      </w:r>
    </w:p>
    <w:p w14:paraId="2933486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（5）类似项目的成功案例（供应商类似项目实施情况一览表、合同复印件及其相应的发票、用户验收报告等）；</w:t>
      </w:r>
    </w:p>
    <w:p w14:paraId="429DD7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（6）供应商认为需要提供的其他资料（包括可能影响供应商商务与技术内容评分的各类证明材</w:t>
      </w:r>
      <w:r>
        <w:rPr>
          <w:rFonts w:hint="eastAsia" w:ascii="宋体" w:hAnsi="宋体" w:eastAsia="宋体" w:cs="宋体"/>
          <w:color w:val="auto"/>
          <w:szCs w:val="21"/>
          <w:highlight w:val="none"/>
        </w:rPr>
        <w:t>料）。</w:t>
      </w:r>
    </w:p>
    <w:p w14:paraId="21A8CA1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（7）售后服务描述及承诺：</w:t>
      </w:r>
    </w:p>
    <w:p w14:paraId="2D7A3D9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A.距采购人最近的服务网点详细介绍（包括地理位置、资质资格、技术力量、工作业绩、服务内容及联系电话等）。</w:t>
      </w:r>
    </w:p>
    <w:p w14:paraId="4978E29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B.针对本项目的售后服务措施及承诺（售后技术服务方案、人员配备、服务响应时间、技术培训方案等）。</w:t>
      </w:r>
    </w:p>
    <w:p w14:paraId="0D5EEB7B">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3D25AA5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3、报价内容的组成</w:t>
      </w:r>
    </w:p>
    <w:p w14:paraId="3270987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（1）报价内容由</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一览表、中小企业声明函</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，以及供应商认为其他需要说明的内容组成。</w:t>
      </w:r>
    </w:p>
    <w:p w14:paraId="35B2B49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（2）此报价为供应商针对本项目报出的唯一的首次报价，包含其它一切所要涉及到的费用，有选择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Cs w:val="21"/>
          <w:highlight w:val="none"/>
        </w:rPr>
        <w:t>的报价将被拒绝。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C4FB81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1BEEE71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（5）相关报价表需打印或用不</w:t>
      </w:r>
      <w:r>
        <w:rPr>
          <w:rFonts w:hint="eastAsia" w:ascii="宋体" w:hAnsi="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3B7A301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728F6324">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5FA8E2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（三）磋商响应文件的制作、封装及递交要求</w:t>
      </w:r>
    </w:p>
    <w:p w14:paraId="3145DC14">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DA73E2D">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4BEE1D6A">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45EA589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7520A750">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17F339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2、磋商响应文件的制作要求</w:t>
      </w:r>
    </w:p>
    <w:p w14:paraId="234676C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02ADA7A">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25B7872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w:t>
      </w:r>
      <w:r>
        <w:rPr>
          <w:rFonts w:hint="eastAsia" w:ascii="宋体" w:hAnsi="宋体" w:eastAsia="宋体" w:cs="宋体"/>
          <w:color w:val="auto"/>
          <w:sz w:val="21"/>
          <w:szCs w:val="21"/>
          <w:highlight w:val="none"/>
        </w:rPr>
        <w:t>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0FFF1C3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B65AEA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BB7A6E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4946AB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431859E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3、磋商响应文件的封装要求</w:t>
      </w:r>
    </w:p>
    <w:p w14:paraId="64F02FC6">
      <w:pPr>
        <w:pStyle w:val="5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68368B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36B6AEC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31923FB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6A1CCE6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897FFD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4、磋商响应文件的递交要求</w:t>
      </w:r>
    </w:p>
    <w:p w14:paraId="58942CD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64922FA9">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w:t>
      </w:r>
      <w:r>
        <w:rPr>
          <w:rFonts w:hint="eastAsia" w:ascii="宋体" w:hAnsi="宋体" w:eastAsia="宋体" w:cs="宋体"/>
          <w:b/>
          <w:bCs/>
          <w:color w:val="auto"/>
          <w:szCs w:val="21"/>
          <w:highlight w:val="none"/>
          <w:lang w:val="en-US" w:eastAsia="zh-CN"/>
        </w:rPr>
        <w:t>磋商响应</w:t>
      </w:r>
      <w:r>
        <w:rPr>
          <w:rFonts w:hint="eastAsia" w:ascii="宋体" w:hAnsi="宋体" w:eastAsia="宋体" w:cs="宋体"/>
          <w:b/>
          <w:bCs/>
          <w:color w:val="auto"/>
          <w:szCs w:val="21"/>
          <w:highlight w:val="none"/>
        </w:rPr>
        <w:t>文件的相关说明</w:t>
      </w:r>
    </w:p>
    <w:p w14:paraId="0424598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877C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w:t>
      </w:r>
      <w:r>
        <w:rPr>
          <w:rFonts w:hint="eastAsia" w:ascii="宋体" w:hAnsi="宋体" w:eastAsia="宋体" w:cs="宋体"/>
          <w:b w:val="0"/>
          <w:bCs w:val="0"/>
          <w:color w:val="auto"/>
          <w:kern w:val="2"/>
          <w:sz w:val="21"/>
          <w:szCs w:val="21"/>
          <w:highlight w:val="none"/>
          <w:lang w:val="en-US" w:eastAsia="zh-CN" w:bidi="ar-SA"/>
        </w:rPr>
        <w:t>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534670D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B0868D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5CB4C69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48EFA98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5、磋商响应文件的补充、修改和撤回。</w:t>
      </w:r>
    </w:p>
    <w:p w14:paraId="75C4DE6C">
      <w:pPr>
        <w:pStyle w:val="63"/>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6ED15EC9">
      <w:pPr>
        <w:pStyle w:val="63"/>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162B0F8">
      <w:pPr>
        <w:pStyle w:val="63"/>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73F334A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（四）磋商响应文件的有效期</w:t>
      </w:r>
    </w:p>
    <w:p w14:paraId="10AF85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1、自磋商响应截止日起90天磋商响应文件应保持有效。有效期不足的磋商响应文件将被拒绝。</w:t>
      </w:r>
    </w:p>
    <w:p w14:paraId="602487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2、在符合相关法律法规规定的情况下，采购人可与磋商供应商协商延长磋商响应文件的有效期，这种要求和答复均以书面形式进行。</w:t>
      </w:r>
    </w:p>
    <w:p w14:paraId="5548505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3、磋商供应商可拒绝接受延期要求。同意延长有效期的磋商供应商不能修改磋商响应文件。 </w:t>
      </w:r>
    </w:p>
    <w:p w14:paraId="5A8212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成交供应商的磋商响应文件自磋商之日起至合同履行完毕均应保持有效。</w:t>
      </w:r>
    </w:p>
    <w:p w14:paraId="4C1FEC52">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三、磋商</w:t>
      </w:r>
    </w:p>
    <w:p w14:paraId="5E6BD436">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（一）磋商</w:t>
      </w:r>
      <w:r>
        <w:rPr>
          <w:rFonts w:hint="eastAsia" w:ascii="宋体" w:hAnsi="宋体" w:eastAsia="宋体" w:cs="宋体"/>
          <w:b/>
          <w:bCs/>
          <w:color w:val="auto"/>
          <w:szCs w:val="21"/>
          <w:highlight w:val="none"/>
        </w:rPr>
        <w:t>事项：</w:t>
      </w:r>
    </w:p>
    <w:p w14:paraId="66AB6BB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096105D0">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3D2FA35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C1D0E80">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磋商委员会或磋商小组</w:t>
      </w:r>
    </w:p>
    <w:p w14:paraId="29832BD1">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Cs w:val="21"/>
          <w:highlight w:val="none"/>
          <w:lang w:val="en-US" w:eastAsia="zh-CN"/>
        </w:rPr>
        <w:t>磋商响应</w:t>
      </w:r>
      <w:r>
        <w:rPr>
          <w:rFonts w:hint="eastAsia" w:ascii="宋体" w:hAnsi="宋体" w:eastAsia="宋体" w:cs="宋体"/>
          <w:bCs/>
          <w:color w:val="auto"/>
          <w:szCs w:val="21"/>
          <w:highlight w:val="none"/>
        </w:rPr>
        <w:t xml:space="preserve">文件进行评估和比较。磋商委员会由招标人的代表、专家和其他有关方面的代表组成。 </w:t>
      </w:r>
    </w:p>
    <w:p w14:paraId="55BA5D08">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49F4DFB2">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（三）磋商程序</w:t>
      </w:r>
    </w:p>
    <w:p w14:paraId="35614622">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3772A12A">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19150270">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6964AC14">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600276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6FE4AF4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CA02371">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21727346">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3DEDCFC1">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6B11A0A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6694902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37334FD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70BD3A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84854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w:t>
      </w:r>
      <w:r>
        <w:rPr>
          <w:rFonts w:hint="eastAsia" w:ascii="宋体" w:hAnsi="宋体" w:eastAsia="宋体" w:cs="宋体"/>
          <w:color w:val="auto"/>
          <w:sz w:val="21"/>
          <w:szCs w:val="21"/>
          <w:highlight w:val="none"/>
        </w:rPr>
        <w:t>进行综合评分。</w:t>
      </w:r>
    </w:p>
    <w:p w14:paraId="6B470768">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0345683">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2DC0656A">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rPr>
        <w:t>报价得分及总得分），磋商采购会议结束。</w:t>
      </w:r>
      <w:r>
        <w:rPr>
          <w:rFonts w:hint="eastAsia" w:ascii="宋体" w:hAnsi="宋体" w:eastAsia="宋体" w:cs="宋体"/>
          <w:color w:val="auto"/>
          <w:szCs w:val="21"/>
          <w:highlight w:val="none"/>
        </w:rPr>
        <w:t xml:space="preserve">    </w:t>
      </w:r>
    </w:p>
    <w:p w14:paraId="45F6439F">
      <w:pPr>
        <w:pStyle w:val="13"/>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（四）澄清问题的形式</w:t>
      </w:r>
    </w:p>
    <w:p w14:paraId="1BD52939">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，并不得超出磋商响应文件的范围或者改变磋商响应文件的实质性内容。</w:t>
      </w:r>
    </w:p>
    <w:p w14:paraId="23E0A20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（五）错误修正</w:t>
      </w:r>
    </w:p>
    <w:p w14:paraId="2B11098F">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A15B2A4">
      <w:pPr>
        <w:pStyle w:val="20"/>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088348E6">
      <w:pPr>
        <w:pStyle w:val="20"/>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1952E5E">
      <w:pPr>
        <w:pStyle w:val="20"/>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32F7091B">
      <w:pPr>
        <w:pStyle w:val="20"/>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A968188">
      <w:pPr>
        <w:pStyle w:val="20"/>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w:t>
      </w:r>
      <w:r>
        <w:rPr>
          <w:rFonts w:hint="eastAsia" w:ascii="宋体" w:hAnsi="宋体" w:eastAsia="宋体" w:cs="宋体"/>
          <w:color w:val="auto"/>
          <w:sz w:val="21"/>
          <w:szCs w:val="21"/>
          <w:highlight w:val="none"/>
        </w:rPr>
        <w:t>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583BC30">
      <w:pPr>
        <w:pStyle w:val="20"/>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0A2D5E6A">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1、磋商响应文件中的报价</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跟商务与技术内容中的供应</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出现重大偏差的；</w:t>
      </w:r>
    </w:p>
    <w:p w14:paraId="5A0F65CA">
      <w:pPr>
        <w:pStyle w:val="20"/>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C202844">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5D5F1890">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4、供应商代表人未能出具身份证明或与法定代表人授权委托人身份不符的（受疫情期间影响供应商代表人无需现场参加磋商会议）；</w:t>
      </w:r>
    </w:p>
    <w:p w14:paraId="50EBFD1E">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B8FC66C">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685733DC">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、磋商参数未如实填写，完全复制粘贴招标参数的。</w:t>
      </w:r>
    </w:p>
    <w:p w14:paraId="585F5A0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、磋商响应文件提供虚假材料的。</w:t>
      </w:r>
    </w:p>
    <w:p w14:paraId="77473F77">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不同供应商的磋商响应文件由同一单位或者个人编制；</w:t>
      </w:r>
    </w:p>
    <w:p w14:paraId="3538C8C4">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7782CEFD">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17E51798">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397BA2EE">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7DF0EAA">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、不符合法律、法规和</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中规定的其他实质性要求的（</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中打“▲”内容及被拒绝的条款）。</w:t>
      </w:r>
    </w:p>
    <w:p w14:paraId="7BBAF16C">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569EB767">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、电子响应文件解密失败的，且未在规定时间内提交备份响应文件的；</w:t>
      </w:r>
    </w:p>
    <w:p w14:paraId="229235B8">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、电子响应文件未按规定要求提供电子签章的。</w:t>
      </w:r>
    </w:p>
    <w:p w14:paraId="48CC1A5B">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不同供应商的电子投标（响应）文件上传计算机的网卡MAC地址或硬盘序列号等硬件信息相同且无法合理解释的；</w:t>
      </w:r>
    </w:p>
    <w:p w14:paraId="40D5D4BE">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上传的电子投标（响应）文件若出现使用本项目其他投标（响应）供应商的数字证书加密的，或者加盖本项目其他投标（响应）供应商的电子印章的；</w:t>
      </w:r>
    </w:p>
    <w:p w14:paraId="2790A52B">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不同供应商的投标（响应）文件的内容存在3处（含）以上错误一致的；</w:t>
      </w:r>
    </w:p>
    <w:p w14:paraId="0B322299">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不同供应商联系人为同一人或不同联系人的联系电话一致的。</w:t>
      </w:r>
    </w:p>
    <w:p w14:paraId="3B728BA4">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（七）有下列情况之一的，本次磋商终止</w:t>
      </w:r>
    </w:p>
    <w:p w14:paraId="61B288D8">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39434D9">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265D83D">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D58781">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F58DD2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（八）磋商原则和方法</w:t>
      </w:r>
    </w:p>
    <w:p w14:paraId="25692078">
      <w:pPr>
        <w:pStyle w:val="13"/>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31377E4">
      <w:pPr>
        <w:pStyle w:val="13"/>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2、磋商办法。具体磋商内容及评分标准等详见《第三章：评审</w:t>
      </w:r>
      <w:r>
        <w:rPr>
          <w:rFonts w:hint="eastAsia"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14:paraId="4EF2D61E">
      <w:pPr>
        <w:pStyle w:val="13"/>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（九）评审过程的监控</w:t>
      </w:r>
    </w:p>
    <w:p w14:paraId="327F7562">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2E66622B">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（十）电子交易异常情形处理</w:t>
      </w:r>
    </w:p>
    <w:p w14:paraId="52C4FB6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6FAC1F1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电子交易平台发生故障而无法登录访问的；</w:t>
      </w:r>
    </w:p>
    <w:p w14:paraId="7A744AF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电子交易平台应用或数据库出现错误，不能进行正常操作的；</w:t>
      </w:r>
    </w:p>
    <w:p w14:paraId="3E61BC7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电子交易平台发现严重安全漏洞，有潜在泄密危险的；</w:t>
      </w:r>
    </w:p>
    <w:p w14:paraId="3509BC8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病毒发作导致不能进行正常操作的；</w:t>
      </w:r>
    </w:p>
    <w:p w14:paraId="149433BF">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其他无法保证电子交易的公平、公正和安全的情况。</w:t>
      </w:r>
    </w:p>
    <w:p w14:paraId="27F15347">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546C21B4">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四、磋商结果确定</w:t>
      </w:r>
    </w:p>
    <w:p w14:paraId="2508D74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454BB1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0CD9042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3、发出成交通知书。采购组织机构在发布成交结果同时，向成交供应商发出成交通知书。</w:t>
      </w:r>
    </w:p>
    <w:p w14:paraId="4836887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Cs w:val="21"/>
          <w:highlight w:val="none"/>
          <w:lang w:eastAsia="zh-CN"/>
        </w:rPr>
        <w:t>。</w:t>
      </w:r>
    </w:p>
    <w:p w14:paraId="31D9FB3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招标代理费：按照《国家发展改革委关于 进一步放开建设项目专业服务价格的通知》（发改价格2015 299号）执行，按照中标通知书确定的中标金额，</w:t>
      </w:r>
      <w:r>
        <w:rPr>
          <w:rFonts w:hint="eastAsia" w:ascii="宋体" w:hAnsi="宋体" w:eastAsia="宋体" w:cs="宋体"/>
          <w:color w:val="auto"/>
          <w:szCs w:val="21"/>
          <w:highlight w:val="none"/>
          <w:lang w:val="en-US" w:eastAsia="zh-CN"/>
        </w:rPr>
        <w:t>采用差额累进算法</w:t>
      </w:r>
      <w:r>
        <w:rPr>
          <w:rFonts w:hint="eastAsia" w:ascii="宋体" w:hAnsi="宋体" w:eastAsia="宋体" w:cs="宋体"/>
          <w:color w:val="auto"/>
          <w:szCs w:val="21"/>
          <w:highlight w:val="none"/>
        </w:rPr>
        <w:t>向中标单位收取代理服务费。代理服务费结算不足</w:t>
      </w:r>
      <w:r>
        <w:rPr>
          <w:rFonts w:hint="eastAsia" w:ascii="宋体" w:hAnsi="宋体" w:eastAsia="宋体" w:cs="宋体"/>
          <w:color w:val="auto"/>
          <w:szCs w:val="21"/>
          <w:highlight w:val="none"/>
          <w:lang w:eastAsia="zh-CN"/>
        </w:rPr>
        <w:t>陆仟元</w:t>
      </w:r>
      <w:r>
        <w:rPr>
          <w:rFonts w:hint="eastAsia" w:ascii="宋体" w:hAnsi="宋体" w:eastAsia="宋体" w:cs="宋体"/>
          <w:color w:val="auto"/>
          <w:szCs w:val="21"/>
          <w:highlight w:val="none"/>
        </w:rPr>
        <w:t>的，按定额</w:t>
      </w:r>
      <w:r>
        <w:rPr>
          <w:rFonts w:hint="eastAsia" w:ascii="宋体" w:hAnsi="宋体" w:eastAsia="宋体" w:cs="宋体"/>
          <w:color w:val="auto"/>
          <w:szCs w:val="21"/>
          <w:highlight w:val="none"/>
          <w:lang w:eastAsia="zh-CN"/>
        </w:rPr>
        <w:t>陆仟元</w:t>
      </w:r>
      <w:r>
        <w:rPr>
          <w:rFonts w:hint="eastAsia" w:ascii="宋体" w:hAnsi="宋体" w:eastAsia="宋体" w:cs="宋体"/>
          <w:color w:val="auto"/>
          <w:szCs w:val="21"/>
          <w:highlight w:val="none"/>
        </w:rPr>
        <w:t>收取。该费用中标方须在领取中标通知书时一次性付清。</w:t>
      </w: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577230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6F5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9C76049">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699135</wp:posOffset>
                      </wp:positionH>
                      <wp:positionV relativeFrom="paragraph">
                        <wp:posOffset>25400</wp:posOffset>
                      </wp:positionV>
                      <wp:extent cx="860425" cy="793750"/>
                      <wp:effectExtent l="3175" t="3810" r="12700" b="21590"/>
                      <wp:wrapNone/>
                      <wp:docPr id="4" name="直接连接符 4"/>
                      <wp:cNvGraphicFramePr/>
                      <a:graphic xmlns:a="http://schemas.openxmlformats.org/drawingml/2006/main">
                        <a:graphicData uri="http://schemas.microsoft.com/office/word/2010/wordprocessingShape">
                          <wps:wsp>
                            <wps:cNvCnPr/>
                            <wps:spPr>
                              <a:xfrm>
                                <a:off x="1812925" y="964565"/>
                                <a:ext cx="860425" cy="7937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5.05pt;margin-top:2pt;height:62.5pt;width:67.75pt;z-index:251664384;mso-width-relative:page;mso-height-relative:page;" filled="f" stroked="t" coordsize="21600,21600" o:gfxdata="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xL0q1QAAAAkBAAAPAAAAAAAAAAEAIAAAACIAAABkcnMv&#10;ZG93bnJldi54bWxQSwECFAAUAAAACACHTuJANIwE6AYCAADwAwAADgAAAAAAAAABACAAAAAk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25400</wp:posOffset>
                      </wp:positionV>
                      <wp:extent cx="1615440" cy="800735"/>
                      <wp:effectExtent l="1905" t="4445" r="20955" b="13970"/>
                      <wp:wrapNone/>
                      <wp:docPr id="6" name="直接连接符 6"/>
                      <wp:cNvGraphicFramePr/>
                      <a:graphic xmlns:a="http://schemas.openxmlformats.org/drawingml/2006/main">
                        <a:graphicData uri="http://schemas.microsoft.com/office/word/2010/wordprocessingShape">
                          <wps:wsp>
                            <wps:cNvCnPr/>
                            <wps:spPr>
                              <a:xfrm flipH="1" flipV="1">
                                <a:off x="999490" y="935355"/>
                                <a:ext cx="1615440" cy="80073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5.55pt;margin-top:2pt;height:63.05pt;width:127.2pt;z-index:251665408;mso-width-relative:page;mso-height-relative:page;" filled="f" stroked="t" coordsize="21600,21600" o:gfxdata="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0JUl1AAAAAkBAAAPAAAAAAAAAAEA&#10;IAAAACIAAABkcnMvZG93bnJldi54bWxQSwECFAAUAAAACACHTuJAoQb4EhMCAAAEBAAADgAAAAAA&#10;AAABACAAAAAjAQAAZHJzL2Uyb0RvYy54bWxQSwUGAAAAAAYABgBZAQAAqAU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BD68C04">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48405664">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AC7CB24">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314BCE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8AC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DA86A7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3ACC51D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17DB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ABD60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71BDB3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C90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67E865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CA335B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03F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E2E71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B6F0C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7A51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83796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FFAC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B18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ACEE3E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7D69DE1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4DC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5CF17A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09173C3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D4E3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EB0CCCE">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五、合同签订及公告</w:t>
      </w:r>
    </w:p>
    <w:p w14:paraId="5AC6791A">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0599993B">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06571889">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2AD3E41D">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278CEDC2">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5D508C1">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778A9AD0">
      <w:pPr>
        <w:pStyle w:val="20"/>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71483893">
      <w:pPr>
        <w:pStyle w:val="11"/>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361058AA">
      <w:pPr>
        <w:pStyle w:val="11"/>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2C5A951B">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3C3A47BD">
      <w:pPr>
        <w:spacing w:line="360" w:lineRule="auto"/>
        <w:jc w:val="center"/>
        <w:outlineLvl w:val="0"/>
        <w:rPr>
          <w:rFonts w:hint="eastAsia" w:ascii="宋体" w:hAnsi="宋体" w:eastAsia="宋体" w:cs="宋体"/>
          <w:b/>
          <w:color w:val="auto"/>
          <w:sz w:val="36"/>
          <w:szCs w:val="36"/>
          <w:highlight w:val="none"/>
        </w:rPr>
      </w:pPr>
      <w:bookmarkStart w:id="5" w:name="_GoBack"/>
      <w:bookmarkEnd w:id="5"/>
      <w:r>
        <w:rPr>
          <w:rFonts w:hint="eastAsia" w:ascii="宋体" w:hAnsi="宋体" w:eastAsia="宋体" w:cs="宋体"/>
          <w:b/>
          <w:color w:val="auto"/>
          <w:sz w:val="36"/>
          <w:szCs w:val="36"/>
          <w:highlight w:val="none"/>
        </w:rPr>
        <w:t>第三章 评审办法及评审标准</w:t>
      </w:r>
    </w:p>
    <w:p w14:paraId="15560F72">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70CB6646">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2DE9DCE0">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4BF3DD15">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2EDEE3FD">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71C586C9">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42B25B9D">
      <w:pPr>
        <w:autoSpaceDE w:val="0"/>
        <w:autoSpaceDN w:val="0"/>
        <w:adjustRightInd w:val="0"/>
        <w:spacing w:line="360" w:lineRule="auto"/>
        <w:ind w:right="85"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548F0B42">
      <w:pPr>
        <w:spacing w:line="360" w:lineRule="auto"/>
        <w:ind w:firstLine="420" w:firstLineChars="200"/>
        <w:rPr>
          <w:rFonts w:hint="eastAsia" w:ascii="宋体" w:hAnsi="宋体" w:eastAsia="宋体" w:cs="宋体"/>
          <w:bCs/>
          <w:color w:val="auto"/>
          <w:sz w:val="21"/>
          <w:szCs w:val="21"/>
          <w:highlight w:val="none"/>
          <w:shd w:val="clear" w:color="FFFFFF" w:fill="D9D9D9"/>
          <w:lang w:val="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8DCA69C">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w:t>
      </w:r>
      <w:r>
        <w:rPr>
          <w:rFonts w:hint="eastAsia" w:ascii="宋体" w:hAnsi="宋体" w:eastAsia="宋体" w:cs="宋体"/>
          <w:color w:val="auto"/>
          <w:szCs w:val="21"/>
          <w:highlight w:val="none"/>
          <w:lang w:val="zh-CN"/>
        </w:rPr>
        <w:t>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w:t>
      </w:r>
      <w:r>
        <w:rPr>
          <w:rFonts w:hint="eastAsia" w:ascii="宋体" w:hAnsi="宋体" w:eastAsia="宋体" w:cs="宋体"/>
          <w:color w:val="auto"/>
          <w:szCs w:val="21"/>
          <w:highlight w:val="none"/>
          <w:lang w:val="zh-CN"/>
        </w:rPr>
        <w:t>视同小型、微型企业，享受小微企业政府采购优惠政策。</w:t>
      </w:r>
    </w:p>
    <w:p w14:paraId="29473754">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 xml:space="preserve"> %的扣除，用扣除后的价格计算评标基准价和投标报价。对于联合体投标，小型、微型企业的协议合同金额占到联合体协议合同总金额30%以上的，可给予联合体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590E8BE8">
      <w:pPr>
        <w:pStyle w:val="11"/>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39B60079">
      <w:pPr>
        <w:pStyle w:val="11"/>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14:paraId="3F92EB2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w:t>
      </w:r>
      <w:r>
        <w:rPr>
          <w:rFonts w:hint="eastAsia" w:ascii="宋体" w:hAnsi="宋体" w:eastAsia="宋体" w:cs="宋体"/>
          <w:color w:val="auto"/>
          <w:szCs w:val="21"/>
          <w:highlight w:val="none"/>
          <w:lang w:val="zh-CN"/>
        </w:rPr>
        <w:t>为第二成交候选供应商，评审总得分第三高的为第三成交候选供应商。</w:t>
      </w:r>
    </w:p>
    <w:p w14:paraId="2B3954A1">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四、如综合得分相同，最后报价低者为先；如综合得分且最后报价相同的，以</w:t>
      </w:r>
      <w:r>
        <w:rPr>
          <w:rFonts w:hint="eastAsia" w:ascii="宋体" w:hAnsi="宋体" w:eastAsia="宋体" w:cs="宋体"/>
          <w:color w:val="auto"/>
          <w:szCs w:val="21"/>
          <w:highlight w:val="none"/>
        </w:rPr>
        <w:t>商务</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得分较高者为先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7A7DED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0574532A">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52156AAE">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3"/>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38"/>
        <w:gridCol w:w="6900"/>
        <w:gridCol w:w="671"/>
      </w:tblGrid>
      <w:tr w14:paraId="7DF2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22" w:type="dxa"/>
            <w:gridSpan w:val="2"/>
            <w:tcBorders>
              <w:top w:val="single" w:color="auto" w:sz="4" w:space="0"/>
              <w:left w:val="single" w:color="auto" w:sz="4" w:space="0"/>
              <w:bottom w:val="single" w:color="auto" w:sz="4" w:space="0"/>
              <w:right w:val="single" w:color="auto" w:sz="6" w:space="0"/>
            </w:tcBorders>
            <w:vAlign w:val="center"/>
          </w:tcPr>
          <w:p w14:paraId="1B83D218">
            <w:pPr>
              <w:adjustRightInd w:val="0"/>
              <w:snapToGrid w:val="0"/>
              <w:spacing w:line="240" w:lineRule="auto"/>
              <w:ind w:left="-50"/>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评标因素</w:t>
            </w:r>
          </w:p>
        </w:tc>
        <w:tc>
          <w:tcPr>
            <w:tcW w:w="6900" w:type="dxa"/>
            <w:tcBorders>
              <w:top w:val="single" w:color="auto" w:sz="4" w:space="0"/>
              <w:left w:val="single" w:color="auto" w:sz="4" w:space="0"/>
              <w:bottom w:val="single" w:color="auto" w:sz="6" w:space="0"/>
              <w:right w:val="single" w:color="auto" w:sz="6" w:space="0"/>
            </w:tcBorders>
            <w:vAlign w:val="center"/>
          </w:tcPr>
          <w:p w14:paraId="705F874E">
            <w:pPr>
              <w:adjustRightInd w:val="0"/>
              <w:snapToGrid w:val="0"/>
              <w:spacing w:line="240" w:lineRule="auto"/>
              <w:ind w:left="-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71" w:type="dxa"/>
            <w:tcBorders>
              <w:top w:val="single" w:color="auto" w:sz="4" w:space="0"/>
              <w:left w:val="single" w:color="auto" w:sz="6" w:space="0"/>
              <w:bottom w:val="single" w:color="auto" w:sz="6" w:space="0"/>
              <w:right w:val="single" w:color="auto" w:sz="6" w:space="0"/>
            </w:tcBorders>
            <w:vAlign w:val="center"/>
          </w:tcPr>
          <w:p w14:paraId="29560A45">
            <w:pPr>
              <w:adjustRightInd w:val="0"/>
              <w:snapToGrid w:val="0"/>
              <w:spacing w:line="240" w:lineRule="auto"/>
              <w:ind w:left="-5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分值</w:t>
            </w:r>
          </w:p>
        </w:tc>
      </w:tr>
      <w:tr w14:paraId="41CF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84" w:type="dxa"/>
            <w:vMerge w:val="restart"/>
            <w:tcBorders>
              <w:left w:val="single" w:color="auto" w:sz="4" w:space="0"/>
              <w:right w:val="single" w:color="auto" w:sz="4" w:space="0"/>
            </w:tcBorders>
            <w:vAlign w:val="center"/>
          </w:tcPr>
          <w:p w14:paraId="37638C82">
            <w:pPr>
              <w:adjustRightInd w:val="0"/>
              <w:snapToGrid w:val="0"/>
              <w:spacing w:line="240" w:lineRule="auto"/>
              <w:ind w:left="-50"/>
              <w:jc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66054EC7">
            <w:pPr>
              <w:pStyle w:val="11"/>
              <w:spacing w:line="240" w:lineRule="auto"/>
              <w:rPr>
                <w:rFonts w:hint="eastAsia" w:ascii="宋体" w:hAnsi="宋体" w:eastAsia="宋体" w:cs="宋体"/>
                <w:color w:val="auto"/>
                <w:highlight w:val="none"/>
              </w:rPr>
            </w:pP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val="en-US" w:eastAsia="zh-CN"/>
              </w:rPr>
              <w:t>）</w:t>
            </w:r>
          </w:p>
        </w:tc>
        <w:tc>
          <w:tcPr>
            <w:tcW w:w="1138" w:type="dxa"/>
            <w:tcBorders>
              <w:left w:val="single" w:color="auto" w:sz="4" w:space="0"/>
              <w:right w:val="single" w:color="auto" w:sz="6" w:space="0"/>
            </w:tcBorders>
            <w:vAlign w:val="center"/>
          </w:tcPr>
          <w:p w14:paraId="3B851B4B">
            <w:pPr>
              <w:widowControl/>
              <w:autoSpaceDE w:val="0"/>
              <w:autoSpaceDN w:val="0"/>
              <w:adjustRightInd w:val="0"/>
              <w:snapToGrid w:val="0"/>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企业</w:t>
            </w:r>
            <w:r>
              <w:rPr>
                <w:rFonts w:hint="eastAsia" w:ascii="宋体" w:hAnsi="宋体" w:cs="宋体"/>
                <w:bCs/>
                <w:color w:val="auto"/>
                <w:szCs w:val="21"/>
                <w:highlight w:val="none"/>
                <w:lang w:val="en-US" w:eastAsia="zh-CN"/>
              </w:rPr>
              <w:t>能力</w:t>
            </w:r>
          </w:p>
        </w:tc>
        <w:tc>
          <w:tcPr>
            <w:tcW w:w="6900" w:type="dxa"/>
            <w:tcBorders>
              <w:top w:val="single" w:color="auto" w:sz="4" w:space="0"/>
              <w:left w:val="single" w:color="auto" w:sz="4" w:space="0"/>
              <w:bottom w:val="single" w:color="auto" w:sz="6" w:space="0"/>
              <w:right w:val="single" w:color="auto" w:sz="6" w:space="0"/>
            </w:tcBorders>
            <w:vAlign w:val="center"/>
          </w:tcPr>
          <w:p w14:paraId="3D4EC5C5">
            <w:pPr>
              <w:pStyle w:val="5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根据投标人企业履约能力、服务能力、企业信誉等综合打分。</w:t>
            </w:r>
          </w:p>
          <w:p w14:paraId="4A421DCE">
            <w:pPr>
              <w:pStyle w:val="58"/>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一档得5分；二档得4.5分；三档得4分；四档得3.5分；五档得3分；六档得2.5分；七档得2分；八档得1.5分；九档得1分；未提及此项不得分。</w:t>
            </w:r>
          </w:p>
        </w:tc>
        <w:tc>
          <w:tcPr>
            <w:tcW w:w="671" w:type="dxa"/>
            <w:tcBorders>
              <w:top w:val="single" w:color="auto" w:sz="4" w:space="0"/>
              <w:left w:val="single" w:color="auto" w:sz="6" w:space="0"/>
              <w:bottom w:val="single" w:color="auto" w:sz="6" w:space="0"/>
              <w:right w:val="single" w:color="auto" w:sz="6" w:space="0"/>
            </w:tcBorders>
            <w:vAlign w:val="center"/>
          </w:tcPr>
          <w:p w14:paraId="76794EA8">
            <w:pPr>
              <w:pStyle w:val="58"/>
              <w:spacing w:line="240" w:lineRule="auto"/>
              <w:jc w:val="center"/>
              <w:rPr>
                <w:rFonts w:hint="eastAsia" w:ascii="宋体" w:hAnsi="宋体" w:eastAsia="宋体" w:cs="宋体"/>
                <w:b/>
                <w:bCs/>
                <w:color w:val="auto"/>
                <w:szCs w:val="21"/>
                <w:highlight w:val="none"/>
              </w:rPr>
            </w:pPr>
            <w:r>
              <w:rPr>
                <w:rFonts w:hint="eastAsia" w:hAnsi="宋体" w:cs="宋体"/>
                <w:color w:val="auto"/>
                <w:sz w:val="21"/>
                <w:szCs w:val="21"/>
                <w:highlight w:val="none"/>
                <w:lang w:val="en-US" w:eastAsia="zh-CN"/>
              </w:rPr>
              <w:t>5</w:t>
            </w:r>
          </w:p>
        </w:tc>
      </w:tr>
      <w:tr w14:paraId="7E64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4" w:type="dxa"/>
            <w:vMerge w:val="continue"/>
            <w:tcBorders>
              <w:left w:val="single" w:color="auto" w:sz="4" w:space="0"/>
              <w:right w:val="single" w:color="auto" w:sz="4" w:space="0"/>
            </w:tcBorders>
            <w:vAlign w:val="center"/>
          </w:tcPr>
          <w:p w14:paraId="47A98CAE">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667B8CA1">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承接经验</w:t>
            </w:r>
          </w:p>
        </w:tc>
        <w:tc>
          <w:tcPr>
            <w:tcW w:w="6900" w:type="dxa"/>
            <w:vAlign w:val="center"/>
          </w:tcPr>
          <w:p w14:paraId="2F8BE63B">
            <w:pPr>
              <w:pStyle w:val="58"/>
              <w:spacing w:line="240" w:lineRule="auto"/>
              <w:rPr>
                <w:rFonts w:hint="eastAsia" w:ascii="宋体" w:hAnsi="宋体" w:eastAsia="宋体" w:cs="宋体"/>
                <w:snapToGrid w:val="0"/>
                <w:color w:val="auto"/>
                <w:kern w:val="0"/>
                <w:szCs w:val="21"/>
                <w:highlight w:val="none"/>
              </w:rPr>
            </w:pPr>
            <w:r>
              <w:rPr>
                <w:rFonts w:hint="eastAsia" w:hAnsi="宋体" w:cs="宋体"/>
                <w:color w:val="auto"/>
                <w:sz w:val="21"/>
                <w:szCs w:val="21"/>
                <w:highlight w:val="none"/>
              </w:rPr>
              <w:t>投标人自202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年1月1日以来（以合同签订时间为准）</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具有</w:t>
            </w:r>
            <w:r>
              <w:rPr>
                <w:rFonts w:hint="eastAsia" w:hAnsi="宋体" w:cs="宋体"/>
                <w:color w:val="auto"/>
                <w:sz w:val="21"/>
                <w:szCs w:val="21"/>
                <w:highlight w:val="none"/>
              </w:rPr>
              <w:t>类似项目业绩证明，每提供1个得1分，</w:t>
            </w:r>
            <w:r>
              <w:rPr>
                <w:rFonts w:hint="eastAsia" w:hAnsi="宋体" w:cs="宋体"/>
                <w:color w:val="auto"/>
                <w:sz w:val="21"/>
                <w:szCs w:val="21"/>
                <w:highlight w:val="none"/>
                <w:lang w:val="en-US" w:eastAsia="zh-CN"/>
              </w:rPr>
              <w:t>本项</w:t>
            </w:r>
            <w:r>
              <w:rPr>
                <w:rFonts w:hint="eastAsia" w:hAnsi="宋体" w:cs="宋体"/>
                <w:color w:val="auto"/>
                <w:sz w:val="21"/>
                <w:szCs w:val="21"/>
                <w:highlight w:val="none"/>
              </w:rPr>
              <w:t>最高得2分。</w:t>
            </w:r>
            <w:r>
              <w:rPr>
                <w:rFonts w:hint="eastAsia" w:hAnsi="宋体" w:cs="宋体"/>
                <w:b/>
                <w:bCs/>
                <w:color w:val="auto"/>
                <w:sz w:val="21"/>
                <w:szCs w:val="21"/>
                <w:highlight w:val="none"/>
              </w:rPr>
              <w:t>（须提供有效的合同扫描件并加盖投标人公章编入投标文件中，未提供的不得分）</w:t>
            </w:r>
          </w:p>
        </w:tc>
        <w:tc>
          <w:tcPr>
            <w:tcW w:w="671" w:type="dxa"/>
            <w:vAlign w:val="center"/>
          </w:tcPr>
          <w:p w14:paraId="51BDE6CE">
            <w:pPr>
              <w:pStyle w:val="58"/>
              <w:spacing w:line="240" w:lineRule="auto"/>
              <w:jc w:val="center"/>
              <w:rPr>
                <w:rFonts w:hint="eastAsia" w:ascii="宋体" w:hAnsi="宋体" w:eastAsia="宋体" w:cs="宋体"/>
                <w:snapToGrid w:val="0"/>
                <w:color w:val="auto"/>
                <w:kern w:val="0"/>
                <w:szCs w:val="21"/>
                <w:highlight w:val="none"/>
              </w:rPr>
            </w:pPr>
            <w:r>
              <w:rPr>
                <w:rFonts w:hint="eastAsia" w:hAnsi="宋体" w:cs="宋体"/>
                <w:color w:val="auto"/>
                <w:sz w:val="21"/>
                <w:szCs w:val="21"/>
                <w:highlight w:val="none"/>
              </w:rPr>
              <w:t>2</w:t>
            </w:r>
          </w:p>
        </w:tc>
      </w:tr>
      <w:tr w14:paraId="7BE9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084" w:type="dxa"/>
            <w:vMerge w:val="continue"/>
            <w:tcBorders>
              <w:left w:val="single" w:color="auto" w:sz="4" w:space="0"/>
              <w:right w:val="single" w:color="auto" w:sz="4" w:space="0"/>
            </w:tcBorders>
            <w:vAlign w:val="center"/>
          </w:tcPr>
          <w:p w14:paraId="484872D0">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restart"/>
            <w:vAlign w:val="center"/>
          </w:tcPr>
          <w:p w14:paraId="0170FB84">
            <w:pPr>
              <w:widowControl/>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项目组</w:t>
            </w:r>
            <w:r>
              <w:rPr>
                <w:rFonts w:hint="eastAsia" w:ascii="宋体" w:hAnsi="宋体" w:cs="宋体"/>
                <w:color w:val="auto"/>
                <w:kern w:val="0"/>
                <w:szCs w:val="21"/>
                <w:highlight w:val="none"/>
                <w:lang w:val="en-US" w:eastAsia="zh-CN"/>
              </w:rPr>
              <w:t>成员</w:t>
            </w:r>
          </w:p>
        </w:tc>
        <w:tc>
          <w:tcPr>
            <w:tcW w:w="6900" w:type="dxa"/>
            <w:vAlign w:val="center"/>
          </w:tcPr>
          <w:p w14:paraId="117835D0">
            <w:pPr>
              <w:keepNext w:val="0"/>
              <w:keepLines w:val="0"/>
              <w:pageBreakBefore w:val="0"/>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p>
          <w:p w14:paraId="2A3B27AA">
            <w:pPr>
              <w:keepNext w:val="0"/>
              <w:keepLines w:val="0"/>
              <w:pageBreakBefore w:val="0"/>
              <w:numPr>
                <w:ilvl w:val="0"/>
                <w:numId w:val="0"/>
              </w:numPr>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具有信息系统项目管理师资格证书的得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5F169F">
            <w:pPr>
              <w:keepNext w:val="0"/>
              <w:keepLines w:val="0"/>
              <w:pageBreakBefore w:val="0"/>
              <w:numPr>
                <w:ilvl w:val="0"/>
                <w:numId w:val="0"/>
              </w:numPr>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u w:val="none"/>
                <w:lang w:val="en-US" w:eastAsia="zh-CN"/>
              </w:rPr>
              <w:t>通信</w:t>
            </w:r>
            <w:r>
              <w:rPr>
                <w:rFonts w:hint="eastAsia" w:ascii="宋体" w:hAnsi="宋体" w:cs="宋体"/>
                <w:color w:val="auto"/>
                <w:sz w:val="21"/>
                <w:szCs w:val="21"/>
                <w:highlight w:val="none"/>
                <w:u w:val="none"/>
                <w:lang w:val="en-US" w:eastAsia="zh-CN"/>
              </w:rPr>
              <w:t>专业技术人员职业</w:t>
            </w:r>
            <w:r>
              <w:rPr>
                <w:rFonts w:hint="eastAsia" w:ascii="宋体" w:hAnsi="宋体" w:eastAsia="宋体" w:cs="宋体"/>
                <w:color w:val="auto"/>
                <w:sz w:val="21"/>
                <w:szCs w:val="21"/>
                <w:highlight w:val="none"/>
              </w:rPr>
              <w:t>资格证书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u w:val="none"/>
                <w:lang w:val="en-US" w:eastAsia="zh-CN"/>
              </w:rPr>
              <w:t>终端与业务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的得</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rPr>
              <w:t>；</w:t>
            </w:r>
          </w:p>
          <w:p w14:paraId="2A1B4EE9">
            <w:pPr>
              <w:keepNext w:val="0"/>
              <w:keepLines w:val="0"/>
              <w:pageBreakBefore w:val="0"/>
              <w:numPr>
                <w:ilvl w:val="0"/>
                <w:numId w:val="0"/>
              </w:numPr>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b/>
                <w:bCs/>
                <w:color w:val="auto"/>
                <w:kern w:val="0"/>
                <w:szCs w:val="21"/>
                <w:highlight w:val="none"/>
              </w:rPr>
              <w:t>（需提供</w:t>
            </w:r>
            <w:r>
              <w:rPr>
                <w:rFonts w:hint="eastAsia" w:ascii="宋体" w:hAnsi="宋体" w:eastAsia="宋体" w:cs="宋体"/>
                <w:b/>
                <w:bCs/>
                <w:color w:val="auto"/>
                <w:kern w:val="0"/>
                <w:szCs w:val="21"/>
                <w:highlight w:val="none"/>
                <w:lang w:val="en-US" w:eastAsia="zh-CN"/>
              </w:rPr>
              <w:t>相关</w:t>
            </w:r>
            <w:r>
              <w:rPr>
                <w:rFonts w:hint="eastAsia" w:ascii="宋体" w:hAnsi="宋体" w:eastAsia="宋体" w:cs="宋体"/>
                <w:b/>
                <w:bCs/>
                <w:color w:val="auto"/>
                <w:kern w:val="0"/>
                <w:szCs w:val="21"/>
                <w:highlight w:val="none"/>
              </w:rPr>
              <w:t>证书</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w:t>
            </w:r>
            <w:r>
              <w:rPr>
                <w:rFonts w:hint="eastAsia" w:ascii="宋体" w:hAnsi="宋体" w:eastAsia="宋体" w:cs="宋体"/>
                <w:b/>
                <w:bCs w:val="0"/>
                <w:color w:val="auto"/>
                <w:kern w:val="2"/>
                <w:sz w:val="21"/>
                <w:szCs w:val="21"/>
                <w:highlight w:val="none"/>
                <w:lang w:val="en-US" w:eastAsia="zh-CN" w:bidi="ar-SA"/>
              </w:rPr>
              <w:t>以及投标单位出具的社保材料</w:t>
            </w:r>
            <w:r>
              <w:rPr>
                <w:rFonts w:hint="eastAsia" w:ascii="宋体" w:hAnsi="宋体" w:eastAsia="宋体" w:cs="宋体"/>
                <w:b/>
                <w:bCs w:val="0"/>
                <w:color w:val="auto"/>
                <w:kern w:val="2"/>
                <w:sz w:val="21"/>
                <w:szCs w:val="21"/>
                <w:highlight w:val="none"/>
                <w:lang w:val="en-US" w:eastAsia="zh-CN" w:bidi="ar-SA"/>
              </w:rPr>
              <w:t>并加盖投标人公章编入投标文件中，未提供或提供不全的不得分</w:t>
            </w:r>
            <w:r>
              <w:rPr>
                <w:rFonts w:hint="eastAsia" w:ascii="宋体" w:hAnsi="宋体" w:eastAsia="宋体" w:cs="宋体"/>
                <w:b/>
                <w:bCs/>
                <w:color w:val="auto"/>
                <w:kern w:val="0"/>
                <w:szCs w:val="21"/>
                <w:highlight w:val="none"/>
              </w:rPr>
              <w:t>）</w:t>
            </w:r>
          </w:p>
        </w:tc>
        <w:tc>
          <w:tcPr>
            <w:tcW w:w="671" w:type="dxa"/>
            <w:vAlign w:val="center"/>
          </w:tcPr>
          <w:p w14:paraId="63D99DAE">
            <w:pPr>
              <w:widowControl/>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w:t>
            </w:r>
          </w:p>
        </w:tc>
      </w:tr>
      <w:tr w14:paraId="1CF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84" w:type="dxa"/>
            <w:vMerge w:val="continue"/>
            <w:tcBorders>
              <w:left w:val="single" w:color="auto" w:sz="4" w:space="0"/>
              <w:right w:val="single" w:color="auto" w:sz="4" w:space="0"/>
            </w:tcBorders>
            <w:vAlign w:val="center"/>
          </w:tcPr>
          <w:p w14:paraId="2B26CE3E">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1AE4A6A5">
            <w:pPr>
              <w:widowControl/>
              <w:adjustRightInd w:val="0"/>
              <w:snapToGrid w:val="0"/>
              <w:spacing w:line="240" w:lineRule="auto"/>
              <w:jc w:val="center"/>
              <w:rPr>
                <w:rFonts w:hint="eastAsia" w:ascii="宋体" w:hAnsi="宋体" w:eastAsia="宋体" w:cs="宋体"/>
                <w:color w:val="auto"/>
                <w:szCs w:val="21"/>
                <w:highlight w:val="none"/>
              </w:rPr>
            </w:pPr>
          </w:p>
        </w:tc>
        <w:tc>
          <w:tcPr>
            <w:tcW w:w="6900" w:type="dxa"/>
            <w:vAlign w:val="center"/>
          </w:tcPr>
          <w:p w14:paraId="6FE52E9B">
            <w:pPr>
              <w:keepNext w:val="0"/>
              <w:keepLines w:val="0"/>
              <w:pageBreakBefore w:val="0"/>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拟派本项目的项目组成员（项目负责人除外）</w:t>
            </w:r>
            <w:r>
              <w:rPr>
                <w:rFonts w:hint="eastAsia" w:ascii="宋体" w:hAnsi="宋体" w:cs="宋体"/>
                <w:color w:val="auto"/>
                <w:kern w:val="0"/>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网络工程师（中级）、</w:t>
            </w:r>
            <w:r>
              <w:rPr>
                <w:rFonts w:hint="eastAsia" w:ascii="宋体" w:hAnsi="宋体" w:eastAsia="宋体" w:cs="宋体"/>
                <w:color w:val="auto"/>
                <w:sz w:val="21"/>
                <w:szCs w:val="21"/>
                <w:highlight w:val="none"/>
              </w:rPr>
              <w:t>信息系统运维管理工程师（高级）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系统集成项目管理工程师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中级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的，每种得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71D5B29">
            <w:pPr>
              <w:keepNext w:val="0"/>
              <w:keepLines w:val="0"/>
              <w:pageBreakBefore w:val="0"/>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同一人员不重复得分。</w:t>
            </w:r>
            <w:r>
              <w:rPr>
                <w:rFonts w:hint="eastAsia" w:ascii="宋体" w:hAnsi="宋体" w:eastAsia="宋体" w:cs="宋体"/>
                <w:b/>
                <w:bCs/>
                <w:color w:val="auto"/>
                <w:kern w:val="0"/>
                <w:szCs w:val="21"/>
                <w:highlight w:val="none"/>
              </w:rPr>
              <w:t>（需提供</w:t>
            </w:r>
            <w:r>
              <w:rPr>
                <w:rFonts w:hint="eastAsia" w:ascii="宋体" w:hAnsi="宋体" w:eastAsia="宋体" w:cs="宋体"/>
                <w:b/>
                <w:bCs/>
                <w:color w:val="auto"/>
                <w:kern w:val="0"/>
                <w:szCs w:val="21"/>
                <w:highlight w:val="none"/>
                <w:lang w:val="en-US" w:eastAsia="zh-CN"/>
              </w:rPr>
              <w:t>相关</w:t>
            </w:r>
            <w:r>
              <w:rPr>
                <w:rFonts w:hint="eastAsia" w:ascii="宋体" w:hAnsi="宋体" w:eastAsia="宋体" w:cs="宋体"/>
                <w:b/>
                <w:bCs/>
                <w:color w:val="auto"/>
                <w:kern w:val="0"/>
                <w:szCs w:val="21"/>
                <w:highlight w:val="none"/>
              </w:rPr>
              <w:t>证书</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w:t>
            </w:r>
            <w:r>
              <w:rPr>
                <w:rFonts w:hint="eastAsia" w:ascii="宋体" w:hAnsi="宋体" w:eastAsia="宋体" w:cs="宋体"/>
                <w:b/>
                <w:bCs w:val="0"/>
                <w:color w:val="auto"/>
                <w:kern w:val="2"/>
                <w:sz w:val="21"/>
                <w:szCs w:val="21"/>
                <w:highlight w:val="none"/>
                <w:lang w:val="en-US" w:eastAsia="zh-CN" w:bidi="ar-SA"/>
              </w:rPr>
              <w:t>以及投标单位出具的社保材料</w:t>
            </w:r>
            <w:r>
              <w:rPr>
                <w:rFonts w:hint="eastAsia" w:ascii="宋体" w:hAnsi="宋体" w:eastAsia="宋体" w:cs="宋体"/>
                <w:b/>
                <w:bCs w:val="0"/>
                <w:color w:val="auto"/>
                <w:kern w:val="2"/>
                <w:sz w:val="21"/>
                <w:szCs w:val="21"/>
                <w:highlight w:val="none"/>
                <w:lang w:val="en-US" w:eastAsia="zh-CN" w:bidi="ar-SA"/>
              </w:rPr>
              <w:t>并加盖投标人公章编入投标文件中，未提供或提供不全的不得分</w:t>
            </w:r>
            <w:r>
              <w:rPr>
                <w:rFonts w:hint="eastAsia" w:ascii="宋体" w:hAnsi="宋体" w:eastAsia="宋体" w:cs="宋体"/>
                <w:b/>
                <w:bCs/>
                <w:color w:val="auto"/>
                <w:kern w:val="0"/>
                <w:szCs w:val="21"/>
                <w:highlight w:val="none"/>
              </w:rPr>
              <w:t>）</w:t>
            </w:r>
          </w:p>
        </w:tc>
        <w:tc>
          <w:tcPr>
            <w:tcW w:w="671" w:type="dxa"/>
            <w:vAlign w:val="center"/>
          </w:tcPr>
          <w:p w14:paraId="3D1BA70F">
            <w:pPr>
              <w:widowControl/>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3</w:t>
            </w:r>
          </w:p>
        </w:tc>
      </w:tr>
      <w:tr w14:paraId="2048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84" w:type="dxa"/>
            <w:vMerge w:val="restart"/>
            <w:vAlign w:val="center"/>
          </w:tcPr>
          <w:p w14:paraId="2A01EC68">
            <w:pPr>
              <w:adjustRightInd w:val="0"/>
              <w:snapToGrid w:val="0"/>
              <w:spacing w:line="240" w:lineRule="auto"/>
              <w:ind w:left="-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r>
              <w:rPr>
                <w:rFonts w:hint="eastAsia" w:ascii="宋体" w:hAnsi="宋体" w:cs="宋体"/>
                <w:bCs/>
                <w:color w:val="auto"/>
                <w:szCs w:val="21"/>
                <w:highlight w:val="none"/>
                <w:lang w:val="en-US" w:eastAsia="zh-CN"/>
              </w:rPr>
              <w:t>68</w:t>
            </w:r>
            <w:r>
              <w:rPr>
                <w:rFonts w:hint="eastAsia" w:ascii="宋体" w:hAnsi="宋体" w:eastAsia="宋体" w:cs="宋体"/>
                <w:bCs/>
                <w:color w:val="auto"/>
                <w:szCs w:val="21"/>
                <w:highlight w:val="none"/>
              </w:rPr>
              <w:t>分）</w:t>
            </w:r>
          </w:p>
        </w:tc>
        <w:tc>
          <w:tcPr>
            <w:tcW w:w="1138" w:type="dxa"/>
            <w:vAlign w:val="center"/>
          </w:tcPr>
          <w:p w14:paraId="7A55A68A">
            <w:pPr>
              <w:pStyle w:val="58"/>
              <w:spacing w:line="240" w:lineRule="auto"/>
              <w:jc w:val="center"/>
              <w:rPr>
                <w:rFonts w:hint="eastAsia" w:ascii="宋体" w:hAnsi="宋体" w:eastAsia="宋体" w:cs="宋体"/>
                <w:color w:val="auto"/>
                <w:kern w:val="0"/>
                <w:szCs w:val="21"/>
                <w:highlight w:val="none"/>
              </w:rPr>
            </w:pPr>
            <w:r>
              <w:rPr>
                <w:rFonts w:hint="eastAsia" w:hAnsi="宋体" w:cs="宋体"/>
                <w:bCs/>
                <w:color w:val="auto"/>
                <w:sz w:val="21"/>
                <w:szCs w:val="21"/>
                <w:highlight w:val="none"/>
              </w:rPr>
              <w:t>现状分析</w:t>
            </w:r>
          </w:p>
        </w:tc>
        <w:tc>
          <w:tcPr>
            <w:tcW w:w="6900" w:type="dxa"/>
            <w:vAlign w:val="center"/>
          </w:tcPr>
          <w:p w14:paraId="216315EE">
            <w:pPr>
              <w:autoSpaceDE w:val="0"/>
              <w:autoSpaceDN w:val="0"/>
              <w:adjustRightIn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根据投标人对黄岩区环境空气质量、道路微站、VOCs和扬尘污染、空气污染情况、降尘措施等方面现状的了解程度</w:t>
            </w:r>
            <w:r>
              <w:rPr>
                <w:rFonts w:hint="eastAsia" w:ascii="宋体" w:hAnsi="宋体" w:eastAsia="宋体" w:cs="宋体"/>
                <w:color w:val="auto"/>
                <w:kern w:val="0"/>
                <w:sz w:val="21"/>
                <w:szCs w:val="21"/>
                <w:highlight w:val="none"/>
                <w:lang w:val="en-US" w:eastAsia="zh-CN" w:bidi="ar-SA"/>
              </w:rPr>
              <w:t>以及分析</w:t>
            </w:r>
            <w:r>
              <w:rPr>
                <w:rFonts w:hint="eastAsia" w:ascii="宋体" w:hAnsi="宋体" w:eastAsia="宋体" w:cs="宋体"/>
                <w:color w:val="auto"/>
                <w:kern w:val="0"/>
                <w:sz w:val="21"/>
                <w:szCs w:val="21"/>
                <w:highlight w:val="none"/>
                <w:lang w:val="en-US" w:eastAsia="zh-CN" w:bidi="ar-SA"/>
              </w:rPr>
              <w:t>进行打分。</w:t>
            </w:r>
          </w:p>
          <w:p w14:paraId="22A47C34">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一档得5分；二档得4.5分；三档得4分；四档得3.5分；五档得3分；六档得2.5分；七档得2分；八档得1.5分；九档得1分；未提及此项不得分。</w:t>
            </w:r>
          </w:p>
        </w:tc>
        <w:tc>
          <w:tcPr>
            <w:tcW w:w="671" w:type="dxa"/>
            <w:vAlign w:val="center"/>
          </w:tcPr>
          <w:p w14:paraId="6B3F60E1">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5</w:t>
            </w:r>
          </w:p>
        </w:tc>
      </w:tr>
      <w:tr w14:paraId="133C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84" w:type="dxa"/>
            <w:vMerge w:val="continue"/>
            <w:vAlign w:val="center"/>
          </w:tcPr>
          <w:p w14:paraId="04465093">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39F06BA8">
            <w:pPr>
              <w:widowControl/>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bCs/>
                <w:color w:val="auto"/>
                <w:szCs w:val="21"/>
                <w:highlight w:val="none"/>
              </w:rPr>
              <w:t>重难点分析</w:t>
            </w:r>
          </w:p>
        </w:tc>
        <w:tc>
          <w:tcPr>
            <w:tcW w:w="6900" w:type="dxa"/>
            <w:vAlign w:val="center"/>
          </w:tcPr>
          <w:p w14:paraId="1906672E">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根据投标人对本项目具体工作过程可能遇到的重点难点分析进行打分。</w:t>
            </w:r>
          </w:p>
          <w:p w14:paraId="43BD6855">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一档得5分；二档得4.5分；三档得4分；四档得3.5分；五档得3分；六档得2.5分；七档得2分；八档得1.5分；九档得1分；未提及此项不得分。</w:t>
            </w:r>
          </w:p>
        </w:tc>
        <w:tc>
          <w:tcPr>
            <w:tcW w:w="671" w:type="dxa"/>
            <w:vAlign w:val="center"/>
          </w:tcPr>
          <w:p w14:paraId="69BF452B">
            <w:pPr>
              <w:tabs>
                <w:tab w:val="left" w:pos="780"/>
              </w:tabs>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5</w:t>
            </w:r>
          </w:p>
        </w:tc>
      </w:tr>
      <w:tr w14:paraId="249D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4" w:type="dxa"/>
            <w:vMerge w:val="continue"/>
            <w:vAlign w:val="center"/>
          </w:tcPr>
          <w:p w14:paraId="790DE2F2">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2DBAF6C4">
            <w:pPr>
              <w:widowControl/>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bCs/>
                <w:color w:val="auto"/>
                <w:szCs w:val="21"/>
                <w:highlight w:val="none"/>
              </w:rPr>
              <w:t>重难点解决方案</w:t>
            </w:r>
          </w:p>
        </w:tc>
        <w:tc>
          <w:tcPr>
            <w:tcW w:w="6900" w:type="dxa"/>
            <w:vAlign w:val="center"/>
          </w:tcPr>
          <w:p w14:paraId="36D5F4E3">
            <w:pPr>
              <w:autoSpaceDE w:val="0"/>
              <w:autoSpaceDN w:val="0"/>
              <w:adjustRightIn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根据投标人对项目实施过程中可能出现的重难点问题拟采取的解决措施进行打分。</w:t>
            </w:r>
          </w:p>
          <w:p w14:paraId="29747929">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一档得5分；二档得4.5分；三档得4分；四档得3.5分；五档得3分；六档得2.5分；七档得2分；八档得1.5分；九档得1分；未提及此项不得分。</w:t>
            </w:r>
          </w:p>
        </w:tc>
        <w:tc>
          <w:tcPr>
            <w:tcW w:w="671" w:type="dxa"/>
            <w:vAlign w:val="center"/>
          </w:tcPr>
          <w:p w14:paraId="6A6C5BED">
            <w:pPr>
              <w:tabs>
                <w:tab w:val="left" w:pos="780"/>
              </w:tabs>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5</w:t>
            </w:r>
          </w:p>
        </w:tc>
      </w:tr>
      <w:tr w14:paraId="7B92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84" w:type="dxa"/>
            <w:vMerge w:val="continue"/>
            <w:vAlign w:val="center"/>
          </w:tcPr>
          <w:p w14:paraId="0E002201">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restart"/>
            <w:vAlign w:val="center"/>
          </w:tcPr>
          <w:p w14:paraId="1F6AA3FF">
            <w:pPr>
              <w:pStyle w:val="58"/>
              <w:spacing w:line="240" w:lineRule="auto"/>
              <w:jc w:val="center"/>
              <w:rPr>
                <w:rFonts w:hint="eastAsia" w:ascii="宋体" w:hAnsi="宋体" w:eastAsia="宋体" w:cs="宋体"/>
                <w:color w:val="auto"/>
                <w:highlight w:val="none"/>
              </w:rPr>
            </w:pPr>
            <w:r>
              <w:rPr>
                <w:rFonts w:hint="eastAsia" w:hAnsi="宋体" w:cs="宋体"/>
                <w:color w:val="auto"/>
                <w:sz w:val="21"/>
                <w:szCs w:val="21"/>
                <w:highlight w:val="none"/>
              </w:rPr>
              <w:t>实施方案</w:t>
            </w:r>
          </w:p>
        </w:tc>
        <w:tc>
          <w:tcPr>
            <w:tcW w:w="6900" w:type="dxa"/>
            <w:vAlign w:val="center"/>
          </w:tcPr>
          <w:p w14:paraId="656DD686">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w:t>
            </w:r>
            <w:r>
              <w:rPr>
                <w:rFonts w:hint="eastAsia" w:hAnsi="宋体" w:cs="宋体"/>
                <w:b/>
                <w:bCs/>
                <w:color w:val="auto"/>
                <w:sz w:val="21"/>
                <w:szCs w:val="21"/>
                <w:highlight w:val="none"/>
              </w:rPr>
              <w:t>颗粒物走航监测及人工巡查服务</w:t>
            </w:r>
            <w:r>
              <w:rPr>
                <w:rFonts w:hint="eastAsia" w:hAnsi="宋体" w:cs="宋体"/>
                <w:b w:val="0"/>
                <w:bCs w:val="0"/>
                <w:color w:val="auto"/>
                <w:sz w:val="21"/>
                <w:szCs w:val="21"/>
                <w:highlight w:val="none"/>
              </w:rPr>
              <w:t>等方面工作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211C863C">
            <w:pPr>
              <w:pStyle w:val="58"/>
              <w:spacing w:line="240" w:lineRule="auto"/>
              <w:rPr>
                <w:rFonts w:hint="eastAsia" w:ascii="宋体" w:hAnsi="宋体" w:eastAsia="宋体" w:cs="宋体"/>
                <w:color w:val="auto"/>
                <w:kern w:val="0"/>
                <w:szCs w:val="21"/>
                <w:highlight w:val="none"/>
              </w:rPr>
            </w:pPr>
            <w:r>
              <w:rPr>
                <w:rFonts w:hint="eastAsia" w:hAnsi="宋体" w:cs="宋体"/>
                <w:color w:val="auto"/>
                <w:sz w:val="21"/>
                <w:szCs w:val="21"/>
                <w:highlight w:val="none"/>
              </w:rPr>
              <w:t>一档得4分；二档得3.5分；三档得3分；四档得2.5分；五档得2分；六档得1.5分；七档得1分；八档得0.5分；未提及此项不得分。</w:t>
            </w:r>
          </w:p>
        </w:tc>
        <w:tc>
          <w:tcPr>
            <w:tcW w:w="671" w:type="dxa"/>
            <w:vAlign w:val="center"/>
          </w:tcPr>
          <w:p w14:paraId="42F60E60">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5</w:t>
            </w:r>
          </w:p>
        </w:tc>
      </w:tr>
      <w:tr w14:paraId="0D75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5F7A9347">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3AE62829">
            <w:pPr>
              <w:pStyle w:val="58"/>
              <w:spacing w:line="240" w:lineRule="auto"/>
              <w:jc w:val="center"/>
              <w:rPr>
                <w:rFonts w:hint="eastAsia" w:ascii="宋体" w:hAnsi="宋体" w:eastAsia="宋体" w:cs="宋体"/>
                <w:color w:val="auto"/>
                <w:spacing w:val="10"/>
                <w:szCs w:val="21"/>
                <w:highlight w:val="none"/>
              </w:rPr>
            </w:pPr>
          </w:p>
        </w:tc>
        <w:tc>
          <w:tcPr>
            <w:tcW w:w="6900" w:type="dxa"/>
            <w:vAlign w:val="center"/>
          </w:tcPr>
          <w:p w14:paraId="65A16BC8">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w:t>
            </w:r>
            <w:r>
              <w:rPr>
                <w:rFonts w:hint="eastAsia" w:hAnsi="宋体" w:cs="宋体"/>
                <w:b/>
                <w:bCs/>
                <w:color w:val="auto"/>
                <w:sz w:val="21"/>
                <w:szCs w:val="21"/>
                <w:highlight w:val="none"/>
                <w:lang w:val="en-US" w:eastAsia="zh-CN"/>
              </w:rPr>
              <w:t>空气质量</w:t>
            </w:r>
            <w:r>
              <w:rPr>
                <w:rFonts w:hint="eastAsia" w:hAnsi="宋体" w:cs="宋体"/>
                <w:b/>
                <w:bCs/>
                <w:color w:val="auto"/>
                <w:sz w:val="21"/>
                <w:szCs w:val="21"/>
                <w:highlight w:val="none"/>
              </w:rPr>
              <w:t>数据时间维度、空间维度</w:t>
            </w:r>
            <w:r>
              <w:rPr>
                <w:rFonts w:hint="eastAsia" w:hAnsi="宋体" w:cs="宋体"/>
                <w:b w:val="0"/>
                <w:bCs w:val="0"/>
                <w:color w:val="auto"/>
                <w:sz w:val="21"/>
                <w:szCs w:val="21"/>
                <w:highlight w:val="none"/>
              </w:rPr>
              <w:t>等方面</w:t>
            </w:r>
            <w:r>
              <w:rPr>
                <w:rFonts w:hint="eastAsia" w:hAnsi="宋体" w:cs="宋体"/>
                <w:b w:val="0"/>
                <w:bCs w:val="0"/>
                <w:color w:val="auto"/>
                <w:sz w:val="21"/>
                <w:szCs w:val="21"/>
                <w:highlight w:val="none"/>
              </w:rPr>
              <w:t>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w:t>
            </w:r>
            <w:r>
              <w:rPr>
                <w:rFonts w:hint="eastAsia" w:hAnsi="宋体" w:cs="宋体"/>
                <w:b w:val="0"/>
                <w:bCs w:val="0"/>
                <w:color w:val="auto"/>
                <w:sz w:val="21"/>
                <w:szCs w:val="21"/>
                <w:highlight w:val="none"/>
              </w:rPr>
              <w:t>以及项目人员安排等的合理性和科学性进行打分。</w:t>
            </w:r>
          </w:p>
          <w:p w14:paraId="0059B0B0">
            <w:pPr>
              <w:pStyle w:val="58"/>
              <w:spacing w:line="240" w:lineRule="auto"/>
              <w:rPr>
                <w:rFonts w:hint="eastAsia" w:ascii="宋体" w:hAnsi="宋体" w:eastAsia="宋体" w:cs="宋体"/>
                <w:color w:val="auto"/>
                <w:spacing w:val="10"/>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790C01EA">
            <w:pPr>
              <w:pStyle w:val="58"/>
              <w:spacing w:line="240" w:lineRule="auto"/>
              <w:jc w:val="center"/>
              <w:rPr>
                <w:rFonts w:hint="eastAsia" w:ascii="宋体" w:hAnsi="宋体" w:eastAsia="宋体" w:cs="宋体"/>
                <w:color w:val="auto"/>
                <w:spacing w:val="10"/>
                <w:szCs w:val="21"/>
                <w:highlight w:val="none"/>
              </w:rPr>
            </w:pPr>
            <w:r>
              <w:rPr>
                <w:rFonts w:hint="eastAsia" w:hAnsi="宋体" w:cs="宋体"/>
                <w:color w:val="auto"/>
                <w:sz w:val="21"/>
                <w:szCs w:val="21"/>
                <w:highlight w:val="none"/>
                <w:lang w:val="en-US" w:eastAsia="zh-CN"/>
              </w:rPr>
              <w:t>5</w:t>
            </w:r>
          </w:p>
        </w:tc>
      </w:tr>
      <w:tr w14:paraId="2C58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84" w:type="dxa"/>
            <w:vMerge w:val="continue"/>
            <w:vAlign w:val="center"/>
          </w:tcPr>
          <w:p w14:paraId="77D5D264">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41E4CAD7">
            <w:pPr>
              <w:pStyle w:val="58"/>
              <w:spacing w:line="240" w:lineRule="auto"/>
              <w:jc w:val="center"/>
              <w:rPr>
                <w:rFonts w:hint="eastAsia" w:ascii="宋体" w:hAnsi="宋体" w:eastAsia="宋体" w:cs="宋体"/>
                <w:color w:val="auto"/>
                <w:szCs w:val="21"/>
                <w:highlight w:val="none"/>
              </w:rPr>
            </w:pPr>
          </w:p>
        </w:tc>
        <w:tc>
          <w:tcPr>
            <w:tcW w:w="6900" w:type="dxa"/>
            <w:vAlign w:val="center"/>
          </w:tcPr>
          <w:p w14:paraId="47902025">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w:t>
            </w:r>
            <w:r>
              <w:rPr>
                <w:rFonts w:hint="eastAsia" w:hAnsi="宋体" w:cs="宋体"/>
                <w:b/>
                <w:bCs/>
                <w:color w:val="auto"/>
                <w:sz w:val="21"/>
                <w:szCs w:val="21"/>
                <w:highlight w:val="none"/>
              </w:rPr>
              <w:t>VOCs应急走航监测安排、分析</w:t>
            </w:r>
            <w:r>
              <w:rPr>
                <w:rFonts w:hint="eastAsia" w:hAnsi="宋体" w:cs="宋体"/>
                <w:b w:val="0"/>
                <w:bCs w:val="0"/>
                <w:color w:val="auto"/>
                <w:sz w:val="21"/>
                <w:szCs w:val="21"/>
                <w:highlight w:val="none"/>
              </w:rPr>
              <w:t>等工作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4302EDF3">
            <w:pPr>
              <w:pStyle w:val="58"/>
              <w:spacing w:line="240" w:lineRule="auto"/>
              <w:rPr>
                <w:rFonts w:hint="eastAsia" w:ascii="宋体" w:hAnsi="宋体" w:eastAsia="宋体" w:cs="宋体"/>
                <w:color w:val="auto"/>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3E89911F">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r>
      <w:tr w14:paraId="5652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84" w:type="dxa"/>
            <w:vMerge w:val="continue"/>
            <w:vAlign w:val="center"/>
          </w:tcPr>
          <w:p w14:paraId="44660972">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655C8C99">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757A626C">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w:t>
            </w:r>
            <w:r>
              <w:rPr>
                <w:rFonts w:hint="eastAsia" w:ascii="宋体" w:hAnsi="宋体" w:cs="宋体"/>
                <w:b/>
                <w:bCs/>
                <w:color w:val="auto"/>
                <w:sz w:val="21"/>
                <w:szCs w:val="21"/>
                <w:highlight w:val="none"/>
              </w:rPr>
              <w:t>重点区域近源管控</w:t>
            </w:r>
            <w:r>
              <w:rPr>
                <w:rFonts w:hint="eastAsia" w:hAnsi="宋体" w:cs="宋体"/>
                <w:b w:val="0"/>
                <w:bCs w:val="0"/>
                <w:color w:val="auto"/>
                <w:sz w:val="21"/>
                <w:szCs w:val="21"/>
                <w:highlight w:val="none"/>
              </w:rPr>
              <w:t>等工作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64C16234">
            <w:pPr>
              <w:pStyle w:val="58"/>
              <w:spacing w:line="240" w:lineRule="auto"/>
              <w:rPr>
                <w:rFonts w:hint="eastAsia" w:ascii="宋体" w:hAnsi="宋体" w:eastAsia="宋体" w:cs="宋体"/>
                <w:snapToGrid w:val="0"/>
                <w:color w:val="auto"/>
                <w:kern w:val="0"/>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14AEE6E2">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r>
      <w:tr w14:paraId="0778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4" w:type="dxa"/>
            <w:vMerge w:val="continue"/>
            <w:vAlign w:val="center"/>
          </w:tcPr>
          <w:p w14:paraId="1124A7AC">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70E965F5">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176E40EB">
            <w:pPr>
              <w:pStyle w:val="58"/>
              <w:spacing w:line="240" w:lineRule="auto"/>
              <w:rPr>
                <w:rFonts w:hAnsi="宋体" w:cs="宋体"/>
                <w:b w:val="0"/>
                <w:bCs w:val="0"/>
                <w:color w:val="auto"/>
                <w:sz w:val="21"/>
                <w:szCs w:val="21"/>
                <w:highlight w:val="none"/>
              </w:rPr>
            </w:pPr>
            <w:r>
              <w:rPr>
                <w:rFonts w:hint="eastAsia" w:hAnsi="宋体" w:cs="宋体"/>
                <w:b w:val="0"/>
                <w:bCs w:val="0"/>
                <w:i w:val="0"/>
                <w:iCs w:val="0"/>
                <w:color w:val="auto"/>
                <w:sz w:val="21"/>
                <w:szCs w:val="21"/>
                <w:highlight w:val="none"/>
              </w:rPr>
              <w:t>根据投标人</w:t>
            </w:r>
            <w:r>
              <w:rPr>
                <w:rFonts w:hint="eastAsia" w:hAnsi="宋体" w:cs="宋体"/>
                <w:b w:val="0"/>
                <w:bCs w:val="0"/>
                <w:i w:val="0"/>
                <w:iCs w:val="0"/>
                <w:color w:val="auto"/>
                <w:sz w:val="21"/>
                <w:szCs w:val="21"/>
                <w:highlight w:val="none"/>
                <w:lang w:val="en-US" w:eastAsia="zh-CN"/>
              </w:rPr>
              <w:t>对</w:t>
            </w:r>
            <w:r>
              <w:rPr>
                <w:rFonts w:hint="eastAsia" w:cs="宋体"/>
                <w:b/>
                <w:bCs/>
                <w:color w:val="auto"/>
                <w:sz w:val="21"/>
                <w:szCs w:val="21"/>
                <w:highlight w:val="none"/>
                <w:lang w:val="en-US"/>
              </w:rPr>
              <w:t>日常大气环境质量指标分析、溯源</w:t>
            </w:r>
            <w:r>
              <w:rPr>
                <w:rFonts w:hint="eastAsia" w:cs="宋体"/>
                <w:b w:val="0"/>
                <w:bCs w:val="0"/>
                <w:color w:val="auto"/>
                <w:sz w:val="21"/>
                <w:szCs w:val="21"/>
                <w:highlight w:val="none"/>
                <w:lang w:val="en-US" w:eastAsia="zh-CN"/>
              </w:rPr>
              <w:t>等</w:t>
            </w:r>
            <w:r>
              <w:rPr>
                <w:rFonts w:hint="eastAsia" w:hAnsi="宋体" w:cs="宋体"/>
                <w:b w:val="0"/>
                <w:bCs w:val="0"/>
                <w:i w:val="0"/>
                <w:iCs w:val="0"/>
                <w:color w:val="auto"/>
                <w:sz w:val="21"/>
                <w:szCs w:val="21"/>
                <w:highlight w:val="none"/>
              </w:rPr>
              <w:t>情况</w:t>
            </w:r>
            <w:r>
              <w:rPr>
                <w:rFonts w:hint="eastAsia" w:hAnsi="宋体" w:cs="宋体"/>
                <w:b w:val="0"/>
                <w:bCs w:val="0"/>
                <w:i w:val="0"/>
                <w:iCs w:val="0"/>
                <w:color w:val="auto"/>
                <w:sz w:val="21"/>
                <w:szCs w:val="21"/>
                <w:highlight w:val="none"/>
                <w:lang w:eastAsia="zh-CN"/>
              </w:rPr>
              <w:t>的</w:t>
            </w:r>
            <w:r>
              <w:rPr>
                <w:rFonts w:hint="eastAsia" w:hAnsi="宋体" w:cs="宋体"/>
                <w:b w:val="0"/>
                <w:bCs w:val="0"/>
                <w:color w:val="auto"/>
                <w:sz w:val="21"/>
                <w:szCs w:val="21"/>
                <w:highlight w:val="none"/>
              </w:rPr>
              <w:t>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09EEF737">
            <w:pPr>
              <w:pStyle w:val="58"/>
              <w:spacing w:line="240" w:lineRule="auto"/>
              <w:rPr>
                <w:rFonts w:hint="eastAsia" w:ascii="宋体" w:hAnsi="宋体" w:eastAsia="宋体" w:cs="宋体"/>
                <w:snapToGrid w:val="0"/>
                <w:color w:val="auto"/>
                <w:kern w:val="0"/>
                <w:szCs w:val="21"/>
                <w:highlight w:val="none"/>
              </w:rPr>
            </w:pPr>
            <w:r>
              <w:rPr>
                <w:rFonts w:hint="eastAsia" w:hAnsi="宋体" w:cs="宋体"/>
                <w:i w:val="0"/>
                <w:iCs w:val="0"/>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6CBB8AB9">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r>
      <w:tr w14:paraId="7D37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4" w:type="dxa"/>
            <w:vMerge w:val="continue"/>
            <w:vAlign w:val="center"/>
          </w:tcPr>
          <w:p w14:paraId="21EB2F5D">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31739229">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7F6BF3A1">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根据投标人对本项目的</w:t>
            </w:r>
            <w:r>
              <w:rPr>
                <w:rFonts w:hint="eastAsia" w:cs="宋体"/>
                <w:b/>
                <w:bCs/>
                <w:color w:val="auto"/>
                <w:sz w:val="21"/>
                <w:szCs w:val="21"/>
                <w:highlight w:val="none"/>
                <w:lang w:val="en-US"/>
              </w:rPr>
              <w:t>公共废气设施治理</w:t>
            </w:r>
            <w:r>
              <w:rPr>
                <w:rFonts w:hint="eastAsia" w:hAnsi="宋体" w:cs="宋体"/>
                <w:b w:val="0"/>
                <w:bCs w:val="0"/>
                <w:color w:val="auto"/>
                <w:sz w:val="21"/>
                <w:szCs w:val="21"/>
                <w:highlight w:val="none"/>
              </w:rPr>
              <w:t>等工作的</w:t>
            </w:r>
            <w:r>
              <w:rPr>
                <w:rFonts w:hint="eastAsia" w:hAnsi="宋体" w:cs="宋体"/>
                <w:b w:val="0"/>
                <w:bCs w:val="0"/>
                <w:color w:val="auto"/>
                <w:sz w:val="21"/>
                <w:szCs w:val="21"/>
                <w:highlight w:val="none"/>
                <w:lang w:val="en-US" w:eastAsia="zh-CN"/>
              </w:rPr>
              <w:t>方案、</w:t>
            </w:r>
            <w:r>
              <w:rPr>
                <w:rFonts w:hint="eastAsia" w:hAnsi="宋体" w:cs="宋体"/>
                <w:b w:val="0"/>
                <w:bCs w:val="0"/>
                <w:color w:val="auto"/>
                <w:sz w:val="21"/>
                <w:szCs w:val="21"/>
                <w:highlight w:val="none"/>
              </w:rPr>
              <w:t>部署，以及项目人员安排等的合理性和科学性进行打分。</w:t>
            </w:r>
          </w:p>
          <w:p w14:paraId="41CEC1E9">
            <w:pPr>
              <w:pStyle w:val="58"/>
              <w:spacing w:line="240" w:lineRule="auto"/>
              <w:rPr>
                <w:rFonts w:hint="eastAsia" w:ascii="宋体" w:hAnsi="宋体" w:eastAsia="宋体" w:cs="宋体"/>
                <w:color w:val="auto"/>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25EDC786">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5</w:t>
            </w:r>
          </w:p>
        </w:tc>
      </w:tr>
      <w:tr w14:paraId="28E1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4" w:type="dxa"/>
            <w:vMerge w:val="continue"/>
            <w:vAlign w:val="center"/>
          </w:tcPr>
          <w:p w14:paraId="1A52C8EE">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4073D35E">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4C57BD78">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针对项目后续实施过程中可能遇到的紧急事件、异常处理等应急预案和对应的解决措施情况进行打分。</w:t>
            </w:r>
          </w:p>
          <w:p w14:paraId="05BD086E">
            <w:pPr>
              <w:pStyle w:val="58"/>
              <w:spacing w:line="240" w:lineRule="auto"/>
              <w:rPr>
                <w:rFonts w:hint="eastAsia" w:ascii="宋体" w:hAnsi="宋体" w:eastAsia="宋体" w:cs="宋体"/>
                <w:color w:val="auto"/>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47A7A715">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r>
      <w:tr w14:paraId="5D9B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4" w:type="dxa"/>
            <w:vMerge w:val="continue"/>
            <w:vAlign w:val="center"/>
          </w:tcPr>
          <w:p w14:paraId="5A0D285B">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13A34FFA">
            <w:pPr>
              <w:pStyle w:val="58"/>
              <w:spacing w:line="240" w:lineRule="auto"/>
              <w:jc w:val="center"/>
              <w:rPr>
                <w:rFonts w:hint="eastAsia" w:ascii="宋体" w:hAnsi="宋体" w:eastAsia="宋体" w:cs="宋体"/>
                <w:color w:val="auto"/>
                <w:highlight w:val="none"/>
              </w:rPr>
            </w:pPr>
          </w:p>
        </w:tc>
        <w:tc>
          <w:tcPr>
            <w:tcW w:w="6900" w:type="dxa"/>
            <w:vAlign w:val="center"/>
          </w:tcPr>
          <w:p w14:paraId="015740F5">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根据投标人提供的本项目大气环境质量控制目标达到市里要求的控制目标的实施保障方案进行打分。</w:t>
            </w:r>
          </w:p>
          <w:p w14:paraId="2475BE39">
            <w:pPr>
              <w:pStyle w:val="58"/>
              <w:spacing w:line="240" w:lineRule="auto"/>
              <w:rPr>
                <w:rFonts w:hint="eastAsia" w:ascii="宋体" w:hAnsi="宋体" w:eastAsia="宋体" w:cs="宋体"/>
                <w:color w:val="auto"/>
                <w:szCs w:val="21"/>
                <w:highlight w:val="none"/>
              </w:rPr>
            </w:pPr>
            <w:r>
              <w:rPr>
                <w:rFonts w:hint="eastAsia" w:hAnsi="宋体" w:cs="宋体"/>
                <w:color w:val="auto"/>
                <w:sz w:val="21"/>
                <w:szCs w:val="21"/>
                <w:highlight w:val="none"/>
              </w:rPr>
              <w:t>一档得4分；二档得3.5分；三档得3分；四档得2.5分；五档得2分；六档得1.5分；七档得1分；八档得0.5分；未提及此项不得分。</w:t>
            </w:r>
          </w:p>
        </w:tc>
        <w:tc>
          <w:tcPr>
            <w:tcW w:w="671" w:type="dxa"/>
            <w:vAlign w:val="center"/>
          </w:tcPr>
          <w:p w14:paraId="3DFC1FB3">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bidi="ar-SA"/>
              </w:rPr>
              <w:t>4</w:t>
            </w:r>
          </w:p>
        </w:tc>
      </w:tr>
      <w:tr w14:paraId="3D3C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6685107A">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2FBFCCB7">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61A0C6D5">
            <w:pPr>
              <w:adjustRightInd w:val="0"/>
              <w:snapToGrid w:val="0"/>
              <w:jc w:val="left"/>
              <w:rPr>
                <w:rFonts w:ascii="宋体" w:hAnsi="宋体" w:cs="宋体"/>
                <w:color w:val="auto"/>
                <w:szCs w:val="21"/>
                <w:highlight w:val="none"/>
              </w:rPr>
            </w:pPr>
            <w:r>
              <w:rPr>
                <w:rFonts w:hint="eastAsia" w:ascii="宋体" w:hAnsi="宋体" w:cs="宋体"/>
                <w:snapToGrid w:val="0"/>
                <w:color w:val="auto"/>
                <w:kern w:val="0"/>
                <w:szCs w:val="21"/>
                <w:highlight w:val="none"/>
              </w:rPr>
              <w:t>根据投标人针对本项目提供的</w:t>
            </w:r>
            <w:r>
              <w:rPr>
                <w:rFonts w:hint="eastAsia" w:ascii="宋体" w:hAnsi="宋体" w:cs="宋体"/>
                <w:b w:val="0"/>
                <w:bCs w:val="0"/>
                <w:snapToGrid w:val="0"/>
                <w:color w:val="auto"/>
                <w:kern w:val="0"/>
                <w:szCs w:val="21"/>
                <w:highlight w:val="none"/>
              </w:rPr>
              <w:t>项目成果</w:t>
            </w:r>
            <w:r>
              <w:rPr>
                <w:rFonts w:hint="eastAsia" w:ascii="宋体" w:hAnsi="宋体" w:cs="宋体"/>
                <w:b w:val="0"/>
                <w:bCs w:val="0"/>
                <w:color w:val="auto"/>
                <w:szCs w:val="21"/>
                <w:highlight w:val="none"/>
              </w:rPr>
              <w:t>编制方案</w:t>
            </w:r>
            <w:r>
              <w:rPr>
                <w:rFonts w:hint="eastAsia" w:ascii="宋体" w:hAnsi="宋体" w:cs="宋体"/>
                <w:color w:val="auto"/>
                <w:szCs w:val="21"/>
                <w:highlight w:val="none"/>
              </w:rPr>
              <w:t>进行打分。</w:t>
            </w:r>
          </w:p>
          <w:p w14:paraId="0CDBB959">
            <w:pPr>
              <w:pStyle w:val="58"/>
              <w:spacing w:line="240" w:lineRule="auto"/>
              <w:rPr>
                <w:rFonts w:hint="eastAsia" w:ascii="宋体" w:hAnsi="宋体" w:eastAsia="宋体" w:cs="宋体"/>
                <w:color w:val="auto"/>
                <w:spacing w:val="-4"/>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44994C82">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5</w:t>
            </w:r>
          </w:p>
        </w:tc>
      </w:tr>
      <w:tr w14:paraId="7549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5BF6E067">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36A4DB06">
            <w:pPr>
              <w:pStyle w:val="58"/>
              <w:spacing w:line="240" w:lineRule="auto"/>
              <w:jc w:val="center"/>
              <w:rPr>
                <w:rFonts w:hint="eastAsia" w:ascii="宋体" w:hAnsi="宋体" w:eastAsia="宋体" w:cs="宋体"/>
                <w:color w:val="auto"/>
                <w:kern w:val="0"/>
                <w:szCs w:val="21"/>
                <w:highlight w:val="none"/>
              </w:rPr>
            </w:pPr>
            <w:r>
              <w:rPr>
                <w:rFonts w:hint="eastAsia" w:hAnsi="宋体" w:cs="宋体"/>
                <w:color w:val="auto"/>
                <w:sz w:val="21"/>
                <w:szCs w:val="21"/>
                <w:highlight w:val="none"/>
              </w:rPr>
              <w:t>服务质量管控</w:t>
            </w:r>
          </w:p>
        </w:tc>
        <w:tc>
          <w:tcPr>
            <w:tcW w:w="6900" w:type="dxa"/>
            <w:vAlign w:val="center"/>
          </w:tcPr>
          <w:p w14:paraId="3A58D51A">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根据投标人对本项目工作中的管理规范、管理组织构架、监督体系、内控制度、质量管控规章制度进行打分。</w:t>
            </w:r>
          </w:p>
          <w:p w14:paraId="0AEB3D3C">
            <w:pPr>
              <w:pStyle w:val="58"/>
              <w:spacing w:line="240" w:lineRule="auto"/>
              <w:rPr>
                <w:rFonts w:hint="eastAsia" w:hAnsi="宋体" w:cs="宋体"/>
                <w:color w:val="auto"/>
                <w:sz w:val="21"/>
                <w:szCs w:val="21"/>
                <w:highlight w:val="none"/>
              </w:rPr>
            </w:pPr>
            <w:r>
              <w:rPr>
                <w:rFonts w:hint="eastAsia" w:hAnsi="宋体" w:cs="宋体"/>
                <w:color w:val="auto"/>
                <w:sz w:val="21"/>
                <w:szCs w:val="21"/>
                <w:highlight w:val="none"/>
              </w:rPr>
              <w:t>一档得4分；二档得3.5分；三档得3分；四档得2.5分；五档得2分；六档得1.5分；七档得1分；八档得0.5分；未提及此项不得分。</w:t>
            </w:r>
          </w:p>
        </w:tc>
        <w:tc>
          <w:tcPr>
            <w:tcW w:w="671" w:type="dxa"/>
            <w:vAlign w:val="center"/>
          </w:tcPr>
          <w:p w14:paraId="29DB3D57">
            <w:pPr>
              <w:pStyle w:val="58"/>
              <w:spacing w:line="240" w:lineRule="auto"/>
              <w:jc w:val="center"/>
              <w:rPr>
                <w:rFonts w:hint="eastAsia" w:hAnsi="宋体" w:cs="宋体"/>
                <w:color w:val="auto"/>
                <w:sz w:val="21"/>
                <w:szCs w:val="21"/>
                <w:highlight w:val="none"/>
              </w:rPr>
            </w:pPr>
            <w:r>
              <w:rPr>
                <w:rFonts w:hint="eastAsia" w:hAnsi="宋体" w:cs="宋体"/>
                <w:color w:val="auto"/>
                <w:sz w:val="21"/>
                <w:szCs w:val="21"/>
                <w:highlight w:val="none"/>
                <w:lang w:val="en-US" w:eastAsia="zh-CN"/>
              </w:rPr>
              <w:t>4</w:t>
            </w:r>
          </w:p>
        </w:tc>
      </w:tr>
      <w:tr w14:paraId="157D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552AF1ED">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0BB47C92">
            <w:pPr>
              <w:pStyle w:val="58"/>
              <w:spacing w:line="240" w:lineRule="auto"/>
              <w:jc w:val="center"/>
              <w:rPr>
                <w:rFonts w:hint="eastAsia" w:ascii="宋体" w:hAnsi="宋体" w:eastAsia="宋体" w:cs="宋体"/>
                <w:color w:val="auto"/>
                <w:kern w:val="0"/>
                <w:szCs w:val="21"/>
                <w:highlight w:val="none"/>
              </w:rPr>
            </w:pPr>
            <w:r>
              <w:rPr>
                <w:rFonts w:hint="eastAsia" w:hAnsi="宋体" w:cs="宋体"/>
                <w:color w:val="auto"/>
                <w:sz w:val="21"/>
                <w:szCs w:val="21"/>
                <w:highlight w:val="none"/>
              </w:rPr>
              <w:t>服务响应</w:t>
            </w:r>
          </w:p>
        </w:tc>
        <w:tc>
          <w:tcPr>
            <w:tcW w:w="6900" w:type="dxa"/>
            <w:vAlign w:val="center"/>
          </w:tcPr>
          <w:p w14:paraId="0AFCDF0D">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根据投标人承诺的服务响应时间等情况进行打分。</w:t>
            </w:r>
          </w:p>
          <w:p w14:paraId="3B6BDE71">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承诺接到采购方通知后，在1小时内（含）到达现场的得5分；</w:t>
            </w:r>
          </w:p>
          <w:p w14:paraId="283E2E22">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承诺接到采购方通知后，在3小时内（含）到达现场的得3分；</w:t>
            </w:r>
          </w:p>
          <w:p w14:paraId="3194C37B">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承诺接到采购方通知后，在12小时内（含）到达现场的得1分；</w:t>
            </w:r>
          </w:p>
          <w:p w14:paraId="7A024D09">
            <w:pPr>
              <w:pStyle w:val="58"/>
              <w:spacing w:line="240" w:lineRule="auto"/>
              <w:rPr>
                <w:rFonts w:hint="eastAsia" w:hAnsi="宋体" w:cs="宋体"/>
                <w:color w:val="auto"/>
                <w:sz w:val="21"/>
                <w:szCs w:val="21"/>
                <w:highlight w:val="none"/>
              </w:rPr>
            </w:pPr>
            <w:r>
              <w:rPr>
                <w:rFonts w:hint="eastAsia" w:hAnsi="宋体" w:cs="宋体"/>
                <w:color w:val="auto"/>
                <w:sz w:val="21"/>
                <w:szCs w:val="21"/>
                <w:highlight w:val="none"/>
              </w:rPr>
              <w:t>接到采购方通知后，超过12小时到达现场的或未提及此项不得分。</w:t>
            </w:r>
          </w:p>
        </w:tc>
        <w:tc>
          <w:tcPr>
            <w:tcW w:w="671" w:type="dxa"/>
            <w:vAlign w:val="center"/>
          </w:tcPr>
          <w:p w14:paraId="571EFEAF">
            <w:pPr>
              <w:pStyle w:val="58"/>
              <w:spacing w:line="240" w:lineRule="auto"/>
              <w:jc w:val="center"/>
              <w:rPr>
                <w:rFonts w:hint="eastAsia" w:hAnsi="宋体" w:cs="宋体"/>
                <w:color w:val="auto"/>
                <w:sz w:val="21"/>
                <w:szCs w:val="21"/>
                <w:highlight w:val="none"/>
              </w:rPr>
            </w:pPr>
            <w:r>
              <w:rPr>
                <w:rFonts w:hint="eastAsia" w:hAnsi="宋体" w:cs="宋体"/>
                <w:color w:val="auto"/>
                <w:sz w:val="21"/>
                <w:szCs w:val="21"/>
                <w:highlight w:val="none"/>
              </w:rPr>
              <w:t>5</w:t>
            </w:r>
          </w:p>
        </w:tc>
      </w:tr>
      <w:tr w14:paraId="220E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22" w:type="dxa"/>
            <w:gridSpan w:val="2"/>
            <w:vAlign w:val="center"/>
          </w:tcPr>
          <w:p w14:paraId="5ABD6434">
            <w:pPr>
              <w:spacing w:line="240" w:lineRule="auto"/>
              <w:jc w:val="center"/>
              <w:rPr>
                <w:rStyle w:val="60"/>
                <w:rFonts w:hint="eastAsia" w:ascii="宋体" w:hAnsi="宋体" w:eastAsia="宋体" w:cs="宋体"/>
                <w:color w:val="auto"/>
                <w:kern w:val="0"/>
                <w:szCs w:val="21"/>
                <w:highlight w:val="none"/>
              </w:rPr>
            </w:pPr>
            <w:r>
              <w:rPr>
                <w:rStyle w:val="60"/>
                <w:rFonts w:hint="eastAsia" w:ascii="宋体" w:hAnsi="宋体" w:eastAsia="宋体" w:cs="宋体"/>
                <w:color w:val="auto"/>
                <w:kern w:val="0"/>
                <w:szCs w:val="21"/>
                <w:highlight w:val="none"/>
              </w:rPr>
              <w:t>价格</w:t>
            </w:r>
          </w:p>
          <w:p w14:paraId="75D225B0">
            <w:pPr>
              <w:spacing w:line="240" w:lineRule="auto"/>
              <w:jc w:val="center"/>
              <w:rPr>
                <w:rFonts w:hint="eastAsia" w:ascii="宋体" w:hAnsi="宋体" w:eastAsia="宋体" w:cs="宋体"/>
                <w:color w:val="auto"/>
                <w:kern w:val="0"/>
                <w:szCs w:val="21"/>
                <w:highlight w:val="none"/>
              </w:rPr>
            </w:pPr>
            <w:r>
              <w:rPr>
                <w:rStyle w:val="60"/>
                <w:rFonts w:hint="eastAsia" w:ascii="宋体" w:hAnsi="宋体" w:eastAsia="宋体" w:cs="宋体"/>
                <w:color w:val="auto"/>
                <w:kern w:val="0"/>
                <w:szCs w:val="21"/>
                <w:highlight w:val="none"/>
              </w:rPr>
              <w:t>（20分）</w:t>
            </w:r>
          </w:p>
        </w:tc>
        <w:tc>
          <w:tcPr>
            <w:tcW w:w="6900" w:type="dxa"/>
            <w:vAlign w:val="center"/>
          </w:tcPr>
          <w:p w14:paraId="2FE2A8C4">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取投标合格供应商的投标最终报价最低价</w:t>
            </w:r>
            <w:r>
              <w:rPr>
                <w:rFonts w:hint="eastAsia" w:ascii="宋体" w:hAnsi="宋体" w:eastAsia="宋体" w:cs="宋体"/>
                <w:color w:val="auto"/>
                <w:szCs w:val="21"/>
                <w:highlight w:val="none"/>
                <w:lang w:val="zh-CN"/>
              </w:rPr>
              <w:t>为评标基准价，</w:t>
            </w:r>
            <w:r>
              <w:rPr>
                <w:rFonts w:hint="eastAsia" w:ascii="宋体" w:hAnsi="宋体" w:eastAsia="宋体" w:cs="宋体"/>
                <w:color w:val="auto"/>
                <w:szCs w:val="21"/>
                <w:highlight w:val="none"/>
              </w:rPr>
              <w:t>基准价为20分</w:t>
            </w:r>
            <w:r>
              <w:rPr>
                <w:rFonts w:hint="eastAsia" w:ascii="宋体" w:hAnsi="宋体" w:eastAsia="宋体" w:cs="宋体"/>
                <w:color w:val="auto"/>
                <w:szCs w:val="21"/>
                <w:highlight w:val="none"/>
                <w:lang w:val="zh-CN"/>
              </w:rPr>
              <w:t>。</w:t>
            </w:r>
          </w:p>
          <w:p w14:paraId="22470DD6">
            <w:pPr>
              <w:spacing w:line="240" w:lineRule="auto"/>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lang w:val="zh-CN"/>
              </w:rPr>
              <w:t>投标报价得分=(评标基准价／投标报价)×</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%×100 。（</w:t>
            </w:r>
            <w:r>
              <w:rPr>
                <w:rFonts w:hint="eastAsia" w:ascii="宋体" w:hAnsi="宋体" w:eastAsia="宋体" w:cs="宋体"/>
                <w:color w:val="auto"/>
                <w:szCs w:val="21"/>
                <w:highlight w:val="none"/>
              </w:rPr>
              <w:t>小数点后保留2位小数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lang w:val="zh-CN"/>
              </w:rPr>
              <w:t>）。</w:t>
            </w:r>
          </w:p>
        </w:tc>
        <w:tc>
          <w:tcPr>
            <w:tcW w:w="671" w:type="dxa"/>
            <w:vAlign w:val="center"/>
          </w:tcPr>
          <w:p w14:paraId="191FBE78">
            <w:pPr>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r>
    </w:tbl>
    <w:p w14:paraId="2D9D3F1D">
      <w:pPr>
        <w:pStyle w:val="12"/>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8B20B6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11F9B5E7">
      <w:pPr>
        <w:tabs>
          <w:tab w:val="left" w:pos="8280"/>
        </w:tabs>
        <w:autoSpaceDE w:val="0"/>
        <w:autoSpaceDN w:val="0"/>
        <w:adjustRightInd w:val="0"/>
        <w:spacing w:line="360" w:lineRule="auto"/>
        <w:ind w:right="25"/>
        <w:rPr>
          <w:rFonts w:hint="eastAsia" w:ascii="宋体" w:hAnsi="宋体" w:cs="宋体"/>
          <w:color w:val="auto"/>
          <w:szCs w:val="21"/>
          <w:highlight w:val="none"/>
        </w:rPr>
      </w:pPr>
      <w:bookmarkStart w:id="2" w:name="_Toc98821986"/>
      <w:r>
        <w:rPr>
          <w:rFonts w:hint="eastAsia" w:ascii="宋体" w:hAnsi="宋体" w:cs="宋体"/>
          <w:b/>
          <w:bCs/>
          <w:color w:val="auto"/>
          <w:szCs w:val="21"/>
          <w:highlight w:val="none"/>
        </w:rPr>
        <w:t>一、</w:t>
      </w:r>
      <w:r>
        <w:rPr>
          <w:rFonts w:hint="eastAsia" w:ascii="宋体" w:hAnsi="宋体" w:cs="宋体"/>
          <w:b/>
          <w:color w:val="auto"/>
          <w:szCs w:val="21"/>
          <w:highlight w:val="none"/>
        </w:rPr>
        <w:t>招标项目一览表</w:t>
      </w:r>
    </w:p>
    <w:tbl>
      <w:tblPr>
        <w:tblStyle w:val="23"/>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269"/>
        <w:gridCol w:w="861"/>
        <w:gridCol w:w="872"/>
        <w:gridCol w:w="1924"/>
        <w:gridCol w:w="2215"/>
      </w:tblGrid>
      <w:tr w14:paraId="410A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88" w:type="dxa"/>
            <w:vAlign w:val="center"/>
          </w:tcPr>
          <w:p w14:paraId="1A5546F9">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标段号</w:t>
            </w:r>
          </w:p>
        </w:tc>
        <w:tc>
          <w:tcPr>
            <w:tcW w:w="2269" w:type="dxa"/>
            <w:vAlign w:val="center"/>
          </w:tcPr>
          <w:p w14:paraId="3DF75246">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项目名称</w:t>
            </w:r>
          </w:p>
        </w:tc>
        <w:tc>
          <w:tcPr>
            <w:tcW w:w="861" w:type="dxa"/>
            <w:vAlign w:val="center"/>
          </w:tcPr>
          <w:p w14:paraId="645D5172">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72" w:type="dxa"/>
            <w:vAlign w:val="center"/>
          </w:tcPr>
          <w:p w14:paraId="60ACF67E">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924" w:type="dxa"/>
            <w:vAlign w:val="center"/>
          </w:tcPr>
          <w:p w14:paraId="5DE6907B">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预算/最高限价</w:t>
            </w:r>
          </w:p>
          <w:p w14:paraId="1DC63C7E">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（万元）</w:t>
            </w:r>
          </w:p>
        </w:tc>
        <w:tc>
          <w:tcPr>
            <w:tcW w:w="2215" w:type="dxa"/>
            <w:vAlign w:val="center"/>
          </w:tcPr>
          <w:p w14:paraId="493B79EA">
            <w:pPr>
              <w:tabs>
                <w:tab w:val="left" w:pos="8280"/>
              </w:tabs>
              <w:autoSpaceDE w:val="0"/>
              <w:autoSpaceDN w:val="0"/>
              <w:adjustRightInd w:val="0"/>
              <w:ind w:right="25"/>
              <w:jc w:val="center"/>
              <w:rPr>
                <w:rFonts w:hint="eastAsia" w:ascii="宋体" w:hAnsi="宋体" w:cs="宋体"/>
                <w:b/>
                <w:color w:val="auto"/>
                <w:szCs w:val="21"/>
                <w:highlight w:val="none"/>
              </w:rPr>
            </w:pPr>
            <w:r>
              <w:rPr>
                <w:rFonts w:hint="eastAsia" w:ascii="宋体" w:hAnsi="宋体" w:cs="宋体"/>
                <w:b/>
                <w:color w:val="auto"/>
                <w:szCs w:val="21"/>
                <w:highlight w:val="none"/>
              </w:rPr>
              <w:t>服务期限</w:t>
            </w:r>
          </w:p>
        </w:tc>
      </w:tr>
      <w:tr w14:paraId="5645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88" w:type="dxa"/>
            <w:vAlign w:val="center"/>
          </w:tcPr>
          <w:p w14:paraId="4C27A53C">
            <w:pPr>
              <w:tabs>
                <w:tab w:val="left" w:pos="8280"/>
              </w:tabs>
              <w:autoSpaceDE w:val="0"/>
              <w:autoSpaceDN w:val="0"/>
              <w:adjustRightInd w:val="0"/>
              <w:ind w:right="25"/>
              <w:jc w:val="center"/>
              <w:rPr>
                <w:rFonts w:hint="eastAsia" w:ascii="宋体" w:hAnsi="宋体" w:cs="宋体"/>
                <w:color w:val="auto"/>
                <w:szCs w:val="21"/>
                <w:highlight w:val="none"/>
              </w:rPr>
            </w:pPr>
            <w:bookmarkStart w:id="3" w:name="_Hlk138543066"/>
            <w:r>
              <w:rPr>
                <w:rFonts w:hint="eastAsia" w:ascii="宋体" w:hAnsi="宋体" w:cs="宋体"/>
                <w:color w:val="auto"/>
                <w:szCs w:val="21"/>
                <w:highlight w:val="none"/>
              </w:rPr>
              <w:t>一</w:t>
            </w:r>
          </w:p>
        </w:tc>
        <w:tc>
          <w:tcPr>
            <w:tcW w:w="2269" w:type="dxa"/>
            <w:vAlign w:val="center"/>
          </w:tcPr>
          <w:p w14:paraId="2FC891BF">
            <w:pPr>
              <w:tabs>
                <w:tab w:val="left" w:pos="8280"/>
              </w:tabs>
              <w:autoSpaceDE w:val="0"/>
              <w:autoSpaceDN w:val="0"/>
              <w:adjustRightInd w:val="0"/>
              <w:ind w:right="25"/>
              <w:jc w:val="center"/>
              <w:rPr>
                <w:rFonts w:hint="eastAsia" w:ascii="宋体" w:hAnsi="宋体" w:cs="宋体"/>
                <w:color w:val="auto"/>
                <w:szCs w:val="21"/>
                <w:highlight w:val="none"/>
              </w:rPr>
            </w:pPr>
            <w:r>
              <w:rPr>
                <w:rFonts w:hint="eastAsia" w:ascii="宋体" w:hAnsi="宋体" w:cs="宋体"/>
                <w:color w:val="auto"/>
                <w:szCs w:val="21"/>
                <w:highlight w:val="none"/>
              </w:rPr>
              <w:t>2025年黄岩区大气环境质量精细化管控服务项目</w:t>
            </w:r>
          </w:p>
        </w:tc>
        <w:tc>
          <w:tcPr>
            <w:tcW w:w="861" w:type="dxa"/>
            <w:vAlign w:val="center"/>
          </w:tcPr>
          <w:p w14:paraId="2037D9AE">
            <w:pPr>
              <w:tabs>
                <w:tab w:val="left" w:pos="8280"/>
              </w:tabs>
              <w:autoSpaceDE w:val="0"/>
              <w:autoSpaceDN w:val="0"/>
              <w:adjustRightInd w:val="0"/>
              <w:ind w:right="25"/>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72" w:type="dxa"/>
            <w:vAlign w:val="center"/>
          </w:tcPr>
          <w:p w14:paraId="483F7559">
            <w:pPr>
              <w:tabs>
                <w:tab w:val="left" w:pos="8280"/>
              </w:tabs>
              <w:autoSpaceDE w:val="0"/>
              <w:autoSpaceDN w:val="0"/>
              <w:adjustRightInd w:val="0"/>
              <w:ind w:right="25"/>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924" w:type="dxa"/>
            <w:vAlign w:val="center"/>
          </w:tcPr>
          <w:p w14:paraId="781D7932">
            <w:pPr>
              <w:tabs>
                <w:tab w:val="left" w:pos="8280"/>
              </w:tabs>
              <w:autoSpaceDE w:val="0"/>
              <w:autoSpaceDN w:val="0"/>
              <w:adjustRightInd w:val="0"/>
              <w:ind w:right="25"/>
              <w:jc w:val="center"/>
              <w:rPr>
                <w:rFonts w:hint="eastAsia" w:ascii="宋体" w:hAnsi="宋体" w:cs="宋体"/>
                <w:color w:val="auto"/>
                <w:szCs w:val="21"/>
                <w:highlight w:val="none"/>
              </w:rPr>
            </w:pPr>
            <w:r>
              <w:rPr>
                <w:rFonts w:hint="eastAsia" w:ascii="宋体" w:hAnsi="宋体" w:cs="宋体"/>
                <w:color w:val="auto"/>
                <w:szCs w:val="21"/>
                <w:highlight w:val="none"/>
              </w:rPr>
              <w:t>140</w:t>
            </w:r>
          </w:p>
        </w:tc>
        <w:tc>
          <w:tcPr>
            <w:tcW w:w="2215" w:type="dxa"/>
            <w:vAlign w:val="center"/>
          </w:tcPr>
          <w:p w14:paraId="0732AC66">
            <w:pPr>
              <w:widowControl/>
              <w:jc w:val="center"/>
              <w:rPr>
                <w:rFonts w:hint="eastAsia" w:ascii="宋体" w:hAnsi="宋体" w:cs="宋体"/>
                <w:color w:val="auto"/>
                <w:szCs w:val="21"/>
                <w:highlight w:val="none"/>
              </w:rPr>
            </w:pPr>
            <w:r>
              <w:rPr>
                <w:rFonts w:hint="eastAsia" w:ascii="宋体" w:hAnsi="宋体" w:cs="宋体"/>
                <w:bCs/>
                <w:color w:val="auto"/>
                <w:szCs w:val="21"/>
                <w:highlight w:val="none"/>
                <w:lang w:val="en-US" w:eastAsia="zh-CN"/>
              </w:rPr>
              <w:t>精细化管控服务期一年，处理设施运行服务期二年</w:t>
            </w:r>
          </w:p>
        </w:tc>
      </w:tr>
      <w:bookmarkEnd w:id="3"/>
    </w:tbl>
    <w:p w14:paraId="2F357A66">
      <w:pPr>
        <w:spacing w:line="360" w:lineRule="auto"/>
        <w:rPr>
          <w:rFonts w:hint="eastAsia" w:ascii="宋体" w:hAnsi="宋体" w:cs="宋体"/>
          <w:color w:val="auto"/>
          <w:szCs w:val="21"/>
          <w:highlight w:val="none"/>
        </w:rPr>
      </w:pPr>
    </w:p>
    <w:bookmarkEnd w:id="2"/>
    <w:p w14:paraId="049568B8">
      <w:pPr>
        <w:spacing w:line="360" w:lineRule="auto"/>
        <w:rPr>
          <w:rFonts w:hint="eastAsia" w:ascii="宋体" w:hAnsi="宋体" w:cs="宋体"/>
          <w:b/>
          <w:bCs/>
          <w:color w:val="auto"/>
          <w:szCs w:val="21"/>
          <w:highlight w:val="none"/>
        </w:rPr>
      </w:pPr>
      <w:r>
        <w:rPr>
          <w:rFonts w:hint="eastAsia" w:ascii="宋体" w:hAnsi="宋体" w:cs="宋体"/>
          <w:b/>
          <w:color w:val="auto"/>
          <w:szCs w:val="21"/>
          <w:highlight w:val="none"/>
        </w:rPr>
        <w:t>二、</w:t>
      </w:r>
      <w:r>
        <w:rPr>
          <w:rFonts w:hint="eastAsia" w:ascii="宋体" w:hAnsi="宋体" w:cs="宋体"/>
          <w:b/>
          <w:bCs/>
          <w:color w:val="auto"/>
          <w:szCs w:val="21"/>
          <w:highlight w:val="none"/>
        </w:rPr>
        <w:t>项目背景</w:t>
      </w:r>
    </w:p>
    <w:p w14:paraId="71FD5EE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在全国颗粒物浓度逐年走低，扬尘污染逐步好转的大环境下，2024年黄岩区环境颗粒物污染有所反弹，以防空气质量进一步恶化。因此针对大气颗粒物（PM</w:t>
      </w:r>
      <w:r>
        <w:rPr>
          <w:rFonts w:hint="eastAsia" w:ascii="宋体" w:hAnsi="宋体" w:cs="宋体"/>
          <w:color w:val="auto"/>
          <w:szCs w:val="21"/>
          <w:highlight w:val="none"/>
          <w:vertAlign w:val="subscript"/>
        </w:rPr>
        <w:t>2.5</w:t>
      </w:r>
      <w:r>
        <w:rPr>
          <w:rFonts w:hint="eastAsia" w:ascii="宋体" w:hAnsi="宋体" w:cs="宋体"/>
          <w:color w:val="auto"/>
          <w:szCs w:val="21"/>
          <w:highlight w:val="none"/>
        </w:rPr>
        <w:t>和PM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的排查治理工作以及废气治理仍不可松懈。通过大气污染防治精细化管控服务项目，探索建立重点区域应急走航监测机制、人工巡查服务、日常高值污染源分析等，提升大气污染源监测能力，为环保精准治理提供高效、科学的依据，可以进一步提高黄岩区大气污染防治水平，力争完成黄岩区2025年环境空气质量考核目标。</w:t>
      </w:r>
    </w:p>
    <w:p w14:paraId="67A342E6">
      <w:pPr>
        <w:spacing w:line="360" w:lineRule="auto"/>
        <w:jc w:val="left"/>
        <w:outlineLvl w:val="1"/>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三、招标内容</w:t>
      </w:r>
      <w:r>
        <w:rPr>
          <w:rFonts w:hint="eastAsia" w:ascii="宋体" w:hAnsi="宋体" w:cs="宋体"/>
          <w:b/>
          <w:color w:val="auto"/>
          <w:szCs w:val="21"/>
          <w:highlight w:val="none"/>
          <w:lang w:val="en-US" w:eastAsia="zh-CN"/>
        </w:rPr>
        <w:t xml:space="preserve">  </w:t>
      </w:r>
    </w:p>
    <w:p w14:paraId="6610605C">
      <w:pPr>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bCs/>
          <w:color w:val="auto"/>
          <w:szCs w:val="21"/>
          <w:highlight w:val="none"/>
        </w:rPr>
        <w:t>1、颗粒物走航监测。</w:t>
      </w:r>
      <w:r>
        <w:rPr>
          <w:rFonts w:hint="eastAsia" w:ascii="宋体" w:hAnsi="宋体" w:cs="宋体"/>
          <w:color w:val="auto"/>
          <w:szCs w:val="21"/>
          <w:highlight w:val="none"/>
        </w:rPr>
        <w:t>将黄岩区划分为若干区域，对于</w:t>
      </w:r>
      <w:r>
        <w:rPr>
          <w:rFonts w:hint="eastAsia" w:ascii="宋体" w:hAnsi="宋体" w:cs="宋体"/>
          <w:color w:val="auto"/>
          <w:szCs w:val="21"/>
          <w:highlight w:val="none"/>
          <w:lang w:val="en-US" w:eastAsia="zh-CN"/>
        </w:rPr>
        <w:t>重点区域</w:t>
      </w:r>
      <w:r>
        <w:rPr>
          <w:rFonts w:hint="eastAsia" w:ascii="宋体" w:hAnsi="宋体" w:cs="宋体"/>
          <w:color w:val="auto"/>
          <w:szCs w:val="21"/>
          <w:highlight w:val="none"/>
        </w:rPr>
        <w:t>周边、建筑工地、交通干道等重点监控点位周边，利用空气六参数走航监测技术进行走航监测，通过高值区域走航、应急走航等监测模式，快速排查颗粒物时空分布变化规律，获得区域空气颗粒物污染画像，从而针对性加强人工巡查，并编制扬尘走航监测报告。</w:t>
      </w:r>
      <w:r>
        <w:rPr>
          <w:rFonts w:hint="eastAsia" w:ascii="宋体" w:hAnsi="宋体" w:cs="宋体"/>
          <w:color w:val="auto"/>
          <w:szCs w:val="21"/>
          <w:highlight w:val="none"/>
          <w:lang w:val="en-US" w:eastAsia="zh-CN"/>
        </w:rPr>
        <w:t>一年至少20</w:t>
      </w:r>
      <w:r>
        <w:rPr>
          <w:rFonts w:hint="eastAsia" w:ascii="宋体" w:hAnsi="宋体" w:cs="宋体"/>
          <w:color w:val="auto"/>
          <w:szCs w:val="21"/>
          <w:highlight w:val="none"/>
        </w:rPr>
        <w:t>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重点安排在秋冬季季节</w:t>
      </w:r>
      <w:r>
        <w:rPr>
          <w:rFonts w:hint="eastAsia" w:ascii="宋体" w:hAnsi="宋体" w:cs="宋体"/>
          <w:color w:val="auto"/>
          <w:szCs w:val="21"/>
          <w:highlight w:val="none"/>
        </w:rPr>
        <w:t>。</w:t>
      </w:r>
    </w:p>
    <w:p w14:paraId="15CFB89D">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kern w:val="2"/>
          <w:sz w:val="21"/>
          <w:szCs w:val="21"/>
          <w:highlight w:val="none"/>
        </w:rPr>
      </w:pPr>
      <w:r>
        <w:rPr>
          <w:rFonts w:hint="eastAsia" w:cs="宋体"/>
          <w:color w:val="auto"/>
          <w:kern w:val="2"/>
          <w:sz w:val="21"/>
          <w:szCs w:val="21"/>
          <w:highlight w:val="none"/>
          <w:lang w:val="en-US"/>
        </w:rPr>
        <w:t>2</w:t>
      </w:r>
      <w:r>
        <w:rPr>
          <w:rFonts w:hint="eastAsia" w:cs="宋体"/>
          <w:color w:val="auto"/>
          <w:kern w:val="2"/>
          <w:sz w:val="21"/>
          <w:szCs w:val="21"/>
          <w:highlight w:val="none"/>
        </w:rPr>
        <w:t>、</w:t>
      </w:r>
      <w:r>
        <w:rPr>
          <w:rFonts w:hint="eastAsia" w:cs="宋体"/>
          <w:color w:val="auto"/>
          <w:kern w:val="2"/>
          <w:sz w:val="21"/>
          <w:szCs w:val="21"/>
          <w:highlight w:val="none"/>
          <w:lang w:val="en-US" w:eastAsia="zh-CN"/>
        </w:rPr>
        <w:t>环境空气质量</w:t>
      </w:r>
      <w:r>
        <w:rPr>
          <w:rFonts w:hint="eastAsia" w:cs="宋体"/>
          <w:color w:val="auto"/>
          <w:kern w:val="2"/>
          <w:sz w:val="21"/>
          <w:szCs w:val="21"/>
          <w:highlight w:val="none"/>
        </w:rPr>
        <w:t>分析。</w:t>
      </w:r>
      <w:r>
        <w:rPr>
          <w:rFonts w:hint="eastAsia" w:cs="宋体"/>
          <w:color w:val="auto"/>
          <w:sz w:val="21"/>
          <w:szCs w:val="21"/>
          <w:highlight w:val="none"/>
        </w:rPr>
        <w:t>分析黄岩区</w:t>
      </w:r>
      <w:r>
        <w:rPr>
          <w:rFonts w:hint="eastAsia" w:cs="宋体"/>
          <w:color w:val="auto"/>
          <w:sz w:val="21"/>
          <w:szCs w:val="21"/>
          <w:highlight w:val="none"/>
          <w:lang w:val="en-US" w:eastAsia="zh-CN"/>
        </w:rPr>
        <w:t>环境空气质量，</w:t>
      </w:r>
      <w:r>
        <w:rPr>
          <w:rFonts w:hint="eastAsia" w:cs="宋体"/>
          <w:color w:val="auto"/>
          <w:sz w:val="21"/>
          <w:szCs w:val="21"/>
          <w:highlight w:val="none"/>
        </w:rPr>
        <w:t>同时分析挖掘历史道路空气微型监测站数据，实现全区大气颗粒物浓度的时空动态变化趋势分析，结合扬尘走航结果分析污染成因，进而判断污染来源，追溯污染物扩散趋势，对污染源起到极大程度的监管作用，为环境监管和决策提供直接依据，并编制每月的</w:t>
      </w:r>
      <w:r>
        <w:rPr>
          <w:rFonts w:hint="eastAsia" w:cs="宋体"/>
          <w:color w:val="auto"/>
          <w:kern w:val="2"/>
          <w:sz w:val="21"/>
          <w:szCs w:val="21"/>
          <w:highlight w:val="none"/>
          <w:lang w:val="en-US" w:eastAsia="zh-CN"/>
        </w:rPr>
        <w:t>环境空气质量</w:t>
      </w:r>
      <w:r>
        <w:rPr>
          <w:rFonts w:hint="eastAsia" w:cs="宋体"/>
          <w:color w:val="auto"/>
          <w:sz w:val="21"/>
          <w:szCs w:val="21"/>
          <w:highlight w:val="none"/>
        </w:rPr>
        <w:t>分析报告。</w:t>
      </w:r>
    </w:p>
    <w:p w14:paraId="06E7E933">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default" w:eastAsia="宋体" w:cs="宋体"/>
          <w:color w:val="auto"/>
          <w:kern w:val="2"/>
          <w:sz w:val="21"/>
          <w:szCs w:val="21"/>
          <w:highlight w:val="none"/>
          <w:lang w:val="en-US" w:eastAsia="zh-CN"/>
        </w:rPr>
      </w:pPr>
      <w:r>
        <w:rPr>
          <w:rFonts w:hint="eastAsia" w:cs="宋体"/>
          <w:color w:val="auto"/>
          <w:sz w:val="21"/>
          <w:szCs w:val="21"/>
          <w:highlight w:val="none"/>
          <w:lang w:val="en-US"/>
        </w:rPr>
        <w:t>3</w:t>
      </w:r>
      <w:r>
        <w:rPr>
          <w:rFonts w:hint="eastAsia" w:cs="宋体"/>
          <w:color w:val="auto"/>
          <w:sz w:val="21"/>
          <w:szCs w:val="21"/>
          <w:highlight w:val="none"/>
        </w:rPr>
        <w:t>、VOCs应急走航监测。基于省市空气质量预警预报信息和采购方的需求，在污染天气前提前开展应急走航，结合预报信息和风速风向条件，进行应急走航监测分析，明确污染传输带上的污染分布，并编制VOCs应急走航监测报告。</w:t>
      </w:r>
      <w:r>
        <w:rPr>
          <w:rFonts w:hint="eastAsia" w:cs="宋体"/>
          <w:color w:val="auto"/>
          <w:sz w:val="21"/>
          <w:szCs w:val="21"/>
          <w:highlight w:val="none"/>
          <w:lang w:val="en-US" w:eastAsia="zh-CN"/>
        </w:rPr>
        <w:t>重点安排在预测发生臭氧污染天气时对国控站周边近源工业企业（主要为北城长塘园区、东城园区）开展走航，并对存在高值问题进行溯源，一年不少于5次。</w:t>
      </w:r>
    </w:p>
    <w:p w14:paraId="39DFA54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4、重点区域近源管控跟踪服务。根据采购方的需求，针对黄岩区的重点区域适时提供</w:t>
      </w:r>
      <w:r>
        <w:rPr>
          <w:rFonts w:hint="eastAsia" w:ascii="宋体" w:hAnsi="宋体" w:cs="宋体"/>
          <w:color w:val="auto"/>
          <w:szCs w:val="21"/>
          <w:highlight w:val="none"/>
          <w:lang w:val="en-US" w:eastAsia="zh-CN"/>
        </w:rPr>
        <w:t>重点区域</w:t>
      </w:r>
      <w:r>
        <w:rPr>
          <w:rFonts w:hint="eastAsia" w:ascii="宋体" w:hAnsi="宋体" w:cs="宋体"/>
          <w:color w:val="auto"/>
          <w:szCs w:val="21"/>
          <w:highlight w:val="none"/>
        </w:rPr>
        <w:t>近源管控跟踪服务、人工巡查服务等，查找污染源并对污染源进行动态评估，从而及时调整管控策略，以保障环境空气质量。</w:t>
      </w:r>
      <w:r>
        <w:rPr>
          <w:rFonts w:hint="eastAsia" w:ascii="宋体" w:hAnsi="宋体" w:cs="宋体"/>
          <w:color w:val="auto"/>
          <w:szCs w:val="21"/>
          <w:highlight w:val="none"/>
          <w:lang w:val="en-US" w:eastAsia="zh-CN"/>
        </w:rPr>
        <w:t>重点：</w:t>
      </w:r>
      <w:r>
        <w:rPr>
          <w:rFonts w:hint="eastAsia" w:ascii="宋体" w:hAnsi="宋体" w:cs="宋体"/>
          <w:color w:val="auto"/>
          <w:szCs w:val="21"/>
          <w:highlight w:val="none"/>
        </w:rPr>
        <w:t>周边工地每星期至少2次（含出现PM、臭氧高值和污染天气时开展每日巡查），存在问题同时跟进整改情况</w:t>
      </w:r>
      <w:r>
        <w:rPr>
          <w:rFonts w:hint="eastAsia" w:ascii="宋体" w:hAnsi="宋体" w:cs="宋体"/>
          <w:color w:val="auto"/>
          <w:szCs w:val="21"/>
          <w:highlight w:val="none"/>
          <w:lang w:eastAsia="zh-CN"/>
        </w:rPr>
        <w:t>；扬尘雷达巡检问题日常排查及跟踪整改。</w:t>
      </w:r>
    </w:p>
    <w:p w14:paraId="7C76A6B3">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sz w:val="21"/>
          <w:szCs w:val="21"/>
          <w:highlight w:val="none"/>
          <w:lang w:val="en-US"/>
        </w:rPr>
      </w:pPr>
      <w:r>
        <w:rPr>
          <w:rFonts w:hint="eastAsia" w:cs="宋体"/>
          <w:color w:val="auto"/>
          <w:sz w:val="21"/>
          <w:szCs w:val="21"/>
          <w:highlight w:val="none"/>
          <w:lang w:val="en-US"/>
        </w:rPr>
        <w:t>5、日常大气环境质量指标分析、溯源</w:t>
      </w:r>
      <w:r>
        <w:rPr>
          <w:rFonts w:hint="eastAsia" w:cs="宋体"/>
          <w:color w:val="auto"/>
          <w:sz w:val="21"/>
          <w:szCs w:val="21"/>
          <w:highlight w:val="none"/>
          <w:lang w:val="en-US" w:eastAsia="zh-CN"/>
        </w:rPr>
        <w:t>、预警分析、综合数据分析</w:t>
      </w:r>
      <w:r>
        <w:rPr>
          <w:rFonts w:hint="eastAsia" w:cs="宋体"/>
          <w:color w:val="auto"/>
          <w:sz w:val="21"/>
          <w:szCs w:val="21"/>
          <w:highlight w:val="none"/>
          <w:lang w:val="en-US"/>
        </w:rPr>
        <w:t>等。根据日常颗粒物浓度异常高值情况，提供相应大气环境质量指标高值分析，并对周边区域进行污染源的追踪调查，以确定污染物的具体来源和传播路径。现场调查至少应有两名专业人员负责</w:t>
      </w:r>
      <w:r>
        <w:rPr>
          <w:rFonts w:hint="eastAsia" w:cs="宋体"/>
          <w:color w:val="auto"/>
          <w:sz w:val="21"/>
          <w:szCs w:val="21"/>
          <w:highlight w:val="none"/>
          <w:lang w:val="en-US" w:eastAsia="zh-CN"/>
        </w:rPr>
        <w:t>，</w:t>
      </w:r>
      <w:r>
        <w:rPr>
          <w:rFonts w:hint="eastAsia" w:cs="宋体"/>
          <w:color w:val="auto"/>
          <w:sz w:val="21"/>
          <w:szCs w:val="21"/>
          <w:highlight w:val="none"/>
          <w:lang w:val="en-US" w:eastAsia="zh-CN"/>
        </w:rPr>
        <w:t>数据分析至少配置一人专业技术人员</w:t>
      </w:r>
      <w:r>
        <w:rPr>
          <w:rFonts w:hint="eastAsia" w:cs="宋体"/>
          <w:color w:val="auto"/>
          <w:sz w:val="21"/>
          <w:szCs w:val="21"/>
          <w:highlight w:val="none"/>
          <w:lang w:val="en-US"/>
        </w:rPr>
        <w:t>。</w:t>
      </w:r>
    </w:p>
    <w:p w14:paraId="067F33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sz w:val="21"/>
          <w:szCs w:val="21"/>
          <w:highlight w:val="none"/>
          <w:lang w:val="en-US"/>
        </w:rPr>
      </w:pPr>
      <w:r>
        <w:rPr>
          <w:rFonts w:hint="eastAsia" w:cs="宋体"/>
          <w:color w:val="auto"/>
          <w:sz w:val="21"/>
          <w:szCs w:val="21"/>
          <w:highlight w:val="none"/>
          <w:lang w:val="en-US"/>
        </w:rPr>
        <w:t>6、公共废气设施治理。</w:t>
      </w:r>
      <w:r>
        <w:rPr>
          <w:rFonts w:hint="eastAsia" w:cs="宋体"/>
          <w:color w:val="auto"/>
          <w:sz w:val="21"/>
          <w:szCs w:val="21"/>
          <w:highlight w:val="none"/>
          <w:lang w:val="en-US" w:eastAsia="zh-CN"/>
        </w:rPr>
        <w:t>针对重点区域周边污染源情况，</w:t>
      </w:r>
      <w:r>
        <w:rPr>
          <w:rFonts w:hint="eastAsia" w:cs="宋体"/>
          <w:color w:val="auto"/>
          <w:sz w:val="21"/>
          <w:szCs w:val="21"/>
          <w:highlight w:val="none"/>
          <w:lang w:val="en-US" w:eastAsia="zh-CN"/>
        </w:rPr>
        <w:t>对</w:t>
      </w:r>
      <w:r>
        <w:rPr>
          <w:rFonts w:hint="eastAsia" w:cs="宋体"/>
          <w:color w:val="auto"/>
          <w:sz w:val="21"/>
          <w:szCs w:val="21"/>
          <w:highlight w:val="none"/>
          <w:lang w:val="en-US"/>
        </w:rPr>
        <w:t>周边污染源公共</w:t>
      </w:r>
      <w:r>
        <w:rPr>
          <w:rFonts w:hint="eastAsia" w:cs="宋体"/>
          <w:color w:val="auto"/>
          <w:sz w:val="21"/>
          <w:szCs w:val="21"/>
          <w:highlight w:val="none"/>
          <w:lang w:val="en-US" w:eastAsia="zh-CN"/>
        </w:rPr>
        <w:t>（寺庙、餐饮油烟）</w:t>
      </w:r>
      <w:r>
        <w:rPr>
          <w:rFonts w:hint="eastAsia" w:cs="宋体"/>
          <w:color w:val="auto"/>
          <w:sz w:val="21"/>
          <w:szCs w:val="21"/>
          <w:highlight w:val="none"/>
          <w:lang w:val="en-US"/>
        </w:rPr>
        <w:t>废气</w:t>
      </w:r>
      <w:r>
        <w:rPr>
          <w:rFonts w:hint="eastAsia" w:cs="宋体"/>
          <w:color w:val="auto"/>
          <w:sz w:val="21"/>
          <w:szCs w:val="21"/>
          <w:highlight w:val="none"/>
          <w:lang w:val="en-US" w:eastAsia="zh-CN"/>
        </w:rPr>
        <w:t>进行</w:t>
      </w:r>
      <w:r>
        <w:rPr>
          <w:rFonts w:hint="eastAsia" w:cs="宋体"/>
          <w:color w:val="auto"/>
          <w:sz w:val="21"/>
          <w:szCs w:val="21"/>
          <w:highlight w:val="none"/>
          <w:lang w:val="en-US"/>
        </w:rPr>
        <w:t>收集，并配备</w:t>
      </w:r>
      <w:r>
        <w:rPr>
          <w:rFonts w:hint="eastAsia" w:cs="宋体"/>
          <w:color w:val="auto"/>
          <w:sz w:val="21"/>
          <w:szCs w:val="21"/>
          <w:highlight w:val="none"/>
          <w:lang w:val="en-US" w:eastAsia="zh-CN"/>
        </w:rPr>
        <w:t>业主要求</w:t>
      </w:r>
      <w:r>
        <w:rPr>
          <w:rFonts w:hint="eastAsia" w:cs="宋体"/>
          <w:color w:val="auto"/>
          <w:sz w:val="21"/>
          <w:szCs w:val="21"/>
          <w:highlight w:val="none"/>
          <w:lang w:val="en-US"/>
        </w:rPr>
        <w:t>的</w:t>
      </w:r>
      <w:r>
        <w:rPr>
          <w:rFonts w:hint="eastAsia" w:cs="宋体"/>
          <w:color w:val="auto"/>
          <w:sz w:val="21"/>
          <w:szCs w:val="21"/>
          <w:highlight w:val="none"/>
          <w:lang w:val="en-US"/>
        </w:rPr>
        <w:t>处理设施，减少污染</w:t>
      </w:r>
      <w:r>
        <w:rPr>
          <w:rFonts w:hint="eastAsia" w:cs="宋体"/>
          <w:color w:val="auto"/>
          <w:sz w:val="21"/>
          <w:szCs w:val="21"/>
          <w:highlight w:val="none"/>
          <w:lang w:val="en-US" w:eastAsia="zh-CN"/>
        </w:rPr>
        <w:t>，确保设施正常运行，每年运维期需至少提交一份监测报告</w:t>
      </w:r>
      <w:r>
        <w:rPr>
          <w:rFonts w:hint="eastAsia" w:cs="宋体"/>
          <w:color w:val="auto"/>
          <w:sz w:val="21"/>
          <w:szCs w:val="21"/>
          <w:highlight w:val="none"/>
          <w:lang w:val="en-US"/>
        </w:rPr>
        <w:t>。</w:t>
      </w:r>
    </w:p>
    <w:p w14:paraId="3CB7C2C3">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7、管控期间至少配备现场人员2名，其中日常驻场1人。</w:t>
      </w:r>
    </w:p>
    <w:p w14:paraId="16466097">
      <w:pPr>
        <w:spacing w:line="360" w:lineRule="auto"/>
        <w:jc w:val="left"/>
        <w:outlineLvl w:val="1"/>
        <w:rPr>
          <w:rFonts w:hint="eastAsia" w:ascii="宋体" w:hAnsi="宋体" w:cs="宋体"/>
          <w:b/>
          <w:color w:val="auto"/>
          <w:szCs w:val="21"/>
          <w:highlight w:val="none"/>
        </w:rPr>
      </w:pPr>
      <w:r>
        <w:rPr>
          <w:rFonts w:hint="eastAsia" w:ascii="宋体" w:hAnsi="宋体" w:cs="宋体"/>
          <w:b/>
          <w:color w:val="auto"/>
          <w:szCs w:val="21"/>
          <w:highlight w:val="none"/>
        </w:rPr>
        <w:t>四、项目成果</w:t>
      </w:r>
    </w:p>
    <w:p w14:paraId="5788ED0A">
      <w:pPr>
        <w:spacing w:line="360" w:lineRule="auto"/>
        <w:ind w:firstLine="420" w:firstLineChars="200"/>
        <w:jc w:val="left"/>
        <w:rPr>
          <w:rFonts w:hint="eastAsia" w:ascii="宋体" w:hAnsi="宋体" w:cs="宋体"/>
          <w:bCs/>
          <w:color w:val="auto"/>
          <w:szCs w:val="21"/>
          <w:highlight w:val="none"/>
        </w:rPr>
      </w:pPr>
      <w:bookmarkStart w:id="4" w:name="_Hlk138677517"/>
      <w:r>
        <w:rPr>
          <w:rFonts w:hint="eastAsia" w:ascii="宋体" w:hAnsi="宋体" w:cs="宋体"/>
          <w:bCs/>
          <w:color w:val="auto"/>
          <w:szCs w:val="21"/>
          <w:highlight w:val="none"/>
        </w:rPr>
        <w:t>1、《</w:t>
      </w:r>
      <w:r>
        <w:rPr>
          <w:rFonts w:hint="eastAsia" w:ascii="宋体" w:hAnsi="宋体" w:cs="宋体"/>
          <w:bCs/>
          <w:color w:val="auto"/>
          <w:szCs w:val="21"/>
          <w:highlight w:val="none"/>
        </w:rPr>
        <w:t>黄岩区</w:t>
      </w:r>
      <w:r>
        <w:rPr>
          <w:rFonts w:hint="eastAsia" w:ascii="宋体" w:hAnsi="宋体" w:cs="宋体"/>
          <w:bCs/>
          <w:color w:val="auto"/>
          <w:szCs w:val="21"/>
          <w:highlight w:val="none"/>
          <w:lang w:val="en-US" w:eastAsia="zh-CN"/>
        </w:rPr>
        <w:t>颗粒物</w:t>
      </w:r>
      <w:r>
        <w:rPr>
          <w:rFonts w:hint="eastAsia" w:ascii="宋体" w:hAnsi="宋体" w:cs="宋体"/>
          <w:bCs/>
          <w:color w:val="auto"/>
          <w:szCs w:val="21"/>
          <w:highlight w:val="none"/>
        </w:rPr>
        <w:t>走航报告》</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份；</w:t>
      </w:r>
      <w:r>
        <w:rPr>
          <w:rFonts w:hint="eastAsia" w:ascii="宋体" w:hAnsi="宋体" w:cs="宋体"/>
          <w:bCs/>
          <w:color w:val="auto"/>
          <w:szCs w:val="21"/>
          <w:highlight w:val="none"/>
        </w:rPr>
        <w:t>《黄岩区VOCs应急走航报告》</w:t>
      </w:r>
      <w:r>
        <w:rPr>
          <w:rFonts w:hint="eastAsia" w:ascii="宋体" w:hAnsi="宋体" w:cs="宋体"/>
          <w:bCs/>
          <w:color w:val="auto"/>
          <w:szCs w:val="21"/>
          <w:highlight w:val="none"/>
          <w:lang w:val="en-US" w:eastAsia="zh-CN"/>
        </w:rPr>
        <w:t>5份。</w:t>
      </w:r>
    </w:p>
    <w:p w14:paraId="24A9D047">
      <w:pPr>
        <w:spacing w:line="360" w:lineRule="auto"/>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2、《黄岩区</w:t>
      </w:r>
      <w:r>
        <w:rPr>
          <w:rFonts w:hint="eastAsia" w:ascii="宋体" w:hAnsi="宋体" w:cs="宋体"/>
          <w:bCs/>
          <w:color w:val="auto"/>
          <w:szCs w:val="21"/>
          <w:highlight w:val="none"/>
          <w:lang w:val="en-US" w:eastAsia="zh-CN"/>
        </w:rPr>
        <w:t>环境空气质量</w:t>
      </w:r>
      <w:r>
        <w:rPr>
          <w:rFonts w:hint="eastAsia" w:ascii="宋体" w:hAnsi="宋体" w:cs="宋体"/>
          <w:bCs/>
          <w:color w:val="auto"/>
          <w:szCs w:val="21"/>
          <w:highlight w:val="none"/>
        </w:rPr>
        <w:t>分析月报告》12份；</w:t>
      </w:r>
    </w:p>
    <w:p w14:paraId="59BBEF26">
      <w:pPr>
        <w:spacing w:line="360" w:lineRule="auto"/>
        <w:ind w:firstLine="420" w:firstLineChars="200"/>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日常巡查问题点位及跟踪落实汇总报告</w:t>
      </w:r>
      <w:r>
        <w:rPr>
          <w:rFonts w:hint="eastAsia" w:ascii="宋体" w:hAnsi="宋体" w:cs="宋体"/>
          <w:bCs/>
          <w:color w:val="auto"/>
          <w:szCs w:val="21"/>
          <w:highlight w:val="none"/>
          <w:lang w:eastAsia="zh-CN"/>
        </w:rPr>
        <w:t>。</w:t>
      </w:r>
    </w:p>
    <w:p w14:paraId="6C935C2E">
      <w:pPr>
        <w:pStyle w:val="2"/>
        <w:ind w:left="0" w:leftChars="0" w:firstLine="0" w:firstLineChars="0"/>
        <w:rPr>
          <w:rFonts w:hint="default"/>
          <w:color w:val="auto"/>
          <w:highlight w:val="none"/>
          <w:lang w:val="en-US" w:eastAsia="zh-CN"/>
        </w:rPr>
      </w:pPr>
      <w:r>
        <w:rPr>
          <w:rFonts w:hint="eastAsia" w:ascii="宋体" w:hAnsi="宋体" w:cs="宋体"/>
          <w:bCs/>
          <w:color w:val="auto"/>
          <w:szCs w:val="21"/>
          <w:highlight w:val="none"/>
          <w:lang w:val="en-US" w:eastAsia="zh-CN"/>
        </w:rPr>
        <w:t xml:space="preserve">    4、</w:t>
      </w:r>
      <w:r>
        <w:rPr>
          <w:rFonts w:hint="eastAsia" w:ascii="宋体" w:hAnsi="宋体" w:cs="宋体"/>
          <w:bCs/>
          <w:color w:val="auto"/>
          <w:szCs w:val="21"/>
          <w:highlight w:val="none"/>
          <w:lang w:val="en-US" w:eastAsia="zh-CN"/>
        </w:rPr>
        <w:t>有关废气处理方案及监测报告，运行报告。</w:t>
      </w:r>
    </w:p>
    <w:bookmarkEnd w:id="4"/>
    <w:p w14:paraId="2770FDF0">
      <w:pPr>
        <w:spacing w:line="360" w:lineRule="auto"/>
        <w:jc w:val="left"/>
        <w:outlineLvl w:val="1"/>
        <w:rPr>
          <w:rFonts w:hint="eastAsia" w:ascii="宋体" w:hAnsi="宋体" w:cs="宋体"/>
          <w:b/>
          <w:color w:val="auto"/>
          <w:szCs w:val="21"/>
          <w:highlight w:val="none"/>
        </w:rPr>
      </w:pPr>
      <w:r>
        <w:rPr>
          <w:rFonts w:hint="eastAsia" w:ascii="宋体" w:hAnsi="宋体" w:cs="宋体"/>
          <w:b/>
          <w:color w:val="auto"/>
          <w:szCs w:val="21"/>
          <w:highlight w:val="none"/>
        </w:rPr>
        <w:t>五、其他要求</w:t>
      </w:r>
    </w:p>
    <w:p w14:paraId="395706DE">
      <w:pPr>
        <w:pStyle w:val="57"/>
        <w:spacing w:line="360" w:lineRule="auto"/>
        <w:ind w:firstLine="422"/>
        <w:jc w:val="left"/>
        <w:rPr>
          <w:rFonts w:hint="eastAsia" w:ascii="宋体" w:hAnsi="宋体" w:cs="宋体"/>
          <w:b/>
          <w:color w:val="auto"/>
          <w:szCs w:val="21"/>
          <w:highlight w:val="none"/>
        </w:rPr>
      </w:pPr>
      <w:r>
        <w:rPr>
          <w:rFonts w:hint="eastAsia" w:ascii="宋体" w:hAnsi="宋体" w:cs="宋体"/>
          <w:b w:val="0"/>
          <w:bCs/>
          <w:color w:val="auto"/>
          <w:szCs w:val="21"/>
          <w:highlight w:val="none"/>
        </w:rPr>
        <w:t>1、付款方式：</w:t>
      </w:r>
    </w:p>
    <w:p w14:paraId="2EF05E2C">
      <w:pPr>
        <w:pStyle w:val="57"/>
        <w:spacing w:line="360" w:lineRule="auto"/>
        <w:ind w:firstLine="422"/>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（1）合同总金额</w:t>
      </w:r>
      <w:r>
        <w:rPr>
          <w:rFonts w:hint="eastAsia" w:ascii="宋体" w:hAnsi="宋体" w:eastAsia="宋体" w:cs="宋体"/>
          <w:b w:val="0"/>
          <w:bCs/>
          <w:color w:val="auto"/>
          <w:szCs w:val="21"/>
          <w:highlight w:val="none"/>
        </w:rPr>
        <w:t>分精细化管控</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公共废气处理设施建设及运维服务</w:t>
      </w:r>
      <w:r>
        <w:rPr>
          <w:rFonts w:hint="eastAsia" w:ascii="宋体" w:hAnsi="宋体" w:eastAsia="宋体" w:cs="宋体"/>
          <w:b w:val="0"/>
          <w:bCs/>
          <w:color w:val="auto"/>
          <w:szCs w:val="21"/>
          <w:highlight w:val="none"/>
        </w:rPr>
        <w:t>和大气环境质量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控制部分，精细化管控</w:t>
      </w:r>
      <w:r>
        <w:rPr>
          <w:rFonts w:hint="eastAsia" w:ascii="宋体" w:hAnsi="宋体" w:cs="宋体"/>
          <w:b w:val="0"/>
          <w:bCs/>
          <w:color w:val="auto"/>
          <w:szCs w:val="21"/>
          <w:highlight w:val="none"/>
          <w:lang w:val="en-US" w:eastAsia="zh-CN"/>
        </w:rPr>
        <w:t>部分</w:t>
      </w:r>
      <w:r>
        <w:rPr>
          <w:rFonts w:hint="eastAsia" w:ascii="宋体" w:hAnsi="宋体" w:eastAsia="宋体" w:cs="宋体"/>
          <w:b w:val="0"/>
          <w:bCs/>
          <w:color w:val="auto"/>
          <w:szCs w:val="21"/>
          <w:highlight w:val="none"/>
        </w:rPr>
        <w:t>占</w:t>
      </w:r>
      <w:r>
        <w:rPr>
          <w:rFonts w:hint="eastAsia" w:ascii="宋体" w:hAnsi="宋体" w:eastAsia="宋体" w:cs="宋体"/>
          <w:b w:val="0"/>
          <w:bCs/>
          <w:color w:val="auto"/>
          <w:szCs w:val="21"/>
          <w:highlight w:val="none"/>
          <w:lang w:val="en-US" w:eastAsia="zh-CN"/>
        </w:rPr>
        <w:t>合同总金额的</w:t>
      </w:r>
      <w:r>
        <w:rPr>
          <w:rFonts w:hint="eastAsia" w:ascii="宋体" w:hAnsi="宋体" w:cs="宋体"/>
          <w:b w:val="0"/>
          <w:bCs/>
          <w:color w:val="auto"/>
          <w:szCs w:val="21"/>
          <w:highlight w:val="none"/>
          <w:lang w:val="en-US" w:eastAsia="zh-CN"/>
        </w:rPr>
        <w:t>52</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公共废气处理设施建设及运维服务部分</w:t>
      </w:r>
      <w:r>
        <w:rPr>
          <w:rFonts w:hint="eastAsia" w:ascii="宋体" w:hAnsi="宋体" w:eastAsia="宋体" w:cs="宋体"/>
          <w:b w:val="0"/>
          <w:bCs/>
          <w:color w:val="auto"/>
          <w:szCs w:val="21"/>
          <w:highlight w:val="none"/>
        </w:rPr>
        <w:t>占</w:t>
      </w:r>
      <w:r>
        <w:rPr>
          <w:rFonts w:hint="eastAsia" w:ascii="宋体" w:hAnsi="宋体" w:eastAsia="宋体" w:cs="宋体"/>
          <w:b w:val="0"/>
          <w:bCs/>
          <w:color w:val="auto"/>
          <w:szCs w:val="21"/>
          <w:highlight w:val="none"/>
          <w:lang w:val="en-US" w:eastAsia="zh-CN"/>
        </w:rPr>
        <w:t>合同总金额的</w:t>
      </w:r>
      <w:r>
        <w:rPr>
          <w:rFonts w:hint="eastAsia" w:ascii="宋体" w:hAnsi="宋体" w:cs="宋体"/>
          <w:b w:val="0"/>
          <w:bCs/>
          <w:color w:val="auto"/>
          <w:szCs w:val="21"/>
          <w:highlight w:val="none"/>
          <w:lang w:val="en-US" w:eastAsia="zh-CN"/>
        </w:rPr>
        <w:t>41</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其中运维费用占该金额的20%</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w:t>
      </w:r>
      <w:r>
        <w:rPr>
          <w:rFonts w:hint="eastAsia" w:ascii="宋体" w:hAnsi="宋体" w:eastAsia="宋体" w:cs="宋体"/>
          <w:b w:val="0"/>
          <w:bCs/>
          <w:color w:val="auto"/>
          <w:szCs w:val="21"/>
          <w:highlight w:val="none"/>
          <w:lang w:val="en-US" w:eastAsia="zh-CN"/>
        </w:rPr>
        <w:t>部分</w:t>
      </w:r>
      <w:r>
        <w:rPr>
          <w:rFonts w:hint="eastAsia" w:ascii="宋体" w:hAnsi="宋体" w:eastAsia="宋体" w:cs="宋体"/>
          <w:b w:val="0"/>
          <w:bCs/>
          <w:color w:val="auto"/>
          <w:szCs w:val="21"/>
          <w:highlight w:val="none"/>
        </w:rPr>
        <w:t>占</w:t>
      </w:r>
      <w:r>
        <w:rPr>
          <w:rFonts w:hint="eastAsia" w:ascii="宋体" w:hAnsi="宋体" w:eastAsia="宋体" w:cs="宋体"/>
          <w:b w:val="0"/>
          <w:bCs/>
          <w:color w:val="auto"/>
          <w:szCs w:val="21"/>
          <w:highlight w:val="none"/>
          <w:lang w:val="en-US" w:eastAsia="zh-CN"/>
        </w:rPr>
        <w:t>合同总金额的</w:t>
      </w: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rPr>
        <w:t>%。</w:t>
      </w:r>
    </w:p>
    <w:p w14:paraId="1A4E973D">
      <w:pPr>
        <w:pStyle w:val="57"/>
        <w:spacing w:line="360" w:lineRule="auto"/>
        <w:jc w:val="left"/>
        <w:rPr>
          <w:rFonts w:hint="default" w:ascii="宋体" w:hAnsi="宋体" w:eastAsia="宋体" w:cs="宋体"/>
          <w:b w:val="0"/>
          <w:bCs/>
          <w:color w:val="auto"/>
          <w:szCs w:val="21"/>
          <w:highlight w:val="none"/>
          <w:lang w:val="en-US"/>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签订合同后，在合同生效以及具备实施条件后</w:t>
      </w:r>
      <w:r>
        <w:rPr>
          <w:rFonts w:hint="eastAsia" w:ascii="宋体" w:hAnsi="宋体" w:eastAsia="宋体" w:cs="宋体"/>
          <w:b w:val="0"/>
          <w:bCs/>
          <w:color w:val="auto"/>
          <w:szCs w:val="21"/>
          <w:highlight w:val="none"/>
          <w:lang w:val="en-US" w:eastAsia="zh-CN"/>
        </w:rPr>
        <w:t>7个工作日内</w:t>
      </w:r>
      <w:r>
        <w:rPr>
          <w:rFonts w:hint="eastAsia" w:ascii="宋体" w:hAnsi="宋体" w:eastAsia="宋体" w:cs="宋体"/>
          <w:b w:val="0"/>
          <w:bCs/>
          <w:color w:val="auto"/>
          <w:szCs w:val="21"/>
          <w:highlight w:val="none"/>
        </w:rPr>
        <w:t>支付精细化管控</w:t>
      </w:r>
      <w:r>
        <w:rPr>
          <w:rFonts w:hint="eastAsia" w:ascii="宋体" w:hAnsi="宋体" w:cs="宋体"/>
          <w:b w:val="0"/>
          <w:bCs/>
          <w:color w:val="auto"/>
          <w:szCs w:val="21"/>
          <w:highlight w:val="none"/>
          <w:lang w:val="en-US" w:eastAsia="zh-CN"/>
        </w:rPr>
        <w:t>的</w:t>
      </w:r>
      <w:r>
        <w:rPr>
          <w:rFonts w:hint="eastAsia" w:ascii="宋体" w:hAnsi="宋体" w:eastAsia="宋体" w:cs="宋体"/>
          <w:b w:val="0"/>
          <w:bCs/>
          <w:color w:val="auto"/>
          <w:szCs w:val="21"/>
          <w:highlight w:val="none"/>
        </w:rPr>
        <w:t>70%作为预付款</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公共废气处理设施建设及运维服务</w:t>
      </w:r>
      <w:r>
        <w:rPr>
          <w:rFonts w:hint="eastAsia" w:ascii="宋体" w:hAnsi="宋体" w:eastAsia="宋体" w:cs="宋体"/>
          <w:b w:val="0"/>
          <w:bCs/>
          <w:color w:val="auto"/>
          <w:szCs w:val="21"/>
          <w:highlight w:val="none"/>
        </w:rPr>
        <w:t>部分的</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0%作为预付款</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精细化管控服务期满后提供项目成果，支付精细化管控部分的剩余金额。</w:t>
      </w:r>
      <w:r>
        <w:rPr>
          <w:rFonts w:hint="eastAsia" w:ascii="宋体" w:hAnsi="宋体" w:cs="宋体"/>
          <w:b w:val="0"/>
          <w:bCs/>
          <w:color w:val="auto"/>
          <w:szCs w:val="21"/>
          <w:highlight w:val="none"/>
          <w:lang w:val="en-US" w:eastAsia="zh-CN"/>
        </w:rPr>
        <w:t>公共废气处理设施建设完成及第一年运维服务</w:t>
      </w:r>
      <w:r>
        <w:rPr>
          <w:rFonts w:hint="eastAsia" w:ascii="宋体" w:hAnsi="宋体" w:eastAsia="宋体" w:cs="宋体"/>
          <w:b w:val="0"/>
          <w:bCs/>
          <w:color w:val="auto"/>
          <w:szCs w:val="21"/>
          <w:highlight w:val="none"/>
        </w:rPr>
        <w:t>期满后</w:t>
      </w:r>
      <w:r>
        <w:rPr>
          <w:rFonts w:hint="eastAsia" w:ascii="宋体" w:hAnsi="宋体" w:cs="宋体"/>
          <w:b w:val="0"/>
          <w:bCs/>
          <w:color w:val="auto"/>
          <w:szCs w:val="21"/>
          <w:highlight w:val="none"/>
          <w:lang w:val="en-US" w:eastAsia="zh-CN"/>
        </w:rPr>
        <w:t>提供相应资料</w:t>
      </w:r>
      <w:r>
        <w:rPr>
          <w:rFonts w:hint="eastAsia" w:ascii="宋体" w:hAnsi="宋体" w:eastAsia="宋体" w:cs="宋体"/>
          <w:b w:val="0"/>
          <w:bCs/>
          <w:color w:val="auto"/>
          <w:szCs w:val="21"/>
          <w:highlight w:val="none"/>
        </w:rPr>
        <w:t>，支付</w:t>
      </w:r>
      <w:r>
        <w:rPr>
          <w:rFonts w:hint="eastAsia" w:ascii="宋体" w:hAnsi="宋体" w:cs="宋体"/>
          <w:b w:val="0"/>
          <w:bCs/>
          <w:color w:val="auto"/>
          <w:szCs w:val="21"/>
          <w:highlight w:val="none"/>
          <w:lang w:val="en-US" w:eastAsia="zh-CN"/>
        </w:rPr>
        <w:t>废气处理设施建设</w:t>
      </w:r>
      <w:r>
        <w:rPr>
          <w:rFonts w:hint="eastAsia" w:ascii="宋体" w:hAnsi="宋体" w:eastAsia="宋体" w:cs="宋体"/>
          <w:b w:val="0"/>
          <w:bCs/>
          <w:color w:val="auto"/>
          <w:szCs w:val="21"/>
          <w:highlight w:val="none"/>
        </w:rPr>
        <w:t>剩余金额</w:t>
      </w:r>
      <w:r>
        <w:rPr>
          <w:rFonts w:hint="eastAsia" w:ascii="宋体" w:hAnsi="宋体" w:cs="宋体"/>
          <w:b w:val="0"/>
          <w:bCs/>
          <w:color w:val="auto"/>
          <w:szCs w:val="21"/>
          <w:highlight w:val="none"/>
          <w:lang w:val="en-US" w:eastAsia="zh-CN"/>
        </w:rPr>
        <w:t>及第一年运维服务金额；第二年运维服务</w:t>
      </w:r>
      <w:r>
        <w:rPr>
          <w:rFonts w:hint="eastAsia" w:ascii="宋体" w:hAnsi="宋体" w:eastAsia="宋体" w:cs="宋体"/>
          <w:b w:val="0"/>
          <w:bCs/>
          <w:color w:val="auto"/>
          <w:szCs w:val="21"/>
          <w:highlight w:val="none"/>
        </w:rPr>
        <w:t>期满后</w:t>
      </w:r>
      <w:r>
        <w:rPr>
          <w:rFonts w:hint="eastAsia" w:ascii="宋体" w:hAnsi="宋体" w:cs="宋体"/>
          <w:b w:val="0"/>
          <w:bCs/>
          <w:color w:val="auto"/>
          <w:szCs w:val="21"/>
          <w:highlight w:val="none"/>
          <w:lang w:val="en-US" w:eastAsia="zh-CN"/>
        </w:rPr>
        <w:t>提供相应资料后支付该金额。</w:t>
      </w:r>
    </w:p>
    <w:p w14:paraId="280130A7">
      <w:pPr>
        <w:pStyle w:val="57"/>
        <w:spacing w:line="360"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大气环境质量控制目标金额：控制指标达到</w:t>
      </w:r>
      <w:r>
        <w:rPr>
          <w:rFonts w:hint="eastAsia" w:ascii="宋体" w:hAnsi="宋体" w:eastAsia="宋体" w:cs="宋体"/>
          <w:b w:val="0"/>
          <w:bCs/>
          <w:color w:val="auto"/>
          <w:szCs w:val="21"/>
          <w:highlight w:val="none"/>
          <w:lang w:val="en-US" w:eastAsia="zh-CN"/>
        </w:rPr>
        <w:t>上级考核目标</w:t>
      </w:r>
      <w:r>
        <w:rPr>
          <w:rFonts w:hint="eastAsia" w:ascii="宋体" w:hAnsi="宋体" w:eastAsia="宋体" w:cs="宋体"/>
          <w:b w:val="0"/>
          <w:bCs/>
          <w:color w:val="auto"/>
          <w:szCs w:val="21"/>
          <w:highlight w:val="none"/>
        </w:rPr>
        <w:t>要求，支付全部金额；每未完成一项</w:t>
      </w:r>
      <w:r>
        <w:rPr>
          <w:rFonts w:hint="eastAsia" w:ascii="宋体" w:hAnsi="宋体" w:eastAsia="宋体" w:cs="宋体"/>
          <w:b w:val="0"/>
          <w:bCs/>
          <w:color w:val="auto"/>
          <w:szCs w:val="21"/>
          <w:highlight w:val="none"/>
          <w:lang w:val="en-US" w:eastAsia="zh-CN"/>
        </w:rPr>
        <w:t>上级考核目标</w:t>
      </w:r>
      <w:r>
        <w:rPr>
          <w:rFonts w:hint="eastAsia" w:ascii="宋体" w:hAnsi="宋体" w:eastAsia="宋体" w:cs="宋体"/>
          <w:b w:val="0"/>
          <w:bCs/>
          <w:color w:val="auto"/>
          <w:szCs w:val="21"/>
          <w:highlight w:val="none"/>
        </w:rPr>
        <w:t>扣大气环境质量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控制部分</w:t>
      </w:r>
      <w:r>
        <w:rPr>
          <w:rFonts w:hint="eastAsia" w:ascii="宋体" w:hAnsi="宋体" w:eastAsia="宋体" w:cs="宋体"/>
          <w:b w:val="0"/>
          <w:bCs/>
          <w:color w:val="auto"/>
          <w:szCs w:val="21"/>
          <w:highlight w:val="none"/>
        </w:rPr>
        <w:t>费用的</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0%</w:t>
      </w:r>
      <w:r>
        <w:rPr>
          <w:rFonts w:hint="eastAsia" w:ascii="宋体" w:hAnsi="宋体" w:cs="宋体"/>
          <w:b w:val="0"/>
          <w:bCs/>
          <w:color w:val="auto"/>
          <w:szCs w:val="21"/>
          <w:highlight w:val="none"/>
          <w:lang w:eastAsia="zh-CN"/>
        </w:rPr>
        <w:t>，扣完完止</w:t>
      </w:r>
      <w:r>
        <w:rPr>
          <w:rFonts w:hint="eastAsia" w:ascii="宋体" w:hAnsi="宋体" w:eastAsia="宋体" w:cs="宋体"/>
          <w:b w:val="0"/>
          <w:bCs/>
          <w:color w:val="auto"/>
          <w:szCs w:val="21"/>
          <w:highlight w:val="none"/>
        </w:rPr>
        <w:t>。</w:t>
      </w:r>
    </w:p>
    <w:p w14:paraId="795C99E7">
      <w:pPr>
        <w:numPr>
          <w:ilvl w:val="0"/>
          <w:numId w:val="0"/>
        </w:numPr>
        <w:spacing w:line="360" w:lineRule="auto"/>
        <w:ind w:left="780" w:leftChars="0" w:hanging="360" w:firstLineChars="0"/>
        <w:jc w:val="left"/>
        <w:rPr>
          <w:rFonts w:hint="eastAsia" w:ascii="宋体" w:hAnsi="宋体" w:eastAsia="宋体" w:cs="宋体"/>
          <w:snapToGrid w:val="0"/>
          <w:color w:val="auto"/>
          <w:kern w:val="0"/>
          <w:szCs w:val="21"/>
          <w:highlight w:val="none"/>
        </w:rPr>
      </w:pPr>
      <w:r>
        <w:rPr>
          <w:rFonts w:hint="eastAsia" w:ascii="宋体" w:hAnsi="宋体" w:cs="宋体"/>
          <w:b w:val="0"/>
          <w:bCs/>
          <w:color w:val="auto"/>
          <w:szCs w:val="21"/>
          <w:highlight w:val="none"/>
        </w:rPr>
        <w:t>2、服务期限：</w:t>
      </w:r>
      <w:r>
        <w:rPr>
          <w:rFonts w:hint="eastAsia" w:ascii="宋体" w:hAnsi="宋体" w:cs="宋体"/>
          <w:bCs/>
          <w:color w:val="auto"/>
          <w:szCs w:val="21"/>
          <w:highlight w:val="none"/>
          <w:lang w:val="en-US" w:eastAsia="zh-CN"/>
        </w:rPr>
        <w:t>精细化管控服务期一年，处理设施运行服务期二年。</w:t>
      </w:r>
    </w:p>
    <w:p w14:paraId="356A89CD">
      <w:pPr>
        <w:spacing w:line="360" w:lineRule="auto"/>
        <w:jc w:val="left"/>
        <w:outlineLvl w:val="0"/>
        <w:rPr>
          <w:rFonts w:hint="eastAsia" w:ascii="宋体" w:hAnsi="宋体" w:eastAsia="宋体" w:cs="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auto"/>
          <w:szCs w:val="21"/>
          <w:highlight w:val="none"/>
        </w:rPr>
        <w:t>六、</w:t>
      </w:r>
      <w:r>
        <w:rPr>
          <w:rFonts w:hint="eastAsia" w:ascii="宋体" w:hAnsi="宋体" w:eastAsia="宋体" w:cs="宋体"/>
          <w:b/>
          <w:color w:val="auto"/>
          <w:szCs w:val="21"/>
          <w:highlight w:val="none"/>
        </w:rPr>
        <w:t>本项目中标（成交）供应商应在浙江省政府采购网（http://zfcg.czt.zj.gov.cn/）上注册成为“政府采购供应商”，如不按要求注册的，采购方有权延期发布中标（成交）通知书和中标（成交）公告，后果由供应商自行承担。</w:t>
      </w:r>
    </w:p>
    <w:p w14:paraId="608C8FB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4C2D5145">
      <w:pPr>
        <w:pStyle w:val="55"/>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1BBA30AD">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台州市生态环境局黄岩分局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6514F70">
      <w:pPr>
        <w:pStyle w:val="13"/>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11A256E1">
      <w:pPr>
        <w:pStyle w:val="13"/>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台州市生态环境局黄岩分局</w:t>
      </w:r>
    </w:p>
    <w:p w14:paraId="0070D4B5">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1611F0E2">
      <w:pPr>
        <w:pStyle w:val="13"/>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台州市生态环境局黄岩分局2025年黄岩区大气环境质量精细化管控服务项目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1E978C4D">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hAnsi="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41298E6C">
      <w:pPr>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bCs/>
          <w:color w:val="auto"/>
          <w:szCs w:val="21"/>
          <w:highlight w:val="none"/>
        </w:rPr>
        <w:t>1、颗粒物走航监测。</w:t>
      </w:r>
      <w:r>
        <w:rPr>
          <w:rFonts w:hint="eastAsia" w:ascii="宋体" w:hAnsi="宋体" w:cs="宋体"/>
          <w:color w:val="auto"/>
          <w:szCs w:val="21"/>
          <w:highlight w:val="none"/>
        </w:rPr>
        <w:t>将黄岩区划分为若干区域，对于</w:t>
      </w:r>
      <w:r>
        <w:rPr>
          <w:rFonts w:hint="eastAsia" w:ascii="宋体" w:hAnsi="宋体" w:cs="宋体"/>
          <w:color w:val="auto"/>
          <w:szCs w:val="21"/>
          <w:highlight w:val="none"/>
          <w:lang w:val="en-US" w:eastAsia="zh-CN"/>
        </w:rPr>
        <w:t>重点区域</w:t>
      </w:r>
      <w:r>
        <w:rPr>
          <w:rFonts w:hint="eastAsia" w:ascii="宋体" w:hAnsi="宋体" w:cs="宋体"/>
          <w:color w:val="auto"/>
          <w:szCs w:val="21"/>
          <w:highlight w:val="none"/>
        </w:rPr>
        <w:t>周边、建筑工地、交通干道等重点监控点位周边，利用空气六参数走航监测技术进行走航监测，通过高值区域走航、应急走航等监测模式，快速排查颗粒物时空分布变化规律，获得区域空气颗粒物污染画像，从而针对性加强人工巡查，并编制扬尘走航监测报告。</w:t>
      </w:r>
      <w:r>
        <w:rPr>
          <w:rFonts w:hint="eastAsia" w:ascii="宋体" w:hAnsi="宋体" w:cs="宋体"/>
          <w:color w:val="auto"/>
          <w:szCs w:val="21"/>
          <w:highlight w:val="none"/>
          <w:lang w:val="en-US" w:eastAsia="zh-CN"/>
        </w:rPr>
        <w:t>一年至少20</w:t>
      </w:r>
      <w:r>
        <w:rPr>
          <w:rFonts w:hint="eastAsia" w:ascii="宋体" w:hAnsi="宋体" w:cs="宋体"/>
          <w:color w:val="auto"/>
          <w:szCs w:val="21"/>
          <w:highlight w:val="none"/>
        </w:rPr>
        <w:t>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重点安排在秋冬季季节</w:t>
      </w:r>
      <w:r>
        <w:rPr>
          <w:rFonts w:hint="eastAsia" w:ascii="宋体" w:hAnsi="宋体" w:cs="宋体"/>
          <w:color w:val="auto"/>
          <w:szCs w:val="21"/>
          <w:highlight w:val="none"/>
        </w:rPr>
        <w:t>。</w:t>
      </w:r>
    </w:p>
    <w:p w14:paraId="5987BCA4">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kern w:val="2"/>
          <w:sz w:val="21"/>
          <w:szCs w:val="21"/>
          <w:highlight w:val="none"/>
        </w:rPr>
      </w:pPr>
      <w:r>
        <w:rPr>
          <w:rFonts w:hint="eastAsia" w:cs="宋体"/>
          <w:color w:val="auto"/>
          <w:kern w:val="2"/>
          <w:sz w:val="21"/>
          <w:szCs w:val="21"/>
          <w:highlight w:val="none"/>
          <w:lang w:val="en-US"/>
        </w:rPr>
        <w:t>2</w:t>
      </w:r>
      <w:r>
        <w:rPr>
          <w:rFonts w:hint="eastAsia" w:cs="宋体"/>
          <w:color w:val="auto"/>
          <w:kern w:val="2"/>
          <w:sz w:val="21"/>
          <w:szCs w:val="21"/>
          <w:highlight w:val="none"/>
        </w:rPr>
        <w:t>、</w:t>
      </w:r>
      <w:r>
        <w:rPr>
          <w:rFonts w:hint="eastAsia" w:cs="宋体"/>
          <w:color w:val="auto"/>
          <w:kern w:val="2"/>
          <w:sz w:val="21"/>
          <w:szCs w:val="21"/>
          <w:highlight w:val="none"/>
          <w:lang w:val="en-US" w:eastAsia="zh-CN"/>
        </w:rPr>
        <w:t>环境空气质量</w:t>
      </w:r>
      <w:r>
        <w:rPr>
          <w:rFonts w:hint="eastAsia" w:cs="宋体"/>
          <w:color w:val="auto"/>
          <w:kern w:val="2"/>
          <w:sz w:val="21"/>
          <w:szCs w:val="21"/>
          <w:highlight w:val="none"/>
        </w:rPr>
        <w:t>分析。</w:t>
      </w:r>
      <w:r>
        <w:rPr>
          <w:rFonts w:hint="eastAsia" w:cs="宋体"/>
          <w:color w:val="auto"/>
          <w:sz w:val="21"/>
          <w:szCs w:val="21"/>
          <w:highlight w:val="none"/>
        </w:rPr>
        <w:t>分析黄岩区</w:t>
      </w:r>
      <w:r>
        <w:rPr>
          <w:rFonts w:hint="eastAsia" w:cs="宋体"/>
          <w:color w:val="auto"/>
          <w:sz w:val="21"/>
          <w:szCs w:val="21"/>
          <w:highlight w:val="none"/>
          <w:lang w:val="en-US" w:eastAsia="zh-CN"/>
        </w:rPr>
        <w:t>环境空气质量，</w:t>
      </w:r>
      <w:r>
        <w:rPr>
          <w:rFonts w:hint="eastAsia" w:cs="宋体"/>
          <w:color w:val="auto"/>
          <w:sz w:val="21"/>
          <w:szCs w:val="21"/>
          <w:highlight w:val="none"/>
        </w:rPr>
        <w:t>同时分析挖掘历史道路空气微型监测站数据，实现全区大气颗粒物浓度的时空动态变化趋势分析，结合扬尘走航结果分析污染成因，进而判断污染来源，追溯污染物扩散趋势，对污染源起到极大程度的监管作用，为环境监管和决策提供直接依据，并编制每月的</w:t>
      </w:r>
      <w:r>
        <w:rPr>
          <w:rFonts w:hint="eastAsia" w:cs="宋体"/>
          <w:color w:val="auto"/>
          <w:kern w:val="2"/>
          <w:sz w:val="21"/>
          <w:szCs w:val="21"/>
          <w:highlight w:val="none"/>
          <w:lang w:val="en-US" w:eastAsia="zh-CN"/>
        </w:rPr>
        <w:t>环境空气质量</w:t>
      </w:r>
      <w:r>
        <w:rPr>
          <w:rFonts w:hint="eastAsia" w:cs="宋体"/>
          <w:color w:val="auto"/>
          <w:sz w:val="21"/>
          <w:szCs w:val="21"/>
          <w:highlight w:val="none"/>
        </w:rPr>
        <w:t>分析报告。</w:t>
      </w:r>
    </w:p>
    <w:p w14:paraId="25D3B923">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default" w:eastAsia="宋体" w:cs="宋体"/>
          <w:color w:val="auto"/>
          <w:kern w:val="2"/>
          <w:sz w:val="21"/>
          <w:szCs w:val="21"/>
          <w:highlight w:val="none"/>
          <w:lang w:val="en-US" w:eastAsia="zh-CN"/>
        </w:rPr>
      </w:pPr>
      <w:r>
        <w:rPr>
          <w:rFonts w:hint="eastAsia" w:cs="宋体"/>
          <w:color w:val="auto"/>
          <w:sz w:val="21"/>
          <w:szCs w:val="21"/>
          <w:highlight w:val="none"/>
          <w:lang w:val="en-US"/>
        </w:rPr>
        <w:t>3</w:t>
      </w:r>
      <w:r>
        <w:rPr>
          <w:rFonts w:hint="eastAsia" w:cs="宋体"/>
          <w:color w:val="auto"/>
          <w:sz w:val="21"/>
          <w:szCs w:val="21"/>
          <w:highlight w:val="none"/>
        </w:rPr>
        <w:t>、VOCs应急走航监测。基于省市空气质量预警预报信息和采购方的需求，在污染天气前提前开展应急走航，结合预报信息和风速风向条件，进行应急走航监测分析，明确污染传输带上的污染分布，并编制VOCs应急走航监测报告。</w:t>
      </w:r>
      <w:r>
        <w:rPr>
          <w:rFonts w:hint="eastAsia" w:cs="宋体"/>
          <w:color w:val="auto"/>
          <w:sz w:val="21"/>
          <w:szCs w:val="21"/>
          <w:highlight w:val="none"/>
          <w:lang w:val="en-US" w:eastAsia="zh-CN"/>
        </w:rPr>
        <w:t>重点安排在预测发生臭氧污染天气时对国控站周边近源工业企业（主要为北城长塘园区、东城园区）开展走航，并对存在高值问题进行溯源，一年不少于5次。</w:t>
      </w:r>
    </w:p>
    <w:p w14:paraId="6AF1C428">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4、重点区域近源管控跟踪服务。根据</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的需求，针对黄岩区的重点区域适时提供</w:t>
      </w:r>
      <w:r>
        <w:rPr>
          <w:rFonts w:hint="eastAsia" w:ascii="宋体" w:hAnsi="宋体" w:cs="宋体"/>
          <w:color w:val="auto"/>
          <w:szCs w:val="21"/>
          <w:highlight w:val="none"/>
          <w:lang w:val="en-US" w:eastAsia="zh-CN"/>
        </w:rPr>
        <w:t>重点区域</w:t>
      </w:r>
      <w:r>
        <w:rPr>
          <w:rFonts w:hint="eastAsia" w:ascii="宋体" w:hAnsi="宋体" w:cs="宋体"/>
          <w:color w:val="auto"/>
          <w:szCs w:val="21"/>
          <w:highlight w:val="none"/>
        </w:rPr>
        <w:t>近源管控跟踪服务、人工巡查服务等，查找污染源并对污染源进行动态评估，从而及时调整管控策略，以保障环境空气质量。</w:t>
      </w:r>
      <w:r>
        <w:rPr>
          <w:rFonts w:hint="eastAsia" w:ascii="宋体" w:hAnsi="宋体" w:cs="宋体"/>
          <w:color w:val="auto"/>
          <w:szCs w:val="21"/>
          <w:highlight w:val="none"/>
          <w:lang w:val="en-US" w:eastAsia="zh-CN"/>
        </w:rPr>
        <w:t>重点：</w:t>
      </w:r>
      <w:r>
        <w:rPr>
          <w:rFonts w:hint="eastAsia" w:ascii="宋体" w:hAnsi="宋体" w:cs="宋体"/>
          <w:color w:val="auto"/>
          <w:szCs w:val="21"/>
          <w:highlight w:val="none"/>
        </w:rPr>
        <w:t>周边工地每星期至少2次（含出现PM、臭氧高值和污染天气时开展每日巡查），存在问题同时跟进整改情况</w:t>
      </w:r>
      <w:r>
        <w:rPr>
          <w:rFonts w:hint="eastAsia" w:ascii="宋体" w:hAnsi="宋体" w:cs="宋体"/>
          <w:color w:val="auto"/>
          <w:szCs w:val="21"/>
          <w:highlight w:val="none"/>
          <w:lang w:eastAsia="zh-CN"/>
        </w:rPr>
        <w:t>；扬尘雷达巡检问题日常排查及跟踪整改。</w:t>
      </w:r>
    </w:p>
    <w:p w14:paraId="20B24E5F">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sz w:val="21"/>
          <w:szCs w:val="21"/>
          <w:highlight w:val="none"/>
          <w:lang w:val="en-US"/>
        </w:rPr>
      </w:pPr>
      <w:r>
        <w:rPr>
          <w:rFonts w:hint="eastAsia" w:cs="宋体"/>
          <w:color w:val="auto"/>
          <w:sz w:val="21"/>
          <w:szCs w:val="21"/>
          <w:highlight w:val="none"/>
          <w:lang w:val="en-US"/>
        </w:rPr>
        <w:t>5、日常大气环境质量指标分析、溯源</w:t>
      </w:r>
      <w:r>
        <w:rPr>
          <w:rFonts w:hint="eastAsia" w:cs="宋体"/>
          <w:color w:val="auto"/>
          <w:sz w:val="21"/>
          <w:szCs w:val="21"/>
          <w:highlight w:val="none"/>
          <w:lang w:val="en-US" w:eastAsia="zh-CN"/>
        </w:rPr>
        <w:t>、预警分析、综合数据分析</w:t>
      </w:r>
      <w:r>
        <w:rPr>
          <w:rFonts w:hint="eastAsia" w:cs="宋体"/>
          <w:color w:val="auto"/>
          <w:sz w:val="21"/>
          <w:szCs w:val="21"/>
          <w:highlight w:val="none"/>
          <w:lang w:val="en-US"/>
        </w:rPr>
        <w:t>等。根据日常颗粒物浓度异常高值情况，提供相应大气环境质量指标高值分析，并对周边区域进行污染源的追踪调查，以确定污染物的具体来源和传播路径。现场调查至少应有两名专业人员负责</w:t>
      </w:r>
      <w:r>
        <w:rPr>
          <w:rFonts w:hint="eastAsia" w:cs="宋体"/>
          <w:color w:val="auto"/>
          <w:sz w:val="21"/>
          <w:szCs w:val="21"/>
          <w:highlight w:val="none"/>
          <w:lang w:val="en-US" w:eastAsia="zh-CN"/>
        </w:rPr>
        <w:t>，</w:t>
      </w:r>
      <w:r>
        <w:rPr>
          <w:rFonts w:hint="eastAsia" w:cs="宋体"/>
          <w:color w:val="auto"/>
          <w:sz w:val="21"/>
          <w:szCs w:val="21"/>
          <w:highlight w:val="none"/>
          <w:lang w:val="en-US" w:eastAsia="zh-CN"/>
        </w:rPr>
        <w:t>数据分析至少配置一人专业技术人员</w:t>
      </w:r>
      <w:r>
        <w:rPr>
          <w:rFonts w:hint="eastAsia" w:cs="宋体"/>
          <w:color w:val="auto"/>
          <w:sz w:val="21"/>
          <w:szCs w:val="21"/>
          <w:highlight w:val="none"/>
          <w:lang w:val="en-US"/>
        </w:rPr>
        <w:t>。</w:t>
      </w:r>
    </w:p>
    <w:p w14:paraId="7D565116">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sz w:val="21"/>
          <w:szCs w:val="21"/>
          <w:highlight w:val="none"/>
          <w:lang w:val="en-US"/>
        </w:rPr>
      </w:pPr>
      <w:r>
        <w:rPr>
          <w:rFonts w:hint="eastAsia" w:cs="宋体"/>
          <w:color w:val="auto"/>
          <w:sz w:val="21"/>
          <w:szCs w:val="21"/>
          <w:highlight w:val="none"/>
          <w:lang w:val="en-US"/>
        </w:rPr>
        <w:t>6、公共废气设施治理。</w:t>
      </w:r>
      <w:r>
        <w:rPr>
          <w:rFonts w:hint="eastAsia" w:cs="宋体"/>
          <w:color w:val="auto"/>
          <w:sz w:val="21"/>
          <w:szCs w:val="21"/>
          <w:highlight w:val="none"/>
          <w:lang w:val="en-US" w:eastAsia="zh-CN"/>
        </w:rPr>
        <w:t>针对重点区域周边污染源情况，</w:t>
      </w:r>
      <w:r>
        <w:rPr>
          <w:rFonts w:hint="eastAsia" w:cs="宋体"/>
          <w:color w:val="auto"/>
          <w:sz w:val="21"/>
          <w:szCs w:val="21"/>
          <w:highlight w:val="none"/>
          <w:lang w:val="en-US" w:eastAsia="zh-CN"/>
        </w:rPr>
        <w:t>对</w:t>
      </w:r>
      <w:r>
        <w:rPr>
          <w:rFonts w:hint="eastAsia" w:cs="宋体"/>
          <w:color w:val="auto"/>
          <w:sz w:val="21"/>
          <w:szCs w:val="21"/>
          <w:highlight w:val="none"/>
          <w:lang w:val="en-US"/>
        </w:rPr>
        <w:t>周边污染源公共</w:t>
      </w:r>
      <w:r>
        <w:rPr>
          <w:rFonts w:hint="eastAsia" w:cs="宋体"/>
          <w:color w:val="auto"/>
          <w:sz w:val="21"/>
          <w:szCs w:val="21"/>
          <w:highlight w:val="none"/>
          <w:lang w:val="en-US" w:eastAsia="zh-CN"/>
        </w:rPr>
        <w:t>（寺庙、餐饮油烟）</w:t>
      </w:r>
      <w:r>
        <w:rPr>
          <w:rFonts w:hint="eastAsia" w:cs="宋体"/>
          <w:color w:val="auto"/>
          <w:sz w:val="21"/>
          <w:szCs w:val="21"/>
          <w:highlight w:val="none"/>
          <w:lang w:val="en-US"/>
        </w:rPr>
        <w:t>废气</w:t>
      </w:r>
      <w:r>
        <w:rPr>
          <w:rFonts w:hint="eastAsia" w:cs="宋体"/>
          <w:color w:val="auto"/>
          <w:sz w:val="21"/>
          <w:szCs w:val="21"/>
          <w:highlight w:val="none"/>
          <w:lang w:val="en-US" w:eastAsia="zh-CN"/>
        </w:rPr>
        <w:t>进行</w:t>
      </w:r>
      <w:r>
        <w:rPr>
          <w:rFonts w:hint="eastAsia" w:cs="宋体"/>
          <w:color w:val="auto"/>
          <w:sz w:val="21"/>
          <w:szCs w:val="21"/>
          <w:highlight w:val="none"/>
          <w:lang w:val="en-US"/>
        </w:rPr>
        <w:t>收集，并配备相应的处理设施，减少污染</w:t>
      </w:r>
      <w:r>
        <w:rPr>
          <w:rFonts w:hint="eastAsia" w:cs="宋体"/>
          <w:color w:val="auto"/>
          <w:sz w:val="21"/>
          <w:szCs w:val="21"/>
          <w:highlight w:val="none"/>
          <w:lang w:val="en-US" w:eastAsia="zh-CN"/>
        </w:rPr>
        <w:t>，确保设施正常运行，每年运维期需至少提交一份监测报告</w:t>
      </w:r>
      <w:r>
        <w:rPr>
          <w:rFonts w:hint="eastAsia" w:cs="宋体"/>
          <w:color w:val="auto"/>
          <w:sz w:val="21"/>
          <w:szCs w:val="21"/>
          <w:highlight w:val="none"/>
          <w:lang w:val="en-US"/>
        </w:rPr>
        <w:t>。</w:t>
      </w:r>
    </w:p>
    <w:p w14:paraId="49895567">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7、管控期间至少配备现场人员2名，其中日常驻场1人。</w:t>
      </w:r>
    </w:p>
    <w:p w14:paraId="65066530">
      <w:pPr>
        <w:pStyle w:val="13"/>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4F02A8C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74330835">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03"/>
        <w:gridCol w:w="1383"/>
        <w:gridCol w:w="3832"/>
      </w:tblGrid>
      <w:tr w14:paraId="16A4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3503" w:type="dxa"/>
            <w:vMerge w:val="restart"/>
            <w:vAlign w:val="center"/>
          </w:tcPr>
          <w:p w14:paraId="70896CA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rPr>
              <w:t>精细化管控部分</w:t>
            </w:r>
            <w:r>
              <w:rPr>
                <w:rFonts w:hint="eastAsia" w:ascii="宋体" w:hAnsi="宋体" w:eastAsia="宋体" w:cs="宋体"/>
                <w:color w:val="auto"/>
                <w:szCs w:val="21"/>
                <w:highlight w:val="none"/>
              </w:rPr>
              <w:t>(元)</w:t>
            </w:r>
          </w:p>
        </w:tc>
        <w:tc>
          <w:tcPr>
            <w:tcW w:w="1383" w:type="dxa"/>
            <w:vAlign w:val="center"/>
          </w:tcPr>
          <w:p w14:paraId="1891ECA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3832" w:type="dxa"/>
            <w:vAlign w:val="center"/>
          </w:tcPr>
          <w:p w14:paraId="08E6F68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7FF3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3503" w:type="dxa"/>
            <w:vMerge w:val="continue"/>
            <w:vAlign w:val="center"/>
          </w:tcPr>
          <w:p w14:paraId="45186D6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83" w:type="dxa"/>
            <w:vAlign w:val="center"/>
          </w:tcPr>
          <w:p w14:paraId="49D2A7D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3832" w:type="dxa"/>
            <w:vAlign w:val="center"/>
          </w:tcPr>
          <w:p w14:paraId="012F702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0180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3503" w:type="dxa"/>
            <w:vMerge w:val="restart"/>
            <w:vAlign w:val="center"/>
          </w:tcPr>
          <w:p w14:paraId="7FCD371E">
            <w:pPr>
              <w:keepNext w:val="0"/>
              <w:keepLines w:val="0"/>
              <w:pageBreakBefore w:val="0"/>
              <w:kinsoku/>
              <w:overflowPunct/>
              <w:topLinePunct w:val="0"/>
              <w:bidi w:val="0"/>
              <w:jc w:val="center"/>
              <w:outlineLvl w:val="9"/>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公共废气处理设施建设</w:t>
            </w:r>
            <w:r>
              <w:rPr>
                <w:rFonts w:hint="eastAsia" w:ascii="宋体" w:hAnsi="宋体" w:eastAsia="宋体" w:cs="宋体"/>
                <w:color w:val="auto"/>
                <w:szCs w:val="21"/>
                <w:highlight w:val="none"/>
              </w:rPr>
              <w:t>(元)</w:t>
            </w:r>
          </w:p>
        </w:tc>
        <w:tc>
          <w:tcPr>
            <w:tcW w:w="1383" w:type="dxa"/>
            <w:shd w:val="clear" w:color="auto" w:fill="auto"/>
            <w:vAlign w:val="center"/>
          </w:tcPr>
          <w:p w14:paraId="04FB23F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c>
          <w:tcPr>
            <w:tcW w:w="3832" w:type="dxa"/>
            <w:vAlign w:val="center"/>
          </w:tcPr>
          <w:p w14:paraId="7CB3991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14BD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3503" w:type="dxa"/>
            <w:vMerge w:val="continue"/>
            <w:vAlign w:val="center"/>
          </w:tcPr>
          <w:p w14:paraId="5FDD93A1">
            <w:pPr>
              <w:keepNext w:val="0"/>
              <w:keepLines w:val="0"/>
              <w:pageBreakBefore w:val="0"/>
              <w:kinsoku/>
              <w:overflowPunct/>
              <w:topLinePunct w:val="0"/>
              <w:bidi w:val="0"/>
              <w:jc w:val="center"/>
              <w:outlineLvl w:val="9"/>
              <w:rPr>
                <w:rFonts w:hint="eastAsia" w:ascii="宋体" w:hAnsi="宋体" w:cs="宋体"/>
                <w:b w:val="0"/>
                <w:bCs/>
                <w:color w:val="auto"/>
                <w:szCs w:val="21"/>
                <w:highlight w:val="none"/>
                <w:lang w:val="en-US" w:eastAsia="zh-CN"/>
              </w:rPr>
            </w:pPr>
          </w:p>
        </w:tc>
        <w:tc>
          <w:tcPr>
            <w:tcW w:w="1383" w:type="dxa"/>
            <w:shd w:val="clear" w:color="auto" w:fill="auto"/>
            <w:vAlign w:val="center"/>
          </w:tcPr>
          <w:p w14:paraId="04BD5BE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小写</w:t>
            </w:r>
          </w:p>
        </w:tc>
        <w:tc>
          <w:tcPr>
            <w:tcW w:w="3832" w:type="dxa"/>
            <w:vAlign w:val="center"/>
          </w:tcPr>
          <w:p w14:paraId="339325D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1D6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3503" w:type="dxa"/>
            <w:vMerge w:val="restart"/>
            <w:vAlign w:val="center"/>
          </w:tcPr>
          <w:p w14:paraId="76F6D267">
            <w:pPr>
              <w:keepNext w:val="0"/>
              <w:keepLines w:val="0"/>
              <w:pageBreakBefore w:val="0"/>
              <w:kinsoku/>
              <w:overflowPunct/>
              <w:topLinePunct w:val="0"/>
              <w:bidi w:val="0"/>
              <w:jc w:val="center"/>
              <w:outlineLvl w:val="9"/>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公共废气处理设施运维服务</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/年</w:t>
            </w:r>
            <w:r>
              <w:rPr>
                <w:rFonts w:hint="eastAsia" w:ascii="宋体" w:hAnsi="宋体" w:eastAsia="宋体" w:cs="宋体"/>
                <w:color w:val="auto"/>
                <w:szCs w:val="21"/>
                <w:highlight w:val="none"/>
              </w:rPr>
              <w:t>)</w:t>
            </w:r>
          </w:p>
        </w:tc>
        <w:tc>
          <w:tcPr>
            <w:tcW w:w="1383" w:type="dxa"/>
            <w:shd w:val="clear" w:color="auto" w:fill="auto"/>
            <w:vAlign w:val="center"/>
          </w:tcPr>
          <w:p w14:paraId="6979EDD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c>
          <w:tcPr>
            <w:tcW w:w="3832" w:type="dxa"/>
            <w:vAlign w:val="center"/>
          </w:tcPr>
          <w:p w14:paraId="6C94BEA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67FC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3503" w:type="dxa"/>
            <w:vMerge w:val="continue"/>
            <w:vAlign w:val="center"/>
          </w:tcPr>
          <w:p w14:paraId="2F93A9E9">
            <w:pPr>
              <w:keepNext w:val="0"/>
              <w:keepLines w:val="0"/>
              <w:pageBreakBefore w:val="0"/>
              <w:kinsoku/>
              <w:overflowPunct/>
              <w:topLinePunct w:val="0"/>
              <w:bidi w:val="0"/>
              <w:jc w:val="center"/>
              <w:outlineLvl w:val="9"/>
              <w:rPr>
                <w:rFonts w:hint="eastAsia" w:ascii="宋体" w:hAnsi="宋体" w:eastAsia="宋体" w:cs="宋体"/>
                <w:b w:val="0"/>
                <w:bCs/>
                <w:color w:val="auto"/>
                <w:szCs w:val="21"/>
                <w:highlight w:val="none"/>
              </w:rPr>
            </w:pPr>
          </w:p>
        </w:tc>
        <w:tc>
          <w:tcPr>
            <w:tcW w:w="1383" w:type="dxa"/>
            <w:shd w:val="clear" w:color="auto" w:fill="auto"/>
            <w:vAlign w:val="center"/>
          </w:tcPr>
          <w:p w14:paraId="655C826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小写</w:t>
            </w:r>
          </w:p>
        </w:tc>
        <w:tc>
          <w:tcPr>
            <w:tcW w:w="3832" w:type="dxa"/>
            <w:vAlign w:val="center"/>
          </w:tcPr>
          <w:p w14:paraId="2E6DC1D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462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3503" w:type="dxa"/>
            <w:vMerge w:val="restart"/>
            <w:vAlign w:val="center"/>
          </w:tcPr>
          <w:p w14:paraId="36AD85C7">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eastAsia="宋体" w:cs="宋体"/>
                <w:b w:val="0"/>
                <w:bCs/>
                <w:color w:val="auto"/>
                <w:szCs w:val="21"/>
                <w:highlight w:val="none"/>
              </w:rPr>
              <w:t>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控制部分</w:t>
            </w:r>
            <w:r>
              <w:rPr>
                <w:rFonts w:hint="eastAsia" w:ascii="宋体" w:hAnsi="宋体" w:cs="宋体"/>
                <w:b w:val="0"/>
                <w:bCs/>
                <w:color w:val="auto"/>
                <w:szCs w:val="21"/>
                <w:highlight w:val="none"/>
                <w:lang w:val="en-US" w:eastAsia="zh-CN"/>
              </w:rPr>
              <w:t>（元）</w:t>
            </w:r>
          </w:p>
        </w:tc>
        <w:tc>
          <w:tcPr>
            <w:tcW w:w="1383" w:type="dxa"/>
            <w:shd w:val="clear" w:color="auto" w:fill="auto"/>
            <w:vAlign w:val="center"/>
          </w:tcPr>
          <w:p w14:paraId="6F8E510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c>
          <w:tcPr>
            <w:tcW w:w="3832" w:type="dxa"/>
            <w:vAlign w:val="center"/>
          </w:tcPr>
          <w:p w14:paraId="093D926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6E2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8" w:hRule="atLeast"/>
          <w:jc w:val="center"/>
        </w:trPr>
        <w:tc>
          <w:tcPr>
            <w:tcW w:w="3503" w:type="dxa"/>
            <w:vMerge w:val="continue"/>
            <w:vAlign w:val="center"/>
          </w:tcPr>
          <w:p w14:paraId="29D70E92">
            <w:pPr>
              <w:keepNext w:val="0"/>
              <w:keepLines w:val="0"/>
              <w:pageBreakBefore w:val="0"/>
              <w:kinsoku/>
              <w:overflowPunct/>
              <w:topLinePunct w:val="0"/>
              <w:bidi w:val="0"/>
              <w:jc w:val="center"/>
              <w:outlineLvl w:val="9"/>
              <w:rPr>
                <w:rFonts w:hint="eastAsia" w:ascii="宋体" w:hAnsi="宋体" w:eastAsia="宋体" w:cs="宋体"/>
                <w:b w:val="0"/>
                <w:bCs/>
                <w:color w:val="auto"/>
                <w:szCs w:val="21"/>
                <w:highlight w:val="none"/>
              </w:rPr>
            </w:pPr>
          </w:p>
        </w:tc>
        <w:tc>
          <w:tcPr>
            <w:tcW w:w="1383" w:type="dxa"/>
            <w:shd w:val="clear" w:color="auto" w:fill="auto"/>
            <w:vAlign w:val="center"/>
          </w:tcPr>
          <w:p w14:paraId="030C172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小写</w:t>
            </w:r>
          </w:p>
        </w:tc>
        <w:tc>
          <w:tcPr>
            <w:tcW w:w="3832" w:type="dxa"/>
            <w:vAlign w:val="center"/>
          </w:tcPr>
          <w:p w14:paraId="448915F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42AD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9" w:hRule="atLeast"/>
          <w:jc w:val="center"/>
        </w:trPr>
        <w:tc>
          <w:tcPr>
            <w:tcW w:w="8718" w:type="dxa"/>
            <w:gridSpan w:val="3"/>
            <w:vAlign w:val="center"/>
          </w:tcPr>
          <w:p w14:paraId="6C8BD9AE">
            <w:pPr>
              <w:keepNext w:val="0"/>
              <w:keepLines w:val="0"/>
              <w:pageBreakBefore w:val="0"/>
              <w:kinsoku/>
              <w:overflowPunct/>
              <w:topLinePunct w:val="0"/>
              <w:autoSpaceDE w:val="0"/>
              <w:autoSpaceDN w:val="0"/>
              <w:bidi w:val="0"/>
              <w:spacing w:line="240" w:lineRule="auto"/>
              <w:jc w:val="left"/>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报价合计</w:t>
            </w:r>
          </w:p>
          <w:p w14:paraId="1AA153C3">
            <w:pPr>
              <w:keepNext w:val="0"/>
              <w:keepLines w:val="0"/>
              <w:pageBreakBefore w:val="0"/>
              <w:kinsoku/>
              <w:overflowPunct/>
              <w:topLinePunct w:val="0"/>
              <w:autoSpaceDE w:val="0"/>
              <w:autoSpaceDN w:val="0"/>
              <w:bidi w:val="0"/>
              <w:spacing w:line="240" w:lineRule="auto"/>
              <w:jc w:val="left"/>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102CCDE5">
            <w:pPr>
              <w:keepNext w:val="0"/>
              <w:keepLines w:val="0"/>
              <w:pageBreakBefore w:val="0"/>
              <w:kinsoku/>
              <w:overflowPunct/>
              <w:topLinePunct w:val="0"/>
              <w:autoSpaceDE w:val="0"/>
              <w:autoSpaceDN w:val="0"/>
              <w:bidi w:val="0"/>
              <w:spacing w:line="240" w:lineRule="auto"/>
              <w:jc w:val="left"/>
              <w:textAlignment w:val="bottom"/>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p>
        </w:tc>
      </w:tr>
    </w:tbl>
    <w:p w14:paraId="6139383B">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p>
    <w:p w14:paraId="661B23BB">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50E8682E">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58E25AB">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B6FAF8">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63D9091F">
      <w:pPr>
        <w:pStyle w:val="13"/>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6F740D91">
      <w:pPr>
        <w:pStyle w:val="13"/>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7DE9264">
      <w:pPr>
        <w:pStyle w:val="13"/>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6953B401">
      <w:pPr>
        <w:pStyle w:val="13"/>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7A667CE0">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642FC92B">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A3884CB">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除非得到甲方的书面同意，乙方不得将本合同范围的服务全部或部分分包给他人供应；</w:t>
      </w:r>
    </w:p>
    <w:p w14:paraId="7E2EF3DE">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如有转让和未经甲方同意的分包行为，甲方有权解除合同，没收履约保证金并追究乙方的违约责任。</w:t>
      </w:r>
    </w:p>
    <w:p w14:paraId="596B3A2F">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条：付款方式</w:t>
      </w:r>
    </w:p>
    <w:p w14:paraId="47FFA431">
      <w:pPr>
        <w:pStyle w:val="57"/>
        <w:spacing w:line="360" w:lineRule="auto"/>
        <w:ind w:left="0" w:leftChars="0" w:firstLine="0" w:firstLineChars="0"/>
        <w:jc w:val="left"/>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val="en-US" w:eastAsia="zh-CN"/>
        </w:rPr>
        <w:t>合同总金额</w:t>
      </w:r>
      <w:r>
        <w:rPr>
          <w:rFonts w:hint="eastAsia" w:ascii="宋体" w:hAnsi="宋体" w:eastAsia="宋体" w:cs="宋体"/>
          <w:b w:val="0"/>
          <w:bCs/>
          <w:color w:val="auto"/>
          <w:szCs w:val="21"/>
          <w:highlight w:val="none"/>
        </w:rPr>
        <w:t>分精细化管控</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公共废气处理设施建设及运维服务</w:t>
      </w:r>
      <w:r>
        <w:rPr>
          <w:rFonts w:hint="eastAsia" w:ascii="宋体" w:hAnsi="宋体" w:eastAsia="宋体" w:cs="宋体"/>
          <w:b w:val="0"/>
          <w:bCs/>
          <w:color w:val="auto"/>
          <w:szCs w:val="21"/>
          <w:highlight w:val="none"/>
        </w:rPr>
        <w:t>和大气环境质量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控制部分，精细化管控</w:t>
      </w:r>
      <w:r>
        <w:rPr>
          <w:rFonts w:hint="eastAsia" w:ascii="宋体" w:hAnsi="宋体" w:cs="宋体"/>
          <w:b w:val="0"/>
          <w:bCs/>
          <w:color w:val="auto"/>
          <w:szCs w:val="21"/>
          <w:highlight w:val="none"/>
          <w:lang w:val="en-US" w:eastAsia="zh-CN"/>
        </w:rPr>
        <w:t>部分</w:t>
      </w:r>
      <w:r>
        <w:rPr>
          <w:rFonts w:hint="eastAsia" w:ascii="宋体" w:hAnsi="宋体" w:eastAsia="宋体" w:cs="宋体"/>
          <w:b w:val="0"/>
          <w:bCs/>
          <w:color w:val="auto"/>
          <w:szCs w:val="21"/>
          <w:highlight w:val="none"/>
        </w:rPr>
        <w:t>占</w:t>
      </w:r>
      <w:r>
        <w:rPr>
          <w:rFonts w:hint="eastAsia" w:ascii="宋体" w:hAnsi="宋体" w:eastAsia="宋体" w:cs="宋体"/>
          <w:b w:val="0"/>
          <w:bCs/>
          <w:color w:val="auto"/>
          <w:szCs w:val="21"/>
          <w:highlight w:val="none"/>
          <w:lang w:val="en-US" w:eastAsia="zh-CN"/>
        </w:rPr>
        <w:t>合同总金额的</w:t>
      </w:r>
      <w:r>
        <w:rPr>
          <w:rFonts w:hint="eastAsia" w:ascii="宋体" w:hAnsi="宋体" w:cs="宋体"/>
          <w:b w:val="0"/>
          <w:bCs/>
          <w:color w:val="auto"/>
          <w:szCs w:val="21"/>
          <w:highlight w:val="none"/>
          <w:lang w:val="en-US" w:eastAsia="zh-CN"/>
        </w:rPr>
        <w:t>52</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公共废气处理设施建设及运维服务部分</w:t>
      </w:r>
      <w:r>
        <w:rPr>
          <w:rFonts w:hint="eastAsia" w:ascii="宋体" w:hAnsi="宋体" w:eastAsia="宋体" w:cs="宋体"/>
          <w:b w:val="0"/>
          <w:bCs/>
          <w:color w:val="auto"/>
          <w:szCs w:val="21"/>
          <w:highlight w:val="none"/>
        </w:rPr>
        <w:t>占</w:t>
      </w:r>
      <w:r>
        <w:rPr>
          <w:rFonts w:hint="eastAsia" w:ascii="宋体" w:hAnsi="宋体" w:eastAsia="宋体" w:cs="宋体"/>
          <w:b w:val="0"/>
          <w:bCs/>
          <w:color w:val="auto"/>
          <w:szCs w:val="21"/>
          <w:highlight w:val="none"/>
          <w:lang w:val="en-US" w:eastAsia="zh-CN"/>
        </w:rPr>
        <w:t>合同总金额的</w:t>
      </w:r>
      <w:r>
        <w:rPr>
          <w:rFonts w:hint="eastAsia" w:ascii="宋体" w:hAnsi="宋体" w:cs="宋体"/>
          <w:b w:val="0"/>
          <w:bCs/>
          <w:color w:val="auto"/>
          <w:szCs w:val="21"/>
          <w:highlight w:val="none"/>
          <w:lang w:val="en-US" w:eastAsia="zh-CN"/>
        </w:rPr>
        <w:t>41</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其中运维费用占该金额的20%</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w:t>
      </w:r>
      <w:r>
        <w:rPr>
          <w:rFonts w:hint="eastAsia" w:ascii="宋体" w:hAnsi="宋体" w:eastAsia="宋体" w:cs="宋体"/>
          <w:b w:val="0"/>
          <w:bCs/>
          <w:color w:val="auto"/>
          <w:szCs w:val="21"/>
          <w:highlight w:val="none"/>
          <w:lang w:val="en-US" w:eastAsia="zh-CN"/>
        </w:rPr>
        <w:t>部分</w:t>
      </w:r>
      <w:r>
        <w:rPr>
          <w:rFonts w:hint="eastAsia" w:ascii="宋体" w:hAnsi="宋体" w:eastAsia="宋体" w:cs="宋体"/>
          <w:b w:val="0"/>
          <w:bCs/>
          <w:color w:val="auto"/>
          <w:szCs w:val="21"/>
          <w:highlight w:val="none"/>
        </w:rPr>
        <w:t>占</w:t>
      </w:r>
      <w:r>
        <w:rPr>
          <w:rFonts w:hint="eastAsia" w:ascii="宋体" w:hAnsi="宋体" w:eastAsia="宋体" w:cs="宋体"/>
          <w:b w:val="0"/>
          <w:bCs/>
          <w:color w:val="auto"/>
          <w:szCs w:val="21"/>
          <w:highlight w:val="none"/>
          <w:lang w:val="en-US" w:eastAsia="zh-CN"/>
        </w:rPr>
        <w:t>合同总金额的</w:t>
      </w: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rPr>
        <w:t>%。</w:t>
      </w:r>
    </w:p>
    <w:p w14:paraId="5C480FDF">
      <w:pPr>
        <w:pStyle w:val="57"/>
        <w:spacing w:line="360" w:lineRule="auto"/>
        <w:ind w:left="0" w:leftChars="0" w:firstLine="0" w:firstLineChars="0"/>
        <w:jc w:val="left"/>
        <w:rPr>
          <w:rFonts w:hint="default" w:ascii="宋体" w:hAnsi="宋体" w:eastAsia="宋体" w:cs="宋体"/>
          <w:b w:val="0"/>
          <w:bCs/>
          <w:color w:val="auto"/>
          <w:szCs w:val="21"/>
          <w:highlight w:val="none"/>
          <w:lang w:val="en-US"/>
        </w:rPr>
      </w:pP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签订合同后，在合同生效以及具备实施条件后</w:t>
      </w:r>
      <w:r>
        <w:rPr>
          <w:rFonts w:hint="eastAsia" w:ascii="宋体" w:hAnsi="宋体" w:eastAsia="宋体" w:cs="宋体"/>
          <w:b w:val="0"/>
          <w:bCs/>
          <w:color w:val="auto"/>
          <w:szCs w:val="21"/>
          <w:highlight w:val="none"/>
          <w:lang w:val="en-US" w:eastAsia="zh-CN"/>
        </w:rPr>
        <w:t>7个工作日内</w:t>
      </w:r>
      <w:r>
        <w:rPr>
          <w:rFonts w:hint="eastAsia" w:ascii="宋体" w:hAnsi="宋体" w:eastAsia="宋体" w:cs="宋体"/>
          <w:b w:val="0"/>
          <w:bCs/>
          <w:color w:val="auto"/>
          <w:szCs w:val="21"/>
          <w:highlight w:val="none"/>
        </w:rPr>
        <w:t>支付精细化管控</w:t>
      </w:r>
      <w:r>
        <w:rPr>
          <w:rFonts w:hint="eastAsia" w:ascii="宋体" w:hAnsi="宋体" w:cs="宋体"/>
          <w:b w:val="0"/>
          <w:bCs/>
          <w:color w:val="auto"/>
          <w:szCs w:val="21"/>
          <w:highlight w:val="none"/>
          <w:lang w:val="en-US" w:eastAsia="zh-CN"/>
        </w:rPr>
        <w:t>的</w:t>
      </w:r>
      <w:r>
        <w:rPr>
          <w:rFonts w:hint="eastAsia" w:ascii="宋体" w:hAnsi="宋体" w:eastAsia="宋体" w:cs="宋体"/>
          <w:b w:val="0"/>
          <w:bCs/>
          <w:color w:val="auto"/>
          <w:szCs w:val="21"/>
          <w:highlight w:val="none"/>
        </w:rPr>
        <w:t>70%作为预付款</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公共废气处理设施建设及运维服务</w:t>
      </w:r>
      <w:r>
        <w:rPr>
          <w:rFonts w:hint="eastAsia" w:ascii="宋体" w:hAnsi="宋体" w:eastAsia="宋体" w:cs="宋体"/>
          <w:b w:val="0"/>
          <w:bCs/>
          <w:color w:val="auto"/>
          <w:szCs w:val="21"/>
          <w:highlight w:val="none"/>
        </w:rPr>
        <w:t>部分的</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0%作为预付款</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精细化管控服务期满后提供项目成果，支付精细化管控部分的剩余金额。</w:t>
      </w:r>
      <w:r>
        <w:rPr>
          <w:rFonts w:hint="eastAsia" w:ascii="宋体" w:hAnsi="宋体" w:cs="宋体"/>
          <w:b w:val="0"/>
          <w:bCs/>
          <w:color w:val="auto"/>
          <w:szCs w:val="21"/>
          <w:highlight w:val="none"/>
          <w:lang w:val="en-US" w:eastAsia="zh-CN"/>
        </w:rPr>
        <w:t>公共废气处理设施建设完成及第一年运维服务</w:t>
      </w:r>
      <w:r>
        <w:rPr>
          <w:rFonts w:hint="eastAsia" w:ascii="宋体" w:hAnsi="宋体" w:eastAsia="宋体" w:cs="宋体"/>
          <w:b w:val="0"/>
          <w:bCs/>
          <w:color w:val="auto"/>
          <w:szCs w:val="21"/>
          <w:highlight w:val="none"/>
        </w:rPr>
        <w:t>期满后</w:t>
      </w:r>
      <w:r>
        <w:rPr>
          <w:rFonts w:hint="eastAsia" w:ascii="宋体" w:hAnsi="宋体" w:cs="宋体"/>
          <w:b w:val="0"/>
          <w:bCs/>
          <w:color w:val="auto"/>
          <w:szCs w:val="21"/>
          <w:highlight w:val="none"/>
          <w:lang w:val="en-US" w:eastAsia="zh-CN"/>
        </w:rPr>
        <w:t>提供相应资料</w:t>
      </w:r>
      <w:r>
        <w:rPr>
          <w:rFonts w:hint="eastAsia" w:ascii="宋体" w:hAnsi="宋体" w:eastAsia="宋体" w:cs="宋体"/>
          <w:b w:val="0"/>
          <w:bCs/>
          <w:color w:val="auto"/>
          <w:szCs w:val="21"/>
          <w:highlight w:val="none"/>
        </w:rPr>
        <w:t>，支付</w:t>
      </w:r>
      <w:r>
        <w:rPr>
          <w:rFonts w:hint="eastAsia" w:ascii="宋体" w:hAnsi="宋体" w:cs="宋体"/>
          <w:b w:val="0"/>
          <w:bCs/>
          <w:color w:val="auto"/>
          <w:szCs w:val="21"/>
          <w:highlight w:val="none"/>
          <w:lang w:val="en-US" w:eastAsia="zh-CN"/>
        </w:rPr>
        <w:t>废气处理设施建设</w:t>
      </w:r>
      <w:r>
        <w:rPr>
          <w:rFonts w:hint="eastAsia" w:ascii="宋体" w:hAnsi="宋体" w:eastAsia="宋体" w:cs="宋体"/>
          <w:b w:val="0"/>
          <w:bCs/>
          <w:color w:val="auto"/>
          <w:szCs w:val="21"/>
          <w:highlight w:val="none"/>
        </w:rPr>
        <w:t>剩余金额</w:t>
      </w:r>
      <w:r>
        <w:rPr>
          <w:rFonts w:hint="eastAsia" w:ascii="宋体" w:hAnsi="宋体" w:cs="宋体"/>
          <w:b w:val="0"/>
          <w:bCs/>
          <w:color w:val="auto"/>
          <w:szCs w:val="21"/>
          <w:highlight w:val="none"/>
          <w:lang w:val="en-US" w:eastAsia="zh-CN"/>
        </w:rPr>
        <w:t>及第一年运维服务金额；第二年运维服务</w:t>
      </w:r>
      <w:r>
        <w:rPr>
          <w:rFonts w:hint="eastAsia" w:ascii="宋体" w:hAnsi="宋体" w:eastAsia="宋体" w:cs="宋体"/>
          <w:b w:val="0"/>
          <w:bCs/>
          <w:color w:val="auto"/>
          <w:szCs w:val="21"/>
          <w:highlight w:val="none"/>
        </w:rPr>
        <w:t>期满后</w:t>
      </w:r>
      <w:r>
        <w:rPr>
          <w:rFonts w:hint="eastAsia" w:ascii="宋体" w:hAnsi="宋体" w:cs="宋体"/>
          <w:b w:val="0"/>
          <w:bCs/>
          <w:color w:val="auto"/>
          <w:szCs w:val="21"/>
          <w:highlight w:val="none"/>
          <w:lang w:val="en-US" w:eastAsia="zh-CN"/>
        </w:rPr>
        <w:t>提供相应资料后支付该金额。</w:t>
      </w:r>
    </w:p>
    <w:p w14:paraId="4C0F0A7D">
      <w:pPr>
        <w:pStyle w:val="57"/>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大气环境质量控制目标金额：控制指标达到</w:t>
      </w:r>
      <w:r>
        <w:rPr>
          <w:rFonts w:hint="eastAsia" w:ascii="宋体" w:hAnsi="宋体" w:eastAsia="宋体" w:cs="宋体"/>
          <w:b w:val="0"/>
          <w:bCs/>
          <w:color w:val="auto"/>
          <w:szCs w:val="21"/>
          <w:highlight w:val="none"/>
          <w:lang w:val="en-US" w:eastAsia="zh-CN"/>
        </w:rPr>
        <w:t>上级考核目标</w:t>
      </w:r>
      <w:r>
        <w:rPr>
          <w:rFonts w:hint="eastAsia" w:ascii="宋体" w:hAnsi="宋体" w:eastAsia="宋体" w:cs="宋体"/>
          <w:b w:val="0"/>
          <w:bCs/>
          <w:color w:val="auto"/>
          <w:szCs w:val="21"/>
          <w:highlight w:val="none"/>
        </w:rPr>
        <w:t>要求，支付全部金额；每未完成一项</w:t>
      </w:r>
      <w:r>
        <w:rPr>
          <w:rFonts w:hint="eastAsia" w:ascii="宋体" w:hAnsi="宋体" w:eastAsia="宋体" w:cs="宋体"/>
          <w:b w:val="0"/>
          <w:bCs/>
          <w:color w:val="auto"/>
          <w:szCs w:val="21"/>
          <w:highlight w:val="none"/>
          <w:lang w:val="en-US" w:eastAsia="zh-CN"/>
        </w:rPr>
        <w:t>上级考核目标</w:t>
      </w:r>
      <w:r>
        <w:rPr>
          <w:rFonts w:hint="eastAsia" w:ascii="宋体" w:hAnsi="宋体" w:eastAsia="宋体" w:cs="宋体"/>
          <w:b w:val="0"/>
          <w:bCs/>
          <w:color w:val="auto"/>
          <w:szCs w:val="21"/>
          <w:highlight w:val="none"/>
        </w:rPr>
        <w:t>扣大气环境质量</w:t>
      </w:r>
      <w:r>
        <w:rPr>
          <w:rFonts w:hint="eastAsia" w:ascii="宋体" w:hAnsi="宋体" w:cs="宋体"/>
          <w:b w:val="0"/>
          <w:bCs/>
          <w:color w:val="auto"/>
          <w:szCs w:val="21"/>
          <w:highlight w:val="none"/>
          <w:lang w:val="en-US" w:eastAsia="zh-CN"/>
        </w:rPr>
        <w:t>目标</w:t>
      </w:r>
      <w:r>
        <w:rPr>
          <w:rFonts w:hint="eastAsia" w:ascii="宋体" w:hAnsi="宋体" w:eastAsia="宋体" w:cs="宋体"/>
          <w:b w:val="0"/>
          <w:bCs/>
          <w:color w:val="auto"/>
          <w:szCs w:val="21"/>
          <w:highlight w:val="none"/>
        </w:rPr>
        <w:t>控制部分</w:t>
      </w:r>
      <w:r>
        <w:rPr>
          <w:rFonts w:hint="eastAsia" w:ascii="宋体" w:hAnsi="宋体" w:eastAsia="宋体" w:cs="宋体"/>
          <w:b w:val="0"/>
          <w:bCs/>
          <w:color w:val="auto"/>
          <w:szCs w:val="21"/>
          <w:highlight w:val="none"/>
        </w:rPr>
        <w:t>费用的</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0%</w:t>
      </w:r>
      <w:r>
        <w:rPr>
          <w:rFonts w:hint="eastAsia" w:ascii="宋体" w:hAnsi="宋体" w:cs="宋体"/>
          <w:b w:val="0"/>
          <w:bCs/>
          <w:color w:val="auto"/>
          <w:szCs w:val="21"/>
          <w:highlight w:val="none"/>
          <w:lang w:eastAsia="zh-CN"/>
        </w:rPr>
        <w:t>，扣完完止</w:t>
      </w:r>
      <w:r>
        <w:rPr>
          <w:rFonts w:hint="eastAsia" w:ascii="宋体" w:hAnsi="宋体" w:eastAsia="宋体" w:cs="宋体"/>
          <w:b w:val="0"/>
          <w:bCs/>
          <w:color w:val="auto"/>
          <w:szCs w:val="21"/>
          <w:highlight w:val="none"/>
        </w:rPr>
        <w:t>。</w:t>
      </w:r>
    </w:p>
    <w:p w14:paraId="1C88F697">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条：项目要求</w:t>
      </w:r>
    </w:p>
    <w:p w14:paraId="404DBA48">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1、时间要求：</w:t>
      </w:r>
      <w:r>
        <w:rPr>
          <w:rFonts w:hint="eastAsia" w:ascii="宋体" w:hAnsi="宋体" w:cs="宋体"/>
          <w:bCs/>
          <w:color w:val="auto"/>
          <w:szCs w:val="21"/>
          <w:highlight w:val="none"/>
          <w:lang w:val="en-US" w:eastAsia="zh-CN"/>
        </w:rPr>
        <w:t>精细化管控服务期一年，处理设施运行服务期二年。</w:t>
      </w:r>
    </w:p>
    <w:p w14:paraId="721EAE1E">
      <w:pPr>
        <w:spacing w:line="360" w:lineRule="auto"/>
        <w:jc w:val="left"/>
        <w:outlineLvl w:val="1"/>
        <w:rPr>
          <w:rFonts w:hint="eastAsia" w:ascii="宋体" w:hAnsi="宋体" w:cs="宋体"/>
          <w:b/>
          <w:color w:val="auto"/>
          <w:szCs w:val="21"/>
          <w:highlight w:val="none"/>
        </w:rPr>
      </w:pPr>
      <w:r>
        <w:rPr>
          <w:rFonts w:hint="eastAsia" w:ascii="宋体" w:hAnsi="宋体" w:eastAsia="宋体" w:cs="宋体"/>
          <w:color w:val="auto"/>
          <w:szCs w:val="21"/>
          <w:highlight w:val="none"/>
        </w:rPr>
        <w:t>2、成果要求：</w:t>
      </w:r>
    </w:p>
    <w:p w14:paraId="3BD0C634">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zCs w:val="21"/>
          <w:highlight w:val="none"/>
        </w:rPr>
        <w:t>黄岩区</w:t>
      </w:r>
      <w:r>
        <w:rPr>
          <w:rFonts w:hint="eastAsia" w:ascii="宋体" w:hAnsi="宋体" w:cs="宋体"/>
          <w:bCs/>
          <w:color w:val="auto"/>
          <w:szCs w:val="21"/>
          <w:highlight w:val="none"/>
          <w:lang w:val="en-US" w:eastAsia="zh-CN"/>
        </w:rPr>
        <w:t>颗粒物</w:t>
      </w:r>
      <w:r>
        <w:rPr>
          <w:rFonts w:hint="eastAsia" w:ascii="宋体" w:hAnsi="宋体" w:cs="宋体"/>
          <w:bCs/>
          <w:color w:val="auto"/>
          <w:szCs w:val="21"/>
          <w:highlight w:val="none"/>
        </w:rPr>
        <w:t>走航报告》</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份；</w:t>
      </w:r>
      <w:r>
        <w:rPr>
          <w:rFonts w:hint="eastAsia" w:ascii="宋体" w:hAnsi="宋体" w:cs="宋体"/>
          <w:bCs/>
          <w:color w:val="auto"/>
          <w:szCs w:val="21"/>
          <w:highlight w:val="none"/>
        </w:rPr>
        <w:t>《黄岩区VOCs应急走航报告》</w:t>
      </w:r>
      <w:r>
        <w:rPr>
          <w:rFonts w:hint="eastAsia" w:ascii="宋体" w:hAnsi="宋体" w:cs="宋体"/>
          <w:bCs/>
          <w:color w:val="auto"/>
          <w:szCs w:val="21"/>
          <w:highlight w:val="none"/>
          <w:lang w:val="en-US" w:eastAsia="zh-CN"/>
        </w:rPr>
        <w:t>5份。</w:t>
      </w:r>
    </w:p>
    <w:p w14:paraId="4D17EC3C">
      <w:pPr>
        <w:spacing w:line="360" w:lineRule="auto"/>
        <w:jc w:val="left"/>
        <w:rPr>
          <w:rFonts w:hint="eastAsia" w:ascii="宋体" w:hAnsi="宋体" w:eastAsia="宋体" w:cs="宋体"/>
          <w:b/>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《黄岩区</w:t>
      </w:r>
      <w:r>
        <w:rPr>
          <w:rFonts w:hint="eastAsia" w:ascii="宋体" w:hAnsi="宋体" w:cs="宋体"/>
          <w:bCs/>
          <w:color w:val="auto"/>
          <w:szCs w:val="21"/>
          <w:highlight w:val="none"/>
          <w:lang w:val="en-US" w:eastAsia="zh-CN"/>
        </w:rPr>
        <w:t>环境空气质量</w:t>
      </w:r>
      <w:r>
        <w:rPr>
          <w:rFonts w:hint="eastAsia" w:ascii="宋体" w:hAnsi="宋体" w:cs="宋体"/>
          <w:bCs/>
          <w:color w:val="auto"/>
          <w:szCs w:val="21"/>
          <w:highlight w:val="none"/>
        </w:rPr>
        <w:t>分析月报告》12份</w:t>
      </w:r>
      <w:r>
        <w:rPr>
          <w:rFonts w:hint="eastAsia" w:ascii="宋体" w:hAnsi="宋体" w:cs="宋体"/>
          <w:bCs/>
          <w:color w:val="auto"/>
          <w:szCs w:val="21"/>
          <w:highlight w:val="none"/>
          <w:lang w:eastAsia="zh-CN"/>
        </w:rPr>
        <w:t>。</w:t>
      </w:r>
    </w:p>
    <w:p w14:paraId="37CB7FBD">
      <w:pPr>
        <w:spacing w:line="360" w:lineRule="auto"/>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（3）日常巡查问题点位及跟踪落实汇总报告</w:t>
      </w:r>
      <w:r>
        <w:rPr>
          <w:rFonts w:hint="eastAsia" w:ascii="宋体" w:hAnsi="宋体" w:cs="宋体"/>
          <w:bCs/>
          <w:color w:val="auto"/>
          <w:szCs w:val="21"/>
          <w:highlight w:val="none"/>
          <w:lang w:eastAsia="zh-CN"/>
        </w:rPr>
        <w:t>。</w:t>
      </w:r>
    </w:p>
    <w:p w14:paraId="18618C69">
      <w:pPr>
        <w:spacing w:line="360" w:lineRule="auto"/>
        <w:jc w:val="left"/>
        <w:rPr>
          <w:rFonts w:hint="eastAsia" w:ascii="宋体" w:hAnsi="宋体" w:eastAsia="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en-US" w:eastAsia="zh-CN"/>
        </w:rPr>
        <w:t>有关废气处理方案及监测报告，运行报告。</w:t>
      </w:r>
    </w:p>
    <w:p w14:paraId="5E1D7827">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7F475885">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6138D7">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252D9EF8">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2CC10547">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3C1AA55">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40F69363">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306654D7">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52B27124">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352665D5">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1823D5E">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7413D312">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7C6D9579">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8B11489">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295235">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0758275D">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响应</w:t>
      </w:r>
      <w:r>
        <w:rPr>
          <w:rFonts w:hint="eastAsia" w:ascii="宋体" w:hAnsi="宋体" w:eastAsia="宋体" w:cs="宋体"/>
          <w:color w:val="auto"/>
          <w:spacing w:val="-6"/>
          <w:kern w:val="0"/>
          <w:szCs w:val="21"/>
          <w:highlight w:val="none"/>
        </w:rPr>
        <w:t>文件及澄清文件等为准。</w:t>
      </w:r>
    </w:p>
    <w:p w14:paraId="010E91AC">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2BFECD4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F70285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2FC411E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A4B0710">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法定代表人或委托人：                      法定代表人或委托人：         </w:t>
      </w:r>
    </w:p>
    <w:p w14:paraId="01073F9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38C07E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40F0AD9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57FDF6B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5494914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AA4739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62FEE395">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39E3F24C">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见证</w:t>
      </w:r>
      <w:r>
        <w:rPr>
          <w:rFonts w:hint="eastAsia" w:ascii="宋体" w:hAnsi="宋体" w:eastAsia="宋体" w:cs="宋体"/>
          <w:snapToGrid w:val="0"/>
          <w:color w:val="auto"/>
          <w:szCs w:val="21"/>
          <w:highlight w:val="none"/>
        </w:rPr>
        <w:t>方：</w:t>
      </w:r>
    </w:p>
    <w:p w14:paraId="64B6B140">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5F4B1460">
      <w:pPr>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b/>
          <w:color w:val="auto"/>
          <w:sz w:val="36"/>
          <w:szCs w:val="36"/>
          <w:highlight w:val="none"/>
        </w:rPr>
      </w:pPr>
    </w:p>
    <w:p w14:paraId="0E2FC7D0">
      <w:pPr>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b/>
          <w:color w:val="auto"/>
          <w:sz w:val="36"/>
          <w:szCs w:val="36"/>
          <w:highlight w:val="none"/>
        </w:rPr>
      </w:pPr>
    </w:p>
    <w:p w14:paraId="23FEEE57">
      <w:pPr>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b/>
          <w:color w:val="auto"/>
          <w:sz w:val="36"/>
          <w:szCs w:val="36"/>
          <w:highlight w:val="none"/>
        </w:rPr>
      </w:pPr>
    </w:p>
    <w:p w14:paraId="3C5B1A93">
      <w:pPr>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b/>
          <w:color w:val="auto"/>
          <w:sz w:val="36"/>
          <w:szCs w:val="36"/>
          <w:highlight w:val="none"/>
        </w:rPr>
      </w:pPr>
    </w:p>
    <w:p w14:paraId="61B55FB0">
      <w:pPr>
        <w:spacing w:line="360" w:lineRule="auto"/>
        <w:jc w:val="center"/>
        <w:rPr>
          <w:rFonts w:hint="eastAsia" w:ascii="宋体" w:hAnsi="宋体" w:eastAsia="宋体" w:cs="宋体"/>
          <w:b/>
          <w:color w:val="auto"/>
          <w:sz w:val="36"/>
          <w:szCs w:val="36"/>
          <w:highlight w:val="none"/>
        </w:rPr>
      </w:pPr>
    </w:p>
    <w:p w14:paraId="10EBE401">
      <w:pPr>
        <w:pStyle w:val="11"/>
        <w:rPr>
          <w:rFonts w:hint="eastAsia" w:ascii="宋体" w:hAnsi="宋体" w:eastAsia="宋体" w:cs="宋体"/>
          <w:b/>
          <w:color w:val="auto"/>
          <w:sz w:val="36"/>
          <w:szCs w:val="36"/>
          <w:highlight w:val="none"/>
        </w:rPr>
      </w:pPr>
    </w:p>
    <w:p w14:paraId="55A88F7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616DE8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6F1E65F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F31965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51CF1E1">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3AEFDE3">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61CFE08E">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DD4F9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6167AC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951658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9FF90E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096644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605CE2F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8C2B4A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65F2015">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5BDD3F3">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A6BE79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19860CD3">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558489B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7AE2CE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35BE15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571DFE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4、本项目要求的特定资质证书</w:t>
      </w:r>
      <w:r>
        <w:rPr>
          <w:rFonts w:hint="eastAsia" w:ascii="宋体" w:hAnsi="宋体" w:cs="宋体"/>
          <w:bCs/>
          <w:color w:val="auto"/>
          <w:sz w:val="24"/>
          <w:highlight w:val="none"/>
          <w:lang w:val="en-US" w:eastAsia="zh-CN"/>
        </w:rPr>
        <w:t>；</w:t>
      </w:r>
    </w:p>
    <w:p w14:paraId="6FF02865">
      <w:pPr>
        <w:pStyle w:val="11"/>
        <w:rPr>
          <w:rFonts w:hint="default"/>
          <w:color w:val="auto"/>
          <w:highlight w:val="none"/>
          <w:lang w:val="en-US" w:eastAsia="zh-CN"/>
        </w:rPr>
      </w:pPr>
      <w:r>
        <w:rPr>
          <w:rFonts w:hint="eastAsia" w:ascii="宋体" w:hAnsi="宋体" w:cs="宋体"/>
          <w:bCs/>
          <w:color w:val="auto"/>
          <w:sz w:val="24"/>
          <w:highlight w:val="none"/>
          <w:lang w:val="en-US" w:eastAsia="zh-CN"/>
        </w:rPr>
        <w:t xml:space="preserve">    5、</w:t>
      </w:r>
      <w:r>
        <w:rPr>
          <w:rFonts w:hint="eastAsia" w:asciiTheme="minorEastAsia" w:hAnsiTheme="minorEastAsia" w:eastAsiaTheme="minorEastAsia" w:cstheme="minorEastAsia"/>
          <w:color w:val="auto"/>
          <w:sz w:val="24"/>
          <w:szCs w:val="24"/>
          <w:highlight w:val="none"/>
          <w:lang w:val="en-US" w:eastAsia="zh-CN"/>
        </w:rPr>
        <w:t>供应商认为需要说明的其他材料。</w:t>
      </w:r>
    </w:p>
    <w:p w14:paraId="242295A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329985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546C4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90B49B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5B01FB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E643B0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29CED8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ADC99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D331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B24394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BF60CA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84EA4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988B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824B5F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F3FA3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0FBA5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49BE4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568B977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7C9E9245">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台州市生态环境局黄岩分局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浙江汇永工程咨询有限公司</w:t>
      </w:r>
      <w:r>
        <w:rPr>
          <w:rFonts w:hint="eastAsia" w:ascii="宋体" w:hAnsi="宋体" w:eastAsia="宋体" w:cs="宋体"/>
          <w:color w:val="auto"/>
          <w:szCs w:val="21"/>
          <w:highlight w:val="none"/>
          <w:u w:val="single"/>
        </w:rPr>
        <w:t>：</w:t>
      </w:r>
    </w:p>
    <w:p w14:paraId="41570F84">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eastAsia="宋体" w:cs="宋体"/>
          <w:color w:val="auto"/>
          <w:kern w:val="0"/>
          <w:szCs w:val="21"/>
          <w:highlight w:val="none"/>
        </w:rPr>
        <w:t>。</w:t>
      </w:r>
    </w:p>
    <w:p w14:paraId="26123E50">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2025年黄岩区大气环境质量精细化管控服务项目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zjhy2025-hy06</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2A1D64C8">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C6A18E4">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67399DC2">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2F25501E">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lang w:val="zh-CN"/>
        </w:rPr>
        <w:t>：</w:t>
      </w:r>
    </w:p>
    <w:p w14:paraId="4C7C3DD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D173DA1">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1C68036">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26F3E41B">
      <w:pPr>
        <w:pStyle w:val="13"/>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台州市生态环境局黄岩分局</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eastAsia="zh-CN"/>
        </w:rPr>
        <w:t>浙江汇永工程咨询有限公司</w:t>
      </w:r>
      <w:r>
        <w:rPr>
          <w:rFonts w:hint="eastAsia" w:ascii="宋体" w:hAnsi="宋体" w:eastAsia="宋体" w:cs="宋体"/>
          <w:bCs/>
          <w:color w:val="auto"/>
          <w:szCs w:val="21"/>
          <w:highlight w:val="none"/>
          <w:u w:val="single"/>
        </w:rPr>
        <w:t>：</w:t>
      </w:r>
    </w:p>
    <w:p w14:paraId="05311B85">
      <w:pPr>
        <w:pStyle w:val="13"/>
        <w:keepNext w:val="0"/>
        <w:keepLines w:val="0"/>
        <w:pageBreakBefore w:val="0"/>
        <w:kinsoku/>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2025年黄岩区大气环境质量精细化管控服务项目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zjhy2025-hy06</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171ADA11">
      <w:pPr>
        <w:pStyle w:val="13"/>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561A1288">
      <w:pPr>
        <w:pStyle w:val="13"/>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717DB7F5">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6403105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44F2CE9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1DE00AF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5E227F5A">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10865E6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D5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F5FAD27">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457C522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2A672A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1AEE808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A7708BA">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41A1C1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144A151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5392F5FC">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42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CDD637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0D86D8B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608156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0F661590">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01657A9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99680D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07FE0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8FC019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23143FC">
      <w:pPr>
        <w:pStyle w:val="58"/>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17539574">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rPr>
        <w:t>：</w:t>
      </w:r>
    </w:p>
    <w:p w14:paraId="6FDBA9D7">
      <w:pPr>
        <w:pStyle w:val="58"/>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2025年黄岩区大气环境质量精细化管控服务项目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zjhy2025-hy06</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106A5C23">
      <w:pPr>
        <w:pStyle w:val="55"/>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FFB523">
      <w:pPr>
        <w:pStyle w:val="55"/>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51EE824">
      <w:pPr>
        <w:pStyle w:val="55"/>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5EB494A0">
      <w:pPr>
        <w:pStyle w:val="55"/>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10CE38">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DA39976">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210D3558">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08D28B04">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53FEEA30">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5B5FD952">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7B534193">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03795386">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6C612386">
      <w:pPr>
        <w:pStyle w:val="58"/>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C95C70">
      <w:pPr>
        <w:pStyle w:val="55"/>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6201D89B">
      <w:pPr>
        <w:pStyle w:val="55"/>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4C274825">
      <w:pPr>
        <w:pStyle w:val="55"/>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76F615D4">
      <w:pPr>
        <w:pStyle w:val="58"/>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2786696B">
      <w:pPr>
        <w:pStyle w:val="58"/>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3FCA731">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84B4A88">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475C2226">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0C94845E">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56B8BCA">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7052FB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0660A59">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99F04B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844C224">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0E3EBDD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86B81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FC962D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3D538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5BF5C65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3B933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E9017B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4A74AE2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74E144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396607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56F3671">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EB078D5">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8049636">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B81007D">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Cs w:val="21"/>
          <w:highlight w:val="none"/>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41EA88A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EACC30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177981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22CEE2C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E4BCFA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B182D8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04179F1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0C1D2DE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825B7E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50AAF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24DD26B1">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39DBBF9B">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332DEF2C">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6FFC1450">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6DC97FD6">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27488CDA">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4323F78C">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362FFED3">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21E87270">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7987CDD9">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7E824233">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3A3CDC38">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04855743">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p>
    <w:p w14:paraId="73B45B0D">
      <w:pPr>
        <w:pStyle w:val="43"/>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79A18822">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3"/>
        <w:tblW w:w="11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38"/>
        <w:gridCol w:w="6900"/>
        <w:gridCol w:w="671"/>
        <w:gridCol w:w="671"/>
        <w:gridCol w:w="671"/>
      </w:tblGrid>
      <w:tr w14:paraId="0C7B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22" w:type="dxa"/>
            <w:gridSpan w:val="2"/>
            <w:tcBorders>
              <w:top w:val="single" w:color="auto" w:sz="4" w:space="0"/>
              <w:left w:val="single" w:color="auto" w:sz="4" w:space="0"/>
              <w:bottom w:val="single" w:color="auto" w:sz="4" w:space="0"/>
              <w:right w:val="single" w:color="auto" w:sz="6" w:space="0"/>
            </w:tcBorders>
            <w:vAlign w:val="center"/>
          </w:tcPr>
          <w:p w14:paraId="04A3CA1A">
            <w:pPr>
              <w:adjustRightInd w:val="0"/>
              <w:snapToGrid w:val="0"/>
              <w:spacing w:line="240" w:lineRule="auto"/>
              <w:ind w:left="-50"/>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评标因素</w:t>
            </w:r>
          </w:p>
        </w:tc>
        <w:tc>
          <w:tcPr>
            <w:tcW w:w="6900" w:type="dxa"/>
            <w:tcBorders>
              <w:top w:val="single" w:color="auto" w:sz="4" w:space="0"/>
              <w:left w:val="single" w:color="auto" w:sz="4" w:space="0"/>
              <w:bottom w:val="single" w:color="auto" w:sz="6" w:space="0"/>
              <w:right w:val="single" w:color="auto" w:sz="6" w:space="0"/>
            </w:tcBorders>
            <w:vAlign w:val="center"/>
          </w:tcPr>
          <w:p w14:paraId="3AC129C7">
            <w:pPr>
              <w:adjustRightInd w:val="0"/>
              <w:snapToGrid w:val="0"/>
              <w:spacing w:line="240" w:lineRule="auto"/>
              <w:ind w:left="-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71" w:type="dxa"/>
            <w:tcBorders>
              <w:top w:val="single" w:color="auto" w:sz="4" w:space="0"/>
              <w:left w:val="single" w:color="auto" w:sz="6" w:space="0"/>
              <w:bottom w:val="single" w:color="auto" w:sz="6" w:space="0"/>
              <w:right w:val="single" w:color="auto" w:sz="6" w:space="0"/>
            </w:tcBorders>
            <w:vAlign w:val="center"/>
          </w:tcPr>
          <w:p w14:paraId="5C7B94B4">
            <w:pPr>
              <w:adjustRightInd w:val="0"/>
              <w:snapToGrid w:val="0"/>
              <w:spacing w:line="240" w:lineRule="auto"/>
              <w:ind w:left="-5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分值</w:t>
            </w:r>
          </w:p>
        </w:tc>
        <w:tc>
          <w:tcPr>
            <w:tcW w:w="671" w:type="dxa"/>
            <w:tcBorders>
              <w:top w:val="single" w:color="auto" w:sz="4" w:space="0"/>
              <w:left w:val="single" w:color="auto" w:sz="6" w:space="0"/>
              <w:bottom w:val="single" w:color="auto" w:sz="6" w:space="0"/>
              <w:right w:val="single" w:color="auto" w:sz="6" w:space="0"/>
            </w:tcBorders>
            <w:vAlign w:val="center"/>
          </w:tcPr>
          <w:p w14:paraId="256947D2">
            <w:pPr>
              <w:adjustRightInd w:val="0"/>
              <w:snapToGrid w:val="0"/>
              <w:spacing w:line="240" w:lineRule="auto"/>
              <w:ind w:left="-5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71" w:type="dxa"/>
            <w:tcBorders>
              <w:top w:val="single" w:color="auto" w:sz="4" w:space="0"/>
              <w:left w:val="single" w:color="auto" w:sz="6" w:space="0"/>
              <w:bottom w:val="single" w:color="auto" w:sz="6" w:space="0"/>
              <w:right w:val="single" w:color="auto" w:sz="6" w:space="0"/>
            </w:tcBorders>
            <w:vAlign w:val="center"/>
          </w:tcPr>
          <w:p w14:paraId="353467A4">
            <w:pPr>
              <w:adjustRightInd w:val="0"/>
              <w:snapToGrid w:val="0"/>
              <w:spacing w:line="240" w:lineRule="auto"/>
              <w:ind w:left="-5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27E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84" w:type="dxa"/>
            <w:vMerge w:val="restart"/>
            <w:tcBorders>
              <w:left w:val="single" w:color="auto" w:sz="4" w:space="0"/>
              <w:right w:val="single" w:color="auto" w:sz="4" w:space="0"/>
            </w:tcBorders>
            <w:vAlign w:val="center"/>
          </w:tcPr>
          <w:p w14:paraId="6F35FFD5">
            <w:pPr>
              <w:adjustRightInd w:val="0"/>
              <w:snapToGrid w:val="0"/>
              <w:spacing w:line="240" w:lineRule="auto"/>
              <w:ind w:left="-50"/>
              <w:jc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22085369">
            <w:pPr>
              <w:pStyle w:val="11"/>
              <w:spacing w:line="240" w:lineRule="auto"/>
              <w:rPr>
                <w:rFonts w:hint="eastAsia" w:ascii="宋体" w:hAnsi="宋体" w:eastAsia="宋体" w:cs="宋体"/>
                <w:color w:val="auto"/>
                <w:highlight w:val="none"/>
              </w:rPr>
            </w:pP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val="en-US" w:eastAsia="zh-CN"/>
              </w:rPr>
              <w:t>）</w:t>
            </w:r>
          </w:p>
        </w:tc>
        <w:tc>
          <w:tcPr>
            <w:tcW w:w="1138" w:type="dxa"/>
            <w:tcBorders>
              <w:left w:val="single" w:color="auto" w:sz="4" w:space="0"/>
              <w:right w:val="single" w:color="auto" w:sz="6" w:space="0"/>
            </w:tcBorders>
            <w:vAlign w:val="center"/>
          </w:tcPr>
          <w:p w14:paraId="0DECF54F">
            <w:pPr>
              <w:widowControl/>
              <w:autoSpaceDE w:val="0"/>
              <w:autoSpaceDN w:val="0"/>
              <w:adjustRightInd w:val="0"/>
              <w:snapToGrid w:val="0"/>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企业</w:t>
            </w:r>
            <w:r>
              <w:rPr>
                <w:rFonts w:hint="eastAsia" w:ascii="宋体" w:hAnsi="宋体" w:cs="宋体"/>
                <w:bCs/>
                <w:color w:val="auto"/>
                <w:szCs w:val="21"/>
                <w:highlight w:val="none"/>
                <w:lang w:val="en-US" w:eastAsia="zh-CN"/>
              </w:rPr>
              <w:t>能力</w:t>
            </w:r>
          </w:p>
        </w:tc>
        <w:tc>
          <w:tcPr>
            <w:tcW w:w="6900" w:type="dxa"/>
            <w:tcBorders>
              <w:top w:val="single" w:color="auto" w:sz="4" w:space="0"/>
              <w:left w:val="single" w:color="auto" w:sz="4" w:space="0"/>
              <w:bottom w:val="single" w:color="auto" w:sz="6" w:space="0"/>
              <w:right w:val="single" w:color="auto" w:sz="6" w:space="0"/>
            </w:tcBorders>
            <w:vAlign w:val="center"/>
          </w:tcPr>
          <w:p w14:paraId="2D534A3C">
            <w:pPr>
              <w:pStyle w:val="5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根据投标人企业履约能力、服务能力、企业信誉等综合打分。</w:t>
            </w:r>
          </w:p>
          <w:p w14:paraId="3C9768B7">
            <w:pPr>
              <w:pStyle w:val="58"/>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一档得5分；二档得4.5分；三档得4分；四档得3.5分；五档得3分；六档得2.5分；七档得2分；八档得1.5分；九档得1分；未提及此项不得分。</w:t>
            </w:r>
          </w:p>
        </w:tc>
        <w:tc>
          <w:tcPr>
            <w:tcW w:w="671" w:type="dxa"/>
            <w:tcBorders>
              <w:top w:val="single" w:color="auto" w:sz="4" w:space="0"/>
              <w:left w:val="single" w:color="auto" w:sz="6" w:space="0"/>
              <w:bottom w:val="single" w:color="auto" w:sz="6" w:space="0"/>
              <w:right w:val="single" w:color="auto" w:sz="6" w:space="0"/>
            </w:tcBorders>
            <w:vAlign w:val="center"/>
          </w:tcPr>
          <w:p w14:paraId="549CE1ED">
            <w:pPr>
              <w:pStyle w:val="58"/>
              <w:spacing w:line="240" w:lineRule="auto"/>
              <w:jc w:val="center"/>
              <w:rPr>
                <w:rFonts w:hint="eastAsia" w:ascii="宋体" w:hAnsi="宋体" w:eastAsia="宋体" w:cs="宋体"/>
                <w:b/>
                <w:bCs/>
                <w:color w:val="auto"/>
                <w:szCs w:val="21"/>
                <w:highlight w:val="none"/>
              </w:rPr>
            </w:pPr>
            <w:r>
              <w:rPr>
                <w:rFonts w:hint="eastAsia" w:hAnsi="宋体" w:cs="宋体"/>
                <w:color w:val="auto"/>
                <w:sz w:val="21"/>
                <w:szCs w:val="21"/>
                <w:highlight w:val="none"/>
                <w:lang w:val="en-US" w:eastAsia="zh-CN"/>
              </w:rPr>
              <w:t>5</w:t>
            </w:r>
          </w:p>
        </w:tc>
        <w:tc>
          <w:tcPr>
            <w:tcW w:w="671" w:type="dxa"/>
            <w:tcBorders>
              <w:top w:val="single" w:color="auto" w:sz="4" w:space="0"/>
              <w:left w:val="single" w:color="auto" w:sz="6" w:space="0"/>
              <w:bottom w:val="single" w:color="auto" w:sz="6" w:space="0"/>
              <w:right w:val="single" w:color="auto" w:sz="6" w:space="0"/>
            </w:tcBorders>
            <w:vAlign w:val="center"/>
          </w:tcPr>
          <w:p w14:paraId="5649F20B">
            <w:pPr>
              <w:pStyle w:val="58"/>
              <w:spacing w:line="240" w:lineRule="auto"/>
              <w:jc w:val="center"/>
              <w:rPr>
                <w:rFonts w:hint="eastAsia" w:hAnsi="宋体" w:cs="宋体"/>
                <w:color w:val="auto"/>
                <w:sz w:val="21"/>
                <w:szCs w:val="21"/>
                <w:highlight w:val="none"/>
                <w:lang w:val="en-US" w:eastAsia="zh-CN"/>
              </w:rPr>
            </w:pPr>
          </w:p>
        </w:tc>
        <w:tc>
          <w:tcPr>
            <w:tcW w:w="671" w:type="dxa"/>
            <w:tcBorders>
              <w:top w:val="single" w:color="auto" w:sz="4" w:space="0"/>
              <w:left w:val="single" w:color="auto" w:sz="6" w:space="0"/>
              <w:bottom w:val="single" w:color="auto" w:sz="6" w:space="0"/>
              <w:right w:val="single" w:color="auto" w:sz="6" w:space="0"/>
            </w:tcBorders>
            <w:vAlign w:val="center"/>
          </w:tcPr>
          <w:p w14:paraId="540A6B46">
            <w:pPr>
              <w:pStyle w:val="58"/>
              <w:spacing w:line="240" w:lineRule="auto"/>
              <w:jc w:val="center"/>
              <w:rPr>
                <w:rFonts w:hint="eastAsia" w:hAnsi="宋体" w:cs="宋体"/>
                <w:color w:val="auto"/>
                <w:sz w:val="21"/>
                <w:szCs w:val="21"/>
                <w:highlight w:val="none"/>
                <w:lang w:val="en-US" w:eastAsia="zh-CN"/>
              </w:rPr>
            </w:pPr>
          </w:p>
        </w:tc>
      </w:tr>
      <w:tr w14:paraId="1C00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4" w:type="dxa"/>
            <w:vMerge w:val="continue"/>
            <w:tcBorders>
              <w:left w:val="single" w:color="auto" w:sz="4" w:space="0"/>
              <w:right w:val="single" w:color="auto" w:sz="4" w:space="0"/>
            </w:tcBorders>
            <w:vAlign w:val="center"/>
          </w:tcPr>
          <w:p w14:paraId="0DFEC104">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783E93A5">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承接经验</w:t>
            </w:r>
          </w:p>
        </w:tc>
        <w:tc>
          <w:tcPr>
            <w:tcW w:w="6900" w:type="dxa"/>
            <w:vAlign w:val="center"/>
          </w:tcPr>
          <w:p w14:paraId="628AABC1">
            <w:pPr>
              <w:pStyle w:val="58"/>
              <w:spacing w:line="240" w:lineRule="auto"/>
              <w:rPr>
                <w:rFonts w:hint="eastAsia" w:ascii="宋体" w:hAnsi="宋体" w:eastAsia="宋体" w:cs="宋体"/>
                <w:snapToGrid w:val="0"/>
                <w:color w:val="auto"/>
                <w:kern w:val="0"/>
                <w:szCs w:val="21"/>
                <w:highlight w:val="none"/>
              </w:rPr>
            </w:pPr>
            <w:r>
              <w:rPr>
                <w:rFonts w:hint="eastAsia" w:hAnsi="宋体" w:cs="宋体"/>
                <w:color w:val="auto"/>
                <w:sz w:val="21"/>
                <w:szCs w:val="21"/>
                <w:highlight w:val="none"/>
              </w:rPr>
              <w:t>投标人自202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年1月1日以来（以合同签订时间为准）</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具有</w:t>
            </w:r>
            <w:r>
              <w:rPr>
                <w:rFonts w:hint="eastAsia" w:hAnsi="宋体" w:cs="宋体"/>
                <w:color w:val="auto"/>
                <w:sz w:val="21"/>
                <w:szCs w:val="21"/>
                <w:highlight w:val="none"/>
              </w:rPr>
              <w:t>类似项目业绩证明，每提供1个得1分，</w:t>
            </w:r>
            <w:r>
              <w:rPr>
                <w:rFonts w:hint="eastAsia" w:hAnsi="宋体" w:cs="宋体"/>
                <w:color w:val="auto"/>
                <w:sz w:val="21"/>
                <w:szCs w:val="21"/>
                <w:highlight w:val="none"/>
                <w:lang w:val="en-US" w:eastAsia="zh-CN"/>
              </w:rPr>
              <w:t>本项</w:t>
            </w:r>
            <w:r>
              <w:rPr>
                <w:rFonts w:hint="eastAsia" w:hAnsi="宋体" w:cs="宋体"/>
                <w:color w:val="auto"/>
                <w:sz w:val="21"/>
                <w:szCs w:val="21"/>
                <w:highlight w:val="none"/>
              </w:rPr>
              <w:t>最高得2分。</w:t>
            </w:r>
            <w:r>
              <w:rPr>
                <w:rFonts w:hint="eastAsia" w:hAnsi="宋体" w:cs="宋体"/>
                <w:b/>
                <w:bCs/>
                <w:color w:val="auto"/>
                <w:sz w:val="21"/>
                <w:szCs w:val="21"/>
                <w:highlight w:val="none"/>
              </w:rPr>
              <w:t>（须提供有效的合同扫描件并加盖投标人公章编入投标文件中，未提供的不得分）</w:t>
            </w:r>
          </w:p>
        </w:tc>
        <w:tc>
          <w:tcPr>
            <w:tcW w:w="671" w:type="dxa"/>
            <w:vAlign w:val="center"/>
          </w:tcPr>
          <w:p w14:paraId="3FDE5512">
            <w:pPr>
              <w:pStyle w:val="58"/>
              <w:spacing w:line="240" w:lineRule="auto"/>
              <w:jc w:val="center"/>
              <w:rPr>
                <w:rFonts w:hint="eastAsia" w:ascii="宋体" w:hAnsi="宋体" w:eastAsia="宋体" w:cs="宋体"/>
                <w:snapToGrid w:val="0"/>
                <w:color w:val="auto"/>
                <w:kern w:val="0"/>
                <w:szCs w:val="21"/>
                <w:highlight w:val="none"/>
              </w:rPr>
            </w:pPr>
            <w:r>
              <w:rPr>
                <w:rFonts w:hint="eastAsia" w:hAnsi="宋体" w:cs="宋体"/>
                <w:color w:val="auto"/>
                <w:sz w:val="21"/>
                <w:szCs w:val="21"/>
                <w:highlight w:val="none"/>
              </w:rPr>
              <w:t>2</w:t>
            </w:r>
          </w:p>
        </w:tc>
        <w:tc>
          <w:tcPr>
            <w:tcW w:w="671" w:type="dxa"/>
            <w:vAlign w:val="center"/>
          </w:tcPr>
          <w:p w14:paraId="05D9D02B">
            <w:pPr>
              <w:pStyle w:val="58"/>
              <w:spacing w:line="240" w:lineRule="auto"/>
              <w:jc w:val="center"/>
              <w:rPr>
                <w:rFonts w:hint="eastAsia" w:hAnsi="宋体" w:cs="宋体"/>
                <w:color w:val="auto"/>
                <w:sz w:val="21"/>
                <w:szCs w:val="21"/>
                <w:highlight w:val="none"/>
              </w:rPr>
            </w:pPr>
          </w:p>
        </w:tc>
        <w:tc>
          <w:tcPr>
            <w:tcW w:w="671" w:type="dxa"/>
            <w:vAlign w:val="center"/>
          </w:tcPr>
          <w:p w14:paraId="05A01D87">
            <w:pPr>
              <w:pStyle w:val="58"/>
              <w:spacing w:line="240" w:lineRule="auto"/>
              <w:jc w:val="center"/>
              <w:rPr>
                <w:rFonts w:hint="eastAsia" w:hAnsi="宋体" w:cs="宋体"/>
                <w:color w:val="auto"/>
                <w:sz w:val="21"/>
                <w:szCs w:val="21"/>
                <w:highlight w:val="none"/>
              </w:rPr>
            </w:pPr>
          </w:p>
        </w:tc>
      </w:tr>
      <w:tr w14:paraId="2E29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084" w:type="dxa"/>
            <w:vMerge w:val="continue"/>
            <w:tcBorders>
              <w:left w:val="single" w:color="auto" w:sz="4" w:space="0"/>
              <w:right w:val="single" w:color="auto" w:sz="4" w:space="0"/>
            </w:tcBorders>
            <w:vAlign w:val="center"/>
          </w:tcPr>
          <w:p w14:paraId="1A9CBA4E">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restart"/>
            <w:vAlign w:val="center"/>
          </w:tcPr>
          <w:p w14:paraId="71CBB519">
            <w:pPr>
              <w:widowControl/>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项目组</w:t>
            </w:r>
            <w:r>
              <w:rPr>
                <w:rFonts w:hint="eastAsia" w:ascii="宋体" w:hAnsi="宋体" w:cs="宋体"/>
                <w:color w:val="auto"/>
                <w:kern w:val="0"/>
                <w:szCs w:val="21"/>
                <w:highlight w:val="none"/>
                <w:lang w:val="en-US" w:eastAsia="zh-CN"/>
              </w:rPr>
              <w:t>成员</w:t>
            </w:r>
          </w:p>
        </w:tc>
        <w:tc>
          <w:tcPr>
            <w:tcW w:w="6900" w:type="dxa"/>
            <w:vAlign w:val="center"/>
          </w:tcPr>
          <w:p w14:paraId="1CF024B4">
            <w:pPr>
              <w:keepNext w:val="0"/>
              <w:keepLines w:val="0"/>
              <w:pageBreakBefore w:val="0"/>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p>
          <w:p w14:paraId="53E9F85D">
            <w:pPr>
              <w:keepNext w:val="0"/>
              <w:keepLines w:val="0"/>
              <w:pageBreakBefore w:val="0"/>
              <w:numPr>
                <w:ilvl w:val="0"/>
                <w:numId w:val="0"/>
              </w:numPr>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具有信息系统项目管理师资格证书的得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B6A0EA">
            <w:pPr>
              <w:keepNext w:val="0"/>
              <w:keepLines w:val="0"/>
              <w:pageBreakBefore w:val="0"/>
              <w:numPr>
                <w:ilvl w:val="0"/>
                <w:numId w:val="0"/>
              </w:numPr>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u w:val="none"/>
                <w:lang w:val="en-US" w:eastAsia="zh-CN"/>
              </w:rPr>
              <w:t>通信</w:t>
            </w:r>
            <w:r>
              <w:rPr>
                <w:rFonts w:hint="eastAsia" w:ascii="宋体" w:hAnsi="宋体" w:cs="宋体"/>
                <w:color w:val="auto"/>
                <w:sz w:val="21"/>
                <w:szCs w:val="21"/>
                <w:highlight w:val="none"/>
                <w:u w:val="none"/>
                <w:lang w:val="en-US" w:eastAsia="zh-CN"/>
              </w:rPr>
              <w:t>专业技术人员职业</w:t>
            </w:r>
            <w:r>
              <w:rPr>
                <w:rFonts w:hint="eastAsia" w:ascii="宋体" w:hAnsi="宋体" w:eastAsia="宋体" w:cs="宋体"/>
                <w:color w:val="auto"/>
                <w:sz w:val="21"/>
                <w:szCs w:val="21"/>
                <w:highlight w:val="none"/>
              </w:rPr>
              <w:t>资格证书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u w:val="none"/>
                <w:lang w:val="en-US" w:eastAsia="zh-CN"/>
              </w:rPr>
              <w:t>终端与业务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的得</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rPr>
              <w:t>；</w:t>
            </w:r>
          </w:p>
          <w:p w14:paraId="0CDB6C6C">
            <w:pPr>
              <w:keepNext w:val="0"/>
              <w:keepLines w:val="0"/>
              <w:pageBreakBefore w:val="0"/>
              <w:numPr>
                <w:ilvl w:val="0"/>
                <w:numId w:val="0"/>
              </w:numPr>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b/>
                <w:bCs/>
                <w:color w:val="auto"/>
                <w:kern w:val="0"/>
                <w:szCs w:val="21"/>
                <w:highlight w:val="none"/>
              </w:rPr>
              <w:t>（需提供</w:t>
            </w:r>
            <w:r>
              <w:rPr>
                <w:rFonts w:hint="eastAsia" w:ascii="宋体" w:hAnsi="宋体" w:eastAsia="宋体" w:cs="宋体"/>
                <w:b/>
                <w:bCs/>
                <w:color w:val="auto"/>
                <w:kern w:val="0"/>
                <w:szCs w:val="21"/>
                <w:highlight w:val="none"/>
                <w:lang w:val="en-US" w:eastAsia="zh-CN"/>
              </w:rPr>
              <w:t>相关</w:t>
            </w:r>
            <w:r>
              <w:rPr>
                <w:rFonts w:hint="eastAsia" w:ascii="宋体" w:hAnsi="宋体" w:eastAsia="宋体" w:cs="宋体"/>
                <w:b/>
                <w:bCs/>
                <w:color w:val="auto"/>
                <w:kern w:val="0"/>
                <w:szCs w:val="21"/>
                <w:highlight w:val="none"/>
              </w:rPr>
              <w:t>证书</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w:t>
            </w:r>
            <w:r>
              <w:rPr>
                <w:rFonts w:hint="eastAsia" w:ascii="宋体" w:hAnsi="宋体" w:eastAsia="宋体" w:cs="宋体"/>
                <w:b/>
                <w:bCs w:val="0"/>
                <w:color w:val="auto"/>
                <w:kern w:val="2"/>
                <w:sz w:val="21"/>
                <w:szCs w:val="21"/>
                <w:highlight w:val="none"/>
                <w:lang w:val="en-US" w:eastAsia="zh-CN" w:bidi="ar-SA"/>
              </w:rPr>
              <w:t>以及投标单位出具的社保材料</w:t>
            </w:r>
            <w:r>
              <w:rPr>
                <w:rFonts w:hint="eastAsia" w:ascii="宋体" w:hAnsi="宋体" w:eastAsia="宋体" w:cs="宋体"/>
                <w:b/>
                <w:bCs w:val="0"/>
                <w:color w:val="auto"/>
                <w:kern w:val="2"/>
                <w:sz w:val="21"/>
                <w:szCs w:val="21"/>
                <w:highlight w:val="none"/>
                <w:lang w:val="en-US" w:eastAsia="zh-CN" w:bidi="ar-SA"/>
              </w:rPr>
              <w:t>并加盖投标人公章编入投标文件中，未提供或提供不全的不得分</w:t>
            </w:r>
            <w:r>
              <w:rPr>
                <w:rFonts w:hint="eastAsia" w:ascii="宋体" w:hAnsi="宋体" w:eastAsia="宋体" w:cs="宋体"/>
                <w:b/>
                <w:bCs/>
                <w:color w:val="auto"/>
                <w:kern w:val="0"/>
                <w:szCs w:val="21"/>
                <w:highlight w:val="none"/>
              </w:rPr>
              <w:t>）</w:t>
            </w:r>
          </w:p>
        </w:tc>
        <w:tc>
          <w:tcPr>
            <w:tcW w:w="671" w:type="dxa"/>
            <w:vAlign w:val="center"/>
          </w:tcPr>
          <w:p w14:paraId="4F72B876">
            <w:pPr>
              <w:widowControl/>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w:t>
            </w:r>
          </w:p>
        </w:tc>
        <w:tc>
          <w:tcPr>
            <w:tcW w:w="671" w:type="dxa"/>
            <w:vAlign w:val="center"/>
          </w:tcPr>
          <w:p w14:paraId="2F793E6B">
            <w:pPr>
              <w:widowControl/>
              <w:adjustRightInd w:val="0"/>
              <w:snapToGrid w:val="0"/>
              <w:spacing w:line="240" w:lineRule="auto"/>
              <w:jc w:val="center"/>
              <w:rPr>
                <w:rFonts w:hint="eastAsia" w:ascii="宋体" w:hAnsi="宋体" w:cs="宋体"/>
                <w:color w:val="auto"/>
                <w:kern w:val="0"/>
                <w:szCs w:val="21"/>
                <w:highlight w:val="none"/>
                <w:lang w:val="en-US" w:eastAsia="zh-CN"/>
              </w:rPr>
            </w:pPr>
          </w:p>
        </w:tc>
        <w:tc>
          <w:tcPr>
            <w:tcW w:w="671" w:type="dxa"/>
            <w:vAlign w:val="center"/>
          </w:tcPr>
          <w:p w14:paraId="7C613C28">
            <w:pPr>
              <w:widowControl/>
              <w:adjustRightInd w:val="0"/>
              <w:snapToGrid w:val="0"/>
              <w:spacing w:line="240" w:lineRule="auto"/>
              <w:jc w:val="center"/>
              <w:rPr>
                <w:rFonts w:hint="eastAsia" w:ascii="宋体" w:hAnsi="宋体" w:cs="宋体"/>
                <w:color w:val="auto"/>
                <w:kern w:val="0"/>
                <w:szCs w:val="21"/>
                <w:highlight w:val="none"/>
                <w:lang w:val="en-US" w:eastAsia="zh-CN"/>
              </w:rPr>
            </w:pPr>
          </w:p>
        </w:tc>
      </w:tr>
      <w:tr w14:paraId="49BB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84" w:type="dxa"/>
            <w:vMerge w:val="continue"/>
            <w:tcBorders>
              <w:left w:val="single" w:color="auto" w:sz="4" w:space="0"/>
              <w:right w:val="single" w:color="auto" w:sz="4" w:space="0"/>
            </w:tcBorders>
            <w:vAlign w:val="center"/>
          </w:tcPr>
          <w:p w14:paraId="29CCEC52">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2F4A72A5">
            <w:pPr>
              <w:widowControl/>
              <w:adjustRightInd w:val="0"/>
              <w:snapToGrid w:val="0"/>
              <w:spacing w:line="240" w:lineRule="auto"/>
              <w:jc w:val="center"/>
              <w:rPr>
                <w:rFonts w:hint="eastAsia" w:ascii="宋体" w:hAnsi="宋体" w:eastAsia="宋体" w:cs="宋体"/>
                <w:color w:val="auto"/>
                <w:szCs w:val="21"/>
                <w:highlight w:val="none"/>
              </w:rPr>
            </w:pPr>
          </w:p>
        </w:tc>
        <w:tc>
          <w:tcPr>
            <w:tcW w:w="6900" w:type="dxa"/>
            <w:vAlign w:val="center"/>
          </w:tcPr>
          <w:p w14:paraId="6A9F4DB8">
            <w:pPr>
              <w:keepNext w:val="0"/>
              <w:keepLines w:val="0"/>
              <w:pageBreakBefore w:val="0"/>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拟派本项目的项目组成员（项目负责人除外）</w:t>
            </w:r>
            <w:r>
              <w:rPr>
                <w:rFonts w:hint="eastAsia" w:ascii="宋体" w:hAnsi="宋体" w:cs="宋体"/>
                <w:color w:val="auto"/>
                <w:kern w:val="0"/>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网络工程师（中级）、</w:t>
            </w:r>
            <w:r>
              <w:rPr>
                <w:rFonts w:hint="eastAsia" w:ascii="宋体" w:hAnsi="宋体" w:eastAsia="宋体" w:cs="宋体"/>
                <w:color w:val="auto"/>
                <w:sz w:val="21"/>
                <w:szCs w:val="21"/>
                <w:highlight w:val="none"/>
              </w:rPr>
              <w:t>信息系统运维管理工程师（高级）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系统集成项目管理工程师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中级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的，每种得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30255F4">
            <w:pPr>
              <w:keepNext w:val="0"/>
              <w:keepLines w:val="0"/>
              <w:pageBreakBefore w:val="0"/>
              <w:kinsoku/>
              <w:wordWrap/>
              <w:overflowPunct/>
              <w:topLinePunct w:val="0"/>
              <w:autoSpaceDE/>
              <w:autoSpaceDN/>
              <w:bidi w:val="0"/>
              <w:adjustRightInd/>
              <w:snapToGrid/>
              <w:spacing w:before="60" w:line="24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同一人员不重复得分。</w:t>
            </w:r>
            <w:r>
              <w:rPr>
                <w:rFonts w:hint="eastAsia" w:ascii="宋体" w:hAnsi="宋体" w:eastAsia="宋体" w:cs="宋体"/>
                <w:b/>
                <w:bCs/>
                <w:color w:val="auto"/>
                <w:kern w:val="0"/>
                <w:szCs w:val="21"/>
                <w:highlight w:val="none"/>
              </w:rPr>
              <w:t>（需提供</w:t>
            </w:r>
            <w:r>
              <w:rPr>
                <w:rFonts w:hint="eastAsia" w:ascii="宋体" w:hAnsi="宋体" w:eastAsia="宋体" w:cs="宋体"/>
                <w:b/>
                <w:bCs/>
                <w:color w:val="auto"/>
                <w:kern w:val="0"/>
                <w:szCs w:val="21"/>
                <w:highlight w:val="none"/>
                <w:lang w:val="en-US" w:eastAsia="zh-CN"/>
              </w:rPr>
              <w:t>相关</w:t>
            </w:r>
            <w:r>
              <w:rPr>
                <w:rFonts w:hint="eastAsia" w:ascii="宋体" w:hAnsi="宋体" w:eastAsia="宋体" w:cs="宋体"/>
                <w:b/>
                <w:bCs/>
                <w:color w:val="auto"/>
                <w:kern w:val="0"/>
                <w:szCs w:val="21"/>
                <w:highlight w:val="none"/>
              </w:rPr>
              <w:t>证书</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w:t>
            </w:r>
            <w:r>
              <w:rPr>
                <w:rFonts w:hint="eastAsia" w:ascii="宋体" w:hAnsi="宋体" w:eastAsia="宋体" w:cs="宋体"/>
                <w:b/>
                <w:bCs w:val="0"/>
                <w:color w:val="auto"/>
                <w:kern w:val="2"/>
                <w:sz w:val="21"/>
                <w:szCs w:val="21"/>
                <w:highlight w:val="none"/>
                <w:lang w:val="en-US" w:eastAsia="zh-CN" w:bidi="ar-SA"/>
              </w:rPr>
              <w:t>以及投标单位出具的社保材料</w:t>
            </w:r>
            <w:r>
              <w:rPr>
                <w:rFonts w:hint="eastAsia" w:ascii="宋体" w:hAnsi="宋体" w:eastAsia="宋体" w:cs="宋体"/>
                <w:b/>
                <w:bCs w:val="0"/>
                <w:color w:val="auto"/>
                <w:kern w:val="2"/>
                <w:sz w:val="21"/>
                <w:szCs w:val="21"/>
                <w:highlight w:val="none"/>
                <w:lang w:val="en-US" w:eastAsia="zh-CN" w:bidi="ar-SA"/>
              </w:rPr>
              <w:t>并加盖投标人公章编入投标文件中，未提供或提供不全的不得分</w:t>
            </w:r>
            <w:r>
              <w:rPr>
                <w:rFonts w:hint="eastAsia" w:ascii="宋体" w:hAnsi="宋体" w:eastAsia="宋体" w:cs="宋体"/>
                <w:b/>
                <w:bCs/>
                <w:color w:val="auto"/>
                <w:kern w:val="0"/>
                <w:szCs w:val="21"/>
                <w:highlight w:val="none"/>
              </w:rPr>
              <w:t>）</w:t>
            </w:r>
          </w:p>
        </w:tc>
        <w:tc>
          <w:tcPr>
            <w:tcW w:w="671" w:type="dxa"/>
            <w:vAlign w:val="center"/>
          </w:tcPr>
          <w:p w14:paraId="10E00C08">
            <w:pPr>
              <w:widowControl/>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3</w:t>
            </w:r>
          </w:p>
        </w:tc>
        <w:tc>
          <w:tcPr>
            <w:tcW w:w="671" w:type="dxa"/>
            <w:vAlign w:val="center"/>
          </w:tcPr>
          <w:p w14:paraId="55435BA4">
            <w:pPr>
              <w:widowControl/>
              <w:adjustRightInd w:val="0"/>
              <w:snapToGrid w:val="0"/>
              <w:spacing w:line="240" w:lineRule="auto"/>
              <w:jc w:val="center"/>
              <w:rPr>
                <w:rFonts w:hint="eastAsia" w:ascii="宋体" w:hAnsi="宋体" w:cs="宋体"/>
                <w:color w:val="auto"/>
                <w:kern w:val="0"/>
                <w:szCs w:val="21"/>
                <w:highlight w:val="none"/>
                <w:lang w:val="en-US" w:eastAsia="zh-CN"/>
              </w:rPr>
            </w:pPr>
          </w:p>
        </w:tc>
        <w:tc>
          <w:tcPr>
            <w:tcW w:w="671" w:type="dxa"/>
            <w:vAlign w:val="center"/>
          </w:tcPr>
          <w:p w14:paraId="442132DA">
            <w:pPr>
              <w:widowControl/>
              <w:adjustRightInd w:val="0"/>
              <w:snapToGrid w:val="0"/>
              <w:spacing w:line="240" w:lineRule="auto"/>
              <w:jc w:val="center"/>
              <w:rPr>
                <w:rFonts w:hint="eastAsia" w:ascii="宋体" w:hAnsi="宋体" w:cs="宋体"/>
                <w:color w:val="auto"/>
                <w:kern w:val="0"/>
                <w:szCs w:val="21"/>
                <w:highlight w:val="none"/>
                <w:lang w:val="en-US" w:eastAsia="zh-CN"/>
              </w:rPr>
            </w:pPr>
          </w:p>
        </w:tc>
      </w:tr>
      <w:tr w14:paraId="231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84" w:type="dxa"/>
            <w:vMerge w:val="restart"/>
            <w:vAlign w:val="center"/>
          </w:tcPr>
          <w:p w14:paraId="6728CB25">
            <w:pPr>
              <w:adjustRightInd w:val="0"/>
              <w:snapToGrid w:val="0"/>
              <w:spacing w:line="240" w:lineRule="auto"/>
              <w:ind w:left="-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r>
              <w:rPr>
                <w:rFonts w:hint="eastAsia" w:ascii="宋体" w:hAnsi="宋体" w:cs="宋体"/>
                <w:bCs/>
                <w:color w:val="auto"/>
                <w:szCs w:val="21"/>
                <w:highlight w:val="none"/>
                <w:lang w:val="en-US" w:eastAsia="zh-CN"/>
              </w:rPr>
              <w:t>68</w:t>
            </w:r>
            <w:r>
              <w:rPr>
                <w:rFonts w:hint="eastAsia" w:ascii="宋体" w:hAnsi="宋体" w:eastAsia="宋体" w:cs="宋体"/>
                <w:bCs/>
                <w:color w:val="auto"/>
                <w:szCs w:val="21"/>
                <w:highlight w:val="none"/>
              </w:rPr>
              <w:t>分）</w:t>
            </w:r>
          </w:p>
        </w:tc>
        <w:tc>
          <w:tcPr>
            <w:tcW w:w="1138" w:type="dxa"/>
            <w:vAlign w:val="center"/>
          </w:tcPr>
          <w:p w14:paraId="0B4DAB3D">
            <w:pPr>
              <w:pStyle w:val="58"/>
              <w:spacing w:line="240" w:lineRule="auto"/>
              <w:jc w:val="center"/>
              <w:rPr>
                <w:rFonts w:hint="eastAsia" w:ascii="宋体" w:hAnsi="宋体" w:eastAsia="宋体" w:cs="宋体"/>
                <w:color w:val="auto"/>
                <w:kern w:val="0"/>
                <w:szCs w:val="21"/>
                <w:highlight w:val="none"/>
              </w:rPr>
            </w:pPr>
            <w:r>
              <w:rPr>
                <w:rFonts w:hint="eastAsia" w:hAnsi="宋体" w:cs="宋体"/>
                <w:bCs/>
                <w:color w:val="auto"/>
                <w:sz w:val="21"/>
                <w:szCs w:val="21"/>
                <w:highlight w:val="none"/>
              </w:rPr>
              <w:t>现状分析</w:t>
            </w:r>
          </w:p>
        </w:tc>
        <w:tc>
          <w:tcPr>
            <w:tcW w:w="6900" w:type="dxa"/>
            <w:vAlign w:val="center"/>
          </w:tcPr>
          <w:p w14:paraId="3315AFDA">
            <w:pPr>
              <w:autoSpaceDE w:val="0"/>
              <w:autoSpaceDN w:val="0"/>
              <w:adjustRightIn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根据投标人对黄岩区环境空气质量、道路微站、VOCs和扬尘污染、空气污染情况、降尘措施等方面现状的了解程度</w:t>
            </w:r>
            <w:r>
              <w:rPr>
                <w:rFonts w:hint="eastAsia" w:ascii="宋体" w:hAnsi="宋体" w:eastAsia="宋体" w:cs="宋体"/>
                <w:color w:val="auto"/>
                <w:kern w:val="0"/>
                <w:sz w:val="21"/>
                <w:szCs w:val="21"/>
                <w:highlight w:val="none"/>
                <w:lang w:val="en-US" w:eastAsia="zh-CN" w:bidi="ar-SA"/>
              </w:rPr>
              <w:t>以及分析</w:t>
            </w:r>
            <w:r>
              <w:rPr>
                <w:rFonts w:hint="eastAsia" w:ascii="宋体" w:hAnsi="宋体" w:eastAsia="宋体" w:cs="宋体"/>
                <w:color w:val="auto"/>
                <w:kern w:val="0"/>
                <w:sz w:val="21"/>
                <w:szCs w:val="21"/>
                <w:highlight w:val="none"/>
                <w:lang w:val="en-US" w:eastAsia="zh-CN" w:bidi="ar-SA"/>
              </w:rPr>
              <w:t>进行打分。</w:t>
            </w:r>
          </w:p>
          <w:p w14:paraId="590399E4">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一档得5分；二档得4.5分；三档得4分；四档得3.5分；五档得3分；六档得2.5分；七档得2分；八档得1.5分；九档得1分；未提及此项不得分。</w:t>
            </w:r>
          </w:p>
        </w:tc>
        <w:tc>
          <w:tcPr>
            <w:tcW w:w="671" w:type="dxa"/>
            <w:vAlign w:val="center"/>
          </w:tcPr>
          <w:p w14:paraId="0F3B7DD9">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5</w:t>
            </w:r>
          </w:p>
        </w:tc>
        <w:tc>
          <w:tcPr>
            <w:tcW w:w="671" w:type="dxa"/>
            <w:vAlign w:val="center"/>
          </w:tcPr>
          <w:p w14:paraId="71A39CCE">
            <w:pPr>
              <w:widowControl/>
              <w:adjustRightInd w:val="0"/>
              <w:snapToGrid w:val="0"/>
              <w:jc w:val="center"/>
              <w:rPr>
                <w:rFonts w:hint="eastAsia" w:ascii="宋体" w:hAnsi="宋体" w:cs="宋体"/>
                <w:color w:val="auto"/>
                <w:kern w:val="0"/>
                <w:szCs w:val="21"/>
                <w:highlight w:val="none"/>
              </w:rPr>
            </w:pPr>
          </w:p>
        </w:tc>
        <w:tc>
          <w:tcPr>
            <w:tcW w:w="671" w:type="dxa"/>
            <w:vAlign w:val="center"/>
          </w:tcPr>
          <w:p w14:paraId="7F36887A">
            <w:pPr>
              <w:widowControl/>
              <w:adjustRightInd w:val="0"/>
              <w:snapToGrid w:val="0"/>
              <w:jc w:val="center"/>
              <w:rPr>
                <w:rFonts w:hint="eastAsia" w:ascii="宋体" w:hAnsi="宋体" w:cs="宋体"/>
                <w:color w:val="auto"/>
                <w:kern w:val="0"/>
                <w:szCs w:val="21"/>
                <w:highlight w:val="none"/>
              </w:rPr>
            </w:pPr>
          </w:p>
        </w:tc>
      </w:tr>
      <w:tr w14:paraId="001D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84" w:type="dxa"/>
            <w:vMerge w:val="continue"/>
            <w:vAlign w:val="center"/>
          </w:tcPr>
          <w:p w14:paraId="26A77076">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0DA58EF2">
            <w:pPr>
              <w:widowControl/>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bCs/>
                <w:color w:val="auto"/>
                <w:szCs w:val="21"/>
                <w:highlight w:val="none"/>
              </w:rPr>
              <w:t>重难点分析</w:t>
            </w:r>
          </w:p>
        </w:tc>
        <w:tc>
          <w:tcPr>
            <w:tcW w:w="6900" w:type="dxa"/>
            <w:vAlign w:val="center"/>
          </w:tcPr>
          <w:p w14:paraId="061BAE50">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根据投标人对本项目具体工作过程可能遇到的重点难点分析进行打分。</w:t>
            </w:r>
          </w:p>
          <w:p w14:paraId="33AD8953">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一档得5分；二档得4.5分；三档得4分；四档得3.5分；五档得3分；六档得2.5分；七档得2分；八档得1.5分；九档得1分；未提及此项不得分。</w:t>
            </w:r>
          </w:p>
        </w:tc>
        <w:tc>
          <w:tcPr>
            <w:tcW w:w="671" w:type="dxa"/>
            <w:vAlign w:val="center"/>
          </w:tcPr>
          <w:p w14:paraId="39C70546">
            <w:pPr>
              <w:tabs>
                <w:tab w:val="left" w:pos="780"/>
              </w:tabs>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5</w:t>
            </w:r>
          </w:p>
        </w:tc>
        <w:tc>
          <w:tcPr>
            <w:tcW w:w="671" w:type="dxa"/>
            <w:vAlign w:val="center"/>
          </w:tcPr>
          <w:p w14:paraId="12926021">
            <w:pPr>
              <w:tabs>
                <w:tab w:val="left" w:pos="780"/>
              </w:tabs>
              <w:autoSpaceDE w:val="0"/>
              <w:autoSpaceDN w:val="0"/>
              <w:adjustRightInd w:val="0"/>
              <w:snapToGrid w:val="0"/>
              <w:jc w:val="center"/>
              <w:rPr>
                <w:rFonts w:hint="eastAsia" w:ascii="宋体" w:hAnsi="宋体" w:cs="宋体"/>
                <w:color w:val="auto"/>
                <w:szCs w:val="21"/>
                <w:highlight w:val="none"/>
              </w:rPr>
            </w:pPr>
          </w:p>
        </w:tc>
        <w:tc>
          <w:tcPr>
            <w:tcW w:w="671" w:type="dxa"/>
            <w:vAlign w:val="center"/>
          </w:tcPr>
          <w:p w14:paraId="172C4BE7">
            <w:pPr>
              <w:tabs>
                <w:tab w:val="left" w:pos="780"/>
              </w:tabs>
              <w:autoSpaceDE w:val="0"/>
              <w:autoSpaceDN w:val="0"/>
              <w:adjustRightInd w:val="0"/>
              <w:snapToGrid w:val="0"/>
              <w:jc w:val="center"/>
              <w:rPr>
                <w:rFonts w:hint="eastAsia" w:ascii="宋体" w:hAnsi="宋体" w:cs="宋体"/>
                <w:color w:val="auto"/>
                <w:szCs w:val="21"/>
                <w:highlight w:val="none"/>
              </w:rPr>
            </w:pPr>
          </w:p>
        </w:tc>
      </w:tr>
      <w:tr w14:paraId="3766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4" w:type="dxa"/>
            <w:vMerge w:val="continue"/>
            <w:vAlign w:val="center"/>
          </w:tcPr>
          <w:p w14:paraId="4553CC0A">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5779C4F2">
            <w:pPr>
              <w:widowControl/>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bCs/>
                <w:color w:val="auto"/>
                <w:szCs w:val="21"/>
                <w:highlight w:val="none"/>
              </w:rPr>
              <w:t>重难点解决方案</w:t>
            </w:r>
          </w:p>
        </w:tc>
        <w:tc>
          <w:tcPr>
            <w:tcW w:w="6900" w:type="dxa"/>
            <w:vAlign w:val="center"/>
          </w:tcPr>
          <w:p w14:paraId="0722486A">
            <w:pPr>
              <w:autoSpaceDE w:val="0"/>
              <w:autoSpaceDN w:val="0"/>
              <w:adjustRightIn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根据投标人对项目实施过程中可能出现的重难点问题拟采取的解决措施进行打分。</w:t>
            </w:r>
          </w:p>
          <w:p w14:paraId="5C433B5D">
            <w:pPr>
              <w:pStyle w:val="58"/>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一档得5分；二档得4.5分；三档得4分；四档得3.5分；五档得3分；六档得2.5分；七档得2分；八档得1.5分；九档得1分；未提及此项不得分。</w:t>
            </w:r>
          </w:p>
        </w:tc>
        <w:tc>
          <w:tcPr>
            <w:tcW w:w="671" w:type="dxa"/>
            <w:vAlign w:val="center"/>
          </w:tcPr>
          <w:p w14:paraId="78F7529F">
            <w:pPr>
              <w:tabs>
                <w:tab w:val="left" w:pos="780"/>
              </w:tabs>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5</w:t>
            </w:r>
          </w:p>
        </w:tc>
        <w:tc>
          <w:tcPr>
            <w:tcW w:w="671" w:type="dxa"/>
            <w:vAlign w:val="center"/>
          </w:tcPr>
          <w:p w14:paraId="2928E0C1">
            <w:pPr>
              <w:tabs>
                <w:tab w:val="left" w:pos="780"/>
              </w:tabs>
              <w:autoSpaceDE w:val="0"/>
              <w:autoSpaceDN w:val="0"/>
              <w:adjustRightInd w:val="0"/>
              <w:snapToGrid w:val="0"/>
              <w:jc w:val="center"/>
              <w:rPr>
                <w:rFonts w:hint="eastAsia" w:ascii="宋体" w:hAnsi="宋体" w:cs="宋体"/>
                <w:color w:val="auto"/>
                <w:szCs w:val="21"/>
                <w:highlight w:val="none"/>
              </w:rPr>
            </w:pPr>
          </w:p>
        </w:tc>
        <w:tc>
          <w:tcPr>
            <w:tcW w:w="671" w:type="dxa"/>
            <w:vAlign w:val="center"/>
          </w:tcPr>
          <w:p w14:paraId="6EC1E359">
            <w:pPr>
              <w:tabs>
                <w:tab w:val="left" w:pos="780"/>
              </w:tabs>
              <w:autoSpaceDE w:val="0"/>
              <w:autoSpaceDN w:val="0"/>
              <w:adjustRightInd w:val="0"/>
              <w:snapToGrid w:val="0"/>
              <w:jc w:val="center"/>
              <w:rPr>
                <w:rFonts w:hint="eastAsia" w:ascii="宋体" w:hAnsi="宋体" w:cs="宋体"/>
                <w:color w:val="auto"/>
                <w:szCs w:val="21"/>
                <w:highlight w:val="none"/>
              </w:rPr>
            </w:pPr>
          </w:p>
        </w:tc>
      </w:tr>
      <w:tr w14:paraId="67A4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84" w:type="dxa"/>
            <w:vMerge w:val="continue"/>
            <w:vAlign w:val="center"/>
          </w:tcPr>
          <w:p w14:paraId="2DA90078">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restart"/>
            <w:vAlign w:val="center"/>
          </w:tcPr>
          <w:p w14:paraId="7EFE7E95">
            <w:pPr>
              <w:pStyle w:val="58"/>
              <w:spacing w:line="240" w:lineRule="auto"/>
              <w:jc w:val="center"/>
              <w:rPr>
                <w:rFonts w:hint="eastAsia" w:ascii="宋体" w:hAnsi="宋体" w:eastAsia="宋体" w:cs="宋体"/>
                <w:color w:val="auto"/>
                <w:highlight w:val="none"/>
              </w:rPr>
            </w:pPr>
            <w:r>
              <w:rPr>
                <w:rFonts w:hint="eastAsia" w:hAnsi="宋体" w:cs="宋体"/>
                <w:color w:val="auto"/>
                <w:sz w:val="21"/>
                <w:szCs w:val="21"/>
                <w:highlight w:val="none"/>
              </w:rPr>
              <w:t>实施方案</w:t>
            </w:r>
          </w:p>
        </w:tc>
        <w:tc>
          <w:tcPr>
            <w:tcW w:w="6900" w:type="dxa"/>
            <w:vAlign w:val="center"/>
          </w:tcPr>
          <w:p w14:paraId="7AFB32BA">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w:t>
            </w:r>
            <w:r>
              <w:rPr>
                <w:rFonts w:hint="eastAsia" w:hAnsi="宋体" w:cs="宋体"/>
                <w:b/>
                <w:bCs/>
                <w:color w:val="auto"/>
                <w:sz w:val="21"/>
                <w:szCs w:val="21"/>
                <w:highlight w:val="none"/>
              </w:rPr>
              <w:t>颗粒物走航监测及人工巡查服务</w:t>
            </w:r>
            <w:r>
              <w:rPr>
                <w:rFonts w:hint="eastAsia" w:hAnsi="宋体" w:cs="宋体"/>
                <w:b w:val="0"/>
                <w:bCs w:val="0"/>
                <w:color w:val="auto"/>
                <w:sz w:val="21"/>
                <w:szCs w:val="21"/>
                <w:highlight w:val="none"/>
              </w:rPr>
              <w:t>等方面工作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2D769E30">
            <w:pPr>
              <w:pStyle w:val="58"/>
              <w:spacing w:line="240" w:lineRule="auto"/>
              <w:rPr>
                <w:rFonts w:hint="eastAsia" w:ascii="宋体" w:hAnsi="宋体" w:eastAsia="宋体" w:cs="宋体"/>
                <w:color w:val="auto"/>
                <w:kern w:val="0"/>
                <w:szCs w:val="21"/>
                <w:highlight w:val="none"/>
              </w:rPr>
            </w:pPr>
            <w:r>
              <w:rPr>
                <w:rFonts w:hint="eastAsia" w:hAnsi="宋体" w:cs="宋体"/>
                <w:color w:val="auto"/>
                <w:sz w:val="21"/>
                <w:szCs w:val="21"/>
                <w:highlight w:val="none"/>
              </w:rPr>
              <w:t>一档得4分；二档得3.5分；三档得3分；四档得2.5分；五档得2分；六档得1.5分；七档得1分；八档得0.5分；未提及此项不得分。</w:t>
            </w:r>
          </w:p>
        </w:tc>
        <w:tc>
          <w:tcPr>
            <w:tcW w:w="671" w:type="dxa"/>
            <w:vAlign w:val="center"/>
          </w:tcPr>
          <w:p w14:paraId="4C698A9F">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5</w:t>
            </w:r>
          </w:p>
        </w:tc>
        <w:tc>
          <w:tcPr>
            <w:tcW w:w="671" w:type="dxa"/>
            <w:vAlign w:val="center"/>
          </w:tcPr>
          <w:p w14:paraId="60E70C21">
            <w:pPr>
              <w:pStyle w:val="58"/>
              <w:spacing w:line="240" w:lineRule="auto"/>
              <w:jc w:val="center"/>
              <w:rPr>
                <w:rFonts w:hint="eastAsia" w:hAnsi="宋体" w:cs="宋体"/>
                <w:color w:val="auto"/>
                <w:sz w:val="21"/>
                <w:szCs w:val="21"/>
                <w:highlight w:val="none"/>
              </w:rPr>
            </w:pPr>
          </w:p>
        </w:tc>
        <w:tc>
          <w:tcPr>
            <w:tcW w:w="671" w:type="dxa"/>
            <w:vAlign w:val="center"/>
          </w:tcPr>
          <w:p w14:paraId="01F0979B">
            <w:pPr>
              <w:pStyle w:val="58"/>
              <w:spacing w:line="240" w:lineRule="auto"/>
              <w:jc w:val="center"/>
              <w:rPr>
                <w:rFonts w:hint="eastAsia" w:hAnsi="宋体" w:cs="宋体"/>
                <w:color w:val="auto"/>
                <w:sz w:val="21"/>
                <w:szCs w:val="21"/>
                <w:highlight w:val="none"/>
              </w:rPr>
            </w:pPr>
          </w:p>
        </w:tc>
      </w:tr>
      <w:tr w14:paraId="02FE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7F37E9B1">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3FE8506B">
            <w:pPr>
              <w:pStyle w:val="58"/>
              <w:spacing w:line="240" w:lineRule="auto"/>
              <w:jc w:val="center"/>
              <w:rPr>
                <w:rFonts w:hint="eastAsia" w:ascii="宋体" w:hAnsi="宋体" w:eastAsia="宋体" w:cs="宋体"/>
                <w:color w:val="auto"/>
                <w:spacing w:val="10"/>
                <w:szCs w:val="21"/>
                <w:highlight w:val="none"/>
              </w:rPr>
            </w:pPr>
          </w:p>
        </w:tc>
        <w:tc>
          <w:tcPr>
            <w:tcW w:w="6900" w:type="dxa"/>
            <w:vAlign w:val="center"/>
          </w:tcPr>
          <w:p w14:paraId="7752D004">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w:t>
            </w:r>
            <w:r>
              <w:rPr>
                <w:rFonts w:hint="eastAsia" w:hAnsi="宋体" w:cs="宋体"/>
                <w:b/>
                <w:bCs/>
                <w:color w:val="auto"/>
                <w:sz w:val="21"/>
                <w:szCs w:val="21"/>
                <w:highlight w:val="none"/>
                <w:lang w:val="en-US" w:eastAsia="zh-CN"/>
              </w:rPr>
              <w:t>空气质量</w:t>
            </w:r>
            <w:r>
              <w:rPr>
                <w:rFonts w:hint="eastAsia" w:hAnsi="宋体" w:cs="宋体"/>
                <w:b/>
                <w:bCs/>
                <w:color w:val="auto"/>
                <w:sz w:val="21"/>
                <w:szCs w:val="21"/>
                <w:highlight w:val="none"/>
              </w:rPr>
              <w:t>数据时间维度、空间维度</w:t>
            </w:r>
            <w:r>
              <w:rPr>
                <w:rFonts w:hint="eastAsia" w:hAnsi="宋体" w:cs="宋体"/>
                <w:b w:val="0"/>
                <w:bCs w:val="0"/>
                <w:color w:val="auto"/>
                <w:sz w:val="21"/>
                <w:szCs w:val="21"/>
                <w:highlight w:val="none"/>
              </w:rPr>
              <w:t>等方面</w:t>
            </w:r>
            <w:r>
              <w:rPr>
                <w:rFonts w:hint="eastAsia" w:hAnsi="宋体" w:cs="宋体"/>
                <w:b w:val="0"/>
                <w:bCs w:val="0"/>
                <w:color w:val="auto"/>
                <w:sz w:val="21"/>
                <w:szCs w:val="21"/>
                <w:highlight w:val="none"/>
              </w:rPr>
              <w:t>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w:t>
            </w:r>
            <w:r>
              <w:rPr>
                <w:rFonts w:hint="eastAsia" w:hAnsi="宋体" w:cs="宋体"/>
                <w:b w:val="0"/>
                <w:bCs w:val="0"/>
                <w:color w:val="auto"/>
                <w:sz w:val="21"/>
                <w:szCs w:val="21"/>
                <w:highlight w:val="none"/>
              </w:rPr>
              <w:t>以及项目人员安排等的合理性和科学性进行打分。</w:t>
            </w:r>
          </w:p>
          <w:p w14:paraId="1ABFFEF6">
            <w:pPr>
              <w:pStyle w:val="58"/>
              <w:spacing w:line="240" w:lineRule="auto"/>
              <w:rPr>
                <w:rFonts w:hint="eastAsia" w:ascii="宋体" w:hAnsi="宋体" w:eastAsia="宋体" w:cs="宋体"/>
                <w:color w:val="auto"/>
                <w:spacing w:val="10"/>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32C4504D">
            <w:pPr>
              <w:pStyle w:val="58"/>
              <w:spacing w:line="240" w:lineRule="auto"/>
              <w:jc w:val="center"/>
              <w:rPr>
                <w:rFonts w:hint="eastAsia" w:ascii="宋体" w:hAnsi="宋体" w:eastAsia="宋体" w:cs="宋体"/>
                <w:color w:val="auto"/>
                <w:spacing w:val="10"/>
                <w:szCs w:val="21"/>
                <w:highlight w:val="none"/>
              </w:rPr>
            </w:pPr>
            <w:r>
              <w:rPr>
                <w:rFonts w:hint="eastAsia" w:hAnsi="宋体" w:cs="宋体"/>
                <w:color w:val="auto"/>
                <w:sz w:val="21"/>
                <w:szCs w:val="21"/>
                <w:highlight w:val="none"/>
                <w:lang w:val="en-US" w:eastAsia="zh-CN"/>
              </w:rPr>
              <w:t>5</w:t>
            </w:r>
          </w:p>
        </w:tc>
        <w:tc>
          <w:tcPr>
            <w:tcW w:w="671" w:type="dxa"/>
            <w:vAlign w:val="center"/>
          </w:tcPr>
          <w:p w14:paraId="21A08612">
            <w:pPr>
              <w:pStyle w:val="58"/>
              <w:spacing w:line="240" w:lineRule="auto"/>
              <w:jc w:val="center"/>
              <w:rPr>
                <w:rFonts w:hint="eastAsia" w:hAnsi="宋体" w:cs="宋体"/>
                <w:color w:val="auto"/>
                <w:sz w:val="21"/>
                <w:szCs w:val="21"/>
                <w:highlight w:val="none"/>
                <w:lang w:val="en-US" w:eastAsia="zh-CN"/>
              </w:rPr>
            </w:pPr>
          </w:p>
        </w:tc>
        <w:tc>
          <w:tcPr>
            <w:tcW w:w="671" w:type="dxa"/>
            <w:vAlign w:val="center"/>
          </w:tcPr>
          <w:p w14:paraId="5909975F">
            <w:pPr>
              <w:pStyle w:val="58"/>
              <w:spacing w:line="240" w:lineRule="auto"/>
              <w:jc w:val="center"/>
              <w:rPr>
                <w:rFonts w:hint="eastAsia" w:hAnsi="宋体" w:cs="宋体"/>
                <w:color w:val="auto"/>
                <w:sz w:val="21"/>
                <w:szCs w:val="21"/>
                <w:highlight w:val="none"/>
                <w:lang w:val="en-US" w:eastAsia="zh-CN"/>
              </w:rPr>
            </w:pPr>
          </w:p>
        </w:tc>
      </w:tr>
      <w:tr w14:paraId="6C0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84" w:type="dxa"/>
            <w:vMerge w:val="continue"/>
            <w:vAlign w:val="center"/>
          </w:tcPr>
          <w:p w14:paraId="7F1CE55B">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41CB0192">
            <w:pPr>
              <w:pStyle w:val="58"/>
              <w:spacing w:line="240" w:lineRule="auto"/>
              <w:jc w:val="center"/>
              <w:rPr>
                <w:rFonts w:hint="eastAsia" w:ascii="宋体" w:hAnsi="宋体" w:eastAsia="宋体" w:cs="宋体"/>
                <w:color w:val="auto"/>
                <w:szCs w:val="21"/>
                <w:highlight w:val="none"/>
              </w:rPr>
            </w:pPr>
          </w:p>
        </w:tc>
        <w:tc>
          <w:tcPr>
            <w:tcW w:w="6900" w:type="dxa"/>
            <w:vAlign w:val="center"/>
          </w:tcPr>
          <w:p w14:paraId="3D432B9C">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w:t>
            </w:r>
            <w:r>
              <w:rPr>
                <w:rFonts w:hint="eastAsia" w:hAnsi="宋体" w:cs="宋体"/>
                <w:b/>
                <w:bCs/>
                <w:color w:val="auto"/>
                <w:sz w:val="21"/>
                <w:szCs w:val="21"/>
                <w:highlight w:val="none"/>
              </w:rPr>
              <w:t>VOCs应急走航监测安排、分析</w:t>
            </w:r>
            <w:r>
              <w:rPr>
                <w:rFonts w:hint="eastAsia" w:hAnsi="宋体" w:cs="宋体"/>
                <w:b w:val="0"/>
                <w:bCs w:val="0"/>
                <w:color w:val="auto"/>
                <w:sz w:val="21"/>
                <w:szCs w:val="21"/>
                <w:highlight w:val="none"/>
              </w:rPr>
              <w:t>等工作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1C1B0D77">
            <w:pPr>
              <w:pStyle w:val="58"/>
              <w:spacing w:line="240" w:lineRule="auto"/>
              <w:rPr>
                <w:rFonts w:hint="eastAsia" w:ascii="宋体" w:hAnsi="宋体" w:eastAsia="宋体" w:cs="宋体"/>
                <w:color w:val="auto"/>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5C471944">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c>
          <w:tcPr>
            <w:tcW w:w="671" w:type="dxa"/>
            <w:vAlign w:val="center"/>
          </w:tcPr>
          <w:p w14:paraId="2E42B162">
            <w:pPr>
              <w:pStyle w:val="58"/>
              <w:spacing w:line="240" w:lineRule="auto"/>
              <w:jc w:val="center"/>
              <w:rPr>
                <w:rFonts w:hint="eastAsia" w:hAnsi="宋体" w:cs="宋体"/>
                <w:color w:val="auto"/>
                <w:sz w:val="21"/>
                <w:szCs w:val="21"/>
                <w:highlight w:val="none"/>
                <w:lang w:val="en-US" w:eastAsia="zh-CN"/>
              </w:rPr>
            </w:pPr>
          </w:p>
        </w:tc>
        <w:tc>
          <w:tcPr>
            <w:tcW w:w="671" w:type="dxa"/>
            <w:vAlign w:val="center"/>
          </w:tcPr>
          <w:p w14:paraId="60A6840C">
            <w:pPr>
              <w:pStyle w:val="58"/>
              <w:spacing w:line="240" w:lineRule="auto"/>
              <w:jc w:val="center"/>
              <w:rPr>
                <w:rFonts w:hint="eastAsia" w:hAnsi="宋体" w:cs="宋体"/>
                <w:color w:val="auto"/>
                <w:sz w:val="21"/>
                <w:szCs w:val="21"/>
                <w:highlight w:val="none"/>
                <w:lang w:val="en-US" w:eastAsia="zh-CN"/>
              </w:rPr>
            </w:pPr>
          </w:p>
        </w:tc>
      </w:tr>
      <w:tr w14:paraId="2AD3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84" w:type="dxa"/>
            <w:vMerge w:val="continue"/>
            <w:vAlign w:val="center"/>
          </w:tcPr>
          <w:p w14:paraId="65C61C9B">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43CE1671">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762808B7">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w:t>
            </w:r>
            <w:r>
              <w:rPr>
                <w:rFonts w:hint="eastAsia" w:ascii="宋体" w:hAnsi="宋体" w:cs="宋体"/>
                <w:b/>
                <w:bCs/>
                <w:color w:val="auto"/>
                <w:sz w:val="21"/>
                <w:szCs w:val="21"/>
                <w:highlight w:val="none"/>
              </w:rPr>
              <w:t>重点区域近源管控</w:t>
            </w:r>
            <w:r>
              <w:rPr>
                <w:rFonts w:hint="eastAsia" w:hAnsi="宋体" w:cs="宋体"/>
                <w:b w:val="0"/>
                <w:bCs w:val="0"/>
                <w:color w:val="auto"/>
                <w:sz w:val="21"/>
                <w:szCs w:val="21"/>
                <w:highlight w:val="none"/>
              </w:rPr>
              <w:t>等工作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5ACA4471">
            <w:pPr>
              <w:pStyle w:val="58"/>
              <w:spacing w:line="240" w:lineRule="auto"/>
              <w:rPr>
                <w:rFonts w:hint="eastAsia" w:ascii="宋体" w:hAnsi="宋体" w:eastAsia="宋体" w:cs="宋体"/>
                <w:snapToGrid w:val="0"/>
                <w:color w:val="auto"/>
                <w:kern w:val="0"/>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1A4DC344">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c>
          <w:tcPr>
            <w:tcW w:w="671" w:type="dxa"/>
            <w:vAlign w:val="center"/>
          </w:tcPr>
          <w:p w14:paraId="75620759">
            <w:pPr>
              <w:pStyle w:val="58"/>
              <w:spacing w:line="240" w:lineRule="auto"/>
              <w:jc w:val="center"/>
              <w:rPr>
                <w:rFonts w:hint="eastAsia" w:hAnsi="宋体" w:cs="宋体"/>
                <w:color w:val="auto"/>
                <w:sz w:val="21"/>
                <w:szCs w:val="21"/>
                <w:highlight w:val="none"/>
                <w:lang w:val="en-US" w:eastAsia="zh-CN"/>
              </w:rPr>
            </w:pPr>
          </w:p>
        </w:tc>
        <w:tc>
          <w:tcPr>
            <w:tcW w:w="671" w:type="dxa"/>
            <w:vAlign w:val="center"/>
          </w:tcPr>
          <w:p w14:paraId="0F049B98">
            <w:pPr>
              <w:pStyle w:val="58"/>
              <w:spacing w:line="240" w:lineRule="auto"/>
              <w:jc w:val="center"/>
              <w:rPr>
                <w:rFonts w:hint="eastAsia" w:hAnsi="宋体" w:cs="宋体"/>
                <w:color w:val="auto"/>
                <w:sz w:val="21"/>
                <w:szCs w:val="21"/>
                <w:highlight w:val="none"/>
                <w:lang w:val="en-US" w:eastAsia="zh-CN"/>
              </w:rPr>
            </w:pPr>
          </w:p>
        </w:tc>
      </w:tr>
      <w:tr w14:paraId="69F9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4" w:type="dxa"/>
            <w:vMerge w:val="continue"/>
            <w:vAlign w:val="center"/>
          </w:tcPr>
          <w:p w14:paraId="0CF752A9">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02765A5B">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26809C65">
            <w:pPr>
              <w:pStyle w:val="58"/>
              <w:spacing w:line="240" w:lineRule="auto"/>
              <w:rPr>
                <w:rFonts w:hAnsi="宋体" w:cs="宋体"/>
                <w:b w:val="0"/>
                <w:bCs w:val="0"/>
                <w:color w:val="auto"/>
                <w:sz w:val="21"/>
                <w:szCs w:val="21"/>
                <w:highlight w:val="none"/>
              </w:rPr>
            </w:pPr>
            <w:r>
              <w:rPr>
                <w:rFonts w:hint="eastAsia" w:hAnsi="宋体" w:cs="宋体"/>
                <w:b w:val="0"/>
                <w:bCs w:val="0"/>
                <w:i w:val="0"/>
                <w:iCs w:val="0"/>
                <w:color w:val="auto"/>
                <w:sz w:val="21"/>
                <w:szCs w:val="21"/>
                <w:highlight w:val="none"/>
              </w:rPr>
              <w:t>根据投标人</w:t>
            </w:r>
            <w:r>
              <w:rPr>
                <w:rFonts w:hint="eastAsia" w:hAnsi="宋体" w:cs="宋体"/>
                <w:b w:val="0"/>
                <w:bCs w:val="0"/>
                <w:i w:val="0"/>
                <w:iCs w:val="0"/>
                <w:color w:val="auto"/>
                <w:sz w:val="21"/>
                <w:szCs w:val="21"/>
                <w:highlight w:val="none"/>
                <w:lang w:val="en-US" w:eastAsia="zh-CN"/>
              </w:rPr>
              <w:t>对</w:t>
            </w:r>
            <w:r>
              <w:rPr>
                <w:rFonts w:hint="eastAsia" w:cs="宋体"/>
                <w:b/>
                <w:bCs/>
                <w:color w:val="auto"/>
                <w:sz w:val="21"/>
                <w:szCs w:val="21"/>
                <w:highlight w:val="none"/>
                <w:lang w:val="en-US"/>
              </w:rPr>
              <w:t>日常大气环境质量指标分析、溯源</w:t>
            </w:r>
            <w:r>
              <w:rPr>
                <w:rFonts w:hint="eastAsia" w:cs="宋体"/>
                <w:b w:val="0"/>
                <w:bCs w:val="0"/>
                <w:color w:val="auto"/>
                <w:sz w:val="21"/>
                <w:szCs w:val="21"/>
                <w:highlight w:val="none"/>
                <w:lang w:val="en-US" w:eastAsia="zh-CN"/>
              </w:rPr>
              <w:t>等</w:t>
            </w:r>
            <w:r>
              <w:rPr>
                <w:rFonts w:hint="eastAsia" w:hAnsi="宋体" w:cs="宋体"/>
                <w:b w:val="0"/>
                <w:bCs w:val="0"/>
                <w:i w:val="0"/>
                <w:iCs w:val="0"/>
                <w:color w:val="auto"/>
                <w:sz w:val="21"/>
                <w:szCs w:val="21"/>
                <w:highlight w:val="none"/>
              </w:rPr>
              <w:t>情况</w:t>
            </w:r>
            <w:r>
              <w:rPr>
                <w:rFonts w:hint="eastAsia" w:hAnsi="宋体" w:cs="宋体"/>
                <w:b w:val="0"/>
                <w:bCs w:val="0"/>
                <w:i w:val="0"/>
                <w:iCs w:val="0"/>
                <w:color w:val="auto"/>
                <w:sz w:val="21"/>
                <w:szCs w:val="21"/>
                <w:highlight w:val="none"/>
                <w:lang w:eastAsia="zh-CN"/>
              </w:rPr>
              <w:t>的</w:t>
            </w:r>
            <w:r>
              <w:rPr>
                <w:rFonts w:hint="eastAsia" w:hAnsi="宋体" w:cs="宋体"/>
                <w:b w:val="0"/>
                <w:bCs w:val="0"/>
                <w:color w:val="auto"/>
                <w:sz w:val="21"/>
                <w:szCs w:val="21"/>
                <w:highlight w:val="none"/>
              </w:rPr>
              <w:t>工作</w:t>
            </w:r>
            <w:r>
              <w:rPr>
                <w:rFonts w:hint="eastAsia" w:hAnsi="宋体" w:cs="宋体"/>
                <w:b w:val="0"/>
                <w:bCs w:val="0"/>
                <w:color w:val="auto"/>
                <w:sz w:val="21"/>
                <w:szCs w:val="21"/>
                <w:highlight w:val="none"/>
                <w:lang w:val="en-US" w:eastAsia="zh-CN"/>
              </w:rPr>
              <w:t>方案、部署</w:t>
            </w:r>
            <w:r>
              <w:rPr>
                <w:rFonts w:hint="eastAsia" w:hAnsi="宋体" w:cs="宋体"/>
                <w:b w:val="0"/>
                <w:bCs w:val="0"/>
                <w:color w:val="auto"/>
                <w:sz w:val="21"/>
                <w:szCs w:val="21"/>
                <w:highlight w:val="none"/>
              </w:rPr>
              <w:t>，以及项目人员安排等的合理性和科学性进行打分。</w:t>
            </w:r>
          </w:p>
          <w:p w14:paraId="4B8E0E38">
            <w:pPr>
              <w:pStyle w:val="58"/>
              <w:spacing w:line="240" w:lineRule="auto"/>
              <w:rPr>
                <w:rFonts w:hint="eastAsia" w:ascii="宋体" w:hAnsi="宋体" w:eastAsia="宋体" w:cs="宋体"/>
                <w:snapToGrid w:val="0"/>
                <w:color w:val="auto"/>
                <w:kern w:val="0"/>
                <w:szCs w:val="21"/>
                <w:highlight w:val="none"/>
              </w:rPr>
            </w:pPr>
            <w:r>
              <w:rPr>
                <w:rFonts w:hint="eastAsia" w:hAnsi="宋体" w:cs="宋体"/>
                <w:i w:val="0"/>
                <w:iCs w:val="0"/>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4908C630">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c>
          <w:tcPr>
            <w:tcW w:w="671" w:type="dxa"/>
            <w:vAlign w:val="center"/>
          </w:tcPr>
          <w:p w14:paraId="1E24F174">
            <w:pPr>
              <w:pStyle w:val="58"/>
              <w:spacing w:line="240" w:lineRule="auto"/>
              <w:jc w:val="center"/>
              <w:rPr>
                <w:rFonts w:hint="eastAsia" w:hAnsi="宋体" w:cs="宋体"/>
                <w:color w:val="auto"/>
                <w:sz w:val="21"/>
                <w:szCs w:val="21"/>
                <w:highlight w:val="none"/>
                <w:lang w:val="en-US" w:eastAsia="zh-CN"/>
              </w:rPr>
            </w:pPr>
          </w:p>
        </w:tc>
        <w:tc>
          <w:tcPr>
            <w:tcW w:w="671" w:type="dxa"/>
            <w:vAlign w:val="center"/>
          </w:tcPr>
          <w:p w14:paraId="1E070A2F">
            <w:pPr>
              <w:pStyle w:val="58"/>
              <w:spacing w:line="240" w:lineRule="auto"/>
              <w:jc w:val="center"/>
              <w:rPr>
                <w:rFonts w:hint="eastAsia" w:hAnsi="宋体" w:cs="宋体"/>
                <w:color w:val="auto"/>
                <w:sz w:val="21"/>
                <w:szCs w:val="21"/>
                <w:highlight w:val="none"/>
                <w:lang w:val="en-US" w:eastAsia="zh-CN"/>
              </w:rPr>
            </w:pPr>
          </w:p>
        </w:tc>
      </w:tr>
      <w:tr w14:paraId="30F4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4" w:type="dxa"/>
            <w:vMerge w:val="continue"/>
            <w:vAlign w:val="center"/>
          </w:tcPr>
          <w:p w14:paraId="42B37A8A">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38C8E159">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79A24F67">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根据投标人对本项目的</w:t>
            </w:r>
            <w:r>
              <w:rPr>
                <w:rFonts w:hint="eastAsia" w:cs="宋体"/>
                <w:b/>
                <w:bCs/>
                <w:color w:val="auto"/>
                <w:sz w:val="21"/>
                <w:szCs w:val="21"/>
                <w:highlight w:val="none"/>
                <w:lang w:val="en-US"/>
              </w:rPr>
              <w:t>公共废气设施治理</w:t>
            </w:r>
            <w:r>
              <w:rPr>
                <w:rFonts w:hint="eastAsia" w:hAnsi="宋体" w:cs="宋体"/>
                <w:b w:val="0"/>
                <w:bCs w:val="0"/>
                <w:color w:val="auto"/>
                <w:sz w:val="21"/>
                <w:szCs w:val="21"/>
                <w:highlight w:val="none"/>
              </w:rPr>
              <w:t>等工作的</w:t>
            </w:r>
            <w:r>
              <w:rPr>
                <w:rFonts w:hint="eastAsia" w:hAnsi="宋体" w:cs="宋体"/>
                <w:b w:val="0"/>
                <w:bCs w:val="0"/>
                <w:color w:val="auto"/>
                <w:sz w:val="21"/>
                <w:szCs w:val="21"/>
                <w:highlight w:val="none"/>
                <w:lang w:val="en-US" w:eastAsia="zh-CN"/>
              </w:rPr>
              <w:t>方案、</w:t>
            </w:r>
            <w:r>
              <w:rPr>
                <w:rFonts w:hint="eastAsia" w:hAnsi="宋体" w:cs="宋体"/>
                <w:b w:val="0"/>
                <w:bCs w:val="0"/>
                <w:color w:val="auto"/>
                <w:sz w:val="21"/>
                <w:szCs w:val="21"/>
                <w:highlight w:val="none"/>
              </w:rPr>
              <w:t>部署，以及项目人员安排等的合理性和科学性进行打分。</w:t>
            </w:r>
          </w:p>
          <w:p w14:paraId="28C581A6">
            <w:pPr>
              <w:pStyle w:val="58"/>
              <w:spacing w:line="240" w:lineRule="auto"/>
              <w:rPr>
                <w:rFonts w:hint="eastAsia" w:ascii="宋体" w:hAnsi="宋体" w:eastAsia="宋体" w:cs="宋体"/>
                <w:color w:val="auto"/>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1E96EF8F">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5</w:t>
            </w:r>
          </w:p>
        </w:tc>
        <w:tc>
          <w:tcPr>
            <w:tcW w:w="671" w:type="dxa"/>
            <w:vAlign w:val="center"/>
          </w:tcPr>
          <w:p w14:paraId="1F6819CF">
            <w:pPr>
              <w:pStyle w:val="58"/>
              <w:spacing w:line="240" w:lineRule="auto"/>
              <w:jc w:val="center"/>
              <w:rPr>
                <w:rFonts w:hint="eastAsia" w:hAnsi="宋体" w:cs="宋体"/>
                <w:color w:val="auto"/>
                <w:sz w:val="21"/>
                <w:szCs w:val="21"/>
                <w:highlight w:val="none"/>
              </w:rPr>
            </w:pPr>
          </w:p>
        </w:tc>
        <w:tc>
          <w:tcPr>
            <w:tcW w:w="671" w:type="dxa"/>
            <w:vAlign w:val="center"/>
          </w:tcPr>
          <w:p w14:paraId="2922484D">
            <w:pPr>
              <w:pStyle w:val="58"/>
              <w:spacing w:line="240" w:lineRule="auto"/>
              <w:jc w:val="center"/>
              <w:rPr>
                <w:rFonts w:hint="eastAsia" w:hAnsi="宋体" w:cs="宋体"/>
                <w:color w:val="auto"/>
                <w:sz w:val="21"/>
                <w:szCs w:val="21"/>
                <w:highlight w:val="none"/>
              </w:rPr>
            </w:pPr>
          </w:p>
        </w:tc>
      </w:tr>
      <w:tr w14:paraId="2DC2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4" w:type="dxa"/>
            <w:vMerge w:val="continue"/>
            <w:vAlign w:val="center"/>
          </w:tcPr>
          <w:p w14:paraId="3342EBC7">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79FA8B25">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6486CEA6">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针对项目后续实施过程中可能遇到的紧急事件、异常处理等应急预案和对应的解决措施情况进行打分。</w:t>
            </w:r>
          </w:p>
          <w:p w14:paraId="1D576F13">
            <w:pPr>
              <w:pStyle w:val="58"/>
              <w:spacing w:line="240" w:lineRule="auto"/>
              <w:rPr>
                <w:rFonts w:hint="eastAsia" w:ascii="宋体" w:hAnsi="宋体" w:eastAsia="宋体" w:cs="宋体"/>
                <w:color w:val="auto"/>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174BA0DC">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p>
        </w:tc>
        <w:tc>
          <w:tcPr>
            <w:tcW w:w="671" w:type="dxa"/>
            <w:vAlign w:val="center"/>
          </w:tcPr>
          <w:p w14:paraId="16D01FAD">
            <w:pPr>
              <w:pStyle w:val="58"/>
              <w:spacing w:line="240" w:lineRule="auto"/>
              <w:jc w:val="center"/>
              <w:rPr>
                <w:rFonts w:hint="eastAsia" w:hAnsi="宋体" w:cs="宋体"/>
                <w:color w:val="auto"/>
                <w:sz w:val="21"/>
                <w:szCs w:val="21"/>
                <w:highlight w:val="none"/>
                <w:lang w:val="en-US" w:eastAsia="zh-CN"/>
              </w:rPr>
            </w:pPr>
          </w:p>
        </w:tc>
        <w:tc>
          <w:tcPr>
            <w:tcW w:w="671" w:type="dxa"/>
            <w:vAlign w:val="center"/>
          </w:tcPr>
          <w:p w14:paraId="5B8F76CD">
            <w:pPr>
              <w:pStyle w:val="58"/>
              <w:spacing w:line="240" w:lineRule="auto"/>
              <w:jc w:val="center"/>
              <w:rPr>
                <w:rFonts w:hint="eastAsia" w:hAnsi="宋体" w:cs="宋体"/>
                <w:color w:val="auto"/>
                <w:sz w:val="21"/>
                <w:szCs w:val="21"/>
                <w:highlight w:val="none"/>
                <w:lang w:val="en-US" w:eastAsia="zh-CN"/>
              </w:rPr>
            </w:pPr>
          </w:p>
        </w:tc>
      </w:tr>
      <w:tr w14:paraId="63B6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4" w:type="dxa"/>
            <w:vMerge w:val="continue"/>
            <w:vAlign w:val="center"/>
          </w:tcPr>
          <w:p w14:paraId="68217663">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2BCAE505">
            <w:pPr>
              <w:pStyle w:val="58"/>
              <w:spacing w:line="240" w:lineRule="auto"/>
              <w:jc w:val="center"/>
              <w:rPr>
                <w:rFonts w:hint="eastAsia" w:ascii="宋体" w:hAnsi="宋体" w:eastAsia="宋体" w:cs="宋体"/>
                <w:color w:val="auto"/>
                <w:highlight w:val="none"/>
              </w:rPr>
            </w:pPr>
          </w:p>
        </w:tc>
        <w:tc>
          <w:tcPr>
            <w:tcW w:w="6900" w:type="dxa"/>
            <w:vAlign w:val="center"/>
          </w:tcPr>
          <w:p w14:paraId="15615671">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根据投标人提供的本项目大气环境质量控制目标达到市里要求的控制目标的实施保障方案进行打分。</w:t>
            </w:r>
          </w:p>
          <w:p w14:paraId="2AC46C78">
            <w:pPr>
              <w:pStyle w:val="58"/>
              <w:spacing w:line="240" w:lineRule="auto"/>
              <w:rPr>
                <w:rFonts w:hint="eastAsia" w:ascii="宋体" w:hAnsi="宋体" w:eastAsia="宋体" w:cs="宋体"/>
                <w:color w:val="auto"/>
                <w:szCs w:val="21"/>
                <w:highlight w:val="none"/>
              </w:rPr>
            </w:pPr>
            <w:r>
              <w:rPr>
                <w:rFonts w:hint="eastAsia" w:hAnsi="宋体" w:cs="宋体"/>
                <w:color w:val="auto"/>
                <w:sz w:val="21"/>
                <w:szCs w:val="21"/>
                <w:highlight w:val="none"/>
              </w:rPr>
              <w:t>一档得4分；二档得3.5分；三档得3分；四档得2.5分；五档得2分；六档得1.5分；七档得1分；八档得0.5分；未提及此项不得分。</w:t>
            </w:r>
          </w:p>
        </w:tc>
        <w:tc>
          <w:tcPr>
            <w:tcW w:w="671" w:type="dxa"/>
            <w:vAlign w:val="center"/>
          </w:tcPr>
          <w:p w14:paraId="30C0F413">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bidi="ar-SA"/>
              </w:rPr>
              <w:t>4</w:t>
            </w:r>
          </w:p>
        </w:tc>
        <w:tc>
          <w:tcPr>
            <w:tcW w:w="671" w:type="dxa"/>
            <w:vAlign w:val="center"/>
          </w:tcPr>
          <w:p w14:paraId="278D6C13">
            <w:pPr>
              <w:pStyle w:val="58"/>
              <w:spacing w:line="240" w:lineRule="auto"/>
              <w:jc w:val="center"/>
              <w:rPr>
                <w:rFonts w:hint="eastAsia" w:hAnsi="宋体" w:cs="宋体"/>
                <w:color w:val="auto"/>
                <w:sz w:val="21"/>
                <w:szCs w:val="21"/>
                <w:highlight w:val="none"/>
                <w:lang w:val="en-US" w:eastAsia="zh-CN" w:bidi="ar-SA"/>
              </w:rPr>
            </w:pPr>
          </w:p>
        </w:tc>
        <w:tc>
          <w:tcPr>
            <w:tcW w:w="671" w:type="dxa"/>
            <w:vAlign w:val="center"/>
          </w:tcPr>
          <w:p w14:paraId="617ED612">
            <w:pPr>
              <w:pStyle w:val="58"/>
              <w:spacing w:line="240" w:lineRule="auto"/>
              <w:jc w:val="center"/>
              <w:rPr>
                <w:rFonts w:hint="eastAsia" w:hAnsi="宋体" w:cs="宋体"/>
                <w:color w:val="auto"/>
                <w:sz w:val="21"/>
                <w:szCs w:val="21"/>
                <w:highlight w:val="none"/>
                <w:lang w:val="en-US" w:eastAsia="zh-CN" w:bidi="ar-SA"/>
              </w:rPr>
            </w:pPr>
          </w:p>
        </w:tc>
      </w:tr>
      <w:tr w14:paraId="30CB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7D336550">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Merge w:val="continue"/>
            <w:vAlign w:val="center"/>
          </w:tcPr>
          <w:p w14:paraId="3F8382CD">
            <w:pPr>
              <w:pStyle w:val="58"/>
              <w:spacing w:line="240" w:lineRule="auto"/>
              <w:jc w:val="center"/>
              <w:rPr>
                <w:rFonts w:hint="eastAsia" w:ascii="宋体" w:hAnsi="宋体" w:eastAsia="宋体" w:cs="宋体"/>
                <w:color w:val="auto"/>
                <w:kern w:val="0"/>
                <w:szCs w:val="21"/>
                <w:highlight w:val="none"/>
              </w:rPr>
            </w:pPr>
          </w:p>
        </w:tc>
        <w:tc>
          <w:tcPr>
            <w:tcW w:w="6900" w:type="dxa"/>
            <w:vAlign w:val="center"/>
          </w:tcPr>
          <w:p w14:paraId="710EEBCE">
            <w:pPr>
              <w:adjustRightInd w:val="0"/>
              <w:snapToGrid w:val="0"/>
              <w:jc w:val="left"/>
              <w:rPr>
                <w:rFonts w:ascii="宋体" w:hAnsi="宋体" w:cs="宋体"/>
                <w:color w:val="auto"/>
                <w:szCs w:val="21"/>
                <w:highlight w:val="none"/>
              </w:rPr>
            </w:pPr>
            <w:r>
              <w:rPr>
                <w:rFonts w:hint="eastAsia" w:ascii="宋体" w:hAnsi="宋体" w:cs="宋体"/>
                <w:snapToGrid w:val="0"/>
                <w:color w:val="auto"/>
                <w:kern w:val="0"/>
                <w:szCs w:val="21"/>
                <w:highlight w:val="none"/>
              </w:rPr>
              <w:t>根据投标人针对本项目提供的</w:t>
            </w:r>
            <w:r>
              <w:rPr>
                <w:rFonts w:hint="eastAsia" w:ascii="宋体" w:hAnsi="宋体" w:cs="宋体"/>
                <w:b w:val="0"/>
                <w:bCs w:val="0"/>
                <w:snapToGrid w:val="0"/>
                <w:color w:val="auto"/>
                <w:kern w:val="0"/>
                <w:szCs w:val="21"/>
                <w:highlight w:val="none"/>
              </w:rPr>
              <w:t>项目成果</w:t>
            </w:r>
            <w:r>
              <w:rPr>
                <w:rFonts w:hint="eastAsia" w:ascii="宋体" w:hAnsi="宋体" w:cs="宋体"/>
                <w:b w:val="0"/>
                <w:bCs w:val="0"/>
                <w:color w:val="auto"/>
                <w:szCs w:val="21"/>
                <w:highlight w:val="none"/>
              </w:rPr>
              <w:t>编制方案</w:t>
            </w:r>
            <w:r>
              <w:rPr>
                <w:rFonts w:hint="eastAsia" w:ascii="宋体" w:hAnsi="宋体" w:cs="宋体"/>
                <w:color w:val="auto"/>
                <w:szCs w:val="21"/>
                <w:highlight w:val="none"/>
              </w:rPr>
              <w:t>进行打分。</w:t>
            </w:r>
          </w:p>
          <w:p w14:paraId="5BF9168A">
            <w:pPr>
              <w:pStyle w:val="58"/>
              <w:spacing w:line="240" w:lineRule="auto"/>
              <w:rPr>
                <w:rFonts w:hint="eastAsia" w:ascii="宋体" w:hAnsi="宋体" w:eastAsia="宋体" w:cs="宋体"/>
                <w:color w:val="auto"/>
                <w:spacing w:val="-4"/>
                <w:szCs w:val="21"/>
                <w:highlight w:val="none"/>
              </w:rPr>
            </w:pPr>
            <w:r>
              <w:rPr>
                <w:rFonts w:hint="eastAsia" w:hAnsi="宋体" w:cs="宋体"/>
                <w:color w:val="auto"/>
                <w:sz w:val="21"/>
                <w:szCs w:val="21"/>
                <w:highlight w:val="none"/>
              </w:rPr>
              <w:t>一档得5分；二档得4.5分；三档得4分；四档得3.5分；五档得3分；六档得2.5分；七档得2分；八档得1.5分；九档得1分；未提及此项不得分。</w:t>
            </w:r>
          </w:p>
        </w:tc>
        <w:tc>
          <w:tcPr>
            <w:tcW w:w="671" w:type="dxa"/>
            <w:vAlign w:val="center"/>
          </w:tcPr>
          <w:p w14:paraId="46BC2F32">
            <w:pPr>
              <w:pStyle w:val="58"/>
              <w:spacing w:line="240" w:lineRule="auto"/>
              <w:jc w:val="center"/>
              <w:rPr>
                <w:rFonts w:hint="eastAsia" w:ascii="宋体" w:hAnsi="宋体" w:eastAsia="宋体" w:cs="宋体"/>
                <w:color w:val="auto"/>
                <w:szCs w:val="21"/>
                <w:highlight w:val="none"/>
              </w:rPr>
            </w:pPr>
            <w:r>
              <w:rPr>
                <w:rFonts w:hint="eastAsia" w:hAnsi="宋体" w:cs="宋体"/>
                <w:color w:val="auto"/>
                <w:sz w:val="21"/>
                <w:szCs w:val="21"/>
                <w:highlight w:val="none"/>
              </w:rPr>
              <w:t>5</w:t>
            </w:r>
          </w:p>
        </w:tc>
        <w:tc>
          <w:tcPr>
            <w:tcW w:w="671" w:type="dxa"/>
            <w:vAlign w:val="center"/>
          </w:tcPr>
          <w:p w14:paraId="374E08DA">
            <w:pPr>
              <w:pStyle w:val="58"/>
              <w:spacing w:line="240" w:lineRule="auto"/>
              <w:jc w:val="center"/>
              <w:rPr>
                <w:rFonts w:hint="eastAsia" w:hAnsi="宋体" w:cs="宋体"/>
                <w:color w:val="auto"/>
                <w:sz w:val="21"/>
                <w:szCs w:val="21"/>
                <w:highlight w:val="none"/>
              </w:rPr>
            </w:pPr>
          </w:p>
        </w:tc>
        <w:tc>
          <w:tcPr>
            <w:tcW w:w="671" w:type="dxa"/>
            <w:vAlign w:val="center"/>
          </w:tcPr>
          <w:p w14:paraId="12E6CA85">
            <w:pPr>
              <w:pStyle w:val="58"/>
              <w:spacing w:line="240" w:lineRule="auto"/>
              <w:jc w:val="center"/>
              <w:rPr>
                <w:rFonts w:hint="eastAsia" w:hAnsi="宋体" w:cs="宋体"/>
                <w:color w:val="auto"/>
                <w:sz w:val="21"/>
                <w:szCs w:val="21"/>
                <w:highlight w:val="none"/>
              </w:rPr>
            </w:pPr>
          </w:p>
        </w:tc>
      </w:tr>
      <w:tr w14:paraId="1B97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437A3558">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0FB5BEEF">
            <w:pPr>
              <w:pStyle w:val="58"/>
              <w:spacing w:line="240" w:lineRule="auto"/>
              <w:jc w:val="center"/>
              <w:rPr>
                <w:rFonts w:hint="eastAsia" w:ascii="宋体" w:hAnsi="宋体" w:eastAsia="宋体" w:cs="宋体"/>
                <w:color w:val="auto"/>
                <w:kern w:val="0"/>
                <w:szCs w:val="21"/>
                <w:highlight w:val="none"/>
              </w:rPr>
            </w:pPr>
            <w:r>
              <w:rPr>
                <w:rFonts w:hint="eastAsia" w:hAnsi="宋体" w:cs="宋体"/>
                <w:color w:val="auto"/>
                <w:sz w:val="21"/>
                <w:szCs w:val="21"/>
                <w:highlight w:val="none"/>
              </w:rPr>
              <w:t>服务质量管控</w:t>
            </w:r>
          </w:p>
        </w:tc>
        <w:tc>
          <w:tcPr>
            <w:tcW w:w="6900" w:type="dxa"/>
            <w:vAlign w:val="center"/>
          </w:tcPr>
          <w:p w14:paraId="4F2A2D3C">
            <w:pPr>
              <w:pStyle w:val="58"/>
              <w:spacing w:line="240" w:lineRule="auto"/>
              <w:rPr>
                <w:rFonts w:hAnsi="宋体" w:cs="宋体"/>
                <w:b w:val="0"/>
                <w:bCs w:val="0"/>
                <w:color w:val="auto"/>
                <w:sz w:val="21"/>
                <w:szCs w:val="21"/>
                <w:highlight w:val="none"/>
              </w:rPr>
            </w:pPr>
            <w:r>
              <w:rPr>
                <w:rFonts w:hint="eastAsia" w:hAnsi="宋体" w:cs="宋体"/>
                <w:b w:val="0"/>
                <w:bCs w:val="0"/>
                <w:color w:val="auto"/>
                <w:sz w:val="21"/>
                <w:szCs w:val="21"/>
                <w:highlight w:val="none"/>
              </w:rPr>
              <w:t>根据投标人对本项目工作中的管理规范、管理组织构架、监督体系、内控制度、质量管控规章制度进行打分。</w:t>
            </w:r>
          </w:p>
          <w:p w14:paraId="4D62D3F7">
            <w:pPr>
              <w:pStyle w:val="58"/>
              <w:spacing w:line="240" w:lineRule="auto"/>
              <w:rPr>
                <w:rFonts w:hint="eastAsia" w:hAnsi="宋体" w:cs="宋体"/>
                <w:color w:val="auto"/>
                <w:sz w:val="21"/>
                <w:szCs w:val="21"/>
                <w:highlight w:val="none"/>
              </w:rPr>
            </w:pPr>
            <w:r>
              <w:rPr>
                <w:rFonts w:hint="eastAsia" w:hAnsi="宋体" w:cs="宋体"/>
                <w:color w:val="auto"/>
                <w:sz w:val="21"/>
                <w:szCs w:val="21"/>
                <w:highlight w:val="none"/>
              </w:rPr>
              <w:t>一档得4分；二档得3.5分；三档得3分；四档得2.5分；五档得2分；六档得1.5分；七档得1分；八档得0.5分；未提及此项不得分。</w:t>
            </w:r>
          </w:p>
        </w:tc>
        <w:tc>
          <w:tcPr>
            <w:tcW w:w="671" w:type="dxa"/>
            <w:vAlign w:val="center"/>
          </w:tcPr>
          <w:p w14:paraId="72137965">
            <w:pPr>
              <w:pStyle w:val="58"/>
              <w:spacing w:line="240" w:lineRule="auto"/>
              <w:jc w:val="center"/>
              <w:rPr>
                <w:rFonts w:hint="eastAsia" w:hAnsi="宋体" w:cs="宋体"/>
                <w:color w:val="auto"/>
                <w:sz w:val="21"/>
                <w:szCs w:val="21"/>
                <w:highlight w:val="none"/>
              </w:rPr>
            </w:pPr>
            <w:r>
              <w:rPr>
                <w:rFonts w:hint="eastAsia" w:hAnsi="宋体" w:cs="宋体"/>
                <w:color w:val="auto"/>
                <w:sz w:val="21"/>
                <w:szCs w:val="21"/>
                <w:highlight w:val="none"/>
                <w:lang w:val="en-US" w:eastAsia="zh-CN"/>
              </w:rPr>
              <w:t>4</w:t>
            </w:r>
          </w:p>
        </w:tc>
        <w:tc>
          <w:tcPr>
            <w:tcW w:w="671" w:type="dxa"/>
            <w:vAlign w:val="center"/>
          </w:tcPr>
          <w:p w14:paraId="2056718F">
            <w:pPr>
              <w:pStyle w:val="58"/>
              <w:spacing w:line="240" w:lineRule="auto"/>
              <w:jc w:val="center"/>
              <w:rPr>
                <w:rFonts w:hint="eastAsia" w:hAnsi="宋体" w:cs="宋体"/>
                <w:color w:val="auto"/>
                <w:sz w:val="21"/>
                <w:szCs w:val="21"/>
                <w:highlight w:val="none"/>
                <w:lang w:val="en-US" w:eastAsia="zh-CN"/>
              </w:rPr>
            </w:pPr>
          </w:p>
        </w:tc>
        <w:tc>
          <w:tcPr>
            <w:tcW w:w="671" w:type="dxa"/>
            <w:vAlign w:val="center"/>
          </w:tcPr>
          <w:p w14:paraId="01BA3B7A">
            <w:pPr>
              <w:pStyle w:val="58"/>
              <w:spacing w:line="240" w:lineRule="auto"/>
              <w:jc w:val="center"/>
              <w:rPr>
                <w:rFonts w:hint="eastAsia" w:hAnsi="宋体" w:cs="宋体"/>
                <w:color w:val="auto"/>
                <w:sz w:val="21"/>
                <w:szCs w:val="21"/>
                <w:highlight w:val="none"/>
                <w:lang w:val="en-US" w:eastAsia="zh-CN"/>
              </w:rPr>
            </w:pPr>
          </w:p>
        </w:tc>
      </w:tr>
      <w:tr w14:paraId="1678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84" w:type="dxa"/>
            <w:vMerge w:val="continue"/>
            <w:vAlign w:val="center"/>
          </w:tcPr>
          <w:p w14:paraId="778DBE1F">
            <w:pPr>
              <w:adjustRightInd w:val="0"/>
              <w:snapToGrid w:val="0"/>
              <w:spacing w:line="240" w:lineRule="auto"/>
              <w:ind w:left="-50"/>
              <w:jc w:val="center"/>
              <w:rPr>
                <w:rFonts w:hint="eastAsia" w:ascii="宋体" w:hAnsi="宋体" w:eastAsia="宋体" w:cs="宋体"/>
                <w:bCs/>
                <w:color w:val="auto"/>
                <w:szCs w:val="21"/>
                <w:highlight w:val="none"/>
              </w:rPr>
            </w:pPr>
          </w:p>
        </w:tc>
        <w:tc>
          <w:tcPr>
            <w:tcW w:w="1138" w:type="dxa"/>
            <w:vAlign w:val="center"/>
          </w:tcPr>
          <w:p w14:paraId="61D91556">
            <w:pPr>
              <w:pStyle w:val="58"/>
              <w:spacing w:line="240" w:lineRule="auto"/>
              <w:jc w:val="center"/>
              <w:rPr>
                <w:rFonts w:hint="eastAsia" w:ascii="宋体" w:hAnsi="宋体" w:eastAsia="宋体" w:cs="宋体"/>
                <w:color w:val="auto"/>
                <w:kern w:val="0"/>
                <w:szCs w:val="21"/>
                <w:highlight w:val="none"/>
              </w:rPr>
            </w:pPr>
            <w:r>
              <w:rPr>
                <w:rFonts w:hint="eastAsia" w:hAnsi="宋体" w:cs="宋体"/>
                <w:color w:val="auto"/>
                <w:sz w:val="21"/>
                <w:szCs w:val="21"/>
                <w:highlight w:val="none"/>
              </w:rPr>
              <w:t>服务响应</w:t>
            </w:r>
          </w:p>
        </w:tc>
        <w:tc>
          <w:tcPr>
            <w:tcW w:w="6900" w:type="dxa"/>
            <w:vAlign w:val="center"/>
          </w:tcPr>
          <w:p w14:paraId="154FD0DB">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根据投标人承诺的服务响应时间等情况进行打分。</w:t>
            </w:r>
          </w:p>
          <w:p w14:paraId="5E08042B">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承诺接到采购方通知后，在1小时内（含）到达现场的得5分；</w:t>
            </w:r>
          </w:p>
          <w:p w14:paraId="0E38444B">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承诺接到采购方通知后，在3小时内（含）到达现场的得3分；</w:t>
            </w:r>
          </w:p>
          <w:p w14:paraId="287820CE">
            <w:pPr>
              <w:pStyle w:val="58"/>
              <w:spacing w:line="240" w:lineRule="auto"/>
              <w:rPr>
                <w:rFonts w:hAnsi="宋体" w:cs="宋体"/>
                <w:color w:val="auto"/>
                <w:sz w:val="21"/>
                <w:szCs w:val="21"/>
                <w:highlight w:val="none"/>
              </w:rPr>
            </w:pPr>
            <w:r>
              <w:rPr>
                <w:rFonts w:hint="eastAsia" w:hAnsi="宋体" w:cs="宋体"/>
                <w:color w:val="auto"/>
                <w:sz w:val="21"/>
                <w:szCs w:val="21"/>
                <w:highlight w:val="none"/>
              </w:rPr>
              <w:t>承诺接到采购方通知后，在12小时内（含）到达现场的得1分；</w:t>
            </w:r>
          </w:p>
          <w:p w14:paraId="44B30A13">
            <w:pPr>
              <w:pStyle w:val="58"/>
              <w:spacing w:line="240" w:lineRule="auto"/>
              <w:rPr>
                <w:rFonts w:hint="eastAsia" w:hAnsi="宋体" w:cs="宋体"/>
                <w:color w:val="auto"/>
                <w:sz w:val="21"/>
                <w:szCs w:val="21"/>
                <w:highlight w:val="none"/>
              </w:rPr>
            </w:pPr>
            <w:r>
              <w:rPr>
                <w:rFonts w:hint="eastAsia" w:hAnsi="宋体" w:cs="宋体"/>
                <w:color w:val="auto"/>
                <w:sz w:val="21"/>
                <w:szCs w:val="21"/>
                <w:highlight w:val="none"/>
              </w:rPr>
              <w:t>接到采购方通知后，超过12小时到达现场的或未提及此项不得分。</w:t>
            </w:r>
          </w:p>
        </w:tc>
        <w:tc>
          <w:tcPr>
            <w:tcW w:w="671" w:type="dxa"/>
            <w:vAlign w:val="center"/>
          </w:tcPr>
          <w:p w14:paraId="7C0C4182">
            <w:pPr>
              <w:pStyle w:val="58"/>
              <w:spacing w:line="240" w:lineRule="auto"/>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671" w:type="dxa"/>
            <w:vAlign w:val="center"/>
          </w:tcPr>
          <w:p w14:paraId="1CB5A159">
            <w:pPr>
              <w:pStyle w:val="58"/>
              <w:spacing w:line="240" w:lineRule="auto"/>
              <w:jc w:val="center"/>
              <w:rPr>
                <w:rFonts w:hint="eastAsia" w:hAnsi="宋体" w:cs="宋体"/>
                <w:color w:val="auto"/>
                <w:sz w:val="21"/>
                <w:szCs w:val="21"/>
                <w:highlight w:val="none"/>
              </w:rPr>
            </w:pPr>
          </w:p>
        </w:tc>
        <w:tc>
          <w:tcPr>
            <w:tcW w:w="671" w:type="dxa"/>
            <w:vAlign w:val="center"/>
          </w:tcPr>
          <w:p w14:paraId="498AF134">
            <w:pPr>
              <w:pStyle w:val="58"/>
              <w:spacing w:line="240" w:lineRule="auto"/>
              <w:jc w:val="center"/>
              <w:rPr>
                <w:rFonts w:hint="eastAsia" w:hAnsi="宋体" w:cs="宋体"/>
                <w:color w:val="auto"/>
                <w:sz w:val="21"/>
                <w:szCs w:val="21"/>
                <w:highlight w:val="none"/>
              </w:rPr>
            </w:pPr>
          </w:p>
        </w:tc>
      </w:tr>
    </w:tbl>
    <w:p w14:paraId="75387316">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A3FB94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7E81D779">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998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6982ECB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65D75A6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03DF8DA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0DBA7F6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27D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49A88C1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6DB2504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15E3B4E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2DD293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7F9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1D5352A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178B8BC2">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2B16E76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4B9A3A">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698C86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4FE637E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53E7776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6CCB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55B2269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75AE552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2111142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7E8A8EB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B06646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632373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4770E41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68E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39ABECD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5CB9E05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01BC240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0EDEEA5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487A319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7DDC2FF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67F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6D3B217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6BA16BC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7E4986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8A7441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B4ACD0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44433BF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43FFE85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1B7357B1">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6F8A34B1">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48A29F">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D473AD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396EEAB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5CBAB08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2EFC9E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ADB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16E1DF1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2387812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1CBB237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7288AC2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27CE7206">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293B8AD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04C925D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BB502B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6EA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5C3D5D5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DB2269F">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5819EF46">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53284A1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59A2257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5B2E67F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52005F9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02AD89C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5129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4151852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614DF24B">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5270F42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DF6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5FF628E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5136646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783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1BD4511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CA8E97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23BB286">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608DDE6A">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299B44D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7B75499E">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EA3AF57">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4DF2F0B5">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066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57657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52A6EA7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2E68471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4E98229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4534CD5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0389C18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A19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099BEE5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02C16521">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7A13C1C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3A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57F7E39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0483206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499D140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1319566">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6B5DB5C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C3AB32">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2EA199DE">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35CAC109">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6657BF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2F4E894B">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A375728">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11607FD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3DB0E9">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5F8EFDD4">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B81FD0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9C904C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7479068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8734121">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910"/>
        <w:gridCol w:w="879"/>
        <w:gridCol w:w="804"/>
        <w:gridCol w:w="1553"/>
        <w:gridCol w:w="1189"/>
        <w:gridCol w:w="1361"/>
        <w:gridCol w:w="1512"/>
      </w:tblGrid>
      <w:tr w14:paraId="71AAB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vAlign w:val="center"/>
          </w:tcPr>
          <w:p w14:paraId="367048B1">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10" w:type="dxa"/>
            <w:tcBorders>
              <w:top w:val="single" w:color="auto" w:sz="4" w:space="0"/>
              <w:left w:val="single" w:color="auto" w:sz="4" w:space="0"/>
              <w:bottom w:val="single" w:color="auto" w:sz="4" w:space="0"/>
              <w:right w:val="single" w:color="auto" w:sz="4" w:space="0"/>
            </w:tcBorders>
            <w:vAlign w:val="center"/>
          </w:tcPr>
          <w:p w14:paraId="6EFAB08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879" w:type="dxa"/>
            <w:tcBorders>
              <w:top w:val="single" w:color="auto" w:sz="4" w:space="0"/>
              <w:left w:val="single" w:color="auto" w:sz="4" w:space="0"/>
              <w:bottom w:val="single" w:color="auto" w:sz="4" w:space="0"/>
              <w:right w:val="single" w:color="auto" w:sz="4" w:space="0"/>
            </w:tcBorders>
            <w:vAlign w:val="center"/>
          </w:tcPr>
          <w:p w14:paraId="3BAC88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04" w:type="dxa"/>
            <w:tcBorders>
              <w:top w:val="single" w:color="auto" w:sz="4" w:space="0"/>
              <w:left w:val="single" w:color="auto" w:sz="4" w:space="0"/>
              <w:bottom w:val="single" w:color="auto" w:sz="4" w:space="0"/>
              <w:right w:val="single" w:color="auto" w:sz="4" w:space="0"/>
            </w:tcBorders>
            <w:vAlign w:val="center"/>
          </w:tcPr>
          <w:p w14:paraId="0E1D6EEF">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53" w:type="dxa"/>
            <w:tcBorders>
              <w:top w:val="single" w:color="auto" w:sz="4" w:space="0"/>
              <w:left w:val="single" w:color="auto" w:sz="4" w:space="0"/>
              <w:bottom w:val="single" w:color="auto" w:sz="4" w:space="0"/>
              <w:right w:val="single" w:color="auto" w:sz="4" w:space="0"/>
            </w:tcBorders>
            <w:vAlign w:val="center"/>
          </w:tcPr>
          <w:p w14:paraId="755706F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189" w:type="dxa"/>
            <w:tcBorders>
              <w:top w:val="single" w:color="auto" w:sz="4" w:space="0"/>
              <w:left w:val="single" w:color="auto" w:sz="4" w:space="0"/>
              <w:bottom w:val="single" w:color="auto" w:sz="4" w:space="0"/>
              <w:right w:val="single" w:color="auto" w:sz="4" w:space="0"/>
            </w:tcBorders>
            <w:vAlign w:val="center"/>
          </w:tcPr>
          <w:p w14:paraId="655B53B7">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361" w:type="dxa"/>
            <w:tcBorders>
              <w:top w:val="single" w:color="auto" w:sz="4" w:space="0"/>
              <w:left w:val="single" w:color="auto" w:sz="4" w:space="0"/>
              <w:bottom w:val="single" w:color="auto" w:sz="4" w:space="0"/>
              <w:right w:val="single" w:color="auto" w:sz="4" w:space="0"/>
            </w:tcBorders>
            <w:vAlign w:val="center"/>
          </w:tcPr>
          <w:p w14:paraId="4043F59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12" w:type="dxa"/>
            <w:tcBorders>
              <w:top w:val="single" w:color="auto" w:sz="4" w:space="0"/>
              <w:left w:val="single" w:color="auto" w:sz="4" w:space="0"/>
              <w:bottom w:val="single" w:color="auto" w:sz="4" w:space="0"/>
            </w:tcBorders>
            <w:vAlign w:val="center"/>
          </w:tcPr>
          <w:p w14:paraId="472EAFC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54501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650BF6F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6F6A262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62453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80C496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6340DF7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22B9CC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61DB39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0A024B9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41DD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03CCCB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7C811C9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39997F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41F283A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42DA6DE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363575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76B4412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518D94E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38F44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3CCDC7C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08DFC8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189515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1FEE162">
            <w:pPr>
              <w:pStyle w:val="14"/>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19775DA4">
            <w:pPr>
              <w:pStyle w:val="14"/>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51D319BB">
            <w:pPr>
              <w:pStyle w:val="14"/>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2C3951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12" w:type="dxa"/>
            <w:tcBorders>
              <w:top w:val="single" w:color="auto" w:sz="4" w:space="0"/>
              <w:left w:val="single" w:color="auto" w:sz="4" w:space="0"/>
              <w:bottom w:val="single" w:color="auto" w:sz="4" w:space="0"/>
            </w:tcBorders>
          </w:tcPr>
          <w:p w14:paraId="22AB633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E6EC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0A79EB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36A71D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B33B7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68A92C2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12AA5C7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4D5E8A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5416A0A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15B0392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487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4356A47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1EBC70F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ECEA3D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2E23A0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2AC4FE4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10F3FF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43F64DB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331513F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74130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73F4818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4A67435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6EAB845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82DABF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0039A0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7788A91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75CE0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631BE7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7150E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3EE7C4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6EF8414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A5589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17B0BA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185DEAD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61B2F99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1F295EC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688C4AE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2003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bottom w:val="single" w:color="auto" w:sz="4" w:space="0"/>
              <w:right w:val="single" w:color="auto" w:sz="4" w:space="0"/>
            </w:tcBorders>
          </w:tcPr>
          <w:p w14:paraId="6CAD469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Pr>
          <w:p w14:paraId="5A8AC78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D2D13F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495FA07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3B6458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0AE8D18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361" w:type="dxa"/>
            <w:tcBorders>
              <w:top w:val="single" w:color="auto" w:sz="4" w:space="0"/>
              <w:left w:val="single" w:color="auto" w:sz="4" w:space="0"/>
              <w:bottom w:val="single" w:color="auto" w:sz="4" w:space="0"/>
              <w:right w:val="single" w:color="auto" w:sz="4" w:space="0"/>
            </w:tcBorders>
          </w:tcPr>
          <w:p w14:paraId="7E1685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12" w:type="dxa"/>
            <w:tcBorders>
              <w:top w:val="single" w:color="auto" w:sz="4" w:space="0"/>
              <w:left w:val="single" w:color="auto" w:sz="4" w:space="0"/>
              <w:bottom w:val="single" w:color="auto" w:sz="4" w:space="0"/>
            </w:tcBorders>
          </w:tcPr>
          <w:p w14:paraId="6C2480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2AD0EF08">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0DF4805A">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7085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68EC015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出具上述人员在本单位服务的外部证明，如：投标截止日之前六个月以内的代缴个税税单、参加社会保险的《投保单》或《社会保险参保人员证明》等。</w:t>
      </w:r>
    </w:p>
    <w:p w14:paraId="73A8BFE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54F68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C84159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B8CDAC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5967981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5FB9A4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95F75AE">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0A6E47D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ECC51F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2912FEF2">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项目负责人资格情况表</w:t>
      </w:r>
    </w:p>
    <w:p w14:paraId="1AAEBC3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CC3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87334EE">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7B9BF6A6">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42FC57F0">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B9F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C0FCE0">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511AAF7A">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5EE7C88A">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3DC36D74">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20C0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BAD52D2">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79FAEDB6">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368781B">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CEA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0F3B443">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84FB095">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2D602019">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7B51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7F289C4">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4493B63B">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12823396">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9E8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4F0CA0E">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426AB61B">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798BDC8A">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0E11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C524E3C">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1E5C590B">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590CD3D">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0A00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6394246">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3541C051">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3A43C9D4">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8B4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6B69C059">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3E394759">
            <w:pPr>
              <w:keepNext w:val="0"/>
              <w:keepLines w:val="0"/>
              <w:pageBreakBefore w:val="0"/>
              <w:kinsoku/>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3E04D49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07F74A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01106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36C8F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1340B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5F7366E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44478C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39BBA1C">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07532976">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6247AB5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7434FD4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5877E230">
      <w:pPr>
        <w:pStyle w:val="13"/>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3"/>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A224ADF">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2899989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3BBD474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31ABE55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360E762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5B12BCD4">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偏离情况</w:t>
            </w:r>
          </w:p>
        </w:tc>
      </w:tr>
      <w:tr w14:paraId="7FE8D42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6D5F3A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BD5B173">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vAlign w:val="top"/>
          </w:tcPr>
          <w:p w14:paraId="64B43AD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6DA4BD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771E3F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30F0CD1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1A91D8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9140B33">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top"/>
          </w:tcPr>
          <w:p w14:paraId="125560F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C2DC04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7E5D09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62665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73BE03B">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6347EFF">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top"/>
          </w:tcPr>
          <w:p w14:paraId="27ECD69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EC2EF7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52D683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3F0BB982">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6D71E02E">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5F52810">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top"/>
          </w:tcPr>
          <w:p w14:paraId="09B1553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F09EEED">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31D6A5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9026E9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7781706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1DA8D3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77B1438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067DA5D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4DDAE35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r>
      <w:tr w14:paraId="6DE74BC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E79C6B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ED886BD">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B85B7F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E7D789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5BBB1C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32F84BB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59CC4F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44D501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60695D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AA2582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F1F0D6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0DBB539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440A4F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83490A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3FD5E0D">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00E093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DDE7DA4">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0EB17A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65B200B">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929157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D80B10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0FF442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1223E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38AF502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73C0A2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B0D1A7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51BA13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10B366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D54167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3412AAE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86846A">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60DBF4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D39C1C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1DBC0E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D09778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A2CA30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10F746B">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3E7B20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07D335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BEE457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D9ED20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7551E0F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3A41D6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71728F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C69F66C">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62131F29">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DB258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1564368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A248A17">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0DE05F99">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32F8C0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DB5B16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87EE48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861248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66D06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5B66DFA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543EC25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8454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5561BFD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68A3E9D0">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09C9DFF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67305B4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03D17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40FFF2A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3EAD035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604AF4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49B11B2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0ED4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F9D7B5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CB6942E">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A58F30E">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A5133B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0A50F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96B938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F44E72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64C3C4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2F86628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576A2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A7F7AC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307318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641D016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05C6B08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4B05E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933DAC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4A4A0DFE">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C552F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200243B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0DDE6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6DC07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AD1E26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7261967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78E3098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E4BC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7393623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463C5C5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67C2256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5AD532A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1CDB22C5">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46C6FA80">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B1CF68">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002BC583">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1541117C">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D71EC04">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A177174">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9D626DE">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6F4ABD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2B3EE8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0A4CCA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778A8A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23E3FB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5AA2E9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C159D91">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B75C21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BF905F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675509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96AC5C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1BE4BD3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49FD812B">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5240B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3F04D5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7687225C">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3417836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70CD9B7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0C3D5D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52CECD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4600CD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0B391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727ECC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08CD07F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416853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EA7D33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D67FB2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D8BB65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63F392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04114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019E01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2D44084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C81C3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0C632C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6D7B42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1AB0E9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E14B93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0CDBF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6274E99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2AB7D88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51C852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5782FF2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07C212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18380B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CD9272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2A647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197F1EA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6FDAFB8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94E6E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4B1CCD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1E9A61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F219AA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1D101D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11168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50DF9FD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6521C76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4612AFF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4CAF1C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196DD6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0DD57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BDEF37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965E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6F2E9A2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138640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2F65372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303C5F0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6BD945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4A16DDF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3A4D02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266A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6A55DFB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E56F55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60C6B4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8CB2E0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E68D60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273E416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6285DB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51978B3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4E24C1AD">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6AC393DF">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7E2DFB3A">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19B0E93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2C2E10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B84185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5B62B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1E89FFA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4969965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582B7E2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0050B6B4">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6B8E1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FEE17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附件12:  </w:t>
      </w:r>
      <w:r>
        <w:rPr>
          <w:rFonts w:hint="eastAsia" w:ascii="宋体" w:hAnsi="宋体" w:eastAsia="宋体" w:cs="宋体"/>
          <w:b/>
          <w:color w:val="auto"/>
          <w:sz w:val="28"/>
          <w:highlight w:val="none"/>
        </w:rPr>
        <w:tab/>
      </w:r>
    </w:p>
    <w:p w14:paraId="4C32F03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649E90AD">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0C43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5D0CB48B">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6B17F352">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4E59FB01">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6225282B">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37FD2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230543A">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Merge w:val="restart"/>
            <w:vAlign w:val="center"/>
          </w:tcPr>
          <w:p w14:paraId="57B71D00">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vMerge w:val="restart"/>
          </w:tcPr>
          <w:p w14:paraId="1C19A28C">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磋商供应商售后服务情况：</w:t>
            </w:r>
          </w:p>
        </w:tc>
        <w:tc>
          <w:tcPr>
            <w:tcW w:w="1373" w:type="dxa"/>
          </w:tcPr>
          <w:p w14:paraId="6FEDC17A">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66EBCF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639E99A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2355" w:type="dxa"/>
            <w:vMerge w:val="continue"/>
            <w:vAlign w:val="center"/>
          </w:tcPr>
          <w:p w14:paraId="154E260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4061" w:type="dxa"/>
            <w:vMerge w:val="continue"/>
          </w:tcPr>
          <w:p w14:paraId="520EF622">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16857F79">
            <w:pPr>
              <w:pStyle w:val="48"/>
              <w:keepNext w:val="0"/>
              <w:keepLines w:val="0"/>
              <w:pageBreakBefore w:val="0"/>
              <w:kinsoku/>
              <w:overflowPunct/>
              <w:topLinePunct w:val="0"/>
              <w:bidi w:val="0"/>
              <w:spacing w:line="360" w:lineRule="auto"/>
              <w:jc w:val="left"/>
              <w:outlineLvl w:val="9"/>
              <w:rPr>
                <w:rFonts w:hint="eastAsia" w:ascii="宋体" w:hAnsi="宋体" w:eastAsia="宋体" w:cs="宋体"/>
                <w:bCs/>
                <w:color w:val="auto"/>
                <w:szCs w:val="21"/>
                <w:highlight w:val="none"/>
              </w:rPr>
            </w:pPr>
          </w:p>
        </w:tc>
      </w:tr>
      <w:tr w14:paraId="33E24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exact"/>
          <w:jc w:val="center"/>
        </w:trPr>
        <w:tc>
          <w:tcPr>
            <w:tcW w:w="739" w:type="dxa"/>
            <w:vAlign w:val="center"/>
          </w:tcPr>
          <w:p w14:paraId="0888A4E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665EA100">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tcPr>
          <w:p w14:paraId="26287D2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C58448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28AD4F1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0E933012">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774C267">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5332747">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029D3C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shd w:val="clear" w:color="auto" w:fill="auto"/>
            <w:vAlign w:val="center"/>
          </w:tcPr>
          <w:p w14:paraId="045ECEF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w:t>
            </w:r>
          </w:p>
        </w:tc>
        <w:tc>
          <w:tcPr>
            <w:tcW w:w="2355" w:type="dxa"/>
            <w:shd w:val="clear" w:color="auto" w:fill="auto"/>
            <w:vAlign w:val="center"/>
          </w:tcPr>
          <w:p w14:paraId="6D37E22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w:t>
            </w:r>
          </w:p>
        </w:tc>
        <w:tc>
          <w:tcPr>
            <w:tcW w:w="4061" w:type="dxa"/>
          </w:tcPr>
          <w:p w14:paraId="4691E0B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7CE4A8D7">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526BAD9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7D877C9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396EDB0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65A269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58D1A28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2355" w:type="dxa"/>
            <w:vAlign w:val="center"/>
          </w:tcPr>
          <w:p w14:paraId="217557E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4061" w:type="dxa"/>
          </w:tcPr>
          <w:p w14:paraId="251B4CEE">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Pr>
          <w:p w14:paraId="3424EA0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164802A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59B93C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57A5D5F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276A5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022A06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05CCEE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66DBB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7215D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5854F3C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71B467B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32977E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8888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7416CDA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FD1082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E959144">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B6187A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D6F641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3C7324C0">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0402712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C8E1A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E6D09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5C46B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3ED1ADB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ADA600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40F5006">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45CC6C3F">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920791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CE011C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03B67CA2">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62245308">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7F030C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6D39222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47D415F5">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1613F6C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E0CD64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5E25DEFC">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119DB7A0">
      <w:pPr>
        <w:pStyle w:val="13"/>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1BDCD62E">
      <w:pPr>
        <w:pStyle w:val="13"/>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6E04936B">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4D702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560831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7B68434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428430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49015B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C35FB8E">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861243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7654AA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7D1D6438">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AB2B0F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6F2E5992">
      <w:pPr>
        <w:pStyle w:val="8"/>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647E7A1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6F720B0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E7BA668">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61752B17">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A018CC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5C02806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A7C400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1B1C59B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F0811F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45E4E0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208B31A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89BF0E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C73F7D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634154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174EF80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47B2821">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AD8392">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5E94FA79">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3851D2CD">
      <w:pPr>
        <w:pStyle w:val="11"/>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543CE289">
      <w:pPr>
        <w:pStyle w:val="11"/>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5803E001">
      <w:pPr>
        <w:pStyle w:val="11"/>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6872588">
      <w:pPr>
        <w:pStyle w:val="11"/>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2E767CA">
      <w:pPr>
        <w:pStyle w:val="11"/>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AD56271">
      <w:pPr>
        <w:pStyle w:val="11"/>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042BA40">
      <w:pPr>
        <w:pStyle w:val="11"/>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1503186">
      <w:pPr>
        <w:pStyle w:val="11"/>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2C27184D">
      <w:pPr>
        <w:pStyle w:val="11"/>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26D8C5E">
      <w:pPr>
        <w:pStyle w:val="11"/>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A0A7C4B">
      <w:pPr>
        <w:pStyle w:val="11"/>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0F0A5585">
      <w:pPr>
        <w:pStyle w:val="13"/>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4BA054A6">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586455E8">
      <w:pPr>
        <w:pStyle w:val="5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8C96CF6">
      <w:pPr>
        <w:pStyle w:val="5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60169EBF">
      <w:pPr>
        <w:pStyle w:val="1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38350783">
      <w:pPr>
        <w:pStyle w:val="1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020AF9A5">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C013D6">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7A0C0186">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DD512FC">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47103181">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690D171B">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1F983DE2">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23F7D3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3E1E078">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729A7C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192F12">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EF2C292">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F4681F0">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58C636">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36FCD9A">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8A719CF">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C2DEC2C">
      <w:pPr>
        <w:pStyle w:val="11"/>
        <w:keepNext w:val="0"/>
        <w:keepLines w:val="0"/>
        <w:pageBreakBefore w:val="0"/>
        <w:kinsoku/>
        <w:overflowPunct/>
        <w:topLinePunct w:val="0"/>
        <w:bidi w:val="0"/>
        <w:outlineLvl w:val="9"/>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80FE6">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E04C6D">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9E04C6D">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E120">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0DAA3A">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D0DAA3A">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7A1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24E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03BA">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2025年黄岩区大气环境质量精细化管控服务项目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F6B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2F7D">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839E">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5D140FB7"/>
    <w:multiLevelType w:val="singleLevel"/>
    <w:tmpl w:val="5D140FB7"/>
    <w:lvl w:ilvl="0" w:tentative="0">
      <w:start w:val="1"/>
      <w:numFmt w:val="decimal"/>
      <w:suff w:val="nothing"/>
      <w:lvlText w:val="%1、"/>
      <w:lvlJc w:val="left"/>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5C69E7"/>
    <w:rsid w:val="005E0476"/>
    <w:rsid w:val="006932E2"/>
    <w:rsid w:val="00777425"/>
    <w:rsid w:val="008929F9"/>
    <w:rsid w:val="009B7365"/>
    <w:rsid w:val="009C6908"/>
    <w:rsid w:val="009E7B9B"/>
    <w:rsid w:val="00B77BBE"/>
    <w:rsid w:val="00BE3149"/>
    <w:rsid w:val="00D27694"/>
    <w:rsid w:val="00E03F49"/>
    <w:rsid w:val="00E04ED8"/>
    <w:rsid w:val="00ED278B"/>
    <w:rsid w:val="00F7079C"/>
    <w:rsid w:val="00FC32D9"/>
    <w:rsid w:val="00FD1E0C"/>
    <w:rsid w:val="00FF74E6"/>
    <w:rsid w:val="017D1E30"/>
    <w:rsid w:val="01C528E3"/>
    <w:rsid w:val="02231574"/>
    <w:rsid w:val="02380D19"/>
    <w:rsid w:val="03466AA6"/>
    <w:rsid w:val="036C1E9F"/>
    <w:rsid w:val="043F7FC4"/>
    <w:rsid w:val="04E74FBD"/>
    <w:rsid w:val="05D4117F"/>
    <w:rsid w:val="07685A63"/>
    <w:rsid w:val="07A23970"/>
    <w:rsid w:val="07A306E4"/>
    <w:rsid w:val="08390248"/>
    <w:rsid w:val="09001A02"/>
    <w:rsid w:val="0943100A"/>
    <w:rsid w:val="09812D1C"/>
    <w:rsid w:val="09E03F7D"/>
    <w:rsid w:val="09F33DD0"/>
    <w:rsid w:val="0A1B53D3"/>
    <w:rsid w:val="0A3A50FB"/>
    <w:rsid w:val="0A772561"/>
    <w:rsid w:val="0AF64F0D"/>
    <w:rsid w:val="0B2A4CED"/>
    <w:rsid w:val="0B6173A5"/>
    <w:rsid w:val="0B7C7CDF"/>
    <w:rsid w:val="0C181AC6"/>
    <w:rsid w:val="0CFA4EFD"/>
    <w:rsid w:val="0D1F4CD0"/>
    <w:rsid w:val="0E0F138C"/>
    <w:rsid w:val="0EC6046D"/>
    <w:rsid w:val="0ECC2ABC"/>
    <w:rsid w:val="0ECF4CB3"/>
    <w:rsid w:val="0ED2632B"/>
    <w:rsid w:val="0F3F1DD9"/>
    <w:rsid w:val="0F7E6199"/>
    <w:rsid w:val="0F943ED7"/>
    <w:rsid w:val="0FE74D1C"/>
    <w:rsid w:val="10452B67"/>
    <w:rsid w:val="109F080C"/>
    <w:rsid w:val="10AB5685"/>
    <w:rsid w:val="10AF6F0E"/>
    <w:rsid w:val="10CF38B9"/>
    <w:rsid w:val="11990482"/>
    <w:rsid w:val="11E77423"/>
    <w:rsid w:val="121665CB"/>
    <w:rsid w:val="12704EB7"/>
    <w:rsid w:val="127B1DB3"/>
    <w:rsid w:val="129E4025"/>
    <w:rsid w:val="12EC03CE"/>
    <w:rsid w:val="12EE339A"/>
    <w:rsid w:val="132107E8"/>
    <w:rsid w:val="135C66DF"/>
    <w:rsid w:val="13D95ADA"/>
    <w:rsid w:val="13F01B8E"/>
    <w:rsid w:val="159E68EB"/>
    <w:rsid w:val="168339D9"/>
    <w:rsid w:val="16D009D7"/>
    <w:rsid w:val="16D70F66"/>
    <w:rsid w:val="17047DD8"/>
    <w:rsid w:val="171D6CDD"/>
    <w:rsid w:val="17461D47"/>
    <w:rsid w:val="17D2330C"/>
    <w:rsid w:val="186C5334"/>
    <w:rsid w:val="18EE1128"/>
    <w:rsid w:val="191533D1"/>
    <w:rsid w:val="19630549"/>
    <w:rsid w:val="19BF4FF7"/>
    <w:rsid w:val="19F416DC"/>
    <w:rsid w:val="1A1D777D"/>
    <w:rsid w:val="1A8060E9"/>
    <w:rsid w:val="1AC34EAA"/>
    <w:rsid w:val="1BC0155F"/>
    <w:rsid w:val="1CBF0303"/>
    <w:rsid w:val="1CC61F19"/>
    <w:rsid w:val="1D3E6559"/>
    <w:rsid w:val="1D465475"/>
    <w:rsid w:val="1F162724"/>
    <w:rsid w:val="1F4F69F4"/>
    <w:rsid w:val="1FB25DBE"/>
    <w:rsid w:val="1FF67981"/>
    <w:rsid w:val="201C7B31"/>
    <w:rsid w:val="20264618"/>
    <w:rsid w:val="20AA0083"/>
    <w:rsid w:val="20ED3C16"/>
    <w:rsid w:val="21492AD8"/>
    <w:rsid w:val="224700DF"/>
    <w:rsid w:val="235017A7"/>
    <w:rsid w:val="23FA686C"/>
    <w:rsid w:val="255B67E8"/>
    <w:rsid w:val="27BB78F3"/>
    <w:rsid w:val="28C07331"/>
    <w:rsid w:val="28D80E9E"/>
    <w:rsid w:val="29585CDF"/>
    <w:rsid w:val="29E63530"/>
    <w:rsid w:val="29F21359"/>
    <w:rsid w:val="2BBF5A13"/>
    <w:rsid w:val="2BC97306"/>
    <w:rsid w:val="2D984987"/>
    <w:rsid w:val="2DC36447"/>
    <w:rsid w:val="2E2229F7"/>
    <w:rsid w:val="2EF10700"/>
    <w:rsid w:val="2F607C49"/>
    <w:rsid w:val="2F7B1BB4"/>
    <w:rsid w:val="2FCC2EC1"/>
    <w:rsid w:val="30150257"/>
    <w:rsid w:val="30377647"/>
    <w:rsid w:val="309703E8"/>
    <w:rsid w:val="30CF5D28"/>
    <w:rsid w:val="314550AB"/>
    <w:rsid w:val="317B75B1"/>
    <w:rsid w:val="31813005"/>
    <w:rsid w:val="31836623"/>
    <w:rsid w:val="323740AF"/>
    <w:rsid w:val="328B6879"/>
    <w:rsid w:val="332F5751"/>
    <w:rsid w:val="33495F57"/>
    <w:rsid w:val="33545332"/>
    <w:rsid w:val="34772ADD"/>
    <w:rsid w:val="347872EE"/>
    <w:rsid w:val="350262F0"/>
    <w:rsid w:val="352979DC"/>
    <w:rsid w:val="362A1767"/>
    <w:rsid w:val="36411D61"/>
    <w:rsid w:val="36D45A2D"/>
    <w:rsid w:val="36D706BD"/>
    <w:rsid w:val="36DB71B3"/>
    <w:rsid w:val="370B4954"/>
    <w:rsid w:val="37551CA3"/>
    <w:rsid w:val="378D23FD"/>
    <w:rsid w:val="383A2B70"/>
    <w:rsid w:val="3A316D41"/>
    <w:rsid w:val="3A672904"/>
    <w:rsid w:val="3A791AB3"/>
    <w:rsid w:val="3A7A6F1E"/>
    <w:rsid w:val="3B463E87"/>
    <w:rsid w:val="3B692A8A"/>
    <w:rsid w:val="3C1F2D54"/>
    <w:rsid w:val="3C203FE1"/>
    <w:rsid w:val="3C812B8C"/>
    <w:rsid w:val="3D326006"/>
    <w:rsid w:val="3D843DB4"/>
    <w:rsid w:val="3D976EBB"/>
    <w:rsid w:val="3E446852"/>
    <w:rsid w:val="3E4A4338"/>
    <w:rsid w:val="3E4E6F02"/>
    <w:rsid w:val="3F6F01A1"/>
    <w:rsid w:val="3F95513E"/>
    <w:rsid w:val="40645B94"/>
    <w:rsid w:val="40EB38A0"/>
    <w:rsid w:val="414F13A9"/>
    <w:rsid w:val="416F0E3A"/>
    <w:rsid w:val="41A7572D"/>
    <w:rsid w:val="421D2516"/>
    <w:rsid w:val="4412111F"/>
    <w:rsid w:val="45185FC7"/>
    <w:rsid w:val="46CA4711"/>
    <w:rsid w:val="470216C0"/>
    <w:rsid w:val="47AE28FC"/>
    <w:rsid w:val="47C11F07"/>
    <w:rsid w:val="47E83667"/>
    <w:rsid w:val="49411A6B"/>
    <w:rsid w:val="494A187D"/>
    <w:rsid w:val="49D648FF"/>
    <w:rsid w:val="4A007A95"/>
    <w:rsid w:val="4A6A77A1"/>
    <w:rsid w:val="4A802F02"/>
    <w:rsid w:val="4B4C5C6D"/>
    <w:rsid w:val="4B567DB0"/>
    <w:rsid w:val="4C392F39"/>
    <w:rsid w:val="4CF72E0A"/>
    <w:rsid w:val="4D170E1F"/>
    <w:rsid w:val="4D190A3D"/>
    <w:rsid w:val="4E0D1311"/>
    <w:rsid w:val="4E3623E0"/>
    <w:rsid w:val="4E691257"/>
    <w:rsid w:val="4E6B3534"/>
    <w:rsid w:val="4F2D43A7"/>
    <w:rsid w:val="4F4966DE"/>
    <w:rsid w:val="503A1E1A"/>
    <w:rsid w:val="510B59E9"/>
    <w:rsid w:val="513371C0"/>
    <w:rsid w:val="52457AAC"/>
    <w:rsid w:val="524B29D2"/>
    <w:rsid w:val="53240DE2"/>
    <w:rsid w:val="53E31F32"/>
    <w:rsid w:val="53EA233D"/>
    <w:rsid w:val="54CF56D2"/>
    <w:rsid w:val="54E15B7B"/>
    <w:rsid w:val="54E571B9"/>
    <w:rsid w:val="554479B3"/>
    <w:rsid w:val="554575B7"/>
    <w:rsid w:val="55FC25AC"/>
    <w:rsid w:val="57977A16"/>
    <w:rsid w:val="587B70B9"/>
    <w:rsid w:val="58ED70C4"/>
    <w:rsid w:val="58F41167"/>
    <w:rsid w:val="593F68E5"/>
    <w:rsid w:val="5A653FE4"/>
    <w:rsid w:val="5ACE03B2"/>
    <w:rsid w:val="5AEE56F8"/>
    <w:rsid w:val="5AFA0CD5"/>
    <w:rsid w:val="5B23598D"/>
    <w:rsid w:val="5B4B1ECD"/>
    <w:rsid w:val="5B510C4F"/>
    <w:rsid w:val="5BBC3082"/>
    <w:rsid w:val="5BC21978"/>
    <w:rsid w:val="5C542188"/>
    <w:rsid w:val="5C8A42C3"/>
    <w:rsid w:val="5D033C9D"/>
    <w:rsid w:val="5D2F1C8F"/>
    <w:rsid w:val="5D4528B1"/>
    <w:rsid w:val="5E8450BB"/>
    <w:rsid w:val="5E9C5841"/>
    <w:rsid w:val="5F017697"/>
    <w:rsid w:val="5F0D2C6F"/>
    <w:rsid w:val="60635BFA"/>
    <w:rsid w:val="60666010"/>
    <w:rsid w:val="607E50AA"/>
    <w:rsid w:val="60BD1FFE"/>
    <w:rsid w:val="61A001E3"/>
    <w:rsid w:val="61A52F26"/>
    <w:rsid w:val="620411D2"/>
    <w:rsid w:val="627D0FEE"/>
    <w:rsid w:val="629B53E3"/>
    <w:rsid w:val="6306179E"/>
    <w:rsid w:val="63753FCF"/>
    <w:rsid w:val="6417380C"/>
    <w:rsid w:val="65776951"/>
    <w:rsid w:val="66651023"/>
    <w:rsid w:val="668F5D43"/>
    <w:rsid w:val="66950943"/>
    <w:rsid w:val="670F61FF"/>
    <w:rsid w:val="68124599"/>
    <w:rsid w:val="68831E4E"/>
    <w:rsid w:val="68877B1A"/>
    <w:rsid w:val="68B2407B"/>
    <w:rsid w:val="68C07FC3"/>
    <w:rsid w:val="68F9469E"/>
    <w:rsid w:val="6A035AFF"/>
    <w:rsid w:val="6A36621D"/>
    <w:rsid w:val="6AAB5773"/>
    <w:rsid w:val="6AEF2BD6"/>
    <w:rsid w:val="6B0242A5"/>
    <w:rsid w:val="6B194E7D"/>
    <w:rsid w:val="6B753032"/>
    <w:rsid w:val="6C1D38BD"/>
    <w:rsid w:val="6CEC2E98"/>
    <w:rsid w:val="6DA018A4"/>
    <w:rsid w:val="6E5D5D12"/>
    <w:rsid w:val="6E6E1E0B"/>
    <w:rsid w:val="6F156B47"/>
    <w:rsid w:val="6F4126A8"/>
    <w:rsid w:val="6F52577A"/>
    <w:rsid w:val="706A014F"/>
    <w:rsid w:val="71020C28"/>
    <w:rsid w:val="712407DA"/>
    <w:rsid w:val="716661C7"/>
    <w:rsid w:val="730D0933"/>
    <w:rsid w:val="73625312"/>
    <w:rsid w:val="73B92D69"/>
    <w:rsid w:val="74660813"/>
    <w:rsid w:val="748266FC"/>
    <w:rsid w:val="754526DD"/>
    <w:rsid w:val="75BB0C3B"/>
    <w:rsid w:val="7632681F"/>
    <w:rsid w:val="764D2959"/>
    <w:rsid w:val="767D593D"/>
    <w:rsid w:val="76CE6CDD"/>
    <w:rsid w:val="76D43F8B"/>
    <w:rsid w:val="76E75CCC"/>
    <w:rsid w:val="770A7D21"/>
    <w:rsid w:val="775F39EB"/>
    <w:rsid w:val="77B0242F"/>
    <w:rsid w:val="77BF3AC2"/>
    <w:rsid w:val="78A56F23"/>
    <w:rsid w:val="78E41C51"/>
    <w:rsid w:val="78FA1692"/>
    <w:rsid w:val="792D6B6B"/>
    <w:rsid w:val="79AF3E98"/>
    <w:rsid w:val="79E211F9"/>
    <w:rsid w:val="7A963BD8"/>
    <w:rsid w:val="7AE07CFD"/>
    <w:rsid w:val="7B376CA9"/>
    <w:rsid w:val="7C8D1673"/>
    <w:rsid w:val="7C902F57"/>
    <w:rsid w:val="7C93105E"/>
    <w:rsid w:val="7CBF1AAE"/>
    <w:rsid w:val="7DAA5FB8"/>
    <w:rsid w:val="7E4E7602"/>
    <w:rsid w:val="7E723EF0"/>
    <w:rsid w:val="7EA63A70"/>
    <w:rsid w:val="7ECE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6">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ind w:firstLine="420"/>
    </w:pPr>
  </w:style>
  <w:style w:type="paragraph" w:styleId="3">
    <w:name w:val="Body Text Indent"/>
    <w:basedOn w:val="1"/>
    <w:next w:val="1"/>
    <w:link w:val="37"/>
    <w:autoRedefine/>
    <w:qFormat/>
    <w:uiPriority w:val="99"/>
    <w:pPr>
      <w:spacing w:after="120"/>
      <w:ind w:left="420" w:leftChars="200"/>
    </w:p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
    <w:name w:val="Normal Indent"/>
    <w:basedOn w:val="1"/>
    <w:next w:val="9"/>
    <w:autoRedefine/>
    <w:qFormat/>
    <w:uiPriority w:val="0"/>
    <w:pPr>
      <w:ind w:firstLine="420"/>
    </w:pPr>
    <w:rPr>
      <w:szCs w:val="20"/>
    </w:rPr>
  </w:style>
  <w:style w:type="paragraph" w:styleId="9">
    <w:name w:val="toc 2"/>
    <w:basedOn w:val="1"/>
    <w:next w:val="1"/>
    <w:autoRedefine/>
    <w:qFormat/>
    <w:uiPriority w:val="0"/>
    <w:pPr>
      <w:tabs>
        <w:tab w:val="right" w:leader="dot" w:pos="10070"/>
      </w:tabs>
      <w:spacing w:line="480" w:lineRule="auto"/>
      <w:ind w:left="200" w:leftChars="200"/>
    </w:pPr>
  </w:style>
  <w:style w:type="paragraph" w:styleId="10">
    <w:name w:val="annotation text"/>
    <w:basedOn w:val="1"/>
    <w:link w:val="61"/>
    <w:autoRedefine/>
    <w:qFormat/>
    <w:uiPriority w:val="0"/>
    <w:pPr>
      <w:jc w:val="left"/>
    </w:pPr>
  </w:style>
  <w:style w:type="paragraph" w:styleId="11">
    <w:name w:val="Body Text"/>
    <w:basedOn w:val="1"/>
    <w:next w:val="12"/>
    <w:link w:val="36"/>
    <w:autoRedefine/>
    <w:semiHidden/>
    <w:unhideWhenUsed/>
    <w:qFormat/>
    <w:uiPriority w:val="99"/>
    <w:pPr>
      <w:spacing w:after="120"/>
    </w:pPr>
  </w:style>
  <w:style w:type="paragraph" w:styleId="12">
    <w:name w:val="Body Text First Indent"/>
    <w:basedOn w:val="11"/>
    <w:next w:val="1"/>
    <w:autoRedefine/>
    <w:qFormat/>
    <w:uiPriority w:val="0"/>
    <w:pPr>
      <w:ind w:firstLine="420" w:firstLineChars="100"/>
    </w:p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alloon Text"/>
    <w:basedOn w:val="1"/>
    <w:link w:val="38"/>
    <w:autoRedefine/>
    <w:semiHidden/>
    <w:unhideWhenUsed/>
    <w:qFormat/>
    <w:uiPriority w:val="99"/>
    <w:rPr>
      <w:sz w:val="18"/>
      <w:szCs w:val="18"/>
    </w:rPr>
  </w:style>
  <w:style w:type="paragraph" w:styleId="16">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annotation subject"/>
    <w:basedOn w:val="10"/>
    <w:next w:val="10"/>
    <w:link w:val="62"/>
    <w:autoRedefine/>
    <w:semiHidden/>
    <w:unhideWhenUsed/>
    <w:qFormat/>
    <w:uiPriority w:val="99"/>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annotation reference"/>
    <w:basedOn w:val="25"/>
    <w:autoRedefine/>
    <w:qFormat/>
    <w:uiPriority w:val="0"/>
    <w:rPr>
      <w:sz w:val="21"/>
      <w:szCs w:val="21"/>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1"/>
    <w:basedOn w:val="11"/>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字符"/>
    <w:basedOn w:val="25"/>
    <w:link w:val="17"/>
    <w:autoRedefine/>
    <w:semiHidden/>
    <w:qFormat/>
    <w:uiPriority w:val="99"/>
    <w:rPr>
      <w:sz w:val="18"/>
      <w:szCs w:val="18"/>
    </w:rPr>
  </w:style>
  <w:style w:type="character" w:customStyle="1" w:styleId="35">
    <w:name w:val="页脚 字符"/>
    <w:basedOn w:val="25"/>
    <w:link w:val="16"/>
    <w:autoRedefine/>
    <w:semiHidden/>
    <w:qFormat/>
    <w:uiPriority w:val="99"/>
    <w:rPr>
      <w:sz w:val="18"/>
      <w:szCs w:val="18"/>
    </w:rPr>
  </w:style>
  <w:style w:type="character" w:customStyle="1" w:styleId="36">
    <w:name w:val="正文文本 字符"/>
    <w:basedOn w:val="25"/>
    <w:link w:val="11"/>
    <w:autoRedefine/>
    <w:semiHidden/>
    <w:qFormat/>
    <w:uiPriority w:val="99"/>
    <w:rPr>
      <w:rFonts w:ascii="Times New Roman" w:hAnsi="Times New Roman" w:eastAsia="宋体" w:cs="Times New Roman"/>
      <w:szCs w:val="24"/>
    </w:rPr>
  </w:style>
  <w:style w:type="character" w:customStyle="1" w:styleId="37">
    <w:name w:val="正文文本缩进 字符"/>
    <w:basedOn w:val="25"/>
    <w:link w:val="3"/>
    <w:autoRedefine/>
    <w:qFormat/>
    <w:uiPriority w:val="99"/>
    <w:rPr>
      <w:rFonts w:ascii="Times New Roman" w:hAnsi="Times New Roman" w:eastAsia="宋体" w:cs="Times New Roman"/>
      <w:szCs w:val="24"/>
    </w:rPr>
  </w:style>
  <w:style w:type="character" w:customStyle="1" w:styleId="38">
    <w:name w:val="批注框文本 字符"/>
    <w:basedOn w:val="25"/>
    <w:link w:val="15"/>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11"/>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style>
  <w:style w:type="paragraph" w:customStyle="1" w:styleId="58">
    <w:name w:val="纯文本1"/>
    <w:basedOn w:val="55"/>
    <w:autoRedefine/>
    <w:qFormat/>
    <w:uiPriority w:val="0"/>
    <w:pPr>
      <w:widowControl/>
      <w:jc w:val="left"/>
    </w:pPr>
    <w:rPr>
      <w:rFonts w:hAnsi="Courier New"/>
    </w:rPr>
  </w:style>
  <w:style w:type="paragraph" w:customStyle="1" w:styleId="59">
    <w:name w:val="Table Paragraph"/>
    <w:basedOn w:val="1"/>
    <w:autoRedefine/>
    <w:qFormat/>
    <w:uiPriority w:val="1"/>
    <w:pPr>
      <w:jc w:val="left"/>
    </w:pPr>
    <w:rPr>
      <w:kern w:val="0"/>
      <w:sz w:val="22"/>
      <w:lang w:eastAsia="en-US"/>
    </w:rPr>
  </w:style>
  <w:style w:type="character" w:customStyle="1" w:styleId="60">
    <w:name w:val="NormalCharacter"/>
    <w:autoRedefine/>
    <w:semiHidden/>
    <w:qFormat/>
    <w:uiPriority w:val="0"/>
  </w:style>
  <w:style w:type="character" w:customStyle="1" w:styleId="61">
    <w:name w:val="批注文字 字符"/>
    <w:basedOn w:val="25"/>
    <w:link w:val="10"/>
    <w:autoRedefine/>
    <w:qFormat/>
    <w:uiPriority w:val="0"/>
    <w:rPr>
      <w:rFonts w:ascii="Times New Roman" w:hAnsi="Times New Roman"/>
      <w:kern w:val="2"/>
      <w:sz w:val="21"/>
      <w:szCs w:val="24"/>
    </w:rPr>
  </w:style>
  <w:style w:type="character" w:customStyle="1" w:styleId="62">
    <w:name w:val="批注主题 字符"/>
    <w:basedOn w:val="61"/>
    <w:link w:val="22"/>
    <w:autoRedefine/>
    <w:semiHidden/>
    <w:qFormat/>
    <w:uiPriority w:val="99"/>
    <w:rPr>
      <w:rFonts w:ascii="Times New Roman" w:hAnsi="Times New Roman"/>
      <w:b/>
      <w:bCs/>
      <w:kern w:val="2"/>
      <w:sz w:val="21"/>
      <w:szCs w:val="24"/>
    </w:rPr>
  </w:style>
  <w:style w:type="paragraph" w:customStyle="1" w:styleId="63">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29402</Words>
  <Characters>31318</Characters>
  <Lines>228</Lines>
  <Paragraphs>64</Paragraphs>
  <TotalTime>0</TotalTime>
  <ScaleCrop>false</ScaleCrop>
  <LinksUpToDate>false</LinksUpToDate>
  <CharactersWithSpaces>32267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2025-04-07T01:47:55Z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54734A1F5E3745A286414CAF994420F3_13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